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80B27">
      <w:pPr>
        <w:pStyle w:val="24"/>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7"/>
        <w:tblW w:w="89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50"/>
        <w:gridCol w:w="2447"/>
        <w:gridCol w:w="2210"/>
        <w:gridCol w:w="3005"/>
      </w:tblGrid>
      <w:tr w14:paraId="7CBAE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0" w:type="dxa"/>
            <w:tcMar>
              <w:top w:w="16" w:type="dxa"/>
              <w:left w:w="16" w:type="dxa"/>
              <w:right w:w="16" w:type="dxa"/>
            </w:tcMar>
            <w:vAlign w:val="center"/>
          </w:tcPr>
          <w:p w14:paraId="5AE179EC">
            <w:pPr>
              <w:adjustRightInd w:val="0"/>
              <w:snapToGrid w:val="0"/>
              <w:jc w:val="center"/>
              <w:rPr>
                <w:color w:val="auto"/>
                <w:sz w:val="24"/>
              </w:rPr>
            </w:pPr>
            <w:r>
              <w:rPr>
                <w:color w:val="auto"/>
                <w:sz w:val="24"/>
              </w:rPr>
              <w:t>建设项目名称</w:t>
            </w:r>
          </w:p>
        </w:tc>
        <w:tc>
          <w:tcPr>
            <w:tcW w:w="7662" w:type="dxa"/>
            <w:gridSpan w:val="3"/>
            <w:vAlign w:val="center"/>
          </w:tcPr>
          <w:p w14:paraId="47042E9E">
            <w:pPr>
              <w:adjustRightInd w:val="0"/>
              <w:snapToGrid w:val="0"/>
              <w:jc w:val="center"/>
              <w:rPr>
                <w:rFonts w:hint="default"/>
                <w:color w:val="auto"/>
                <w:sz w:val="24"/>
                <w:lang w:val="en-US"/>
              </w:rPr>
            </w:pPr>
            <w:r>
              <w:rPr>
                <w:rFonts w:hint="default"/>
                <w:color w:val="auto"/>
                <w:sz w:val="24"/>
                <w:lang w:val="en-US" w:eastAsia="zh-CN"/>
              </w:rPr>
              <w:t>木垒黑走马混凝土有限责任公司大石头风电场商砼项目</w:t>
            </w:r>
          </w:p>
        </w:tc>
      </w:tr>
      <w:tr w14:paraId="2ED76F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0" w:type="dxa"/>
            <w:tcMar>
              <w:top w:w="16" w:type="dxa"/>
              <w:left w:w="16" w:type="dxa"/>
              <w:right w:w="16" w:type="dxa"/>
            </w:tcMar>
            <w:vAlign w:val="center"/>
          </w:tcPr>
          <w:p w14:paraId="2DA93B67">
            <w:pPr>
              <w:adjustRightInd w:val="0"/>
              <w:snapToGrid w:val="0"/>
              <w:jc w:val="center"/>
              <w:rPr>
                <w:color w:val="auto"/>
                <w:sz w:val="24"/>
              </w:rPr>
            </w:pPr>
            <w:r>
              <w:rPr>
                <w:color w:val="auto"/>
                <w:sz w:val="24"/>
              </w:rPr>
              <w:t>项目代码</w:t>
            </w:r>
          </w:p>
        </w:tc>
        <w:tc>
          <w:tcPr>
            <w:tcW w:w="7662" w:type="dxa"/>
            <w:gridSpan w:val="3"/>
            <w:vAlign w:val="center"/>
          </w:tcPr>
          <w:p w14:paraId="2FA1CA88">
            <w:pPr>
              <w:adjustRightInd w:val="0"/>
              <w:snapToGrid w:val="0"/>
              <w:jc w:val="center"/>
              <w:rPr>
                <w:rFonts w:hint="default" w:eastAsia="宋体"/>
                <w:color w:val="auto"/>
                <w:sz w:val="24"/>
                <w:lang w:val="en-US" w:eastAsia="zh-CN"/>
              </w:rPr>
            </w:pPr>
            <w:r>
              <w:rPr>
                <w:rFonts w:hint="default" w:eastAsia="宋体"/>
                <w:color w:val="auto"/>
                <w:sz w:val="24"/>
                <w:lang w:val="en-US" w:eastAsia="zh-CN"/>
              </w:rPr>
              <w:t>2405-652328-04-01-387933</w:t>
            </w:r>
          </w:p>
        </w:tc>
      </w:tr>
      <w:tr w14:paraId="77FE0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0" w:type="dxa"/>
            <w:tcMar>
              <w:top w:w="16" w:type="dxa"/>
              <w:left w:w="16" w:type="dxa"/>
              <w:right w:w="16" w:type="dxa"/>
            </w:tcMar>
            <w:vAlign w:val="center"/>
          </w:tcPr>
          <w:p w14:paraId="08039594">
            <w:pPr>
              <w:adjustRightInd w:val="0"/>
              <w:snapToGrid w:val="0"/>
              <w:jc w:val="center"/>
              <w:rPr>
                <w:color w:val="auto"/>
                <w:sz w:val="24"/>
              </w:rPr>
            </w:pPr>
            <w:r>
              <w:rPr>
                <w:color w:val="auto"/>
                <w:sz w:val="24"/>
              </w:rPr>
              <w:t>建设单位联系人</w:t>
            </w:r>
          </w:p>
        </w:tc>
        <w:tc>
          <w:tcPr>
            <w:tcW w:w="2447" w:type="dxa"/>
            <w:vAlign w:val="center"/>
          </w:tcPr>
          <w:p w14:paraId="6DB9147B">
            <w:pPr>
              <w:adjustRightInd w:val="0"/>
              <w:snapToGrid w:val="0"/>
              <w:jc w:val="center"/>
              <w:rPr>
                <w:rFonts w:hint="default" w:eastAsia="宋体"/>
                <w:color w:val="auto"/>
                <w:sz w:val="24"/>
                <w:lang w:val="en-US" w:eastAsia="zh-CN"/>
              </w:rPr>
            </w:pPr>
            <w:r>
              <w:rPr>
                <w:rFonts w:hint="eastAsia"/>
                <w:color w:val="auto"/>
                <w:sz w:val="24"/>
                <w:lang w:val="en-US" w:eastAsia="zh-CN"/>
              </w:rPr>
              <w:t>丁雪飞</w:t>
            </w:r>
          </w:p>
        </w:tc>
        <w:tc>
          <w:tcPr>
            <w:tcW w:w="2210" w:type="dxa"/>
            <w:vAlign w:val="center"/>
          </w:tcPr>
          <w:p w14:paraId="48F3F671">
            <w:pPr>
              <w:adjustRightInd w:val="0"/>
              <w:snapToGrid w:val="0"/>
              <w:jc w:val="center"/>
              <w:rPr>
                <w:color w:val="auto"/>
                <w:sz w:val="24"/>
              </w:rPr>
            </w:pPr>
            <w:r>
              <w:rPr>
                <w:color w:val="auto"/>
                <w:sz w:val="24"/>
              </w:rPr>
              <w:t>联系方式</w:t>
            </w:r>
          </w:p>
        </w:tc>
        <w:tc>
          <w:tcPr>
            <w:tcW w:w="3005" w:type="dxa"/>
            <w:vAlign w:val="center"/>
          </w:tcPr>
          <w:p w14:paraId="40E7E45B">
            <w:pPr>
              <w:adjustRightInd w:val="0"/>
              <w:snapToGrid w:val="0"/>
              <w:jc w:val="center"/>
              <w:rPr>
                <w:rFonts w:hint="default" w:eastAsia="宋体"/>
                <w:color w:val="auto"/>
                <w:sz w:val="24"/>
                <w:lang w:val="en-US" w:eastAsia="zh-CN"/>
              </w:rPr>
            </w:pPr>
            <w:r>
              <w:rPr>
                <w:rFonts w:hint="eastAsia"/>
                <w:color w:val="auto"/>
                <w:sz w:val="24"/>
                <w:lang w:val="en-US" w:eastAsia="zh-CN"/>
              </w:rPr>
              <w:t>18209919656</w:t>
            </w:r>
          </w:p>
        </w:tc>
      </w:tr>
      <w:tr w14:paraId="3BE27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0" w:type="dxa"/>
            <w:tcMar>
              <w:top w:w="16" w:type="dxa"/>
              <w:left w:w="16" w:type="dxa"/>
              <w:right w:w="16" w:type="dxa"/>
            </w:tcMar>
            <w:vAlign w:val="center"/>
          </w:tcPr>
          <w:p w14:paraId="18B58BCE">
            <w:pPr>
              <w:adjustRightInd w:val="0"/>
              <w:snapToGrid w:val="0"/>
              <w:jc w:val="center"/>
              <w:rPr>
                <w:color w:val="auto"/>
                <w:sz w:val="24"/>
              </w:rPr>
            </w:pPr>
            <w:r>
              <w:rPr>
                <w:color w:val="auto"/>
                <w:sz w:val="24"/>
              </w:rPr>
              <w:t>建设地点</w:t>
            </w:r>
          </w:p>
        </w:tc>
        <w:tc>
          <w:tcPr>
            <w:tcW w:w="7662" w:type="dxa"/>
            <w:gridSpan w:val="3"/>
            <w:vAlign w:val="center"/>
          </w:tcPr>
          <w:p w14:paraId="0F624E52">
            <w:pPr>
              <w:adjustRightInd w:val="0"/>
              <w:snapToGrid w:val="0"/>
              <w:jc w:val="center"/>
              <w:rPr>
                <w:rFonts w:hint="eastAsia" w:eastAsia="宋体"/>
                <w:color w:val="auto"/>
                <w:sz w:val="24"/>
                <w:lang w:val="en-US" w:eastAsia="zh-CN"/>
              </w:rPr>
            </w:pPr>
            <w:r>
              <w:rPr>
                <w:color w:val="auto"/>
                <w:sz w:val="24"/>
                <w:u w:val="single"/>
              </w:rPr>
              <w:t>新疆维吾尔自治区昌吉</w:t>
            </w:r>
            <w:r>
              <w:rPr>
                <w:rFonts w:hint="eastAsia"/>
                <w:color w:val="auto"/>
                <w:sz w:val="24"/>
                <w:u w:val="single"/>
              </w:rPr>
              <w:t>州</w:t>
            </w:r>
            <w:r>
              <w:rPr>
                <w:color w:val="auto"/>
                <w:sz w:val="24"/>
                <w:u w:val="single"/>
              </w:rPr>
              <w:t>木垒县</w:t>
            </w:r>
            <w:r>
              <w:rPr>
                <w:rFonts w:hint="eastAsia"/>
                <w:color w:val="auto"/>
                <w:sz w:val="24"/>
                <w:u w:val="single"/>
                <w:lang w:val="en-US" w:eastAsia="zh-CN"/>
              </w:rPr>
              <w:t>大石头</w:t>
            </w:r>
            <w:r>
              <w:rPr>
                <w:rFonts w:hint="eastAsia"/>
                <w:color w:val="auto"/>
                <w:sz w:val="24"/>
                <w:u w:val="single"/>
              </w:rPr>
              <w:t>风电</w:t>
            </w:r>
            <w:r>
              <w:rPr>
                <w:rFonts w:hint="eastAsia"/>
                <w:color w:val="auto"/>
                <w:sz w:val="24"/>
                <w:u w:val="single"/>
                <w:lang w:val="en-US" w:eastAsia="zh-CN"/>
              </w:rPr>
              <w:t>场</w:t>
            </w:r>
          </w:p>
        </w:tc>
      </w:tr>
      <w:tr w14:paraId="43CE9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0" w:type="dxa"/>
            <w:tcMar>
              <w:top w:w="16" w:type="dxa"/>
              <w:left w:w="16" w:type="dxa"/>
              <w:right w:w="16" w:type="dxa"/>
            </w:tcMar>
            <w:vAlign w:val="center"/>
          </w:tcPr>
          <w:p w14:paraId="391D8ACA">
            <w:pPr>
              <w:adjustRightInd w:val="0"/>
              <w:snapToGrid w:val="0"/>
              <w:jc w:val="center"/>
              <w:rPr>
                <w:color w:val="auto"/>
                <w:sz w:val="24"/>
              </w:rPr>
            </w:pPr>
            <w:r>
              <w:rPr>
                <w:color w:val="auto"/>
                <w:sz w:val="24"/>
              </w:rPr>
              <w:t>地理坐标</w:t>
            </w:r>
          </w:p>
        </w:tc>
        <w:tc>
          <w:tcPr>
            <w:tcW w:w="7662" w:type="dxa"/>
            <w:gridSpan w:val="3"/>
            <w:vAlign w:val="center"/>
          </w:tcPr>
          <w:p w14:paraId="0184CAAA">
            <w:pPr>
              <w:jc w:val="center"/>
              <w:rPr>
                <w:color w:val="auto"/>
                <w:sz w:val="24"/>
              </w:rPr>
            </w:pPr>
            <w:r>
              <w:rPr>
                <w:color w:val="auto"/>
                <w:sz w:val="24"/>
              </w:rPr>
              <w:t>（</w:t>
            </w:r>
            <w:r>
              <w:rPr>
                <w:rFonts w:hint="eastAsia"/>
                <w:color w:val="auto"/>
                <w:sz w:val="24"/>
                <w:lang w:val="en-US" w:eastAsia="zh-CN"/>
              </w:rPr>
              <w:t>东经</w:t>
            </w:r>
            <w:r>
              <w:rPr>
                <w:rFonts w:hint="eastAsia"/>
                <w:color w:val="auto"/>
                <w:sz w:val="24"/>
                <w:u w:val="single"/>
                <w:lang w:val="en-US" w:eastAsia="zh-CN"/>
              </w:rPr>
              <w:t>91</w:t>
            </w:r>
            <w:r>
              <w:rPr>
                <w:color w:val="auto"/>
                <w:sz w:val="24"/>
              </w:rPr>
              <w:t>度</w:t>
            </w:r>
            <w:r>
              <w:rPr>
                <w:rFonts w:hint="eastAsia"/>
                <w:color w:val="auto"/>
                <w:sz w:val="24"/>
                <w:u w:val="single"/>
                <w:lang w:val="en-US" w:eastAsia="zh-CN"/>
              </w:rPr>
              <w:t>05</w:t>
            </w:r>
            <w:r>
              <w:rPr>
                <w:color w:val="auto"/>
                <w:sz w:val="24"/>
              </w:rPr>
              <w:t>分</w:t>
            </w:r>
            <w:r>
              <w:rPr>
                <w:rFonts w:hint="eastAsia"/>
                <w:color w:val="auto"/>
                <w:sz w:val="24"/>
                <w:u w:val="single"/>
                <w:lang w:val="en-US" w:eastAsia="zh-CN"/>
              </w:rPr>
              <w:t>18.361</w:t>
            </w:r>
            <w:r>
              <w:rPr>
                <w:color w:val="auto"/>
                <w:sz w:val="24"/>
              </w:rPr>
              <w:t>秒，</w:t>
            </w:r>
            <w:r>
              <w:rPr>
                <w:rFonts w:hint="eastAsia"/>
                <w:color w:val="auto"/>
                <w:sz w:val="24"/>
                <w:lang w:val="en-US" w:eastAsia="zh-CN"/>
              </w:rPr>
              <w:t>北纬</w:t>
            </w:r>
            <w:r>
              <w:rPr>
                <w:rFonts w:hint="eastAsia"/>
                <w:color w:val="auto"/>
                <w:sz w:val="24"/>
                <w:u w:val="single"/>
                <w:lang w:val="en-US" w:eastAsia="zh-CN"/>
              </w:rPr>
              <w:t>43</w:t>
            </w:r>
            <w:r>
              <w:rPr>
                <w:color w:val="auto"/>
                <w:sz w:val="24"/>
              </w:rPr>
              <w:t>度</w:t>
            </w:r>
            <w:r>
              <w:rPr>
                <w:rFonts w:hint="eastAsia"/>
                <w:color w:val="auto"/>
                <w:sz w:val="24"/>
                <w:u w:val="single"/>
                <w:lang w:val="en-US" w:eastAsia="zh-CN"/>
              </w:rPr>
              <w:t>45</w:t>
            </w:r>
            <w:r>
              <w:rPr>
                <w:color w:val="auto"/>
                <w:sz w:val="24"/>
              </w:rPr>
              <w:t>分</w:t>
            </w:r>
            <w:r>
              <w:rPr>
                <w:rFonts w:hint="eastAsia"/>
                <w:color w:val="auto"/>
                <w:sz w:val="24"/>
                <w:u w:val="single"/>
                <w:lang w:val="en-US" w:eastAsia="zh-CN"/>
              </w:rPr>
              <w:t>29.060</w:t>
            </w:r>
            <w:r>
              <w:rPr>
                <w:color w:val="auto"/>
                <w:sz w:val="24"/>
              </w:rPr>
              <w:t>秒）</w:t>
            </w:r>
          </w:p>
        </w:tc>
      </w:tr>
      <w:tr w14:paraId="6CAC4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250" w:type="dxa"/>
            <w:tcMar>
              <w:top w:w="16" w:type="dxa"/>
              <w:left w:w="16" w:type="dxa"/>
              <w:right w:w="16" w:type="dxa"/>
            </w:tcMar>
            <w:vAlign w:val="center"/>
          </w:tcPr>
          <w:p w14:paraId="2A0AED2E">
            <w:pPr>
              <w:adjustRightInd w:val="0"/>
              <w:snapToGrid w:val="0"/>
              <w:jc w:val="center"/>
              <w:rPr>
                <w:color w:val="auto"/>
                <w:sz w:val="24"/>
              </w:rPr>
            </w:pPr>
            <w:r>
              <w:rPr>
                <w:color w:val="auto"/>
                <w:sz w:val="24"/>
              </w:rPr>
              <w:t>国民经济</w:t>
            </w:r>
          </w:p>
          <w:p w14:paraId="1C09B942">
            <w:pPr>
              <w:adjustRightInd w:val="0"/>
              <w:snapToGrid w:val="0"/>
              <w:jc w:val="center"/>
              <w:rPr>
                <w:color w:val="auto"/>
                <w:sz w:val="24"/>
              </w:rPr>
            </w:pPr>
            <w:r>
              <w:rPr>
                <w:color w:val="auto"/>
                <w:sz w:val="24"/>
              </w:rPr>
              <w:t>行业类别</w:t>
            </w:r>
          </w:p>
        </w:tc>
        <w:tc>
          <w:tcPr>
            <w:tcW w:w="2447" w:type="dxa"/>
            <w:vAlign w:val="center"/>
          </w:tcPr>
          <w:p w14:paraId="735A1345">
            <w:pPr>
              <w:adjustRightInd w:val="0"/>
              <w:snapToGrid w:val="0"/>
              <w:jc w:val="center"/>
              <w:rPr>
                <w:color w:val="auto"/>
                <w:sz w:val="24"/>
              </w:rPr>
            </w:pPr>
            <w:r>
              <w:rPr>
                <w:color w:val="auto"/>
                <w:sz w:val="24"/>
              </w:rPr>
              <w:t>C3021水泥制品制造</w:t>
            </w:r>
          </w:p>
        </w:tc>
        <w:tc>
          <w:tcPr>
            <w:tcW w:w="2210" w:type="dxa"/>
            <w:vAlign w:val="center"/>
          </w:tcPr>
          <w:p w14:paraId="2C1969B8">
            <w:pPr>
              <w:adjustRightInd w:val="0"/>
              <w:snapToGrid w:val="0"/>
              <w:jc w:val="center"/>
              <w:rPr>
                <w:color w:val="auto"/>
                <w:sz w:val="24"/>
              </w:rPr>
            </w:pPr>
            <w:bookmarkStart w:id="0" w:name="_Hlk49843745"/>
            <w:r>
              <w:rPr>
                <w:color w:val="auto"/>
                <w:sz w:val="24"/>
              </w:rPr>
              <w:t>建设项目</w:t>
            </w:r>
          </w:p>
          <w:p w14:paraId="71E8097A">
            <w:pPr>
              <w:adjustRightInd w:val="0"/>
              <w:snapToGrid w:val="0"/>
              <w:jc w:val="center"/>
              <w:rPr>
                <w:color w:val="auto"/>
                <w:sz w:val="24"/>
              </w:rPr>
            </w:pPr>
            <w:r>
              <w:rPr>
                <w:color w:val="auto"/>
                <w:sz w:val="24"/>
              </w:rPr>
              <w:t>行业类别</w:t>
            </w:r>
            <w:bookmarkEnd w:id="0"/>
          </w:p>
        </w:tc>
        <w:tc>
          <w:tcPr>
            <w:tcW w:w="3005" w:type="dxa"/>
            <w:vAlign w:val="center"/>
          </w:tcPr>
          <w:p w14:paraId="4352B35D">
            <w:pPr>
              <w:adjustRightInd w:val="0"/>
              <w:snapToGrid w:val="0"/>
              <w:rPr>
                <w:color w:val="auto"/>
                <w:sz w:val="24"/>
              </w:rPr>
            </w:pPr>
            <w:r>
              <w:rPr>
                <w:color w:val="auto"/>
                <w:sz w:val="24"/>
              </w:rPr>
              <w:t>二十七、非金属矿物制品业30，55.石膏、水泥制品及类似制品制造302</w:t>
            </w:r>
          </w:p>
        </w:tc>
      </w:tr>
      <w:tr w14:paraId="706A9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50" w:type="dxa"/>
            <w:tcMar>
              <w:top w:w="16" w:type="dxa"/>
              <w:left w:w="16" w:type="dxa"/>
              <w:right w:w="16" w:type="dxa"/>
            </w:tcMar>
            <w:vAlign w:val="center"/>
          </w:tcPr>
          <w:p w14:paraId="47003240">
            <w:pPr>
              <w:adjustRightInd w:val="0"/>
              <w:snapToGrid w:val="0"/>
              <w:jc w:val="center"/>
              <w:rPr>
                <w:color w:val="auto"/>
                <w:sz w:val="24"/>
              </w:rPr>
            </w:pPr>
            <w:r>
              <w:rPr>
                <w:color w:val="auto"/>
                <w:sz w:val="24"/>
              </w:rPr>
              <w:t>建设性质</w:t>
            </w:r>
          </w:p>
        </w:tc>
        <w:tc>
          <w:tcPr>
            <w:tcW w:w="2447" w:type="dxa"/>
            <w:vAlign w:val="center"/>
          </w:tcPr>
          <w:p w14:paraId="0BFD14D8">
            <w:pPr>
              <w:jc w:val="left"/>
              <w:rPr>
                <w:color w:val="auto"/>
                <w:sz w:val="24"/>
              </w:rPr>
            </w:pPr>
            <w:r>
              <w:rPr>
                <w:color w:val="auto"/>
                <w:sz w:val="24"/>
              </w:rPr>
              <w:sym w:font="Wingdings 2" w:char="0052"/>
            </w:r>
            <w:r>
              <w:rPr>
                <w:color w:val="auto"/>
                <w:sz w:val="24"/>
              </w:rPr>
              <w:t>新建（迁建）</w:t>
            </w:r>
          </w:p>
          <w:p w14:paraId="3461B837">
            <w:pPr>
              <w:jc w:val="left"/>
              <w:rPr>
                <w:color w:val="auto"/>
                <w:sz w:val="24"/>
              </w:rPr>
            </w:pPr>
            <w:r>
              <w:rPr>
                <w:color w:val="auto"/>
                <w:sz w:val="24"/>
              </w:rPr>
              <w:sym w:font="Wingdings 2" w:char="00A3"/>
            </w:r>
            <w:r>
              <w:rPr>
                <w:color w:val="auto"/>
                <w:sz w:val="24"/>
              </w:rPr>
              <w:t>改建</w:t>
            </w:r>
          </w:p>
          <w:p w14:paraId="54C509EB">
            <w:pPr>
              <w:jc w:val="left"/>
              <w:rPr>
                <w:color w:val="auto"/>
                <w:sz w:val="24"/>
              </w:rPr>
            </w:pPr>
            <w:r>
              <w:rPr>
                <w:color w:val="auto"/>
                <w:sz w:val="24"/>
              </w:rPr>
              <w:sym w:font="Wingdings 2" w:char="00A3"/>
            </w:r>
            <w:r>
              <w:rPr>
                <w:color w:val="auto"/>
                <w:sz w:val="24"/>
              </w:rPr>
              <w:t>扩建</w:t>
            </w:r>
          </w:p>
          <w:p w14:paraId="020D06D7">
            <w:pPr>
              <w:jc w:val="left"/>
              <w:rPr>
                <w:color w:val="auto"/>
                <w:sz w:val="24"/>
              </w:rPr>
            </w:pPr>
            <w:r>
              <w:rPr>
                <w:color w:val="auto"/>
                <w:sz w:val="24"/>
              </w:rPr>
              <w:sym w:font="Wingdings 2" w:char="00A3"/>
            </w:r>
            <w:r>
              <w:rPr>
                <w:color w:val="auto"/>
                <w:sz w:val="24"/>
              </w:rPr>
              <w:t>技术改造</w:t>
            </w:r>
          </w:p>
        </w:tc>
        <w:tc>
          <w:tcPr>
            <w:tcW w:w="2210" w:type="dxa"/>
            <w:vAlign w:val="center"/>
          </w:tcPr>
          <w:p w14:paraId="73C105FC">
            <w:pPr>
              <w:adjustRightInd w:val="0"/>
              <w:snapToGrid w:val="0"/>
              <w:jc w:val="center"/>
              <w:rPr>
                <w:color w:val="auto"/>
                <w:sz w:val="24"/>
              </w:rPr>
            </w:pPr>
            <w:r>
              <w:rPr>
                <w:color w:val="auto"/>
                <w:sz w:val="24"/>
              </w:rPr>
              <w:t>建设项目</w:t>
            </w:r>
          </w:p>
          <w:p w14:paraId="62D0462D">
            <w:pPr>
              <w:adjustRightInd w:val="0"/>
              <w:snapToGrid w:val="0"/>
              <w:jc w:val="center"/>
              <w:rPr>
                <w:color w:val="auto"/>
                <w:sz w:val="24"/>
              </w:rPr>
            </w:pPr>
            <w:r>
              <w:rPr>
                <w:color w:val="auto"/>
                <w:sz w:val="24"/>
              </w:rPr>
              <w:t>申报情形</w:t>
            </w:r>
          </w:p>
        </w:tc>
        <w:tc>
          <w:tcPr>
            <w:tcW w:w="3005" w:type="dxa"/>
            <w:vAlign w:val="center"/>
          </w:tcPr>
          <w:p w14:paraId="3907C6FB">
            <w:pPr>
              <w:jc w:val="left"/>
              <w:rPr>
                <w:color w:val="auto"/>
                <w:sz w:val="24"/>
              </w:rPr>
            </w:pPr>
            <w:r>
              <w:rPr>
                <w:color w:val="auto"/>
                <w:sz w:val="24"/>
              </w:rPr>
              <w:sym w:font="Wingdings 2" w:char="0052"/>
            </w:r>
            <w:r>
              <w:rPr>
                <w:color w:val="auto"/>
                <w:sz w:val="24"/>
              </w:rPr>
              <w:t xml:space="preserve">首次申报项目             </w:t>
            </w:r>
          </w:p>
          <w:p w14:paraId="07D06A56">
            <w:pPr>
              <w:jc w:val="left"/>
              <w:rPr>
                <w:color w:val="auto"/>
                <w:sz w:val="24"/>
              </w:rPr>
            </w:pPr>
            <w:r>
              <w:rPr>
                <w:color w:val="auto"/>
                <w:sz w:val="24"/>
              </w:rPr>
              <w:sym w:font="Wingdings 2" w:char="00A3"/>
            </w:r>
            <w:r>
              <w:rPr>
                <w:color w:val="auto"/>
                <w:sz w:val="24"/>
              </w:rPr>
              <w:t>不予批准后再次申报项目</w:t>
            </w:r>
          </w:p>
          <w:p w14:paraId="70EB9147">
            <w:pPr>
              <w:jc w:val="left"/>
              <w:rPr>
                <w:color w:val="auto"/>
                <w:sz w:val="24"/>
              </w:rPr>
            </w:pPr>
            <w:r>
              <w:rPr>
                <w:color w:val="auto"/>
                <w:sz w:val="24"/>
              </w:rPr>
              <w:sym w:font="Wingdings 2" w:char="00A3"/>
            </w:r>
            <w:r>
              <w:rPr>
                <w:color w:val="auto"/>
                <w:sz w:val="24"/>
              </w:rPr>
              <w:t xml:space="preserve">超五年重新审核项目     </w:t>
            </w:r>
          </w:p>
          <w:p w14:paraId="6C6C3A4A">
            <w:pPr>
              <w:jc w:val="left"/>
              <w:rPr>
                <w:color w:val="auto"/>
                <w:sz w:val="24"/>
              </w:rPr>
            </w:pPr>
            <w:r>
              <w:rPr>
                <w:color w:val="auto"/>
                <w:sz w:val="24"/>
              </w:rPr>
              <w:sym w:font="Wingdings 2" w:char="00A3"/>
            </w:r>
            <w:r>
              <w:rPr>
                <w:color w:val="auto"/>
                <w:sz w:val="24"/>
              </w:rPr>
              <w:t>重大变动重新报批项目</w:t>
            </w:r>
          </w:p>
        </w:tc>
      </w:tr>
      <w:tr w14:paraId="02389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50" w:type="dxa"/>
            <w:tcMar>
              <w:top w:w="16" w:type="dxa"/>
              <w:left w:w="16" w:type="dxa"/>
              <w:right w:w="16" w:type="dxa"/>
            </w:tcMar>
            <w:vAlign w:val="center"/>
          </w:tcPr>
          <w:p w14:paraId="54B4826F">
            <w:pPr>
              <w:adjustRightInd w:val="0"/>
              <w:snapToGrid w:val="0"/>
              <w:jc w:val="center"/>
              <w:rPr>
                <w:color w:val="auto"/>
                <w:sz w:val="24"/>
              </w:rPr>
            </w:pPr>
            <w:r>
              <w:rPr>
                <w:color w:val="auto"/>
                <w:sz w:val="24"/>
              </w:rPr>
              <w:t>项目审批（核准/</w:t>
            </w:r>
          </w:p>
          <w:p w14:paraId="03B9F800">
            <w:pPr>
              <w:adjustRightInd w:val="0"/>
              <w:snapToGrid w:val="0"/>
              <w:jc w:val="center"/>
              <w:rPr>
                <w:color w:val="auto"/>
                <w:sz w:val="24"/>
              </w:rPr>
            </w:pPr>
            <w:r>
              <w:rPr>
                <w:color w:val="auto"/>
                <w:sz w:val="24"/>
              </w:rPr>
              <w:t>备案）部门（选填）</w:t>
            </w:r>
          </w:p>
        </w:tc>
        <w:tc>
          <w:tcPr>
            <w:tcW w:w="2447" w:type="dxa"/>
            <w:vAlign w:val="center"/>
          </w:tcPr>
          <w:p w14:paraId="1DA2E804">
            <w:pPr>
              <w:adjustRightInd w:val="0"/>
              <w:snapToGrid w:val="0"/>
              <w:jc w:val="center"/>
              <w:rPr>
                <w:color w:val="auto"/>
                <w:sz w:val="24"/>
              </w:rPr>
            </w:pPr>
            <w:r>
              <w:rPr>
                <w:color w:val="auto"/>
                <w:sz w:val="24"/>
              </w:rPr>
              <w:t>木垒县</w:t>
            </w:r>
            <w:r>
              <w:rPr>
                <w:rFonts w:hint="eastAsia"/>
                <w:color w:val="auto"/>
                <w:sz w:val="24"/>
                <w:lang w:val="en-US" w:eastAsia="zh-CN"/>
              </w:rPr>
              <w:t>发展和改革</w:t>
            </w:r>
            <w:r>
              <w:rPr>
                <w:color w:val="auto"/>
                <w:sz w:val="24"/>
              </w:rPr>
              <w:t>委员会</w:t>
            </w:r>
          </w:p>
        </w:tc>
        <w:tc>
          <w:tcPr>
            <w:tcW w:w="2210" w:type="dxa"/>
            <w:vAlign w:val="center"/>
          </w:tcPr>
          <w:p w14:paraId="33BD0006">
            <w:pPr>
              <w:adjustRightInd w:val="0"/>
              <w:snapToGrid w:val="0"/>
              <w:jc w:val="center"/>
              <w:rPr>
                <w:color w:val="auto"/>
                <w:sz w:val="24"/>
              </w:rPr>
            </w:pPr>
            <w:r>
              <w:rPr>
                <w:color w:val="auto"/>
                <w:sz w:val="24"/>
              </w:rPr>
              <w:t>项目审批（核准/</w:t>
            </w:r>
          </w:p>
          <w:p w14:paraId="487AA5C5">
            <w:pPr>
              <w:adjustRightInd w:val="0"/>
              <w:snapToGrid w:val="0"/>
              <w:jc w:val="center"/>
              <w:rPr>
                <w:color w:val="auto"/>
                <w:sz w:val="24"/>
              </w:rPr>
            </w:pPr>
            <w:r>
              <w:rPr>
                <w:color w:val="auto"/>
                <w:sz w:val="24"/>
              </w:rPr>
              <w:t>备案）文号（选填）</w:t>
            </w:r>
          </w:p>
        </w:tc>
        <w:tc>
          <w:tcPr>
            <w:tcW w:w="3005" w:type="dxa"/>
            <w:vAlign w:val="center"/>
          </w:tcPr>
          <w:p w14:paraId="71DFD020">
            <w:pPr>
              <w:adjustRightInd w:val="0"/>
              <w:snapToGrid w:val="0"/>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2405312135652300000170</w:t>
            </w:r>
          </w:p>
        </w:tc>
      </w:tr>
      <w:tr w14:paraId="77FC6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0" w:type="dxa"/>
            <w:tcMar>
              <w:top w:w="16" w:type="dxa"/>
              <w:left w:w="16" w:type="dxa"/>
              <w:right w:w="16" w:type="dxa"/>
            </w:tcMar>
            <w:vAlign w:val="center"/>
          </w:tcPr>
          <w:p w14:paraId="669D8498">
            <w:pPr>
              <w:adjustRightInd w:val="0"/>
              <w:snapToGrid w:val="0"/>
              <w:jc w:val="center"/>
              <w:rPr>
                <w:color w:val="auto"/>
                <w:sz w:val="24"/>
              </w:rPr>
            </w:pPr>
            <w:r>
              <w:rPr>
                <w:color w:val="auto"/>
                <w:sz w:val="24"/>
              </w:rPr>
              <w:t>总投资（万元）</w:t>
            </w:r>
          </w:p>
        </w:tc>
        <w:tc>
          <w:tcPr>
            <w:tcW w:w="2447" w:type="dxa"/>
            <w:vAlign w:val="center"/>
          </w:tcPr>
          <w:p w14:paraId="252B8EC9">
            <w:pPr>
              <w:adjustRightInd w:val="0"/>
              <w:snapToGrid w:val="0"/>
              <w:jc w:val="center"/>
              <w:rPr>
                <w:rFonts w:hint="default" w:eastAsia="宋体"/>
                <w:color w:val="auto"/>
                <w:sz w:val="24"/>
                <w:lang w:val="en-US" w:eastAsia="zh-CN"/>
              </w:rPr>
            </w:pPr>
            <w:r>
              <w:rPr>
                <w:rFonts w:hint="eastAsia"/>
                <w:color w:val="auto"/>
                <w:sz w:val="24"/>
                <w:lang w:val="en-US" w:eastAsia="zh-CN"/>
              </w:rPr>
              <w:t>500</w:t>
            </w:r>
          </w:p>
        </w:tc>
        <w:tc>
          <w:tcPr>
            <w:tcW w:w="2210" w:type="dxa"/>
            <w:tcMar>
              <w:top w:w="16" w:type="dxa"/>
              <w:left w:w="16" w:type="dxa"/>
              <w:right w:w="16" w:type="dxa"/>
            </w:tcMar>
            <w:vAlign w:val="center"/>
          </w:tcPr>
          <w:p w14:paraId="2B2C6CF0">
            <w:pPr>
              <w:adjustRightInd w:val="0"/>
              <w:snapToGrid w:val="0"/>
              <w:jc w:val="center"/>
              <w:rPr>
                <w:color w:val="auto"/>
                <w:sz w:val="24"/>
              </w:rPr>
            </w:pPr>
            <w:r>
              <w:rPr>
                <w:color w:val="auto"/>
                <w:sz w:val="24"/>
              </w:rPr>
              <w:t>环保投资（万元）</w:t>
            </w:r>
          </w:p>
        </w:tc>
        <w:tc>
          <w:tcPr>
            <w:tcW w:w="3005" w:type="dxa"/>
            <w:vAlign w:val="center"/>
          </w:tcPr>
          <w:p w14:paraId="5EEF5720">
            <w:pPr>
              <w:adjustRightInd w:val="0"/>
              <w:snapToGrid w:val="0"/>
              <w:jc w:val="center"/>
              <w:rPr>
                <w:rFonts w:hint="default" w:eastAsia="宋体"/>
                <w:color w:val="auto"/>
                <w:sz w:val="24"/>
                <w:lang w:val="en-US" w:eastAsia="zh-CN"/>
              </w:rPr>
            </w:pPr>
            <w:r>
              <w:rPr>
                <w:rFonts w:hint="eastAsia"/>
                <w:color w:val="auto"/>
                <w:sz w:val="24"/>
                <w:highlight w:val="none"/>
                <w:lang w:val="en-US" w:eastAsia="zh-CN"/>
              </w:rPr>
              <w:t>76.46</w:t>
            </w:r>
          </w:p>
        </w:tc>
      </w:tr>
      <w:tr w14:paraId="6BDCB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0" w:type="dxa"/>
            <w:tcMar>
              <w:top w:w="16" w:type="dxa"/>
              <w:left w:w="16" w:type="dxa"/>
              <w:right w:w="16" w:type="dxa"/>
            </w:tcMar>
            <w:vAlign w:val="center"/>
          </w:tcPr>
          <w:p w14:paraId="4AE83FD5">
            <w:pPr>
              <w:adjustRightInd w:val="0"/>
              <w:snapToGrid w:val="0"/>
              <w:jc w:val="center"/>
              <w:rPr>
                <w:color w:val="auto"/>
                <w:sz w:val="24"/>
              </w:rPr>
            </w:pPr>
            <w:r>
              <w:rPr>
                <w:color w:val="auto"/>
                <w:sz w:val="24"/>
              </w:rPr>
              <w:t>环保投资占比（%）</w:t>
            </w:r>
          </w:p>
        </w:tc>
        <w:tc>
          <w:tcPr>
            <w:tcW w:w="2447" w:type="dxa"/>
            <w:vAlign w:val="center"/>
          </w:tcPr>
          <w:p w14:paraId="7BD2D85F">
            <w:pPr>
              <w:adjustRightInd w:val="0"/>
              <w:snapToGrid w:val="0"/>
              <w:jc w:val="center"/>
              <w:rPr>
                <w:rFonts w:hint="default" w:eastAsia="宋体"/>
                <w:color w:val="auto"/>
                <w:sz w:val="24"/>
                <w:lang w:val="en-US" w:eastAsia="zh-CN"/>
              </w:rPr>
            </w:pPr>
            <w:r>
              <w:rPr>
                <w:rFonts w:hint="eastAsia"/>
                <w:color w:val="auto"/>
                <w:sz w:val="24"/>
                <w:highlight w:val="none"/>
                <w:lang w:val="en-US" w:eastAsia="zh-CN"/>
              </w:rPr>
              <w:t>15.29</w:t>
            </w:r>
          </w:p>
        </w:tc>
        <w:tc>
          <w:tcPr>
            <w:tcW w:w="2210" w:type="dxa"/>
            <w:tcMar>
              <w:top w:w="16" w:type="dxa"/>
              <w:left w:w="16" w:type="dxa"/>
              <w:right w:w="16" w:type="dxa"/>
            </w:tcMar>
            <w:vAlign w:val="center"/>
          </w:tcPr>
          <w:p w14:paraId="005D84A4">
            <w:pPr>
              <w:adjustRightInd w:val="0"/>
              <w:snapToGrid w:val="0"/>
              <w:jc w:val="center"/>
              <w:rPr>
                <w:color w:val="auto"/>
                <w:sz w:val="24"/>
              </w:rPr>
            </w:pPr>
            <w:r>
              <w:rPr>
                <w:color w:val="auto"/>
                <w:sz w:val="24"/>
              </w:rPr>
              <w:t>施工工期</w:t>
            </w:r>
          </w:p>
        </w:tc>
        <w:tc>
          <w:tcPr>
            <w:tcW w:w="3005" w:type="dxa"/>
            <w:vAlign w:val="center"/>
          </w:tcPr>
          <w:p w14:paraId="33661598">
            <w:pPr>
              <w:adjustRightInd w:val="0"/>
              <w:snapToGrid w:val="0"/>
              <w:jc w:val="center"/>
              <w:rPr>
                <w:rFonts w:hint="default" w:eastAsia="宋体"/>
                <w:color w:val="auto"/>
                <w:sz w:val="24"/>
                <w:lang w:val="en-US" w:eastAsia="zh-CN"/>
              </w:rPr>
            </w:pPr>
            <w:r>
              <w:rPr>
                <w:rFonts w:hint="eastAsia"/>
                <w:color w:val="auto"/>
                <w:sz w:val="24"/>
                <w:lang w:val="en-US" w:eastAsia="zh-CN"/>
              </w:rPr>
              <w:t>3个月</w:t>
            </w:r>
          </w:p>
        </w:tc>
      </w:tr>
      <w:tr w14:paraId="549810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0" w:type="dxa"/>
            <w:tcMar>
              <w:top w:w="16" w:type="dxa"/>
              <w:left w:w="16" w:type="dxa"/>
              <w:right w:w="16" w:type="dxa"/>
            </w:tcMar>
            <w:vAlign w:val="center"/>
          </w:tcPr>
          <w:p w14:paraId="70A7A595">
            <w:pPr>
              <w:adjustRightInd w:val="0"/>
              <w:snapToGrid w:val="0"/>
              <w:jc w:val="center"/>
              <w:rPr>
                <w:color w:val="auto"/>
                <w:sz w:val="24"/>
              </w:rPr>
            </w:pPr>
            <w:r>
              <w:rPr>
                <w:color w:val="auto"/>
                <w:sz w:val="24"/>
              </w:rPr>
              <w:t>是否开工建设</w:t>
            </w:r>
          </w:p>
        </w:tc>
        <w:tc>
          <w:tcPr>
            <w:tcW w:w="2447" w:type="dxa"/>
            <w:vAlign w:val="center"/>
          </w:tcPr>
          <w:p w14:paraId="2426B47D">
            <w:pPr>
              <w:adjustRightInd w:val="0"/>
              <w:snapToGrid w:val="0"/>
              <w:rPr>
                <w:color w:val="auto"/>
                <w:sz w:val="24"/>
              </w:rPr>
            </w:pPr>
            <w:r>
              <w:rPr>
                <w:color w:val="auto"/>
                <w:sz w:val="24"/>
              </w:rPr>
              <w:sym w:font="Wingdings 2" w:char="0052"/>
            </w:r>
            <w:r>
              <w:rPr>
                <w:color w:val="auto"/>
                <w:sz w:val="24"/>
              </w:rPr>
              <w:t>否</w:t>
            </w:r>
          </w:p>
          <w:p w14:paraId="3CBA62B8">
            <w:pPr>
              <w:adjustRightInd w:val="0"/>
              <w:snapToGrid w:val="0"/>
              <w:rPr>
                <w:color w:val="auto"/>
                <w:sz w:val="24"/>
              </w:rPr>
            </w:pPr>
            <w:r>
              <w:rPr>
                <w:color w:val="auto"/>
                <w:sz w:val="24"/>
              </w:rPr>
              <w:sym w:font="Wingdings 2" w:char="00A3"/>
            </w:r>
            <w:r>
              <w:rPr>
                <w:color w:val="auto"/>
                <w:sz w:val="24"/>
              </w:rPr>
              <w:t>是：</w:t>
            </w:r>
            <w:r>
              <w:rPr>
                <w:color w:val="auto"/>
                <w:sz w:val="24"/>
                <w:u w:val="single"/>
              </w:rPr>
              <w:t xml:space="preserve">             </w:t>
            </w:r>
          </w:p>
        </w:tc>
        <w:tc>
          <w:tcPr>
            <w:tcW w:w="2210" w:type="dxa"/>
            <w:tcMar>
              <w:top w:w="16" w:type="dxa"/>
              <w:left w:w="16" w:type="dxa"/>
              <w:right w:w="16" w:type="dxa"/>
            </w:tcMar>
            <w:vAlign w:val="center"/>
          </w:tcPr>
          <w:p w14:paraId="1DCA7925">
            <w:pPr>
              <w:adjustRightInd w:val="0"/>
              <w:snapToGrid w:val="0"/>
              <w:jc w:val="center"/>
              <w:rPr>
                <w:color w:val="auto"/>
                <w:spacing w:val="-6"/>
                <w:sz w:val="24"/>
              </w:rPr>
            </w:pPr>
            <w:r>
              <w:rPr>
                <w:color w:val="auto"/>
                <w:spacing w:val="-6"/>
                <w:sz w:val="24"/>
              </w:rPr>
              <w:t>用地（用海）</w:t>
            </w:r>
          </w:p>
          <w:p w14:paraId="450146FF">
            <w:pPr>
              <w:adjustRightInd w:val="0"/>
              <w:snapToGrid w:val="0"/>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3005" w:type="dxa"/>
            <w:vAlign w:val="center"/>
          </w:tcPr>
          <w:p w14:paraId="756A094B">
            <w:pPr>
              <w:adjustRightInd w:val="0"/>
              <w:snapToGrid w:val="0"/>
              <w:jc w:val="center"/>
              <w:rPr>
                <w:rFonts w:hint="default" w:eastAsia="宋体"/>
                <w:color w:val="auto"/>
                <w:sz w:val="24"/>
                <w:lang w:val="en-US" w:eastAsia="zh-CN"/>
              </w:rPr>
            </w:pPr>
            <w:r>
              <w:rPr>
                <w:rFonts w:hint="eastAsia"/>
                <w:color w:val="auto"/>
                <w:sz w:val="24"/>
                <w:lang w:val="en-US" w:eastAsia="zh-CN"/>
              </w:rPr>
              <w:t>13634</w:t>
            </w:r>
          </w:p>
        </w:tc>
      </w:tr>
      <w:tr w14:paraId="78CCD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50" w:type="dxa"/>
            <w:vAlign w:val="center"/>
          </w:tcPr>
          <w:p w14:paraId="3222808A">
            <w:pPr>
              <w:autoSpaceDE w:val="0"/>
              <w:autoSpaceDN w:val="0"/>
              <w:adjustRightInd w:val="0"/>
              <w:snapToGrid w:val="0"/>
              <w:jc w:val="center"/>
              <w:rPr>
                <w:color w:val="auto"/>
                <w:kern w:val="0"/>
                <w:sz w:val="24"/>
              </w:rPr>
            </w:pPr>
            <w:r>
              <w:rPr>
                <w:color w:val="auto"/>
                <w:kern w:val="0"/>
                <w:sz w:val="24"/>
              </w:rPr>
              <w:t>专项评价设置情况</w:t>
            </w:r>
          </w:p>
        </w:tc>
        <w:tc>
          <w:tcPr>
            <w:tcW w:w="7662" w:type="dxa"/>
            <w:gridSpan w:val="3"/>
            <w:vAlign w:val="center"/>
          </w:tcPr>
          <w:p w14:paraId="256F3E2B">
            <w:pPr>
              <w:autoSpaceDE w:val="0"/>
              <w:autoSpaceDN w:val="0"/>
              <w:adjustRightInd w:val="0"/>
              <w:snapToGrid w:val="0"/>
              <w:jc w:val="center"/>
              <w:rPr>
                <w:rFonts w:hint="eastAsia" w:eastAsia="宋体"/>
                <w:color w:val="auto"/>
                <w:kern w:val="0"/>
                <w:sz w:val="24"/>
                <w:lang w:eastAsia="zh-CN"/>
              </w:rPr>
            </w:pPr>
            <w:r>
              <w:rPr>
                <w:rFonts w:hint="eastAsia"/>
                <w:color w:val="auto"/>
                <w:kern w:val="0"/>
                <w:sz w:val="24"/>
                <w:lang w:val="en-US" w:eastAsia="zh-CN"/>
              </w:rPr>
              <w:t>/</w:t>
            </w:r>
          </w:p>
        </w:tc>
      </w:tr>
      <w:tr w14:paraId="1B7CDF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250" w:type="dxa"/>
            <w:vAlign w:val="center"/>
          </w:tcPr>
          <w:p w14:paraId="6EB1ACC1">
            <w:pPr>
              <w:autoSpaceDE w:val="0"/>
              <w:autoSpaceDN w:val="0"/>
              <w:adjustRightInd w:val="0"/>
              <w:snapToGrid w:val="0"/>
              <w:jc w:val="center"/>
              <w:rPr>
                <w:color w:val="auto"/>
                <w:kern w:val="0"/>
                <w:sz w:val="24"/>
              </w:rPr>
            </w:pPr>
            <w:r>
              <w:rPr>
                <w:color w:val="auto"/>
                <w:sz w:val="24"/>
              </w:rPr>
              <w:t>规划情况</w:t>
            </w:r>
          </w:p>
        </w:tc>
        <w:tc>
          <w:tcPr>
            <w:tcW w:w="7662" w:type="dxa"/>
            <w:gridSpan w:val="3"/>
            <w:vAlign w:val="center"/>
          </w:tcPr>
          <w:p w14:paraId="5D47034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eastAsia="宋体"/>
                <w:color w:val="auto"/>
                <w:kern w:val="0"/>
                <w:sz w:val="24"/>
                <w:lang w:val="en-US" w:eastAsia="zh-CN"/>
              </w:rPr>
            </w:pPr>
            <w:r>
              <w:rPr>
                <w:rFonts w:hint="eastAsia"/>
                <w:color w:val="auto"/>
                <w:kern w:val="2"/>
                <w:sz w:val="24"/>
                <w:lang w:val="en-US" w:eastAsia="zh-CN"/>
              </w:rPr>
              <w:t>/</w:t>
            </w:r>
          </w:p>
        </w:tc>
      </w:tr>
      <w:tr w14:paraId="4F55A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50" w:type="dxa"/>
            <w:tcBorders>
              <w:bottom w:val="single" w:color="auto" w:sz="4" w:space="0"/>
            </w:tcBorders>
            <w:vAlign w:val="center"/>
          </w:tcPr>
          <w:p w14:paraId="2E4329E1">
            <w:pPr>
              <w:adjustRightInd w:val="0"/>
              <w:snapToGrid w:val="0"/>
              <w:jc w:val="center"/>
              <w:rPr>
                <w:color w:val="auto"/>
                <w:sz w:val="24"/>
              </w:rPr>
            </w:pPr>
            <w:r>
              <w:rPr>
                <w:color w:val="auto"/>
                <w:sz w:val="24"/>
              </w:rPr>
              <w:t>规划环境影响</w:t>
            </w:r>
          </w:p>
          <w:p w14:paraId="2E3FF143">
            <w:pPr>
              <w:adjustRightInd w:val="0"/>
              <w:snapToGrid w:val="0"/>
              <w:jc w:val="center"/>
              <w:rPr>
                <w:color w:val="auto"/>
                <w:kern w:val="0"/>
                <w:sz w:val="24"/>
              </w:rPr>
            </w:pPr>
            <w:r>
              <w:rPr>
                <w:color w:val="auto"/>
                <w:sz w:val="24"/>
              </w:rPr>
              <w:t>评价情况</w:t>
            </w:r>
          </w:p>
        </w:tc>
        <w:tc>
          <w:tcPr>
            <w:tcW w:w="7662" w:type="dxa"/>
            <w:gridSpan w:val="3"/>
            <w:tcBorders>
              <w:bottom w:val="single" w:color="auto" w:sz="4" w:space="0"/>
            </w:tcBorders>
            <w:vAlign w:val="center"/>
          </w:tcPr>
          <w:p w14:paraId="79954CEE">
            <w:pPr>
              <w:autoSpaceDE w:val="0"/>
              <w:autoSpaceDN w:val="0"/>
              <w:adjustRightInd w:val="0"/>
              <w:snapToGrid w:val="0"/>
              <w:spacing w:line="360" w:lineRule="auto"/>
              <w:jc w:val="center"/>
              <w:rPr>
                <w:rFonts w:hint="default" w:eastAsia="宋体"/>
                <w:color w:val="auto"/>
                <w:kern w:val="0"/>
                <w:sz w:val="24"/>
                <w:lang w:val="en-US" w:eastAsia="zh-CN"/>
              </w:rPr>
            </w:pPr>
            <w:r>
              <w:rPr>
                <w:rFonts w:hint="eastAsia"/>
                <w:color w:val="auto"/>
                <w:kern w:val="0"/>
                <w:sz w:val="24"/>
                <w:lang w:val="en-US" w:eastAsia="zh-CN"/>
              </w:rPr>
              <w:t>/</w:t>
            </w:r>
          </w:p>
        </w:tc>
      </w:tr>
      <w:tr w14:paraId="44B0E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50" w:type="dxa"/>
            <w:tcBorders>
              <w:top w:val="single" w:color="auto" w:sz="4" w:space="0"/>
              <w:left w:val="single" w:color="auto" w:sz="4" w:space="0"/>
              <w:bottom w:val="single" w:color="auto" w:sz="4" w:space="0"/>
            </w:tcBorders>
            <w:vAlign w:val="center"/>
          </w:tcPr>
          <w:p w14:paraId="358CB742">
            <w:pPr>
              <w:autoSpaceDE w:val="0"/>
              <w:autoSpaceDN w:val="0"/>
              <w:adjustRightInd w:val="0"/>
              <w:snapToGrid w:val="0"/>
              <w:jc w:val="center"/>
              <w:rPr>
                <w:color w:val="auto"/>
                <w:kern w:val="0"/>
                <w:sz w:val="24"/>
              </w:rPr>
            </w:pPr>
            <w:r>
              <w:rPr>
                <w:color w:val="auto"/>
                <w:kern w:val="0"/>
                <w:sz w:val="24"/>
              </w:rPr>
              <w:t>规划及规划环境影响评价符合性分析</w:t>
            </w:r>
          </w:p>
        </w:tc>
        <w:tc>
          <w:tcPr>
            <w:tcW w:w="7662" w:type="dxa"/>
            <w:gridSpan w:val="3"/>
            <w:tcBorders>
              <w:top w:val="single" w:color="auto" w:sz="4" w:space="0"/>
              <w:bottom w:val="single" w:color="auto" w:sz="4" w:space="0"/>
              <w:right w:val="single" w:color="auto" w:sz="4" w:space="0"/>
            </w:tcBorders>
            <w:vAlign w:val="center"/>
          </w:tcPr>
          <w:p w14:paraId="0E939823">
            <w:pPr>
              <w:numPr>
                <w:ilvl w:val="0"/>
                <w:numId w:val="0"/>
              </w:numPr>
              <w:autoSpaceDE w:val="0"/>
              <w:autoSpaceDN w:val="0"/>
              <w:adjustRightInd w:val="0"/>
              <w:snapToGrid w:val="0"/>
              <w:spacing w:line="360" w:lineRule="auto"/>
              <w:ind w:leftChars="0"/>
              <w:jc w:val="center"/>
              <w:rPr>
                <w:rFonts w:hint="default"/>
                <w:lang w:val="en-US" w:eastAsia="zh-CN"/>
              </w:rPr>
            </w:pPr>
            <w:r>
              <w:rPr>
                <w:rFonts w:hint="eastAsia"/>
                <w:lang w:val="en-US" w:eastAsia="zh-CN"/>
              </w:rPr>
              <w:t>/</w:t>
            </w:r>
          </w:p>
        </w:tc>
      </w:tr>
      <w:tr w14:paraId="0DF66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7" w:hRule="atLeast"/>
          <w:jc w:val="center"/>
        </w:trPr>
        <w:tc>
          <w:tcPr>
            <w:tcW w:w="1250" w:type="dxa"/>
            <w:tcBorders>
              <w:top w:val="single" w:color="auto" w:sz="4" w:space="0"/>
            </w:tcBorders>
            <w:vAlign w:val="center"/>
          </w:tcPr>
          <w:p w14:paraId="7CABF619">
            <w:pPr>
              <w:autoSpaceDE w:val="0"/>
              <w:autoSpaceDN w:val="0"/>
              <w:adjustRightInd w:val="0"/>
              <w:snapToGrid w:val="0"/>
              <w:jc w:val="center"/>
              <w:rPr>
                <w:color w:val="auto"/>
                <w:kern w:val="0"/>
                <w:sz w:val="24"/>
              </w:rPr>
            </w:pPr>
            <w:r>
              <w:rPr>
                <w:color w:val="auto"/>
                <w:kern w:val="0"/>
                <w:sz w:val="24"/>
              </w:rPr>
              <w:t>其他符合性分析</w:t>
            </w:r>
          </w:p>
        </w:tc>
        <w:tc>
          <w:tcPr>
            <w:tcW w:w="7662" w:type="dxa"/>
            <w:gridSpan w:val="3"/>
            <w:tcBorders>
              <w:top w:val="single" w:color="auto" w:sz="4" w:space="0"/>
            </w:tcBorders>
            <w:vAlign w:val="center"/>
          </w:tcPr>
          <w:p w14:paraId="147CBF7F">
            <w:pPr>
              <w:numPr>
                <w:ilvl w:val="0"/>
                <w:numId w:val="0"/>
              </w:numPr>
              <w:autoSpaceDE w:val="0"/>
              <w:autoSpaceDN w:val="0"/>
              <w:adjustRightInd w:val="0"/>
              <w:snapToGrid w:val="0"/>
              <w:spacing w:line="360" w:lineRule="auto"/>
              <w:rPr>
                <w:b/>
                <w:bCs/>
                <w:color w:val="auto"/>
                <w:sz w:val="24"/>
              </w:rPr>
            </w:pPr>
            <w:r>
              <w:rPr>
                <w:rFonts w:ascii="Times New Roman" w:hAnsi="Times New Roman" w:eastAsia="宋体" w:cs="Times New Roman"/>
                <w:b/>
                <w:bCs/>
                <w:color w:val="auto"/>
                <w:kern w:val="2"/>
                <w:sz w:val="24"/>
                <w:szCs w:val="24"/>
                <w:lang w:val="en-US" w:eastAsia="zh-CN" w:bidi="ar-SA"/>
              </w:rPr>
              <w:t>1.</w:t>
            </w:r>
            <w:r>
              <w:rPr>
                <w:b/>
                <w:bCs/>
                <w:color w:val="auto"/>
                <w:sz w:val="24"/>
              </w:rPr>
              <w:t>产业政策符合性分析</w:t>
            </w:r>
          </w:p>
          <w:p w14:paraId="70530DFD">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根据《建设项目环境影响评价分类管理目录（2021年版）》，本项目属于非金属矿物制造业中的石膏、水泥制品及类似制品制造类别，</w:t>
            </w:r>
            <w:r>
              <w:rPr>
                <w:rFonts w:hint="eastAsia" w:ascii="Times New Roman" w:hAnsi="Times New Roman" w:eastAsia="宋体" w:cs="Times New Roman"/>
                <w:color w:val="auto"/>
                <w:kern w:val="0"/>
                <w:sz w:val="24"/>
                <w:szCs w:val="24"/>
                <w:lang w:val="en-US" w:eastAsia="zh-CN" w:bidi="ar-SA"/>
              </w:rPr>
              <w:t>不在《产业结构调整指导目录（2024年本）》及其修改决定规定的鼓励类、限制类和淘汰类范围内，因此属于允许类建设项目</w:t>
            </w:r>
            <w:r>
              <w:rPr>
                <w:rFonts w:hint="eastAsia"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生产过程中不存在使用国家明令禁止的淘汰类和限制类的设备及工艺。因此，本项目建设符合国家产业政策要求。</w:t>
            </w:r>
          </w:p>
          <w:p w14:paraId="1F73E531">
            <w:pPr>
              <w:numPr>
                <w:ilvl w:val="0"/>
                <w:numId w:val="0"/>
              </w:numPr>
              <w:autoSpaceDE w:val="0"/>
              <w:autoSpaceDN w:val="0"/>
              <w:adjustRightInd w:val="0"/>
              <w:snapToGrid w:val="0"/>
              <w:spacing w:line="360" w:lineRule="auto"/>
              <w:rPr>
                <w:b/>
                <w:bCs/>
                <w:color w:val="auto"/>
                <w:sz w:val="24"/>
              </w:rPr>
            </w:pPr>
            <w:r>
              <w:rPr>
                <w:rFonts w:ascii="Times New Roman" w:hAnsi="Times New Roman" w:eastAsia="宋体" w:cs="Times New Roman"/>
                <w:b/>
                <w:bCs/>
                <w:color w:val="auto"/>
                <w:kern w:val="2"/>
                <w:sz w:val="24"/>
                <w:szCs w:val="24"/>
                <w:lang w:val="en-US" w:eastAsia="zh-CN" w:bidi="ar-SA"/>
              </w:rPr>
              <w:t>2.</w:t>
            </w:r>
            <w:r>
              <w:rPr>
                <w:b/>
                <w:bCs/>
                <w:color w:val="auto"/>
                <w:sz w:val="24"/>
              </w:rPr>
              <w:t>与《新疆维吾尔自治区“三线一单”生态环境分区管控要求》（新环环评发〔2021〕18号）的符合性分析</w:t>
            </w:r>
          </w:p>
          <w:p w14:paraId="6ED0A346">
            <w:pPr>
              <w:autoSpaceDE w:val="0"/>
              <w:autoSpaceDN w:val="0"/>
              <w:adjustRightInd w:val="0"/>
              <w:snapToGrid w:val="0"/>
              <w:spacing w:line="360" w:lineRule="auto"/>
              <w:ind w:firstLine="480" w:firstLineChars="200"/>
              <w:rPr>
                <w:color w:val="auto"/>
                <w:kern w:val="0"/>
                <w:sz w:val="24"/>
              </w:rPr>
            </w:pPr>
            <w:r>
              <w:rPr>
                <w:color w:val="auto"/>
                <w:kern w:val="0"/>
                <w:sz w:val="24"/>
              </w:rPr>
              <w:t>2021年2月22日新疆维吾尔自治区人民政府办公厅发布了关于印发《新疆维吾尔自治区“三线一单”生态环境分区管控方案》的通知；同时，按照生态环境部统一部署，自治区生态环境厅组织编制了《生态保护红线、环境质量底线、资源利用上线和生态环境准入清单》。</w:t>
            </w:r>
          </w:p>
          <w:p w14:paraId="60306F7F">
            <w:pPr>
              <w:autoSpaceDE w:val="0"/>
              <w:autoSpaceDN w:val="0"/>
              <w:adjustRightInd w:val="0"/>
              <w:snapToGrid w:val="0"/>
              <w:spacing w:line="360" w:lineRule="auto"/>
              <w:ind w:firstLine="480" w:firstLineChars="200"/>
              <w:rPr>
                <w:color w:val="auto"/>
              </w:rPr>
            </w:pPr>
            <w:r>
              <w:rPr>
                <w:color w:val="auto"/>
                <w:sz w:val="24"/>
              </w:rPr>
              <w:t>本项目位于昌吉回族自治州</w:t>
            </w:r>
            <w:r>
              <w:rPr>
                <w:rFonts w:hint="eastAsia"/>
                <w:color w:val="auto"/>
                <w:sz w:val="24"/>
              </w:rPr>
              <w:t>木垒县</w:t>
            </w:r>
            <w:r>
              <w:rPr>
                <w:rFonts w:hint="eastAsia"/>
                <w:color w:val="auto"/>
                <w:sz w:val="24"/>
                <w:lang w:val="en-US" w:eastAsia="zh-CN"/>
              </w:rPr>
              <w:t>大石头风电场</w:t>
            </w:r>
            <w:r>
              <w:rPr>
                <w:rFonts w:hint="eastAsia"/>
                <w:color w:val="auto"/>
                <w:sz w:val="24"/>
              </w:rPr>
              <w:t>，</w:t>
            </w:r>
            <w:r>
              <w:rPr>
                <w:color w:val="auto"/>
                <w:sz w:val="24"/>
              </w:rPr>
              <w:t>本工程与自治区“三线一单”生态分区管控方案的相符性</w:t>
            </w:r>
            <w:r>
              <w:rPr>
                <w:rFonts w:hint="eastAsia"/>
                <w:color w:val="auto"/>
                <w:sz w:val="24"/>
              </w:rPr>
              <w:t>详</w:t>
            </w:r>
            <w:r>
              <w:rPr>
                <w:color w:val="auto"/>
                <w:sz w:val="24"/>
              </w:rPr>
              <w:t>见表1-1</w:t>
            </w:r>
            <w:r>
              <w:rPr>
                <w:rFonts w:hint="eastAsia"/>
                <w:color w:val="auto"/>
                <w:sz w:val="24"/>
              </w:rPr>
              <w:t>。</w:t>
            </w:r>
          </w:p>
          <w:p w14:paraId="19FF2D34">
            <w:pPr>
              <w:pStyle w:val="58"/>
              <w:rPr>
                <w:rFonts w:hint="default"/>
                <w:color w:val="auto"/>
              </w:rPr>
            </w:pPr>
            <w:r>
              <w:rPr>
                <w:rFonts w:hint="default"/>
                <w:color w:val="auto"/>
              </w:rPr>
              <w:t>表1-1  本工程与“三线一单”符合性分析</w:t>
            </w:r>
          </w:p>
          <w:tbl>
            <w:tblPr>
              <w:tblStyle w:val="28"/>
              <w:tblW w:w="677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3391"/>
              <w:gridCol w:w="2524"/>
              <w:gridCol w:w="427"/>
            </w:tblGrid>
            <w:tr w14:paraId="3DF17F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1" w:type="dxa"/>
                  <w:tcBorders>
                    <w:bottom w:val="single" w:color="auto" w:sz="12" w:space="0"/>
                  </w:tcBorders>
                  <w:vAlign w:val="center"/>
                </w:tcPr>
                <w:p w14:paraId="44644800">
                  <w:pPr>
                    <w:jc w:val="center"/>
                    <w:rPr>
                      <w:b/>
                      <w:bCs/>
                      <w:color w:val="auto"/>
                      <w:szCs w:val="21"/>
                    </w:rPr>
                  </w:pPr>
                  <w:r>
                    <w:rPr>
                      <w:b/>
                      <w:bCs/>
                      <w:color w:val="auto"/>
                      <w:szCs w:val="21"/>
                    </w:rPr>
                    <w:t>内容</w:t>
                  </w:r>
                </w:p>
              </w:tc>
              <w:tc>
                <w:tcPr>
                  <w:tcW w:w="3391" w:type="dxa"/>
                  <w:tcBorders>
                    <w:bottom w:val="single" w:color="auto" w:sz="12" w:space="0"/>
                  </w:tcBorders>
                  <w:vAlign w:val="center"/>
                </w:tcPr>
                <w:p w14:paraId="2CD31BC1">
                  <w:pPr>
                    <w:pStyle w:val="67"/>
                    <w:spacing w:line="240" w:lineRule="auto"/>
                    <w:rPr>
                      <w:b/>
                      <w:color w:val="auto"/>
                    </w:rPr>
                  </w:pPr>
                  <w:r>
                    <w:rPr>
                      <w:b/>
                      <w:color w:val="auto"/>
                    </w:rPr>
                    <w:t>具体要求</w:t>
                  </w:r>
                </w:p>
              </w:tc>
              <w:tc>
                <w:tcPr>
                  <w:tcW w:w="2524" w:type="dxa"/>
                  <w:tcBorders>
                    <w:bottom w:val="single" w:color="auto" w:sz="12" w:space="0"/>
                  </w:tcBorders>
                  <w:vAlign w:val="center"/>
                </w:tcPr>
                <w:p w14:paraId="70CC2710">
                  <w:pPr>
                    <w:jc w:val="center"/>
                    <w:rPr>
                      <w:b/>
                      <w:bCs/>
                      <w:color w:val="auto"/>
                      <w:szCs w:val="21"/>
                    </w:rPr>
                  </w:pPr>
                  <w:r>
                    <w:rPr>
                      <w:b/>
                      <w:bCs/>
                      <w:color w:val="auto"/>
                      <w:szCs w:val="21"/>
                    </w:rPr>
                    <w:t>本项目建设内容</w:t>
                  </w:r>
                </w:p>
              </w:tc>
              <w:tc>
                <w:tcPr>
                  <w:tcW w:w="427" w:type="dxa"/>
                  <w:tcBorders>
                    <w:bottom w:val="single" w:color="auto" w:sz="12" w:space="0"/>
                  </w:tcBorders>
                  <w:vAlign w:val="center"/>
                </w:tcPr>
                <w:p w14:paraId="276CF638">
                  <w:pPr>
                    <w:jc w:val="center"/>
                    <w:rPr>
                      <w:b/>
                      <w:bCs/>
                      <w:color w:val="auto"/>
                      <w:szCs w:val="21"/>
                    </w:rPr>
                  </w:pPr>
                  <w:r>
                    <w:rPr>
                      <w:b/>
                      <w:bCs/>
                      <w:color w:val="auto"/>
                      <w:szCs w:val="21"/>
                    </w:rPr>
                    <w:t>符合性</w:t>
                  </w:r>
                </w:p>
              </w:tc>
            </w:tr>
            <w:tr w14:paraId="1838AE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1" w:type="dxa"/>
                  <w:tcBorders>
                    <w:top w:val="single" w:color="auto" w:sz="12" w:space="0"/>
                    <w:tl2br w:val="nil"/>
                    <w:tr2bl w:val="nil"/>
                  </w:tcBorders>
                  <w:vAlign w:val="center"/>
                </w:tcPr>
                <w:p w14:paraId="09EDCD59">
                  <w:pPr>
                    <w:wordWrap w:val="0"/>
                    <w:topLinePunct/>
                    <w:snapToGrid w:val="0"/>
                    <w:jc w:val="both"/>
                    <w:rPr>
                      <w:color w:val="auto"/>
                      <w:szCs w:val="21"/>
                    </w:rPr>
                  </w:pPr>
                  <w:r>
                    <w:rPr>
                      <w:color w:val="auto"/>
                      <w:szCs w:val="21"/>
                    </w:rPr>
                    <w:t>生态保护红线</w:t>
                  </w:r>
                </w:p>
              </w:tc>
              <w:tc>
                <w:tcPr>
                  <w:tcW w:w="3391" w:type="dxa"/>
                  <w:tcBorders>
                    <w:top w:val="single" w:color="auto" w:sz="12" w:space="0"/>
                    <w:tl2br w:val="nil"/>
                    <w:tr2bl w:val="nil"/>
                  </w:tcBorders>
                  <w:vAlign w:val="center"/>
                </w:tcPr>
                <w:p w14:paraId="11292B35">
                  <w:pPr>
                    <w:adjustRightInd w:val="0"/>
                    <w:snapToGrid w:val="0"/>
                    <w:jc w:val="both"/>
                    <w:rPr>
                      <w:color w:val="auto"/>
                      <w:kern w:val="0"/>
                      <w:szCs w:val="21"/>
                    </w:rPr>
                  </w:pPr>
                  <w:r>
                    <w:rPr>
                      <w:color w:val="auto"/>
                      <w:kern w:val="0"/>
                      <w:szCs w:val="21"/>
                    </w:rPr>
                    <w:t>生态保护红线是生态空间范围内具有特殊重要生态功能必须实行强制性保护的区域。相关规划环评将生态空间管控作为重要内容，规划区涉及生态保护红线的，在规划环评结论和审查意见中落实生态保护红线的管理要求，提出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2524" w:type="dxa"/>
                  <w:tcBorders>
                    <w:top w:val="single" w:color="auto" w:sz="12" w:space="0"/>
                    <w:tl2br w:val="nil"/>
                    <w:tr2bl w:val="nil"/>
                  </w:tcBorders>
                  <w:vAlign w:val="center"/>
                </w:tcPr>
                <w:p w14:paraId="08F9C179">
                  <w:pPr>
                    <w:wordWrap w:val="0"/>
                    <w:topLinePunct/>
                    <w:snapToGrid w:val="0"/>
                    <w:jc w:val="both"/>
                    <w:rPr>
                      <w:rFonts w:hint="default" w:eastAsia="宋体"/>
                      <w:color w:val="auto"/>
                      <w:szCs w:val="21"/>
                      <w:lang w:val="en-US" w:eastAsia="zh-CN"/>
                    </w:rPr>
                  </w:pPr>
                  <w:r>
                    <w:rPr>
                      <w:rFonts w:hint="eastAsia"/>
                      <w:color w:val="auto"/>
                      <w:szCs w:val="21"/>
                      <w:lang w:val="en-US" w:eastAsia="zh-CN"/>
                    </w:rPr>
                    <w:t>本项目位于新疆维吾尔自治区昌吉回族自治州木垒县大石头风电场，项目不涉及自然保护区、风景名胜区、世界文化和自然遗产地、饮用水水源保护区、基本农田保护区和文物保护单位等环境敏感区，项目不涉及生态保护红线。</w:t>
                  </w:r>
                </w:p>
              </w:tc>
              <w:tc>
                <w:tcPr>
                  <w:tcW w:w="427" w:type="dxa"/>
                  <w:tcBorders>
                    <w:top w:val="single" w:color="auto" w:sz="12" w:space="0"/>
                    <w:tl2br w:val="nil"/>
                    <w:tr2bl w:val="nil"/>
                  </w:tcBorders>
                  <w:vAlign w:val="center"/>
                </w:tcPr>
                <w:p w14:paraId="61E6B0DD">
                  <w:pPr>
                    <w:wordWrap w:val="0"/>
                    <w:topLinePunct/>
                    <w:snapToGrid w:val="0"/>
                    <w:jc w:val="both"/>
                    <w:rPr>
                      <w:color w:val="auto"/>
                      <w:kern w:val="0"/>
                      <w:szCs w:val="21"/>
                    </w:rPr>
                  </w:pPr>
                  <w:r>
                    <w:rPr>
                      <w:color w:val="auto"/>
                      <w:szCs w:val="21"/>
                    </w:rPr>
                    <w:t>符合</w:t>
                  </w:r>
                </w:p>
              </w:tc>
            </w:tr>
            <w:tr w14:paraId="2929FB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1" w:type="dxa"/>
                  <w:tcBorders>
                    <w:tl2br w:val="nil"/>
                    <w:tr2bl w:val="nil"/>
                  </w:tcBorders>
                  <w:vAlign w:val="center"/>
                </w:tcPr>
                <w:p w14:paraId="66A02D54">
                  <w:pPr>
                    <w:wordWrap w:val="0"/>
                    <w:topLinePunct/>
                    <w:snapToGrid w:val="0"/>
                    <w:jc w:val="both"/>
                    <w:rPr>
                      <w:color w:val="auto"/>
                      <w:szCs w:val="21"/>
                    </w:rPr>
                  </w:pPr>
                  <w:r>
                    <w:rPr>
                      <w:color w:val="auto"/>
                      <w:szCs w:val="21"/>
                    </w:rPr>
                    <w:t>资源利用上线</w:t>
                  </w:r>
                </w:p>
              </w:tc>
              <w:tc>
                <w:tcPr>
                  <w:tcW w:w="3391" w:type="dxa"/>
                  <w:tcBorders>
                    <w:tl2br w:val="nil"/>
                    <w:tr2bl w:val="nil"/>
                  </w:tcBorders>
                  <w:vAlign w:val="center"/>
                </w:tcPr>
                <w:p w14:paraId="08B025AD">
                  <w:pPr>
                    <w:adjustRightInd w:val="0"/>
                    <w:snapToGrid w:val="0"/>
                    <w:jc w:val="both"/>
                    <w:rPr>
                      <w:color w:val="auto"/>
                      <w:kern w:val="0"/>
                      <w:szCs w:val="21"/>
                    </w:rPr>
                  </w:pPr>
                  <w:r>
                    <w:rPr>
                      <w:sz w:val="21"/>
                      <w:szCs w:val="21"/>
                    </w:rPr>
                    <w:t>资源是环境的载体，资源利用上线是</w:t>
                  </w:r>
                  <w:r>
                    <w:rPr>
                      <w:rFonts w:hint="eastAsia"/>
                      <w:sz w:val="21"/>
                      <w:szCs w:val="21"/>
                    </w:rPr>
                    <w:t>各</w:t>
                  </w:r>
                  <w:r>
                    <w:rPr>
                      <w:sz w:val="21"/>
                      <w:szCs w:val="21"/>
                    </w:rPr>
                    <w:t>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2524" w:type="dxa"/>
                  <w:tcBorders>
                    <w:tl2br w:val="nil"/>
                    <w:tr2bl w:val="nil"/>
                  </w:tcBorders>
                  <w:vAlign w:val="center"/>
                </w:tcPr>
                <w:p w14:paraId="50D5B866">
                  <w:pPr>
                    <w:wordWrap w:val="0"/>
                    <w:topLinePunct/>
                    <w:snapToGrid w:val="0"/>
                    <w:jc w:val="both"/>
                    <w:rPr>
                      <w:rFonts w:hint="default" w:eastAsia="宋体"/>
                      <w:color w:val="auto"/>
                      <w:kern w:val="0"/>
                      <w:szCs w:val="21"/>
                      <w:lang w:val="en-US" w:eastAsia="zh-CN" w:bidi="ar"/>
                    </w:rPr>
                  </w:pPr>
                  <w:r>
                    <w:rPr>
                      <w:rFonts w:hint="eastAsia"/>
                      <w:color w:val="auto"/>
                      <w:kern w:val="0"/>
                      <w:szCs w:val="21"/>
                      <w:lang w:val="en-US" w:eastAsia="zh-CN" w:bidi="ar"/>
                    </w:rPr>
                    <w:t>本项目运行时会消耗水资源和电能，但是所消耗的水资源和电能相对于该地区资源利用上线较少，能源消耗低于区域负荷上限，不会对该地区造成资源负担，所消耗资源在资源利用上线范围内。</w:t>
                  </w:r>
                </w:p>
              </w:tc>
              <w:tc>
                <w:tcPr>
                  <w:tcW w:w="427" w:type="dxa"/>
                  <w:tcBorders>
                    <w:tl2br w:val="nil"/>
                    <w:tr2bl w:val="nil"/>
                  </w:tcBorders>
                  <w:vAlign w:val="center"/>
                </w:tcPr>
                <w:p w14:paraId="5CD20A41">
                  <w:pPr>
                    <w:wordWrap w:val="0"/>
                    <w:topLinePunct/>
                    <w:snapToGrid w:val="0"/>
                    <w:jc w:val="both"/>
                    <w:rPr>
                      <w:color w:val="auto"/>
                      <w:szCs w:val="21"/>
                    </w:rPr>
                  </w:pPr>
                  <w:r>
                    <w:rPr>
                      <w:color w:val="auto"/>
                      <w:szCs w:val="21"/>
                    </w:rPr>
                    <w:t>符合</w:t>
                  </w:r>
                </w:p>
              </w:tc>
            </w:tr>
            <w:tr w14:paraId="45FF7C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1" w:type="dxa"/>
                  <w:tcBorders>
                    <w:tl2br w:val="nil"/>
                    <w:tr2bl w:val="nil"/>
                  </w:tcBorders>
                  <w:vAlign w:val="center"/>
                </w:tcPr>
                <w:p w14:paraId="461A34C0">
                  <w:pPr>
                    <w:wordWrap w:val="0"/>
                    <w:topLinePunct/>
                    <w:snapToGrid w:val="0"/>
                    <w:jc w:val="both"/>
                    <w:rPr>
                      <w:color w:val="auto"/>
                      <w:kern w:val="0"/>
                      <w:szCs w:val="21"/>
                    </w:rPr>
                  </w:pPr>
                  <w:r>
                    <w:rPr>
                      <w:color w:val="auto"/>
                      <w:szCs w:val="21"/>
                    </w:rPr>
                    <w:t>环境质量底线</w:t>
                  </w:r>
                </w:p>
              </w:tc>
              <w:tc>
                <w:tcPr>
                  <w:tcW w:w="3391" w:type="dxa"/>
                  <w:tcBorders>
                    <w:tl2br w:val="nil"/>
                    <w:tr2bl w:val="nil"/>
                  </w:tcBorders>
                  <w:vAlign w:val="center"/>
                </w:tcPr>
                <w:p w14:paraId="39C24BE2">
                  <w:pPr>
                    <w:pStyle w:val="67"/>
                    <w:spacing w:line="240" w:lineRule="auto"/>
                    <w:jc w:val="both"/>
                    <w:rPr>
                      <w:color w:val="auto"/>
                    </w:rPr>
                  </w:pPr>
                  <w:r>
                    <w:rPr>
                      <w:color w:val="auto"/>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总量控制要求。</w:t>
                  </w:r>
                </w:p>
              </w:tc>
              <w:tc>
                <w:tcPr>
                  <w:tcW w:w="2524" w:type="dxa"/>
                  <w:tcBorders>
                    <w:tl2br w:val="nil"/>
                    <w:tr2bl w:val="nil"/>
                  </w:tcBorders>
                  <w:vAlign w:val="center"/>
                </w:tcPr>
                <w:p w14:paraId="72BB5471">
                  <w:pPr>
                    <w:numPr>
                      <w:ilvl w:val="0"/>
                      <w:numId w:val="0"/>
                    </w:numPr>
                    <w:spacing w:line="240" w:lineRule="auto"/>
                    <w:jc w:val="both"/>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eastAsia="宋体" w:cs="Times New Roman"/>
                      <w:snapToGrid w:val="0"/>
                      <w:color w:val="auto"/>
                      <w:kern w:val="0"/>
                      <w:sz w:val="21"/>
                      <w:szCs w:val="21"/>
                      <w:highlight w:val="none"/>
                      <w:lang w:val="en-US" w:eastAsia="zh-CN" w:bidi="ar-SA"/>
                    </w:rPr>
                    <w:t>1.</w:t>
                  </w:r>
                  <w:r>
                    <w:rPr>
                      <w:rFonts w:hint="eastAsia" w:cs="Times New Roman"/>
                      <w:snapToGrid w:val="0"/>
                      <w:color w:val="auto"/>
                      <w:kern w:val="0"/>
                      <w:sz w:val="21"/>
                      <w:szCs w:val="21"/>
                      <w:highlight w:val="none"/>
                      <w:lang w:val="en-US" w:eastAsia="zh-CN" w:bidi="ar-SA"/>
                    </w:rPr>
                    <w:t>本项目产生的大气污染物主要是颗粒物。砂石料堆场为半封闭，物料覆盖篷布，堆场每天洒水降尘；物料传输廊道为全封闭；水泥和粉煤灰筒仓呼吸口设有袋式除尘器；搅拌设备位于密闭搅拌楼中，搅拌机带有脉冲布袋除尘器。</w:t>
                  </w:r>
                </w:p>
                <w:p w14:paraId="73EA6BE3">
                  <w:pPr>
                    <w:numPr>
                      <w:ilvl w:val="0"/>
                      <w:numId w:val="0"/>
                    </w:numPr>
                    <w:spacing w:line="240" w:lineRule="auto"/>
                    <w:jc w:val="both"/>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eastAsia="宋体" w:cs="Times New Roman"/>
                      <w:snapToGrid w:val="0"/>
                      <w:color w:val="auto"/>
                      <w:kern w:val="0"/>
                      <w:sz w:val="21"/>
                      <w:szCs w:val="21"/>
                      <w:highlight w:val="none"/>
                      <w:lang w:val="en-US" w:eastAsia="zh-CN" w:bidi="ar-SA"/>
                    </w:rPr>
                    <w:t>2.</w:t>
                  </w:r>
                  <w:r>
                    <w:rPr>
                      <w:rFonts w:hint="eastAsia" w:cs="Times New Roman"/>
                      <w:snapToGrid w:val="0"/>
                      <w:color w:val="auto"/>
                      <w:kern w:val="0"/>
                      <w:sz w:val="21"/>
                      <w:szCs w:val="21"/>
                      <w:highlight w:val="none"/>
                      <w:lang w:val="en-US" w:eastAsia="zh-CN" w:bidi="ar-SA"/>
                    </w:rPr>
                    <w:t>本项目产生的生产废水经沉淀池沉淀后回用于生产，生活污水经一体化处理设备处理后用于料场洒水降尘。</w:t>
                  </w:r>
                </w:p>
                <w:p w14:paraId="7D8302BC">
                  <w:pPr>
                    <w:numPr>
                      <w:ilvl w:val="0"/>
                      <w:numId w:val="0"/>
                    </w:numPr>
                    <w:spacing w:line="240" w:lineRule="auto"/>
                    <w:jc w:val="both"/>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eastAsia="宋体" w:cs="Times New Roman"/>
                      <w:snapToGrid w:val="0"/>
                      <w:color w:val="auto"/>
                      <w:kern w:val="0"/>
                      <w:sz w:val="21"/>
                      <w:szCs w:val="21"/>
                      <w:highlight w:val="none"/>
                      <w:lang w:val="en-US" w:eastAsia="zh-CN" w:bidi="ar-SA"/>
                    </w:rPr>
                    <w:t>3.</w:t>
                  </w:r>
                  <w:r>
                    <w:rPr>
                      <w:rFonts w:hint="eastAsia" w:cs="Times New Roman"/>
                      <w:snapToGrid w:val="0"/>
                      <w:color w:val="auto"/>
                      <w:kern w:val="0"/>
                      <w:sz w:val="21"/>
                      <w:szCs w:val="21"/>
                      <w:highlight w:val="none"/>
                      <w:lang w:val="en-US" w:eastAsia="zh-CN" w:bidi="ar-SA"/>
                    </w:rPr>
                    <w:t>噪声主要来源于机械设备运行产生，经过厂房隔音和基础减震后对周围声环境影响很小</w:t>
                  </w:r>
                </w:p>
                <w:p w14:paraId="01F5C9EB">
                  <w:pPr>
                    <w:numPr>
                      <w:ilvl w:val="0"/>
                      <w:numId w:val="0"/>
                    </w:numPr>
                    <w:spacing w:line="240" w:lineRule="auto"/>
                    <w:jc w:val="both"/>
                    <w:rPr>
                      <w:rFonts w:hint="eastAsia" w:cs="Times New Roman"/>
                      <w:snapToGrid w:val="0"/>
                      <w:color w:val="auto"/>
                      <w:kern w:val="0"/>
                      <w:sz w:val="21"/>
                      <w:szCs w:val="21"/>
                      <w:highlight w:val="none"/>
                      <w:lang w:val="en-US" w:eastAsia="zh-CN" w:bidi="ar-SA"/>
                    </w:rPr>
                  </w:pPr>
                  <w:r>
                    <w:rPr>
                      <w:rFonts w:hint="eastAsia" w:ascii="Times New Roman" w:hAnsi="Times New Roman" w:eastAsia="宋体" w:cs="Times New Roman"/>
                      <w:snapToGrid w:val="0"/>
                      <w:color w:val="auto"/>
                      <w:kern w:val="0"/>
                      <w:sz w:val="21"/>
                      <w:szCs w:val="21"/>
                      <w:highlight w:val="none"/>
                      <w:lang w:val="en-US" w:eastAsia="zh-CN" w:bidi="ar-SA"/>
                    </w:rPr>
                    <w:t>4.</w:t>
                  </w:r>
                  <w:r>
                    <w:rPr>
                      <w:rFonts w:hint="eastAsia" w:cs="Times New Roman"/>
                      <w:snapToGrid w:val="0"/>
                      <w:color w:val="auto"/>
                      <w:kern w:val="0"/>
                      <w:sz w:val="21"/>
                      <w:szCs w:val="21"/>
                      <w:highlight w:val="none"/>
                      <w:lang w:val="en-US" w:eastAsia="zh-CN" w:bidi="ar-SA"/>
                    </w:rPr>
                    <w:t>本项目产生的一般工业固废回用于生产；危险废物置于危废暂存间，由有资质的单位定期处置；生活垃圾由环卫部门定期拉走。</w:t>
                  </w:r>
                </w:p>
                <w:p w14:paraId="6CE607C9">
                  <w:pPr>
                    <w:pStyle w:val="26"/>
                    <w:ind w:left="0" w:leftChars="0" w:firstLine="0" w:firstLineChars="0"/>
                    <w:jc w:val="both"/>
                    <w:rPr>
                      <w:rFonts w:hint="default"/>
                      <w:lang w:val="en-US" w:eastAsia="zh-CN"/>
                    </w:rPr>
                  </w:pPr>
                  <w:r>
                    <w:rPr>
                      <w:rFonts w:hint="eastAsia" w:cs="Times New Roman"/>
                      <w:snapToGrid w:val="0"/>
                      <w:color w:val="auto"/>
                      <w:kern w:val="0"/>
                      <w:sz w:val="21"/>
                      <w:szCs w:val="21"/>
                      <w:highlight w:val="none"/>
                      <w:lang w:val="en-US" w:eastAsia="zh-CN" w:bidi="ar-SA"/>
                    </w:rPr>
                    <w:t>本项目排放的污染物排放总量符合控制要求，不超过环境质量底线。</w:t>
                  </w:r>
                </w:p>
              </w:tc>
              <w:tc>
                <w:tcPr>
                  <w:tcW w:w="427" w:type="dxa"/>
                  <w:tcBorders>
                    <w:tl2br w:val="nil"/>
                    <w:tr2bl w:val="nil"/>
                  </w:tcBorders>
                  <w:vAlign w:val="center"/>
                </w:tcPr>
                <w:p w14:paraId="404D2525">
                  <w:pPr>
                    <w:wordWrap w:val="0"/>
                    <w:topLinePunct/>
                    <w:snapToGrid w:val="0"/>
                    <w:jc w:val="both"/>
                    <w:rPr>
                      <w:color w:val="auto"/>
                      <w:szCs w:val="21"/>
                    </w:rPr>
                  </w:pPr>
                  <w:r>
                    <w:rPr>
                      <w:color w:val="auto"/>
                      <w:szCs w:val="21"/>
                    </w:rPr>
                    <w:t>符合</w:t>
                  </w:r>
                </w:p>
              </w:tc>
            </w:tr>
            <w:tr w14:paraId="4E49F3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1" w:type="dxa"/>
                  <w:tcBorders>
                    <w:tl2br w:val="nil"/>
                    <w:tr2bl w:val="nil"/>
                  </w:tcBorders>
                  <w:vAlign w:val="center"/>
                </w:tcPr>
                <w:p w14:paraId="7E4B6ABA">
                  <w:pPr>
                    <w:wordWrap w:val="0"/>
                    <w:topLinePunct/>
                    <w:snapToGrid w:val="0"/>
                    <w:jc w:val="both"/>
                    <w:rPr>
                      <w:color w:val="auto"/>
                      <w:szCs w:val="21"/>
                    </w:rPr>
                  </w:pPr>
                  <w:r>
                    <w:rPr>
                      <w:color w:val="auto"/>
                      <w:szCs w:val="21"/>
                    </w:rPr>
                    <w:t>环境准入清单</w:t>
                  </w:r>
                </w:p>
              </w:tc>
              <w:tc>
                <w:tcPr>
                  <w:tcW w:w="3391" w:type="dxa"/>
                  <w:tcBorders>
                    <w:tl2br w:val="nil"/>
                    <w:tr2bl w:val="nil"/>
                  </w:tcBorders>
                  <w:vAlign w:val="center"/>
                </w:tcPr>
                <w:p w14:paraId="0B278849">
                  <w:pPr>
                    <w:adjustRightInd w:val="0"/>
                    <w:snapToGrid w:val="0"/>
                    <w:jc w:val="both"/>
                    <w:rPr>
                      <w:color w:val="auto"/>
                      <w:kern w:val="0"/>
                      <w:szCs w:val="21"/>
                    </w:rPr>
                  </w:pPr>
                  <w:r>
                    <w:rPr>
                      <w:color w:val="auto"/>
                      <w:kern w:val="0"/>
                      <w:szCs w:val="21"/>
                    </w:rPr>
                    <w:t>环境准入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清单，充分发挥清单对产业发展和项目准入的指导和约束作用。</w:t>
                  </w:r>
                </w:p>
              </w:tc>
              <w:tc>
                <w:tcPr>
                  <w:tcW w:w="2524" w:type="dxa"/>
                  <w:tcBorders>
                    <w:tl2br w:val="nil"/>
                    <w:tr2bl w:val="nil"/>
                  </w:tcBorders>
                  <w:vAlign w:val="center"/>
                </w:tcPr>
                <w:p w14:paraId="2A49E561">
                  <w:pPr>
                    <w:wordWrap w:val="0"/>
                    <w:topLinePunct/>
                    <w:snapToGrid w:val="0"/>
                    <w:jc w:val="both"/>
                    <w:rPr>
                      <w:rFonts w:hint="eastAsia" w:eastAsia="宋体"/>
                      <w:color w:val="auto"/>
                      <w:szCs w:val="21"/>
                      <w:highlight w:val="yellow"/>
                      <w:lang w:val="en-US" w:eastAsia="zh-CN"/>
                    </w:rPr>
                  </w:pPr>
                  <w:r>
                    <w:rPr>
                      <w:rFonts w:hint="eastAsia"/>
                      <w:color w:val="000000" w:themeColor="text1"/>
                      <w:szCs w:val="21"/>
                      <w:highlight w:val="none"/>
                      <w:lang w:val="en-US" w:eastAsia="zh-CN"/>
                      <w14:textFill>
                        <w14:solidFill>
                          <w14:schemeClr w14:val="tx1"/>
                        </w14:solidFill>
                      </w14:textFill>
                    </w:rPr>
                    <w:t>建设项目位于新疆维吾尔自治区昌吉回族自治州木垒县</w:t>
                  </w:r>
                  <w:r>
                    <w:rPr>
                      <w:rFonts w:hint="eastAsia"/>
                      <w:color w:val="auto"/>
                      <w:szCs w:val="21"/>
                      <w:highlight w:val="none"/>
                      <w:lang w:val="en-US" w:eastAsia="zh-CN"/>
                    </w:rPr>
                    <w:t>大石头风电场</w:t>
                  </w:r>
                  <w:r>
                    <w:rPr>
                      <w:rFonts w:hint="eastAsia"/>
                      <w:color w:val="000000" w:themeColor="text1"/>
                      <w:szCs w:val="21"/>
                      <w:highlight w:val="none"/>
                      <w:lang w:val="en-US" w:eastAsia="zh-CN"/>
                      <w14:textFill>
                        <w14:solidFill>
                          <w14:schemeClr w14:val="tx1"/>
                        </w14:solidFill>
                      </w14:textFill>
                    </w:rPr>
                    <w:t>，该项目地理位置选择合理，不涉及生态保护红线；所消耗资源不超过资源利用上线，且利用效率较高；该项目不属于</w:t>
                  </w:r>
                  <w:r>
                    <w:rPr>
                      <w:rFonts w:hint="eastAsia" w:ascii="宋体" w:hAnsi="宋体" w:cs="宋体"/>
                      <w:color w:val="auto"/>
                      <w:szCs w:val="21"/>
                      <w:highlight w:val="none"/>
                    </w:rPr>
                    <w:t>《新疆重点生态功能区产业准入清单》中限制类和禁止类</w:t>
                  </w:r>
                  <w:r>
                    <w:rPr>
                      <w:rFonts w:hint="eastAsia" w:ascii="宋体" w:hAnsi="宋体" w:cs="宋体"/>
                      <w:color w:val="auto"/>
                      <w:szCs w:val="21"/>
                      <w:highlight w:val="none"/>
                      <w:lang w:eastAsia="zh-CN"/>
                    </w:rPr>
                    <w:t>。</w:t>
                  </w:r>
                </w:p>
              </w:tc>
              <w:tc>
                <w:tcPr>
                  <w:tcW w:w="427" w:type="dxa"/>
                  <w:tcBorders>
                    <w:tl2br w:val="nil"/>
                    <w:tr2bl w:val="nil"/>
                  </w:tcBorders>
                  <w:vAlign w:val="center"/>
                </w:tcPr>
                <w:p w14:paraId="3BF50D11">
                  <w:pPr>
                    <w:wordWrap w:val="0"/>
                    <w:topLinePunct/>
                    <w:snapToGrid w:val="0"/>
                    <w:jc w:val="both"/>
                    <w:rPr>
                      <w:color w:val="auto"/>
                      <w:szCs w:val="21"/>
                    </w:rPr>
                  </w:pPr>
                  <w:r>
                    <w:rPr>
                      <w:color w:val="auto"/>
                      <w:szCs w:val="21"/>
                    </w:rPr>
                    <w:t>符合</w:t>
                  </w:r>
                </w:p>
              </w:tc>
            </w:tr>
          </w:tbl>
          <w:p w14:paraId="19592FF0">
            <w:pPr>
              <w:pStyle w:val="19"/>
              <w:rPr>
                <w:color w:val="auto"/>
              </w:rPr>
            </w:pPr>
          </w:p>
          <w:p w14:paraId="0D9FDFDD">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ascii="Times New Roman" w:hAnsi="Times New Roman" w:eastAsia="宋体" w:cs="Times New Roman"/>
                <w:b/>
                <w:bCs/>
                <w:color w:val="auto"/>
                <w:kern w:val="2"/>
                <w:sz w:val="24"/>
                <w:szCs w:val="24"/>
                <w:lang w:val="en-US" w:eastAsia="zh-CN" w:bidi="ar-SA"/>
              </w:rPr>
            </w:pPr>
            <w:r>
              <w:rPr>
                <w:rFonts w:ascii="Times New Roman" w:hAnsi="Times New Roman" w:eastAsia="宋体" w:cs="Times New Roman"/>
                <w:b/>
                <w:bCs/>
                <w:color w:val="auto"/>
                <w:kern w:val="2"/>
                <w:sz w:val="24"/>
                <w:szCs w:val="24"/>
                <w:lang w:val="en-US" w:eastAsia="zh-CN" w:bidi="ar-SA"/>
              </w:rPr>
              <w:t>3.与《新疆维吾尔自治区七大片区“三线一单”生态环境分区管控要求》（新环环评发[2021]162号）符合性分析</w:t>
            </w:r>
          </w:p>
          <w:p w14:paraId="7140F2B1">
            <w:pPr>
              <w:pStyle w:val="54"/>
              <w:spacing w:line="360" w:lineRule="auto"/>
              <w:ind w:firstLine="480" w:firstLineChars="200"/>
              <w:jc w:val="both"/>
              <w:rPr>
                <w:rFonts w:eastAsia="宋体"/>
                <w:color w:val="auto"/>
                <w:sz w:val="24"/>
                <w:szCs w:val="24"/>
              </w:rPr>
            </w:pPr>
            <w:r>
              <w:rPr>
                <w:rFonts w:eastAsia="宋体"/>
                <w:snapToGrid/>
                <w:color w:val="auto"/>
                <w:sz w:val="24"/>
                <w:szCs w:val="24"/>
              </w:rPr>
              <w:t>据</w:t>
            </w:r>
            <w:r>
              <w:rPr>
                <w:rFonts w:eastAsia="宋体"/>
                <w:snapToGrid/>
                <w:color w:val="auto"/>
                <w:sz w:val="24"/>
                <w:szCs w:val="24"/>
                <w:highlight w:val="none"/>
              </w:rPr>
              <w:t>《新疆维吾尔自治区七大片区“三线一单”生态环境分区管控要求》文件要求：“除国家规划项目外</w:t>
            </w:r>
            <w:r>
              <w:rPr>
                <w:rFonts w:hint="eastAsia" w:eastAsia="宋体"/>
                <w:snapToGrid/>
                <w:color w:val="auto"/>
                <w:sz w:val="24"/>
                <w:szCs w:val="24"/>
                <w:highlight w:val="none"/>
                <w:lang w:eastAsia="zh-CN"/>
              </w:rPr>
              <w:t>，</w:t>
            </w:r>
            <w:r>
              <w:rPr>
                <w:rFonts w:eastAsia="宋体"/>
                <w:snapToGrid/>
                <w:color w:val="auto"/>
                <w:sz w:val="24"/>
                <w:szCs w:val="24"/>
                <w:highlight w:val="none"/>
              </w:rPr>
              <w:t>乌鲁木齐市七区一县、昌吉市、阜康市玛纳斯县、呼图壁县、沙湾市建成区及周边敏感区域内不再布局建设煤化工、电解铝、燃煤纯发电机组、金属硅、碳化硅、聚氯乙烯（电石法</w:t>
            </w:r>
            <w:r>
              <w:rPr>
                <w:rFonts w:hint="eastAsia" w:eastAsia="宋体"/>
                <w:snapToGrid/>
                <w:color w:val="auto"/>
                <w:sz w:val="24"/>
                <w:szCs w:val="24"/>
                <w:highlight w:val="none"/>
                <w:lang w:eastAsia="zh-CN"/>
              </w:rPr>
              <w:t>）</w:t>
            </w:r>
            <w:r>
              <w:rPr>
                <w:rFonts w:eastAsia="宋体"/>
                <w:snapToGrid/>
                <w:color w:val="auto"/>
                <w:sz w:val="24"/>
                <w:szCs w:val="24"/>
                <w:highlight w:val="none"/>
              </w:rPr>
              <w:t>、焦炭</w:t>
            </w:r>
            <w:r>
              <w:rPr>
                <w:rFonts w:hint="eastAsia" w:eastAsia="宋体"/>
                <w:snapToGrid/>
                <w:color w:val="auto"/>
                <w:sz w:val="24"/>
                <w:szCs w:val="24"/>
                <w:highlight w:val="none"/>
                <w:lang w:eastAsia="zh-CN"/>
              </w:rPr>
              <w:t>（</w:t>
            </w:r>
            <w:r>
              <w:rPr>
                <w:rFonts w:eastAsia="宋体"/>
                <w:snapToGrid/>
                <w:color w:val="auto"/>
                <w:sz w:val="24"/>
                <w:szCs w:val="24"/>
                <w:highlight w:val="none"/>
              </w:rPr>
              <w:t>含半焦）等新增产能项目。具备风光电清洁供暖建设条件的区域原则上不新批热电联产项目。坚持属地负责与区域大气污染联防联控相结合</w:t>
            </w:r>
            <w:r>
              <w:rPr>
                <w:rFonts w:hint="eastAsia" w:eastAsia="宋体"/>
                <w:snapToGrid/>
                <w:color w:val="auto"/>
                <w:sz w:val="24"/>
                <w:szCs w:val="24"/>
                <w:highlight w:val="none"/>
                <w:lang w:eastAsia="zh-CN"/>
              </w:rPr>
              <w:t>，</w:t>
            </w:r>
            <w:r>
              <w:rPr>
                <w:rFonts w:eastAsia="宋体"/>
                <w:snapToGrid/>
                <w:color w:val="auto"/>
                <w:sz w:val="24"/>
                <w:szCs w:val="24"/>
                <w:highlight w:val="none"/>
              </w:rPr>
              <w:t>以明显降低细颗粒物浓度为重点</w:t>
            </w:r>
            <w:r>
              <w:rPr>
                <w:rFonts w:hint="eastAsia" w:eastAsia="宋体"/>
                <w:snapToGrid/>
                <w:color w:val="auto"/>
                <w:sz w:val="24"/>
                <w:szCs w:val="24"/>
                <w:highlight w:val="none"/>
                <w:lang w:eastAsia="zh-CN"/>
              </w:rPr>
              <w:t>，</w:t>
            </w:r>
            <w:r>
              <w:rPr>
                <w:rFonts w:eastAsia="宋体"/>
                <w:snapToGrid/>
                <w:color w:val="auto"/>
                <w:sz w:val="24"/>
                <w:szCs w:val="24"/>
                <w:highlight w:val="none"/>
              </w:rPr>
              <w:t>协同推进“乌-昌-石”同防同治区域大气环境治理。所有新建、改建、扩建工业项目执行最严格的大气污染物排放标准</w:t>
            </w:r>
            <w:r>
              <w:rPr>
                <w:rFonts w:hint="eastAsia" w:eastAsia="宋体"/>
                <w:snapToGrid/>
                <w:color w:val="auto"/>
                <w:sz w:val="24"/>
                <w:szCs w:val="24"/>
                <w:highlight w:val="none"/>
                <w:lang w:eastAsia="zh-CN"/>
              </w:rPr>
              <w:t>，</w:t>
            </w:r>
            <w:r>
              <w:rPr>
                <w:rFonts w:eastAsia="宋体"/>
                <w:snapToGrid/>
                <w:color w:val="auto"/>
                <w:sz w:val="24"/>
                <w:szCs w:val="24"/>
                <w:highlight w:val="none"/>
              </w:rPr>
              <w:t>强化氮氧化物深度治理</w:t>
            </w:r>
            <w:r>
              <w:rPr>
                <w:rFonts w:hint="eastAsia" w:eastAsia="宋体"/>
                <w:snapToGrid/>
                <w:color w:val="auto"/>
                <w:sz w:val="24"/>
                <w:szCs w:val="24"/>
                <w:highlight w:val="none"/>
                <w:lang w:eastAsia="zh-CN"/>
              </w:rPr>
              <w:t>，</w:t>
            </w:r>
            <w:r>
              <w:rPr>
                <w:rFonts w:eastAsia="宋体"/>
                <w:snapToGrid/>
                <w:color w:val="auto"/>
                <w:sz w:val="24"/>
                <w:szCs w:val="24"/>
                <w:highlight w:val="none"/>
              </w:rPr>
              <w:t>确保区</w:t>
            </w:r>
            <w:r>
              <w:rPr>
                <w:rFonts w:eastAsia="宋体"/>
                <w:snapToGrid/>
                <w:color w:val="auto"/>
                <w:sz w:val="24"/>
                <w:szCs w:val="24"/>
              </w:rPr>
              <w:t>域环境空气质量持续改善。”</w:t>
            </w:r>
          </w:p>
          <w:p w14:paraId="5C41D7D5">
            <w:pPr>
              <w:autoSpaceDE w:val="0"/>
              <w:autoSpaceDN w:val="0"/>
              <w:adjustRightInd w:val="0"/>
              <w:snapToGrid w:val="0"/>
              <w:spacing w:line="360" w:lineRule="auto"/>
              <w:ind w:firstLine="480" w:firstLineChars="200"/>
              <w:rPr>
                <w:rFonts w:ascii="Times New Roman" w:hAnsi="Times New Roman" w:eastAsia="宋体" w:cs="Times New Roman"/>
                <w:b/>
                <w:bCs/>
                <w:color w:val="auto"/>
                <w:kern w:val="0"/>
                <w:sz w:val="24"/>
              </w:rPr>
            </w:pPr>
            <w:r>
              <w:rPr>
                <w:color w:val="auto"/>
                <w:kern w:val="0"/>
                <w:sz w:val="24"/>
                <w:highlight w:val="none"/>
              </w:rPr>
              <w:t>本项目属于</w:t>
            </w:r>
            <w:r>
              <w:rPr>
                <w:rFonts w:hint="eastAsia"/>
                <w:color w:val="auto"/>
                <w:kern w:val="0"/>
                <w:sz w:val="24"/>
                <w:highlight w:val="none"/>
                <w:lang w:val="en-US" w:eastAsia="zh-CN"/>
              </w:rPr>
              <w:t>水泥制品制造，不属于</w:t>
            </w:r>
            <w:r>
              <w:rPr>
                <w:rFonts w:eastAsia="宋体"/>
                <w:snapToGrid/>
                <w:color w:val="auto"/>
                <w:sz w:val="24"/>
                <w:szCs w:val="24"/>
                <w:highlight w:val="none"/>
              </w:rPr>
              <w:t>煤化工、电解铝、燃煤纯发电机组、金属硅、碳化硅、聚氯乙烯（电石法</w:t>
            </w:r>
            <w:r>
              <w:rPr>
                <w:rFonts w:hint="eastAsia" w:eastAsia="宋体"/>
                <w:snapToGrid/>
                <w:color w:val="auto"/>
                <w:sz w:val="24"/>
                <w:szCs w:val="24"/>
                <w:highlight w:val="none"/>
                <w:lang w:eastAsia="zh-CN"/>
              </w:rPr>
              <w:t>）</w:t>
            </w:r>
            <w:r>
              <w:rPr>
                <w:rFonts w:eastAsia="宋体"/>
                <w:snapToGrid/>
                <w:color w:val="auto"/>
                <w:sz w:val="24"/>
                <w:szCs w:val="24"/>
                <w:highlight w:val="none"/>
              </w:rPr>
              <w:t>、焦炭</w:t>
            </w:r>
            <w:r>
              <w:rPr>
                <w:rFonts w:hint="eastAsia" w:eastAsia="宋体"/>
                <w:snapToGrid/>
                <w:color w:val="auto"/>
                <w:sz w:val="24"/>
                <w:szCs w:val="24"/>
                <w:highlight w:val="none"/>
                <w:lang w:eastAsia="zh-CN"/>
              </w:rPr>
              <w:t>（</w:t>
            </w:r>
            <w:r>
              <w:rPr>
                <w:rFonts w:eastAsia="宋体"/>
                <w:snapToGrid/>
                <w:color w:val="auto"/>
                <w:sz w:val="24"/>
                <w:szCs w:val="24"/>
                <w:highlight w:val="none"/>
              </w:rPr>
              <w:t>含半焦）等新增产能项目</w:t>
            </w:r>
            <w:r>
              <w:rPr>
                <w:rFonts w:hint="eastAsia"/>
                <w:snapToGrid/>
                <w:color w:val="auto"/>
                <w:sz w:val="24"/>
                <w:szCs w:val="24"/>
                <w:highlight w:val="none"/>
                <w:lang w:eastAsia="zh-CN"/>
              </w:rPr>
              <w:t>，</w:t>
            </w:r>
            <w:r>
              <w:rPr>
                <w:rFonts w:hint="eastAsia"/>
                <w:snapToGrid/>
                <w:color w:val="auto"/>
                <w:sz w:val="24"/>
                <w:szCs w:val="24"/>
                <w:highlight w:val="none"/>
                <w:lang w:val="en-US" w:eastAsia="zh-CN"/>
              </w:rPr>
              <w:t>本项目主要污染物为进行生产时原材料产生的粉尘颗粒物，筒仓设有脉冲布袋除尘器，存放原材料时产生的粉尘当场处理，搅拌机自带袋式除尘设备，并且搅拌设备置于密闭搅拌楼，不会对区域环境空气质量产生影响。</w:t>
            </w:r>
            <w:r>
              <w:rPr>
                <w:color w:val="auto"/>
                <w:kern w:val="0"/>
                <w:sz w:val="24"/>
              </w:rPr>
              <w:t>因此，符合《新疆维吾尔自治区七大片区“三线一单”生态环境分区管控要求》相关要求。</w:t>
            </w:r>
          </w:p>
          <w:p w14:paraId="1D223D31">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ascii="Times New Roman" w:hAnsi="Times New Roman" w:eastAsia="宋体" w:cs="Times New Roman"/>
                <w:b/>
                <w:bCs/>
                <w:color w:val="auto"/>
                <w:kern w:val="2"/>
                <w:sz w:val="24"/>
                <w:szCs w:val="24"/>
                <w:lang w:val="en-US" w:eastAsia="zh-CN" w:bidi="ar-SA"/>
              </w:rPr>
            </w:pPr>
            <w:r>
              <w:rPr>
                <w:rFonts w:ascii="Times New Roman" w:hAnsi="Times New Roman" w:eastAsia="宋体" w:cs="Times New Roman"/>
                <w:b/>
                <w:bCs/>
                <w:color w:val="auto"/>
                <w:kern w:val="2"/>
                <w:sz w:val="24"/>
                <w:szCs w:val="24"/>
                <w:lang w:val="en-US" w:eastAsia="zh-CN" w:bidi="ar-SA"/>
              </w:rPr>
              <w:t>4.与《昌吉回族自治州“三线一单”生态环境分区管控方案及生态环境准入清单》（昌州政办发〔2021〕41号）符合性分析</w:t>
            </w:r>
          </w:p>
          <w:p w14:paraId="4ED1ABF2">
            <w:pPr>
              <w:pStyle w:val="55"/>
              <w:spacing w:line="360" w:lineRule="auto"/>
              <w:ind w:firstLine="480"/>
              <w:jc w:val="both"/>
              <w:rPr>
                <w:color w:val="auto"/>
              </w:rPr>
            </w:pPr>
            <w:r>
              <w:rPr>
                <w:color w:val="auto"/>
              </w:rPr>
              <w:t>本项目位于</w:t>
            </w:r>
            <w:r>
              <w:rPr>
                <w:color w:val="auto"/>
                <w:szCs w:val="24"/>
              </w:rPr>
              <w:t>新疆维吾尔自治区昌吉回族自治州</w:t>
            </w:r>
            <w:r>
              <w:rPr>
                <w:rFonts w:hint="eastAsia"/>
                <w:color w:val="auto"/>
                <w:szCs w:val="24"/>
              </w:rPr>
              <w:t>木垒县</w:t>
            </w:r>
            <w:r>
              <w:rPr>
                <w:rFonts w:hint="eastAsia"/>
                <w:color w:val="auto"/>
                <w:szCs w:val="21"/>
                <w:lang w:val="en-US" w:eastAsia="zh-CN"/>
              </w:rPr>
              <w:t>大石头风电场</w:t>
            </w:r>
            <w:r>
              <w:rPr>
                <w:color w:val="auto"/>
                <w:szCs w:val="24"/>
              </w:rPr>
              <w:t>，根据《昌吉回族自治州“三线一单”生态环境分区管控方案及生态环境准入清单》本项目</w:t>
            </w:r>
            <w:r>
              <w:rPr>
                <w:color w:val="auto"/>
              </w:rPr>
              <w:t>所属为文件中“</w:t>
            </w:r>
            <w:r>
              <w:rPr>
                <w:rFonts w:hint="eastAsia"/>
                <w:color w:val="auto"/>
              </w:rPr>
              <w:t>木垒</w:t>
            </w:r>
            <w:r>
              <w:rPr>
                <w:color w:val="auto"/>
              </w:rPr>
              <w:t>县</w:t>
            </w:r>
            <w:r>
              <w:rPr>
                <w:rFonts w:hint="eastAsia"/>
                <w:color w:val="auto"/>
                <w:lang w:val="en-US" w:eastAsia="zh-CN"/>
              </w:rPr>
              <w:t>一般管控单元</w:t>
            </w:r>
            <w:r>
              <w:rPr>
                <w:color w:val="auto"/>
              </w:rPr>
              <w:t>”</w:t>
            </w:r>
            <w:r>
              <w:rPr>
                <w:rFonts w:hint="eastAsia"/>
                <w:color w:val="auto"/>
              </w:rPr>
              <w:t>，环境管控单元编码：</w:t>
            </w:r>
            <w:r>
              <w:rPr>
                <w:color w:val="auto"/>
              </w:rPr>
              <w:t>ZH65232</w:t>
            </w:r>
            <w:r>
              <w:rPr>
                <w:rFonts w:hint="eastAsia"/>
                <w:color w:val="auto"/>
              </w:rPr>
              <w:t>8</w:t>
            </w:r>
            <w:r>
              <w:rPr>
                <w:color w:val="auto"/>
              </w:rPr>
              <w:t>30001。本项目与其符合情况见下表1-2，环境管控单元分类图见附图。</w:t>
            </w:r>
          </w:p>
          <w:p w14:paraId="46B5BAF1">
            <w:pPr>
              <w:pStyle w:val="57"/>
              <w:ind w:firstLine="0"/>
              <w:rPr>
                <w:color w:val="auto"/>
                <w:lang w:bidi="ar"/>
              </w:rPr>
            </w:pPr>
            <w:r>
              <w:rPr>
                <w:color w:val="auto"/>
              </w:rPr>
              <w:t>表1-2    与《昌吉回族自治州“三线一单”生态环境分区管控方案及生态环境准入清单》符合性分析</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925"/>
              <w:gridCol w:w="2806"/>
              <w:gridCol w:w="752"/>
            </w:tblGrid>
            <w:tr w14:paraId="7D2A75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45" w:type="pct"/>
                  <w:tcBorders>
                    <w:bottom w:val="single" w:color="000000" w:sz="12" w:space="0"/>
                    <w:tl2br w:val="nil"/>
                    <w:tr2bl w:val="nil"/>
                  </w:tcBorders>
                  <w:vAlign w:val="center"/>
                </w:tcPr>
                <w:p w14:paraId="530AA939">
                  <w:pPr>
                    <w:pStyle w:val="59"/>
                    <w:rPr>
                      <w:b/>
                      <w:bCs w:val="0"/>
                      <w:color w:val="auto"/>
                      <w:spacing w:val="-2"/>
                    </w:rPr>
                  </w:pPr>
                  <w:r>
                    <w:rPr>
                      <w:b/>
                      <w:bCs w:val="0"/>
                      <w:color w:val="auto"/>
                      <w:spacing w:val="-2"/>
                    </w:rPr>
                    <w:t>管控名称</w:t>
                  </w:r>
                </w:p>
              </w:tc>
              <w:tc>
                <w:tcPr>
                  <w:tcW w:w="1964" w:type="pct"/>
                  <w:tcBorders>
                    <w:bottom w:val="single" w:color="000000" w:sz="12" w:space="0"/>
                    <w:tl2br w:val="nil"/>
                    <w:tr2bl w:val="nil"/>
                  </w:tcBorders>
                  <w:vAlign w:val="center"/>
                </w:tcPr>
                <w:p w14:paraId="15976CBF">
                  <w:pPr>
                    <w:pStyle w:val="59"/>
                    <w:rPr>
                      <w:b/>
                      <w:bCs w:val="0"/>
                      <w:color w:val="auto"/>
                      <w:spacing w:val="-2"/>
                    </w:rPr>
                  </w:pPr>
                  <w:r>
                    <w:rPr>
                      <w:b/>
                      <w:bCs w:val="0"/>
                      <w:color w:val="auto"/>
                      <w:spacing w:val="-2"/>
                    </w:rPr>
                    <w:t>管控要求</w:t>
                  </w:r>
                </w:p>
              </w:tc>
              <w:tc>
                <w:tcPr>
                  <w:tcW w:w="1884" w:type="pct"/>
                  <w:tcBorders>
                    <w:bottom w:val="single" w:color="000000" w:sz="12" w:space="0"/>
                    <w:tl2br w:val="nil"/>
                    <w:tr2bl w:val="nil"/>
                  </w:tcBorders>
                  <w:vAlign w:val="center"/>
                </w:tcPr>
                <w:p w14:paraId="2DFED488">
                  <w:pPr>
                    <w:pStyle w:val="59"/>
                    <w:rPr>
                      <w:b/>
                      <w:bCs w:val="0"/>
                      <w:color w:val="auto"/>
                      <w:spacing w:val="-2"/>
                    </w:rPr>
                  </w:pPr>
                  <w:r>
                    <w:rPr>
                      <w:b/>
                      <w:bCs w:val="0"/>
                      <w:color w:val="auto"/>
                      <w:spacing w:val="-2"/>
                    </w:rPr>
                    <w:t>项目概况</w:t>
                  </w:r>
                </w:p>
              </w:tc>
              <w:tc>
                <w:tcPr>
                  <w:tcW w:w="505" w:type="pct"/>
                  <w:tcBorders>
                    <w:bottom w:val="single" w:color="000000" w:sz="12" w:space="0"/>
                    <w:tl2br w:val="nil"/>
                    <w:tr2bl w:val="nil"/>
                  </w:tcBorders>
                  <w:vAlign w:val="center"/>
                </w:tcPr>
                <w:p w14:paraId="371C125D">
                  <w:pPr>
                    <w:pStyle w:val="59"/>
                    <w:rPr>
                      <w:b/>
                      <w:bCs w:val="0"/>
                      <w:color w:val="auto"/>
                      <w:spacing w:val="-2"/>
                    </w:rPr>
                  </w:pPr>
                  <w:r>
                    <w:rPr>
                      <w:b/>
                      <w:bCs w:val="0"/>
                      <w:color w:val="auto"/>
                      <w:spacing w:val="-2"/>
                    </w:rPr>
                    <w:t>符合情况</w:t>
                  </w:r>
                </w:p>
              </w:tc>
            </w:tr>
            <w:tr w14:paraId="172667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45" w:type="pct"/>
                  <w:tcBorders>
                    <w:top w:val="single" w:color="000000" w:sz="12" w:space="0"/>
                    <w:tl2br w:val="nil"/>
                    <w:tr2bl w:val="nil"/>
                  </w:tcBorders>
                  <w:vAlign w:val="center"/>
                </w:tcPr>
                <w:p w14:paraId="65A40FE2">
                  <w:pPr>
                    <w:pStyle w:val="59"/>
                    <w:rPr>
                      <w:color w:val="auto"/>
                      <w:spacing w:val="-2"/>
                    </w:rPr>
                  </w:pPr>
                  <w:r>
                    <w:rPr>
                      <w:color w:val="auto"/>
                      <w:spacing w:val="-2"/>
                    </w:rPr>
                    <w:t>空间布局约束</w:t>
                  </w:r>
                </w:p>
              </w:tc>
              <w:tc>
                <w:tcPr>
                  <w:tcW w:w="1964" w:type="pct"/>
                  <w:tcBorders>
                    <w:top w:val="single" w:color="000000" w:sz="12" w:space="0"/>
                    <w:tl2br w:val="nil"/>
                    <w:tr2bl w:val="nil"/>
                  </w:tcBorders>
                  <w:vAlign w:val="center"/>
                </w:tcPr>
                <w:p w14:paraId="714A514C">
                  <w:pPr>
                    <w:pStyle w:val="55"/>
                    <w:jc w:val="both"/>
                    <w:rPr>
                      <w:bCs/>
                      <w:color w:val="auto"/>
                      <w:spacing w:val="-2"/>
                      <w:kern w:val="2"/>
                      <w:sz w:val="21"/>
                      <w:szCs w:val="21"/>
                    </w:rPr>
                  </w:pPr>
                  <w:r>
                    <w:rPr>
                      <w:rFonts w:hint="eastAsia"/>
                      <w:bCs/>
                      <w:color w:val="auto"/>
                      <w:spacing w:val="-2"/>
                      <w:kern w:val="2"/>
                      <w:sz w:val="21"/>
                      <w:szCs w:val="21"/>
                      <w:lang w:val="en-US" w:eastAsia="zh-CN"/>
                    </w:rPr>
                    <w:t>限制进行大规模高强度工业化城镇化开发，严格控制金属冶炼、石油化工、焦化等“高污染、高环境风险产品”工业项目，原则上不增加产能，现有“高污染、高环境风险产品”工业项目持续削减污染物排放总量并严格控制环境风险。原则上禁止建设涉及一类重金属、持久性有机污染物排放的工业项目。建立集镇居住商业区、耕地保护区与工业功能区等集聚区块之间的防护带。</w:t>
                  </w:r>
                  <w:r>
                    <w:rPr>
                      <w:rFonts w:hint="eastAsia"/>
                      <w:bCs/>
                      <w:color w:val="auto"/>
                      <w:spacing w:val="0"/>
                      <w:kern w:val="2"/>
                      <w:sz w:val="21"/>
                      <w:szCs w:val="21"/>
                      <w:lang w:val="en-US" w:eastAsia="zh-CN"/>
                    </w:rPr>
                    <w:t>加强基本农田保护，严格限制非农项目占用耕地</w:t>
                  </w:r>
                  <w:r>
                    <w:rPr>
                      <w:bCs/>
                      <w:color w:val="auto"/>
                      <w:spacing w:val="0"/>
                      <w:kern w:val="2"/>
                      <w:sz w:val="21"/>
                      <w:szCs w:val="21"/>
                    </w:rPr>
                    <w:t>。</w:t>
                  </w:r>
                </w:p>
              </w:tc>
              <w:tc>
                <w:tcPr>
                  <w:tcW w:w="2555" w:type="dxa"/>
                  <w:tcBorders>
                    <w:top w:val="single" w:color="000000" w:sz="12" w:space="0"/>
                    <w:tl2br w:val="nil"/>
                    <w:tr2bl w:val="nil"/>
                  </w:tcBorders>
                  <w:vAlign w:val="center"/>
                </w:tcPr>
                <w:p w14:paraId="79F1AD04">
                  <w:pPr>
                    <w:adjustRightInd w:val="0"/>
                    <w:snapToGrid w:val="0"/>
                    <w:jc w:val="both"/>
                    <w:rPr>
                      <w:rFonts w:hint="eastAsia" w:eastAsia="宋体"/>
                      <w:color w:val="auto"/>
                      <w:spacing w:val="-2"/>
                      <w:lang w:val="en-US" w:eastAsia="zh-CN"/>
                    </w:rPr>
                  </w:pPr>
                  <w:r>
                    <w:rPr>
                      <w:rFonts w:hint="eastAsia"/>
                      <w:color w:val="auto"/>
                      <w:spacing w:val="-2"/>
                      <w:lang w:val="en-US" w:eastAsia="zh-CN"/>
                    </w:rPr>
                    <w:t>本项目属于水泥制品制造，不属于“高污染、高环境风险产品”工业项目，不涉及一类重金属、持久性有机污染物排放</w:t>
                  </w:r>
                  <w:r>
                    <w:rPr>
                      <w:rFonts w:hint="eastAsia"/>
                      <w:bCs/>
                      <w:color w:val="auto"/>
                      <w:spacing w:val="-2"/>
                      <w:kern w:val="2"/>
                      <w:sz w:val="21"/>
                      <w:szCs w:val="21"/>
                      <w:lang w:val="en-US" w:eastAsia="zh-CN"/>
                    </w:rPr>
                    <w:t>，项目用地不占用耕地。因此符合自治区总体准入要求中</w:t>
                  </w:r>
                  <w:r>
                    <w:rPr>
                      <w:color w:val="auto"/>
                      <w:spacing w:val="-2"/>
                    </w:rPr>
                    <w:t>关于一般管控单元空间布局要求的准入要求</w:t>
                  </w:r>
                  <w:r>
                    <w:rPr>
                      <w:rFonts w:hint="eastAsia"/>
                      <w:color w:val="auto"/>
                      <w:spacing w:val="-2"/>
                      <w:lang w:eastAsia="zh-CN"/>
                    </w:rPr>
                    <w:t>。</w:t>
                  </w:r>
                </w:p>
              </w:tc>
              <w:tc>
                <w:tcPr>
                  <w:tcW w:w="505" w:type="pct"/>
                  <w:tcBorders>
                    <w:top w:val="single" w:color="000000" w:sz="12" w:space="0"/>
                    <w:tl2br w:val="nil"/>
                    <w:tr2bl w:val="nil"/>
                  </w:tcBorders>
                  <w:vAlign w:val="center"/>
                </w:tcPr>
                <w:p w14:paraId="0694777A">
                  <w:pPr>
                    <w:pStyle w:val="59"/>
                    <w:rPr>
                      <w:color w:val="auto"/>
                      <w:spacing w:val="-2"/>
                    </w:rPr>
                  </w:pPr>
                  <w:r>
                    <w:rPr>
                      <w:color w:val="auto"/>
                      <w:spacing w:val="-2"/>
                    </w:rPr>
                    <w:t>符合</w:t>
                  </w:r>
                </w:p>
              </w:tc>
            </w:tr>
            <w:tr w14:paraId="35E407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45" w:type="pct"/>
                  <w:tcBorders>
                    <w:tl2br w:val="nil"/>
                    <w:tr2bl w:val="nil"/>
                  </w:tcBorders>
                  <w:vAlign w:val="center"/>
                </w:tcPr>
                <w:p w14:paraId="28130CEF">
                  <w:pPr>
                    <w:pStyle w:val="59"/>
                    <w:rPr>
                      <w:color w:val="auto"/>
                      <w:spacing w:val="-2"/>
                    </w:rPr>
                  </w:pPr>
                  <w:r>
                    <w:rPr>
                      <w:color w:val="auto"/>
                      <w:spacing w:val="-2"/>
                    </w:rPr>
                    <w:t>污染物排放管控</w:t>
                  </w:r>
                </w:p>
              </w:tc>
              <w:tc>
                <w:tcPr>
                  <w:tcW w:w="1964" w:type="pct"/>
                  <w:tcBorders>
                    <w:tl2br w:val="nil"/>
                    <w:tr2bl w:val="nil"/>
                  </w:tcBorders>
                  <w:vAlign w:val="center"/>
                </w:tcPr>
                <w:p w14:paraId="35B1BF42">
                  <w:pPr>
                    <w:jc w:val="both"/>
                    <w:rPr>
                      <w:rFonts w:hint="default" w:eastAsia="宋体"/>
                      <w:bCs/>
                      <w:color w:val="auto"/>
                      <w:spacing w:val="-2"/>
                      <w:szCs w:val="21"/>
                      <w:lang w:val="en-US" w:eastAsia="zh-CN"/>
                    </w:rPr>
                  </w:pPr>
                  <w:r>
                    <w:rPr>
                      <w:rFonts w:hint="eastAsia"/>
                      <w:bCs/>
                      <w:color w:val="auto"/>
                      <w:spacing w:val="0"/>
                      <w:sz w:val="21"/>
                      <w:szCs w:val="21"/>
                      <w:lang w:val="en-US" w:eastAsia="zh-CN"/>
                    </w:rPr>
                    <w:t>落实污染物总量控制制度，根据区域环境质量改善目标，削减污染物排放量。加强农业面源污染治理，严格控制化肥农药施加量，逐步削减农业面源污染物排放量。</w:t>
                  </w:r>
                </w:p>
              </w:tc>
              <w:tc>
                <w:tcPr>
                  <w:tcW w:w="1884" w:type="pct"/>
                  <w:tcBorders>
                    <w:tl2br w:val="nil"/>
                    <w:tr2bl w:val="nil"/>
                  </w:tcBorders>
                  <w:vAlign w:val="center"/>
                </w:tcPr>
                <w:p w14:paraId="1DFB557F">
                  <w:pPr>
                    <w:pStyle w:val="59"/>
                    <w:jc w:val="both"/>
                    <w:rPr>
                      <w:color w:val="auto"/>
                      <w:spacing w:val="-2"/>
                      <w:highlight w:val="yellow"/>
                    </w:rPr>
                  </w:pPr>
                  <w:r>
                    <w:rPr>
                      <w:rFonts w:hint="eastAsia"/>
                      <w:color w:val="auto"/>
                      <w:spacing w:val="-2"/>
                      <w:highlight w:val="none"/>
                      <w:lang w:val="en-US" w:eastAsia="zh-CN"/>
                    </w:rPr>
                    <w:t>本项目产生的污染物不涉及化肥农药，主要为颗粒物，</w:t>
                  </w:r>
                  <w:r>
                    <w:rPr>
                      <w:color w:val="auto"/>
                      <w:spacing w:val="-2"/>
                      <w:highlight w:val="none"/>
                    </w:rPr>
                    <w:t>符合自治区总体准入要求中关于一般管控单元</w:t>
                  </w:r>
                  <w:r>
                    <w:rPr>
                      <w:rFonts w:hint="eastAsia"/>
                      <w:color w:val="auto"/>
                      <w:spacing w:val="-2"/>
                      <w:highlight w:val="none"/>
                      <w:lang w:val="en-US" w:eastAsia="zh-CN"/>
                    </w:rPr>
                    <w:t>污染物排放管控</w:t>
                  </w:r>
                  <w:r>
                    <w:rPr>
                      <w:color w:val="auto"/>
                      <w:spacing w:val="-2"/>
                      <w:highlight w:val="none"/>
                    </w:rPr>
                    <w:t>的准入要求</w:t>
                  </w:r>
                  <w:r>
                    <w:rPr>
                      <w:rFonts w:hint="eastAsia"/>
                      <w:color w:val="auto"/>
                      <w:spacing w:val="-2"/>
                      <w:highlight w:val="none"/>
                      <w:lang w:eastAsia="zh-CN"/>
                    </w:rPr>
                    <w:t>。</w:t>
                  </w:r>
                </w:p>
              </w:tc>
              <w:tc>
                <w:tcPr>
                  <w:tcW w:w="505" w:type="pct"/>
                  <w:tcBorders>
                    <w:tl2br w:val="nil"/>
                    <w:tr2bl w:val="nil"/>
                  </w:tcBorders>
                  <w:vAlign w:val="center"/>
                </w:tcPr>
                <w:p w14:paraId="0D2AEFB7">
                  <w:pPr>
                    <w:pStyle w:val="59"/>
                    <w:rPr>
                      <w:color w:val="auto"/>
                      <w:spacing w:val="-2"/>
                      <w:highlight w:val="yellow"/>
                    </w:rPr>
                  </w:pPr>
                  <w:r>
                    <w:rPr>
                      <w:color w:val="auto"/>
                      <w:spacing w:val="-2"/>
                    </w:rPr>
                    <w:t>符合</w:t>
                  </w:r>
                </w:p>
              </w:tc>
            </w:tr>
            <w:tr w14:paraId="79D2F1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45" w:type="pct"/>
                  <w:tcBorders>
                    <w:tl2br w:val="nil"/>
                    <w:tr2bl w:val="nil"/>
                  </w:tcBorders>
                  <w:vAlign w:val="center"/>
                </w:tcPr>
                <w:p w14:paraId="5C4BABD9">
                  <w:pPr>
                    <w:pStyle w:val="59"/>
                    <w:rPr>
                      <w:color w:val="auto"/>
                      <w:kern w:val="0"/>
                    </w:rPr>
                  </w:pPr>
                  <w:r>
                    <w:rPr>
                      <w:color w:val="auto"/>
                      <w:kern w:val="0"/>
                    </w:rPr>
                    <w:t>环境风险防控</w:t>
                  </w:r>
                </w:p>
              </w:tc>
              <w:tc>
                <w:tcPr>
                  <w:tcW w:w="1964" w:type="pct"/>
                  <w:tcBorders>
                    <w:tl2br w:val="nil"/>
                    <w:tr2bl w:val="nil"/>
                  </w:tcBorders>
                  <w:vAlign w:val="center"/>
                </w:tcPr>
                <w:p w14:paraId="21211E1D">
                  <w:pPr>
                    <w:pStyle w:val="55"/>
                    <w:jc w:val="both"/>
                    <w:rPr>
                      <w:rFonts w:hint="default" w:eastAsia="宋体"/>
                      <w:bCs/>
                      <w:color w:val="auto"/>
                      <w:spacing w:val="-2"/>
                      <w:kern w:val="2"/>
                      <w:sz w:val="21"/>
                      <w:szCs w:val="21"/>
                      <w:lang w:val="en-US" w:eastAsia="zh-CN"/>
                    </w:rPr>
                  </w:pPr>
                  <w:r>
                    <w:rPr>
                      <w:rFonts w:hint="eastAsia"/>
                      <w:bCs/>
                      <w:color w:val="auto"/>
                      <w:spacing w:val="-2"/>
                      <w:kern w:val="2"/>
                      <w:sz w:val="21"/>
                      <w:szCs w:val="21"/>
                      <w:lang w:val="en-US" w:eastAsia="zh-CN"/>
                    </w:rPr>
                    <w:t>加强生态公益林保护与建设，防止水土流失。禁止向农用地排放重金属或者其他有毒有害物质含量超标的污水、污泥，以及可能造成土壤污染的尾矿、矿渣等。加强农田土壤、灌溉水的监测及评价，对周边或者区域环境风险源进行评估。</w:t>
                  </w:r>
                </w:p>
              </w:tc>
              <w:tc>
                <w:tcPr>
                  <w:tcW w:w="1884" w:type="pct"/>
                  <w:tcBorders>
                    <w:tl2br w:val="nil"/>
                    <w:tr2bl w:val="nil"/>
                  </w:tcBorders>
                  <w:vAlign w:val="center"/>
                </w:tcPr>
                <w:p w14:paraId="7E0270EB">
                  <w:pPr>
                    <w:adjustRightInd w:val="0"/>
                    <w:snapToGrid w:val="0"/>
                    <w:jc w:val="both"/>
                    <w:rPr>
                      <w:rFonts w:hint="default" w:eastAsia="宋体"/>
                      <w:color w:val="auto"/>
                      <w:spacing w:val="-2"/>
                      <w:szCs w:val="21"/>
                      <w:highlight w:val="yellow"/>
                      <w:lang w:val="en-US" w:eastAsia="zh-CN"/>
                    </w:rPr>
                  </w:pPr>
                  <w:r>
                    <w:rPr>
                      <w:rFonts w:hint="eastAsia"/>
                      <w:color w:val="auto"/>
                      <w:spacing w:val="-2"/>
                      <w:szCs w:val="21"/>
                      <w:highlight w:val="none"/>
                      <w:lang w:val="en-US" w:eastAsia="zh-CN"/>
                    </w:rPr>
                    <w:t>本项目属于水泥制品制造，主要污染物为颗粒物，不涉及</w:t>
                  </w:r>
                  <w:r>
                    <w:rPr>
                      <w:rFonts w:hint="eastAsia"/>
                      <w:bCs/>
                      <w:color w:val="auto"/>
                      <w:spacing w:val="-2"/>
                      <w:kern w:val="2"/>
                      <w:sz w:val="21"/>
                      <w:szCs w:val="21"/>
                      <w:lang w:val="en-US" w:eastAsia="zh-CN"/>
                    </w:rPr>
                    <w:t>重金属或者其他有毒有害物质含量超标的污水、污泥和尾矿渣等，项目周边无农田，项目产生的废水经处理之后回用，生活污水经处理达标之后用于料场洒水降尘。因此符合自治区总体准入要求中</w:t>
                  </w:r>
                  <w:r>
                    <w:rPr>
                      <w:color w:val="auto"/>
                      <w:spacing w:val="-2"/>
                    </w:rPr>
                    <w:t>关于一般管控单元</w:t>
                  </w:r>
                  <w:r>
                    <w:rPr>
                      <w:rFonts w:hint="eastAsia"/>
                      <w:color w:val="auto"/>
                      <w:spacing w:val="-2"/>
                      <w:lang w:val="en-US" w:eastAsia="zh-CN"/>
                    </w:rPr>
                    <w:t>环境风险防控</w:t>
                  </w:r>
                  <w:r>
                    <w:rPr>
                      <w:color w:val="auto"/>
                      <w:spacing w:val="-2"/>
                    </w:rPr>
                    <w:t>的准入要求</w:t>
                  </w:r>
                  <w:r>
                    <w:rPr>
                      <w:rFonts w:hint="eastAsia"/>
                      <w:color w:val="auto"/>
                      <w:spacing w:val="-2"/>
                      <w:lang w:eastAsia="zh-CN"/>
                    </w:rPr>
                    <w:t>。</w:t>
                  </w:r>
                </w:p>
              </w:tc>
              <w:tc>
                <w:tcPr>
                  <w:tcW w:w="505" w:type="pct"/>
                  <w:tcBorders>
                    <w:tl2br w:val="nil"/>
                    <w:tr2bl w:val="nil"/>
                  </w:tcBorders>
                  <w:vAlign w:val="center"/>
                </w:tcPr>
                <w:p w14:paraId="24A2B21A">
                  <w:pPr>
                    <w:pStyle w:val="59"/>
                    <w:rPr>
                      <w:color w:val="auto"/>
                      <w:spacing w:val="-2"/>
                      <w:highlight w:val="yellow"/>
                    </w:rPr>
                  </w:pPr>
                  <w:r>
                    <w:rPr>
                      <w:color w:val="auto"/>
                      <w:spacing w:val="-2"/>
                    </w:rPr>
                    <w:t>符合</w:t>
                  </w:r>
                </w:p>
              </w:tc>
            </w:tr>
            <w:tr w14:paraId="567851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645" w:type="pct"/>
                  <w:tcBorders>
                    <w:tl2br w:val="nil"/>
                    <w:tr2bl w:val="nil"/>
                  </w:tcBorders>
                  <w:vAlign w:val="center"/>
                </w:tcPr>
                <w:p w14:paraId="354719B9">
                  <w:pPr>
                    <w:pStyle w:val="59"/>
                    <w:rPr>
                      <w:color w:val="auto"/>
                      <w:spacing w:val="-2"/>
                      <w:highlight w:val="yellow"/>
                    </w:rPr>
                  </w:pPr>
                  <w:r>
                    <w:rPr>
                      <w:color w:val="auto"/>
                      <w:spacing w:val="-2"/>
                    </w:rPr>
                    <w:t>资源利用效率</w:t>
                  </w:r>
                </w:p>
              </w:tc>
              <w:tc>
                <w:tcPr>
                  <w:tcW w:w="1964" w:type="pct"/>
                  <w:tcBorders>
                    <w:tl2br w:val="nil"/>
                    <w:tr2bl w:val="nil"/>
                  </w:tcBorders>
                  <w:vAlign w:val="center"/>
                </w:tcPr>
                <w:p w14:paraId="30673723">
                  <w:pPr>
                    <w:pStyle w:val="55"/>
                    <w:jc w:val="both"/>
                    <w:rPr>
                      <w:rFonts w:hint="default" w:eastAsia="宋体"/>
                      <w:bCs/>
                      <w:color w:val="auto"/>
                      <w:spacing w:val="-2"/>
                      <w:kern w:val="2"/>
                      <w:sz w:val="21"/>
                      <w:szCs w:val="21"/>
                      <w:lang w:val="en-US" w:eastAsia="zh-CN"/>
                    </w:rPr>
                  </w:pPr>
                  <w:r>
                    <w:rPr>
                      <w:rFonts w:hint="eastAsia"/>
                      <w:bCs/>
                      <w:color w:val="auto"/>
                      <w:spacing w:val="-2"/>
                      <w:kern w:val="2"/>
                      <w:sz w:val="21"/>
                      <w:szCs w:val="21"/>
                      <w:lang w:val="en-US" w:eastAsia="zh-CN"/>
                    </w:rPr>
                    <w:t>实行水资源消耗总量和强度双控，推进农业节水，提高农业用水率。优化能源结构，加强能源清洁利用。</w:t>
                  </w:r>
                </w:p>
              </w:tc>
              <w:tc>
                <w:tcPr>
                  <w:tcW w:w="1884" w:type="pct"/>
                  <w:tcBorders>
                    <w:tl2br w:val="nil"/>
                    <w:tr2bl w:val="nil"/>
                  </w:tcBorders>
                  <w:vAlign w:val="center"/>
                </w:tcPr>
                <w:p w14:paraId="63E6DE3C">
                  <w:pPr>
                    <w:pStyle w:val="59"/>
                    <w:jc w:val="both"/>
                    <w:rPr>
                      <w:rFonts w:hint="eastAsia" w:eastAsia="宋体"/>
                      <w:color w:val="auto"/>
                      <w:spacing w:val="-2"/>
                      <w:lang w:val="en-US" w:eastAsia="zh-CN"/>
                    </w:rPr>
                  </w:pPr>
                  <w:r>
                    <w:rPr>
                      <w:rFonts w:hint="eastAsia"/>
                      <w:color w:val="auto"/>
                      <w:spacing w:val="-2"/>
                      <w:lang w:val="en-US" w:eastAsia="zh-CN"/>
                    </w:rPr>
                    <w:t>本项目运营期间会消耗一定量的水资源，并且其中部分水资源回用于混凝土生产，部分回用于料场洒水降尘，项目水资源利用量相对环境资源总量较少。</w:t>
                  </w:r>
                  <w:r>
                    <w:rPr>
                      <w:rFonts w:hint="eastAsia"/>
                      <w:bCs/>
                      <w:color w:val="auto"/>
                      <w:spacing w:val="-2"/>
                      <w:kern w:val="2"/>
                      <w:sz w:val="21"/>
                      <w:szCs w:val="21"/>
                      <w:lang w:val="en-US" w:eastAsia="zh-CN"/>
                    </w:rPr>
                    <w:t>因此符合自治区总体准入要求中</w:t>
                  </w:r>
                  <w:r>
                    <w:rPr>
                      <w:color w:val="auto"/>
                      <w:spacing w:val="-2"/>
                    </w:rPr>
                    <w:t>关于一般管控单元</w:t>
                  </w:r>
                  <w:r>
                    <w:rPr>
                      <w:rFonts w:hint="eastAsia"/>
                      <w:color w:val="auto"/>
                      <w:spacing w:val="-2"/>
                      <w:lang w:val="en-US" w:eastAsia="zh-CN"/>
                    </w:rPr>
                    <w:t>资源利用效率</w:t>
                  </w:r>
                  <w:r>
                    <w:rPr>
                      <w:color w:val="auto"/>
                      <w:spacing w:val="-2"/>
                    </w:rPr>
                    <w:t>的准入要求</w:t>
                  </w:r>
                  <w:r>
                    <w:rPr>
                      <w:rFonts w:hint="eastAsia"/>
                      <w:color w:val="auto"/>
                      <w:spacing w:val="-2"/>
                      <w:lang w:eastAsia="zh-CN"/>
                    </w:rPr>
                    <w:t>。</w:t>
                  </w:r>
                </w:p>
              </w:tc>
              <w:tc>
                <w:tcPr>
                  <w:tcW w:w="505" w:type="pct"/>
                  <w:tcBorders>
                    <w:tl2br w:val="nil"/>
                    <w:tr2bl w:val="nil"/>
                  </w:tcBorders>
                  <w:vAlign w:val="center"/>
                </w:tcPr>
                <w:p w14:paraId="3A27B7F5">
                  <w:pPr>
                    <w:pStyle w:val="59"/>
                    <w:rPr>
                      <w:color w:val="auto"/>
                      <w:spacing w:val="-2"/>
                    </w:rPr>
                  </w:pPr>
                  <w:r>
                    <w:rPr>
                      <w:color w:val="auto"/>
                      <w:spacing w:val="-2"/>
                    </w:rPr>
                    <w:t>符合</w:t>
                  </w:r>
                </w:p>
              </w:tc>
            </w:tr>
          </w:tbl>
          <w:p w14:paraId="0240621F">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b/>
                <w:bCs/>
                <w:color w:val="auto"/>
                <w:kern w:val="0"/>
                <w:sz w:val="24"/>
              </w:rPr>
            </w:pPr>
            <w:r>
              <w:rPr>
                <w:rFonts w:ascii="Times New Roman" w:hAnsi="Times New Roman" w:eastAsia="宋体" w:cs="Times New Roman"/>
                <w:b/>
                <w:bCs/>
                <w:color w:val="auto"/>
                <w:kern w:val="0"/>
                <w:sz w:val="24"/>
                <w:szCs w:val="24"/>
                <w:lang w:val="en-US" w:eastAsia="zh-CN" w:bidi="ar-SA"/>
              </w:rPr>
              <w:t>5.</w:t>
            </w:r>
            <w:r>
              <w:rPr>
                <w:b/>
                <w:bCs/>
                <w:color w:val="auto"/>
                <w:kern w:val="0"/>
                <w:sz w:val="24"/>
              </w:rPr>
              <w:t>与《新疆生态环境保护“十四五”规划》的符合性分析</w:t>
            </w:r>
          </w:p>
          <w:p w14:paraId="6EAD5818">
            <w:pPr>
              <w:autoSpaceDE w:val="0"/>
              <w:autoSpaceDN w:val="0"/>
              <w:adjustRightInd w:val="0"/>
              <w:snapToGrid w:val="0"/>
              <w:spacing w:line="360" w:lineRule="auto"/>
              <w:ind w:firstLine="480" w:firstLineChars="200"/>
              <w:rPr>
                <w:color w:val="auto"/>
                <w:kern w:val="0"/>
                <w:sz w:val="24"/>
              </w:rPr>
            </w:pPr>
            <w:r>
              <w:rPr>
                <w:color w:val="auto"/>
                <w:kern w:val="0"/>
                <w:sz w:val="24"/>
              </w:rPr>
              <w:t>《新疆生态环境保护“十四五”规划》指出：“实施最严格的生态保护制度。坚决遏制“两高”项目盲目发展，严格执行能源、矿产资源开发自治区人民政府</w:t>
            </w:r>
            <w:r>
              <w:rPr>
                <w:rFonts w:hint="eastAsia"/>
                <w:color w:val="auto"/>
                <w:kern w:val="0"/>
                <w:sz w:val="24"/>
                <w:lang w:eastAsia="zh-CN"/>
              </w:rPr>
              <w:t>“</w:t>
            </w:r>
            <w:r>
              <w:rPr>
                <w:color w:val="auto"/>
                <w:kern w:val="0"/>
                <w:sz w:val="24"/>
              </w:rPr>
              <w:t>一支笔</w:t>
            </w:r>
            <w:r>
              <w:rPr>
                <w:rFonts w:hint="eastAsia"/>
                <w:color w:val="auto"/>
                <w:kern w:val="0"/>
                <w:sz w:val="24"/>
                <w:lang w:eastAsia="zh-CN"/>
              </w:rPr>
              <w:t>”</w:t>
            </w:r>
            <w:r>
              <w:rPr>
                <w:color w:val="auto"/>
                <w:kern w:val="0"/>
                <w:sz w:val="24"/>
              </w:rPr>
              <w:t>审批制度、环境保护</w:t>
            </w:r>
            <w:r>
              <w:rPr>
                <w:rFonts w:hint="eastAsia"/>
                <w:color w:val="auto"/>
                <w:kern w:val="0"/>
                <w:sz w:val="24"/>
                <w:lang w:eastAsia="zh-CN"/>
              </w:rPr>
              <w:t>“</w:t>
            </w:r>
            <w:r>
              <w:rPr>
                <w:color w:val="auto"/>
                <w:kern w:val="0"/>
                <w:sz w:val="24"/>
              </w:rPr>
              <w:t>一票否决</w:t>
            </w:r>
            <w:r>
              <w:rPr>
                <w:rFonts w:hint="eastAsia"/>
                <w:color w:val="auto"/>
                <w:kern w:val="0"/>
                <w:sz w:val="24"/>
                <w:lang w:eastAsia="zh-CN"/>
              </w:rPr>
              <w:t>”</w:t>
            </w:r>
            <w:r>
              <w:rPr>
                <w:color w:val="auto"/>
                <w:kern w:val="0"/>
                <w:sz w:val="24"/>
              </w:rPr>
              <w:t>制度，落实“三线一单”生态环境分区管控要求，守住生态保护红线、环境质量底线和资源利用上线，实施生态环境准入清单管控。”</w:t>
            </w:r>
          </w:p>
          <w:p w14:paraId="3B14206D">
            <w:pPr>
              <w:autoSpaceDE w:val="0"/>
              <w:autoSpaceDN w:val="0"/>
              <w:adjustRightInd w:val="0"/>
              <w:snapToGrid w:val="0"/>
              <w:spacing w:line="360" w:lineRule="auto"/>
              <w:ind w:firstLine="480" w:firstLineChars="200"/>
              <w:rPr>
                <w:color w:val="auto"/>
                <w:kern w:val="0"/>
                <w:sz w:val="24"/>
              </w:rPr>
            </w:pPr>
            <w:r>
              <w:rPr>
                <w:color w:val="auto"/>
                <w:kern w:val="0"/>
                <w:sz w:val="24"/>
              </w:rPr>
              <w:t>“强化区域大气污染联防联控，合理确定产业布局，推动区域内统一产业准入和排放标准。实施钢铁、水泥、焦化等行业季节性生产调控措施，推进散煤整治、挥发性有机污染物</w:t>
            </w:r>
            <w:r>
              <w:rPr>
                <w:rFonts w:hint="eastAsia"/>
                <w:color w:val="auto"/>
                <w:kern w:val="0"/>
                <w:sz w:val="24"/>
                <w:lang w:eastAsia="zh-CN"/>
              </w:rPr>
              <w:t>（</w:t>
            </w:r>
            <w:r>
              <w:rPr>
                <w:color w:val="auto"/>
                <w:kern w:val="0"/>
                <w:sz w:val="24"/>
              </w:rPr>
              <w:t>以下简称“VOCs”</w:t>
            </w:r>
            <w:r>
              <w:rPr>
                <w:rFonts w:hint="eastAsia"/>
                <w:color w:val="auto"/>
                <w:kern w:val="0"/>
                <w:sz w:val="24"/>
                <w:lang w:eastAsia="zh-CN"/>
              </w:rPr>
              <w:t>）</w:t>
            </w:r>
            <w:r>
              <w:rPr>
                <w:color w:val="auto"/>
                <w:kern w:val="0"/>
                <w:sz w:val="24"/>
              </w:rPr>
              <w:t>综合治理</w:t>
            </w:r>
            <w:r>
              <w:rPr>
                <w:rFonts w:hint="eastAsia"/>
                <w:color w:val="auto"/>
                <w:kern w:val="0"/>
                <w:sz w:val="24"/>
                <w:lang w:eastAsia="zh-CN"/>
              </w:rPr>
              <w:t>，</w:t>
            </w:r>
            <w:r>
              <w:rPr>
                <w:color w:val="auto"/>
                <w:kern w:val="0"/>
                <w:sz w:val="24"/>
              </w:rPr>
              <w:t>钢铁、水泥、焦化和燃煤工业锅炉行业超低排放改造、燃气锅炉低氮燃烧改造、工业园区内轨道运输</w:t>
            </w:r>
            <w:r>
              <w:rPr>
                <w:rFonts w:hint="eastAsia"/>
                <w:color w:val="auto"/>
                <w:kern w:val="0"/>
                <w:sz w:val="24"/>
                <w:lang w:eastAsia="zh-CN"/>
              </w:rPr>
              <w:t>（</w:t>
            </w:r>
            <w:r>
              <w:rPr>
                <w:color w:val="auto"/>
                <w:kern w:val="0"/>
                <w:sz w:val="24"/>
              </w:rPr>
              <w:t>大宗货物“公转铁”</w:t>
            </w:r>
            <w:r>
              <w:rPr>
                <w:rFonts w:hint="eastAsia"/>
                <w:color w:val="auto"/>
                <w:kern w:val="0"/>
                <w:sz w:val="24"/>
                <w:lang w:eastAsia="zh-CN"/>
              </w:rPr>
              <w:t>）</w:t>
            </w:r>
            <w:r>
              <w:rPr>
                <w:color w:val="auto"/>
                <w:kern w:val="0"/>
                <w:sz w:val="24"/>
              </w:rPr>
              <w:t>、柴油货车治理、锅炉炉窑综合治理等工程项目。全面推行绿色施工，持续推动城市建成区重污染企业搬迁或关闭退出。”</w:t>
            </w:r>
          </w:p>
          <w:p w14:paraId="41A2804A">
            <w:pPr>
              <w:autoSpaceDE w:val="0"/>
              <w:autoSpaceDN w:val="0"/>
              <w:adjustRightInd w:val="0"/>
              <w:snapToGrid w:val="0"/>
              <w:spacing w:line="360" w:lineRule="auto"/>
              <w:ind w:firstLine="480" w:firstLineChars="200"/>
              <w:rPr>
                <w:color w:val="auto"/>
                <w:kern w:val="0"/>
                <w:sz w:val="24"/>
              </w:rPr>
            </w:pPr>
            <w:r>
              <w:rPr>
                <w:color w:val="auto"/>
                <w:kern w:val="0"/>
                <w:sz w:val="24"/>
              </w:rPr>
              <w:t>“推进扬尘精细化管控。全面推行绿色施工，城市建成区建筑工地扬尘防控标准化管理全覆盖；加强城市道路清扫保洁和洒水抑尘，渣土车实施硬覆盖；推进低尘机械化作业水平，控制道路扬尘污染；强化非道路移动源综合治理；充分运用新型、高效的防尘、降尘、除尘技术，加强矿山粉尘治理。”</w:t>
            </w:r>
          </w:p>
          <w:p w14:paraId="24148ADF">
            <w:pPr>
              <w:autoSpaceDE w:val="0"/>
              <w:autoSpaceDN w:val="0"/>
              <w:adjustRightInd w:val="0"/>
              <w:snapToGrid w:val="0"/>
              <w:spacing w:line="360" w:lineRule="auto"/>
              <w:ind w:firstLine="480" w:firstLineChars="200"/>
              <w:rPr>
                <w:color w:val="auto"/>
                <w:kern w:val="0"/>
                <w:sz w:val="24"/>
                <w:highlight w:val="none"/>
              </w:rPr>
            </w:pPr>
            <w:r>
              <w:rPr>
                <w:color w:val="auto"/>
                <w:kern w:val="0"/>
                <w:sz w:val="24"/>
                <w:highlight w:val="none"/>
              </w:rPr>
              <w:t>本项目属于水泥制品制造业，不属于“两高”项目。本项目位于木垒县</w:t>
            </w:r>
            <w:r>
              <w:rPr>
                <w:rFonts w:hint="eastAsia"/>
                <w:color w:val="auto"/>
                <w:kern w:val="0"/>
                <w:sz w:val="24"/>
                <w:highlight w:val="none"/>
                <w:lang w:val="en-US" w:eastAsia="zh-CN"/>
              </w:rPr>
              <w:t>大石头风电场</w:t>
            </w:r>
            <w:r>
              <w:rPr>
                <w:color w:val="auto"/>
                <w:kern w:val="0"/>
                <w:sz w:val="24"/>
                <w:highlight w:val="none"/>
              </w:rPr>
              <w:t>，</w:t>
            </w:r>
            <w:r>
              <w:rPr>
                <w:rFonts w:hint="eastAsia"/>
                <w:color w:val="auto"/>
                <w:kern w:val="0"/>
                <w:sz w:val="24"/>
                <w:highlight w:val="none"/>
                <w:lang w:val="en-US" w:eastAsia="zh-CN"/>
              </w:rPr>
              <w:t>不涉及新疆的生态保护红线和昌吉州的生态保护红线</w:t>
            </w:r>
            <w:r>
              <w:rPr>
                <w:color w:val="auto"/>
                <w:kern w:val="0"/>
                <w:sz w:val="24"/>
                <w:highlight w:val="none"/>
              </w:rPr>
              <w:t>，</w:t>
            </w:r>
            <w:r>
              <w:rPr>
                <w:rFonts w:hint="eastAsia"/>
                <w:color w:val="auto"/>
                <w:kern w:val="0"/>
                <w:sz w:val="24"/>
                <w:highlight w:val="none"/>
                <w:lang w:val="en-US" w:eastAsia="zh-CN"/>
              </w:rPr>
              <w:t>符合</w:t>
            </w:r>
            <w:r>
              <w:rPr>
                <w:color w:val="auto"/>
                <w:kern w:val="0"/>
                <w:sz w:val="24"/>
                <w:highlight w:val="none"/>
              </w:rPr>
              <w:t>“三线一单”生态环境分区管控要求。</w:t>
            </w:r>
          </w:p>
          <w:p w14:paraId="37CE4C1E">
            <w:pPr>
              <w:autoSpaceDE w:val="0"/>
              <w:autoSpaceDN w:val="0"/>
              <w:adjustRightInd w:val="0"/>
              <w:snapToGrid w:val="0"/>
              <w:spacing w:line="360" w:lineRule="auto"/>
              <w:ind w:firstLine="480" w:firstLineChars="200"/>
              <w:rPr>
                <w:color w:val="auto"/>
                <w:kern w:val="0"/>
                <w:sz w:val="24"/>
                <w:highlight w:val="none"/>
              </w:rPr>
            </w:pPr>
            <w:r>
              <w:rPr>
                <w:rFonts w:ascii="Times New Roman" w:hAnsi="Times New Roman" w:eastAsia="宋体" w:cs="Times New Roman"/>
                <w:color w:val="auto"/>
                <w:kern w:val="0"/>
                <w:sz w:val="24"/>
              </w:rPr>
              <w:t>本</w:t>
            </w:r>
            <w:r>
              <w:rPr>
                <w:color w:val="auto"/>
                <w:kern w:val="0"/>
                <w:sz w:val="24"/>
                <w:highlight w:val="none"/>
              </w:rPr>
              <w:t>项目</w:t>
            </w:r>
            <w:r>
              <w:rPr>
                <w:rFonts w:ascii="Times New Roman" w:hAnsi="Times New Roman" w:eastAsia="宋体" w:cs="Times New Roman"/>
                <w:color w:val="auto"/>
                <w:kern w:val="0"/>
                <w:sz w:val="24"/>
                <w:highlight w:val="none"/>
              </w:rPr>
              <w:t>生产产生的</w:t>
            </w:r>
            <w:r>
              <w:rPr>
                <w:rFonts w:hint="eastAsia" w:ascii="Times New Roman" w:hAnsi="Times New Roman" w:eastAsia="宋体" w:cs="Times New Roman"/>
                <w:color w:val="auto"/>
                <w:kern w:val="0"/>
                <w:sz w:val="24"/>
                <w:highlight w:val="none"/>
                <w:lang w:val="en-US" w:eastAsia="zh-CN"/>
              </w:rPr>
              <w:t>有组织</w:t>
            </w:r>
            <w:r>
              <w:rPr>
                <w:rFonts w:ascii="Times New Roman" w:hAnsi="Times New Roman" w:eastAsia="宋体" w:cs="Times New Roman"/>
                <w:color w:val="auto"/>
                <w:kern w:val="0"/>
                <w:sz w:val="24"/>
                <w:highlight w:val="none"/>
              </w:rPr>
              <w:t>废气污染物</w:t>
            </w:r>
            <w:r>
              <w:rPr>
                <w:rFonts w:hint="eastAsia" w:ascii="Times New Roman" w:hAnsi="Times New Roman" w:eastAsia="宋体" w:cs="Times New Roman"/>
                <w:color w:val="auto"/>
                <w:kern w:val="0"/>
                <w:sz w:val="24"/>
                <w:highlight w:val="none"/>
                <w:lang w:val="en-US" w:eastAsia="zh-CN"/>
              </w:rPr>
              <w:t>主要为搅拌粉尘，</w:t>
            </w:r>
            <w:r>
              <w:rPr>
                <w:rFonts w:hint="eastAsia" w:ascii="Times New Roman" w:hAnsi="Times New Roman" w:eastAsia="宋体" w:cs="Times New Roman"/>
                <w:color w:val="auto"/>
                <w:kern w:val="0"/>
                <w:sz w:val="24"/>
                <w:lang w:val="en-US" w:eastAsia="zh-CN"/>
              </w:rPr>
              <w:t>搅拌设备位于密闭搅拌楼中，搅拌机带有脉冲布袋除尘器，产生的有组织废气</w:t>
            </w:r>
            <w:r>
              <w:rPr>
                <w:rFonts w:ascii="Times New Roman" w:hAnsi="Times New Roman" w:eastAsia="宋体" w:cs="Times New Roman"/>
                <w:color w:val="auto"/>
                <w:kern w:val="0"/>
                <w:sz w:val="24"/>
                <w:highlight w:val="none"/>
              </w:rPr>
              <w:t>执行《水泥工业大气污染物排放标准》（GB4915-2013）表</w:t>
            </w:r>
            <w:r>
              <w:rPr>
                <w:rFonts w:hint="eastAsia" w:ascii="Times New Roman" w:hAnsi="Times New Roman" w:eastAsia="宋体" w:cs="Times New Roman"/>
                <w:color w:val="auto"/>
                <w:kern w:val="0"/>
                <w:sz w:val="24"/>
                <w:highlight w:val="none"/>
                <w:lang w:val="en-US" w:eastAsia="zh-CN"/>
              </w:rPr>
              <w:t>1现有与新建企业大气污染物排放限值要求</w:t>
            </w:r>
            <w:r>
              <w:rPr>
                <w:rFonts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无组织</w:t>
            </w:r>
            <w:r>
              <w:rPr>
                <w:rFonts w:ascii="Times New Roman" w:hAnsi="Times New Roman" w:eastAsia="宋体" w:cs="Times New Roman"/>
                <w:color w:val="auto"/>
                <w:kern w:val="0"/>
                <w:sz w:val="24"/>
                <w:highlight w:val="none"/>
              </w:rPr>
              <w:t>废气污染物</w:t>
            </w:r>
            <w:r>
              <w:rPr>
                <w:rFonts w:hint="eastAsia" w:ascii="Times New Roman" w:hAnsi="Times New Roman" w:eastAsia="宋体" w:cs="Times New Roman"/>
                <w:color w:val="auto"/>
                <w:kern w:val="0"/>
                <w:sz w:val="24"/>
                <w:highlight w:val="none"/>
                <w:lang w:val="en-US" w:eastAsia="zh-CN"/>
              </w:rPr>
              <w:t>主要为筒仓粉尘、卸料粉尘和料场扬尘，每个水泥和粉煤灰筒仓呼吸口设有袋式除尘器，砂石料堆场为半封闭，物料覆盖篷布，堆场每天洒水降尘，运输车辆封闭遮盖，粉料采用密闭罐车运输，车辆清洗，地面洒水降尘、及时清扫，产生的无组织废气执行《水泥工业大气污染物排放标准》（GB4915-2013）表3大气污染物无组织排放限值要求，对周围环境影响</w:t>
            </w:r>
            <w:r>
              <w:rPr>
                <w:color w:val="auto"/>
                <w:kern w:val="0"/>
                <w:sz w:val="24"/>
                <w:highlight w:val="none"/>
              </w:rPr>
              <w:t>较小。本项目施工期全面落实“六个百分之百”，加强道路扬尘整治，提升综合防控水平。因此，与《新疆生态环境保护“十四五”规划》相符合。</w:t>
            </w:r>
          </w:p>
          <w:p w14:paraId="5F7EFD03">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b/>
                <w:bCs/>
                <w:color w:val="auto"/>
                <w:kern w:val="0"/>
                <w:sz w:val="24"/>
              </w:rPr>
            </w:pPr>
            <w:r>
              <w:rPr>
                <w:rFonts w:ascii="Times New Roman" w:hAnsi="Times New Roman" w:eastAsia="宋体" w:cs="Times New Roman"/>
                <w:b/>
                <w:bCs/>
                <w:color w:val="auto"/>
                <w:kern w:val="0"/>
                <w:sz w:val="24"/>
                <w:szCs w:val="24"/>
                <w:lang w:val="en-US" w:eastAsia="zh-CN" w:bidi="ar-SA"/>
              </w:rPr>
              <w:t>6.</w:t>
            </w:r>
            <w:r>
              <w:rPr>
                <w:rFonts w:hint="eastAsia"/>
                <w:b/>
                <w:bCs/>
                <w:color w:val="auto"/>
                <w:kern w:val="0"/>
                <w:sz w:val="24"/>
                <w:lang w:val="en-US" w:eastAsia="zh-CN"/>
              </w:rPr>
              <w:t>与《昌吉回族自治州生态环境保护与建设“十四五”规划》的符合性分析</w:t>
            </w:r>
          </w:p>
          <w:p w14:paraId="510DC0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根据《昌吉回族自治州生态环境保护与建设“十四五”规划》中的相关内容：深化工业污染治理。实施工业企业物料封闭化管理专项整治，使全州各县市（园区）贮存煤炭、煤矸石、煤渣、水泥、石灰、石膏、砂土等易产生扬尘的物料全部实现密闭、密封储存，企业无组织排放等扬尘污染得到有效控制。</w:t>
            </w:r>
          </w:p>
          <w:p w14:paraId="7D9AD4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科学制定工业企业扬尘管控方案，在保障生产安全的前提下，生产设备采取密闭、封闭等有效措施，提高废气收集效率，产尘点及车间不得有可见烟粉尘外逸。</w:t>
            </w:r>
          </w:p>
          <w:p w14:paraId="66367DB4">
            <w:pPr>
              <w:pStyle w:val="3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default"/>
                <w:color w:val="auto"/>
                <w:highlight w:val="none"/>
                <w:lang w:val="en-US" w:eastAsia="zh-CN"/>
              </w:rPr>
            </w:pPr>
            <w:r>
              <w:rPr>
                <w:rFonts w:hint="eastAsia"/>
                <w:color w:val="auto"/>
                <w:sz w:val="24"/>
                <w:szCs w:val="24"/>
                <w:highlight w:val="none"/>
                <w:lang w:val="en-US" w:eastAsia="zh-CN"/>
              </w:rPr>
              <w:t>本项目属于水泥制品制造业，项目使用的原材料分别贮存于筒仓中，各个</w:t>
            </w:r>
            <w:r>
              <w:rPr>
                <w:rFonts w:hint="eastAsia"/>
                <w:snapToGrid/>
                <w:color w:val="auto"/>
                <w:sz w:val="24"/>
                <w:szCs w:val="24"/>
                <w:highlight w:val="none"/>
                <w:lang w:val="en-US" w:eastAsia="zh-CN"/>
              </w:rPr>
              <w:t>筒仓设有脉冲布袋除尘器，存放原材料时产生的粉尘当场处理</w:t>
            </w:r>
            <w:r>
              <w:rPr>
                <w:rFonts w:hint="eastAsia"/>
                <w:color w:val="auto"/>
                <w:sz w:val="24"/>
                <w:szCs w:val="24"/>
                <w:highlight w:val="none"/>
                <w:lang w:val="en-US" w:eastAsia="zh-CN"/>
              </w:rPr>
              <w:t>，有效减少了筒仓无组织扬尘的排放。</w:t>
            </w:r>
            <w:r>
              <w:rPr>
                <w:rFonts w:hint="eastAsia"/>
                <w:snapToGrid/>
                <w:color w:val="auto"/>
                <w:sz w:val="24"/>
                <w:szCs w:val="24"/>
                <w:highlight w:val="none"/>
                <w:lang w:val="en-US" w:eastAsia="zh-CN"/>
              </w:rPr>
              <w:t>搅拌机自带袋式除尘设备，并且搅拌设备置于搅拌楼，不会对外界大气产生影响。</w:t>
            </w:r>
            <w:r>
              <w:rPr>
                <w:rFonts w:hint="eastAsia"/>
                <w:color w:val="auto"/>
                <w:sz w:val="24"/>
                <w:szCs w:val="24"/>
                <w:highlight w:val="none"/>
                <w:lang w:val="en-US" w:eastAsia="zh-CN"/>
              </w:rPr>
              <w:t>满足实施工业企业物料封闭化管理专项整治，使全州各县市（园区）贮存煤炭、煤矸石、煤渣、水泥、石灰、石膏、砂土等易产生扬尘的物料全部实现密闭、密封储存和</w:t>
            </w:r>
            <w:r>
              <w:rPr>
                <w:rFonts w:hint="eastAsia"/>
                <w:color w:val="auto"/>
                <w:sz w:val="24"/>
                <w:szCs w:val="24"/>
                <w:lang w:val="en-US" w:eastAsia="zh-CN"/>
              </w:rPr>
              <w:t>在保障生产安全的前提下，生产设备采取密闭、封闭等有效措施，提高废气收集效率，产尘点及车间不得有可见烟粉尘外逸</w:t>
            </w:r>
            <w:r>
              <w:rPr>
                <w:rFonts w:hint="eastAsia"/>
                <w:color w:val="auto"/>
                <w:sz w:val="24"/>
                <w:szCs w:val="24"/>
                <w:highlight w:val="none"/>
                <w:lang w:val="en-US" w:eastAsia="zh-CN"/>
              </w:rPr>
              <w:t>的要求，故本项目符合《昌吉回族自治州生态环境保护与建设“十四五”规划》中的相关要求。</w:t>
            </w:r>
          </w:p>
          <w:p w14:paraId="398206AE">
            <w:pPr>
              <w:pStyle w:val="26"/>
              <w:numPr>
                <w:ilvl w:val="0"/>
                <w:numId w:val="0"/>
              </w:numPr>
              <w:spacing w:after="0" w:line="360" w:lineRule="auto"/>
              <w:ind w:left="0" w:leftChars="0" w:firstLine="0" w:firstLineChars="0"/>
              <w:rPr>
                <w:rFonts w:ascii="Times New Roman" w:hAnsi="Times New Roman" w:eastAsia="宋体" w:cs="Times New Roman"/>
                <w:b/>
                <w:bCs/>
                <w:color w:val="auto"/>
                <w:kern w:val="0"/>
                <w:sz w:val="24"/>
                <w:szCs w:val="24"/>
                <w:lang w:val="en-US" w:eastAsia="zh-CN" w:bidi="ar-SA"/>
              </w:rPr>
            </w:pPr>
            <w:r>
              <w:rPr>
                <w:rFonts w:ascii="Times New Roman" w:hAnsi="Times New Roman" w:eastAsia="宋体" w:cs="Times New Roman"/>
                <w:b/>
                <w:bCs/>
                <w:color w:val="auto"/>
                <w:kern w:val="0"/>
                <w:sz w:val="24"/>
                <w:szCs w:val="24"/>
                <w:lang w:val="en-US" w:eastAsia="zh-CN" w:bidi="ar-SA"/>
              </w:rPr>
              <w:t>7.与《新疆维吾尔自治区大气污染防治条例》的符合性分析</w:t>
            </w:r>
          </w:p>
          <w:p w14:paraId="18FAB5F1">
            <w:pPr>
              <w:autoSpaceDE w:val="0"/>
              <w:autoSpaceDN w:val="0"/>
              <w:adjustRightInd w:val="0"/>
              <w:snapToGrid w:val="0"/>
              <w:spacing w:line="360" w:lineRule="auto"/>
              <w:ind w:firstLine="480" w:firstLineChars="200"/>
              <w:rPr>
                <w:color w:val="auto"/>
                <w:kern w:val="0"/>
                <w:sz w:val="24"/>
              </w:rPr>
            </w:pPr>
            <w:r>
              <w:rPr>
                <w:color w:val="auto"/>
                <w:kern w:val="0"/>
                <w:sz w:val="24"/>
              </w:rPr>
              <w:t>根据《新疆维吾尔自治区大气污染防治条例》中的相关内容：</w:t>
            </w:r>
            <w:r>
              <w:rPr>
                <w:rFonts w:hint="eastAsia"/>
                <w:color w:val="auto"/>
                <w:kern w:val="0"/>
                <w:sz w:val="24"/>
                <w:lang w:eastAsia="zh-CN"/>
              </w:rPr>
              <w:t>“</w:t>
            </w:r>
            <w:r>
              <w:rPr>
                <w:color w:val="auto"/>
                <w:kern w:val="0"/>
                <w:sz w:val="24"/>
              </w:rPr>
              <w:t>禁止在自治区行政区域内引进能（水）耗不符合相关国家标准中准入值要求且污染物排放和环境风险防控不符合国家（地方）标准及有关产业准入条件的高污染（排放）、高能（水）耗、高环境风险的工业项目。禁止新建、改建、扩建列入淘汰类目录的高污染工业项目。禁止使用列入淘汰类目录的工艺、设备、产品。”</w:t>
            </w:r>
          </w:p>
          <w:p w14:paraId="2C0B4B49">
            <w:pPr>
              <w:autoSpaceDE w:val="0"/>
              <w:autoSpaceDN w:val="0"/>
              <w:adjustRightInd w:val="0"/>
              <w:snapToGrid w:val="0"/>
              <w:spacing w:line="360" w:lineRule="auto"/>
              <w:ind w:firstLine="480" w:firstLineChars="200"/>
              <w:rPr>
                <w:color w:val="auto"/>
                <w:kern w:val="0"/>
                <w:sz w:val="24"/>
                <w:highlight w:val="none"/>
              </w:rPr>
            </w:pPr>
            <w:r>
              <w:rPr>
                <w:color w:val="auto"/>
                <w:kern w:val="0"/>
                <w:sz w:val="24"/>
                <w:highlight w:val="none"/>
              </w:rPr>
              <w:t>本项目属于“允许类”，不属于高污染（排放）、高能（水）耗、高环境风险的工业项目，不属于淘汰类目录的高污染工业项目，</w:t>
            </w:r>
            <w:r>
              <w:rPr>
                <w:rFonts w:hint="eastAsia"/>
                <w:color w:val="auto"/>
                <w:kern w:val="0"/>
                <w:sz w:val="24"/>
                <w:highlight w:val="none"/>
                <w:lang w:val="en-US" w:eastAsia="zh-CN"/>
              </w:rPr>
              <w:t>未使用列入淘汰类目录的工艺、设备、产品</w:t>
            </w:r>
            <w:r>
              <w:rPr>
                <w:color w:val="auto"/>
                <w:kern w:val="0"/>
                <w:sz w:val="24"/>
                <w:highlight w:val="none"/>
              </w:rPr>
              <w:t>，符合《新疆维吾尔自治区大气污染防治条例》</w:t>
            </w:r>
            <w:r>
              <w:rPr>
                <w:rFonts w:hint="eastAsia"/>
                <w:color w:val="auto"/>
                <w:kern w:val="0"/>
                <w:sz w:val="24"/>
                <w:highlight w:val="none"/>
                <w:lang w:val="en-US" w:eastAsia="zh-CN"/>
              </w:rPr>
              <w:t>中的相关内容</w:t>
            </w:r>
            <w:r>
              <w:rPr>
                <w:color w:val="auto"/>
                <w:kern w:val="0"/>
                <w:sz w:val="24"/>
                <w:highlight w:val="none"/>
              </w:rPr>
              <w:t>。</w:t>
            </w:r>
          </w:p>
          <w:p w14:paraId="01999AFD">
            <w:pPr>
              <w:numPr>
                <w:ilvl w:val="0"/>
                <w:numId w:val="0"/>
              </w:numPr>
              <w:spacing w:line="360" w:lineRule="auto"/>
              <w:jc w:val="left"/>
              <w:rPr>
                <w:rFonts w:hint="eastAsia" w:ascii="Times New Roman" w:hAnsi="Times New Roman" w:eastAsia="宋体" w:cs="Times New Roman"/>
                <w:b/>
                <w:bCs/>
                <w:color w:val="auto"/>
                <w:kern w:val="0"/>
                <w:sz w:val="24"/>
                <w:lang w:val="en-US" w:eastAsia="zh-CN"/>
              </w:rPr>
            </w:pPr>
            <w:r>
              <w:rPr>
                <w:rFonts w:hint="eastAsia" w:ascii="Times New Roman" w:hAnsi="Times New Roman" w:eastAsia="宋体" w:cs="Times New Roman"/>
                <w:b/>
                <w:bCs/>
                <w:color w:val="auto"/>
                <w:kern w:val="0"/>
                <w:sz w:val="24"/>
                <w:szCs w:val="24"/>
                <w:lang w:val="en-US" w:eastAsia="zh-CN" w:bidi="ar-SA"/>
              </w:rPr>
              <w:t>8.</w:t>
            </w:r>
            <w:r>
              <w:rPr>
                <w:rFonts w:hint="eastAsia" w:ascii="Times New Roman" w:hAnsi="Times New Roman" w:eastAsia="宋体" w:cs="Times New Roman"/>
                <w:b/>
                <w:bCs/>
                <w:color w:val="auto"/>
                <w:kern w:val="0"/>
                <w:sz w:val="24"/>
                <w:lang w:val="en-US" w:eastAsia="zh-CN"/>
              </w:rPr>
              <w:t>与《空气质量持续改善行动计划》(国发[2023]24 号)的符合性分析</w:t>
            </w:r>
          </w:p>
          <w:p w14:paraId="454ACBE6">
            <w:pPr>
              <w:autoSpaceDE w:val="0"/>
              <w:autoSpaceDN w:val="0"/>
              <w:adjustRightInd w:val="0"/>
              <w:snapToGrid w:val="0"/>
              <w:spacing w:line="360" w:lineRule="auto"/>
              <w:ind w:firstLine="480" w:firstLineChars="200"/>
              <w:rPr>
                <w:rFonts w:hint="eastAsia"/>
                <w:color w:val="000000" w:themeColor="text1"/>
                <w:kern w:val="0"/>
                <w:sz w:val="24"/>
                <w:highlight w:val="none"/>
                <w:lang w:val="en-US" w:eastAsia="zh-CN"/>
                <w14:textFill>
                  <w14:solidFill>
                    <w14:schemeClr w14:val="tx1"/>
                  </w14:solidFill>
                </w14:textFill>
              </w:rPr>
            </w:pPr>
            <w:r>
              <w:rPr>
                <w:rFonts w:hint="eastAsia"/>
                <w:color w:val="auto"/>
                <w:kern w:val="0"/>
                <w:sz w:val="24"/>
                <w:highlight w:val="none"/>
                <w:lang w:val="en-US" w:eastAsia="zh-CN"/>
              </w:rPr>
              <w:t>根据《空气质量持续改善行动计划》（国发[2023]24号）中的相关内容“（一）指导思想。以习近平新时代中国特色社会主义思想为指导,全面贯彻党的二十大精神，深入贯彻习近平生态文明思想，落实全国生态环境保护大会部署，坚持稳中求进工作总基调，协同推进降碳减污、扩绿、增长，以改善空气质量为核心，以减少重污染天气和解决人民群众身边的突出大气环境问题为重点，以降低细颗粒物（PM2.5）浓度为主线，大力推动氮氧化物和挥发性有机物（VOCs）减排；开展区域协同治理，突出精准、科学、依法治污，完善大气环境管理体系提升污染防治能力;远近结合研究谋划大气污染防治路径，扎实推进产业、能源、交通绿色</w:t>
            </w:r>
            <w:r>
              <w:rPr>
                <w:rFonts w:hint="eastAsia"/>
                <w:color w:val="000000" w:themeColor="text1"/>
                <w:kern w:val="0"/>
                <w:sz w:val="24"/>
                <w:highlight w:val="none"/>
                <w:lang w:val="en-US" w:eastAsia="zh-CN"/>
                <w14:textFill>
                  <w14:solidFill>
                    <w14:schemeClr w14:val="tx1"/>
                  </w14:solidFill>
                </w14:textFill>
              </w:rPr>
              <w:t>低碳转型，强化面源污染治理，加强源头防控加快形成绿色低碳生产生活方式，实现环境效益、经济效益和社会效益多赢”。</w:t>
            </w:r>
          </w:p>
          <w:p w14:paraId="0BDA9571">
            <w:pPr>
              <w:autoSpaceDE w:val="0"/>
              <w:autoSpaceDN w:val="0"/>
              <w:adjustRightInd w:val="0"/>
              <w:snapToGrid w:val="0"/>
              <w:spacing w:line="360" w:lineRule="auto"/>
              <w:ind w:firstLine="480" w:firstLineChars="200"/>
              <w:rPr>
                <w:rFonts w:hint="eastAsia"/>
                <w:color w:val="000000" w:themeColor="text1"/>
                <w:kern w:val="0"/>
                <w:sz w:val="24"/>
                <w:highlight w:val="none"/>
                <w:lang w:val="en-US"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本项目产生的废气主要为颗粒物，项目运营过程中产生搅拌粉尘、筒仓粉尘、料场扬尘及运输扬尘均采取有效的环保治理措施进行处理，处理后的废气均能满足排放标准，对周围的环境影响不大。因此，项目的建设符合《空气质量持续改善行动计划》（国发[2023]24号）。</w:t>
            </w:r>
          </w:p>
          <w:p w14:paraId="0635A63F">
            <w:pPr>
              <w:autoSpaceDE w:val="0"/>
              <w:autoSpaceDN w:val="0"/>
              <w:adjustRightInd w:val="0"/>
              <w:snapToGrid w:val="0"/>
              <w:spacing w:line="360" w:lineRule="auto"/>
              <w:rPr>
                <w:rFonts w:hint="default" w:cs="Times New Roman"/>
                <w:b/>
                <w:bCs/>
                <w:color w:val="000000" w:themeColor="text1"/>
                <w:kern w:val="0"/>
                <w:sz w:val="24"/>
                <w:szCs w:val="24"/>
                <w:lang w:val="en-US" w:eastAsia="zh-CN" w:bidi="ar-SA"/>
                <w14:textFill>
                  <w14:solidFill>
                    <w14:schemeClr w14:val="tx1"/>
                  </w14:solidFill>
                </w14:textFill>
              </w:rPr>
            </w:pPr>
            <w:r>
              <w:rPr>
                <w:rFonts w:hint="eastAsia" w:cs="Times New Roman"/>
                <w:b/>
                <w:bCs/>
                <w:color w:val="000000" w:themeColor="text1"/>
                <w:kern w:val="0"/>
                <w:sz w:val="24"/>
                <w:szCs w:val="24"/>
                <w:lang w:val="en-US" w:eastAsia="zh-CN" w:bidi="ar-SA"/>
                <w14:textFill>
                  <w14:solidFill>
                    <w14:schemeClr w14:val="tx1"/>
                  </w14:solidFill>
                </w14:textFill>
              </w:rPr>
              <w:t>9.与《关于深入打好污染防治攻坚战的实施方案》的符合性分析</w:t>
            </w:r>
          </w:p>
          <w:p w14:paraId="1DA67BD4">
            <w:pPr>
              <w:autoSpaceDE w:val="0"/>
              <w:autoSpaceDN w:val="0"/>
              <w:adjustRightInd w:val="0"/>
              <w:snapToGrid w:val="0"/>
              <w:spacing w:line="360" w:lineRule="auto"/>
              <w:ind w:firstLine="480" w:firstLineChars="200"/>
              <w:rPr>
                <w:rFonts w:hint="eastAsia"/>
                <w:color w:val="000000" w:themeColor="text1"/>
                <w:kern w:val="0"/>
                <w:sz w:val="24"/>
                <w:lang w:eastAsia="zh-CN"/>
                <w14:textFill>
                  <w14:solidFill>
                    <w14:schemeClr w14:val="tx1"/>
                  </w14:solidFill>
                </w14:textFill>
              </w:rPr>
            </w:pPr>
            <w:r>
              <w:rPr>
                <w:color w:val="000000" w:themeColor="text1"/>
                <w:kern w:val="0"/>
                <w:sz w:val="24"/>
                <w14:textFill>
                  <w14:solidFill>
                    <w14:schemeClr w14:val="tx1"/>
                  </w14:solidFill>
                </w14:textFill>
              </w:rPr>
              <w:t>根据《</w:t>
            </w:r>
            <w:r>
              <w:rPr>
                <w:rFonts w:hint="eastAsia"/>
                <w:color w:val="000000" w:themeColor="text1"/>
                <w:kern w:val="0"/>
                <w:sz w:val="24"/>
                <w:lang w:val="en-US" w:eastAsia="zh-CN"/>
                <w14:textFill>
                  <w14:solidFill>
                    <w14:schemeClr w14:val="tx1"/>
                  </w14:solidFill>
                </w14:textFill>
              </w:rPr>
              <w:t>关于深入打好污染防治攻坚战的实施方案</w:t>
            </w:r>
            <w:r>
              <w:rPr>
                <w:color w:val="000000" w:themeColor="text1"/>
                <w:kern w:val="0"/>
                <w:sz w:val="24"/>
                <w14:textFill>
                  <w14:solidFill>
                    <w14:schemeClr w14:val="tx1"/>
                  </w14:solidFill>
                </w14:textFill>
              </w:rPr>
              <w:t>》中的相关内容：</w:t>
            </w:r>
            <w:r>
              <w:rPr>
                <w:rFonts w:hint="eastAsia"/>
                <w:color w:val="000000" w:themeColor="text1"/>
                <w:kern w:val="0"/>
                <w:sz w:val="24"/>
                <w:lang w:eastAsia="zh-CN"/>
                <w14:textFill>
                  <w14:solidFill>
                    <w14:schemeClr w14:val="tx1"/>
                  </w14:solidFill>
                </w14:textFill>
              </w:rPr>
              <w:t>“（七）坚决遏制高耗能高排放低水平项目盲目发展。严把高耗能高排放低水平项目准入关口，严格落实污染物排放区域削减要求，对不符合规定的项目坚决停批停建。依法依规淘汰落后产能和化解过剩产能；（十四）加强大气面源和噪声污染治理。提升城市精细化管理水平，强化施工、道路、堆场、裸露地面等扬尘管控，加强城市保洁和清扫。加大餐饮油烟污染、恶臭异味治理力度。强化秸秆综合利用和禁烧管控。深化消耗臭氧层物质和氢氟碳化物环境管理。实施噪声污染防治行动，畅通噪声污染投诉渠道，加快解决群众关心的突出噪声问题。”</w:t>
            </w:r>
          </w:p>
          <w:p w14:paraId="3D90DBB7">
            <w:pPr>
              <w:autoSpaceDE w:val="0"/>
              <w:autoSpaceDN w:val="0"/>
              <w:adjustRightInd w:val="0"/>
              <w:snapToGrid w:val="0"/>
              <w:spacing w:line="360" w:lineRule="auto"/>
              <w:ind w:firstLine="480" w:firstLineChars="200"/>
              <w:rPr>
                <w:rFonts w:hint="default" w:eastAsia="宋体"/>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本项目严格控制生产耗能和污染排放，不属于高耗能高排放低水平项目，不属于《产业结构调整指导目录（2024年本）》中的淘汰类项目；施工期和运营期由施工、道路、堆场、裸露地面产生的扬尘均采取有效的环保治理措施进行处理，处理后的废气均能满足排放标准；食堂</w:t>
            </w:r>
            <w:r>
              <w:rPr>
                <w:rFonts w:ascii="Times New Roman" w:hAnsi="Times New Roman" w:eastAsia="宋体" w:cs="Times New Roman"/>
                <w:color w:val="000000" w:themeColor="text1"/>
                <w:kern w:val="0"/>
                <w:sz w:val="24"/>
                <w14:textFill>
                  <w14:solidFill>
                    <w14:schemeClr w14:val="tx1"/>
                  </w14:solidFill>
                </w14:textFill>
              </w:rPr>
              <w:t>安装</w:t>
            </w:r>
            <w:r>
              <w:rPr>
                <w:rFonts w:hint="eastAsia" w:cs="Times New Roman"/>
                <w:color w:val="000000" w:themeColor="text1"/>
                <w:kern w:val="0"/>
                <w:sz w:val="24"/>
                <w:lang w:val="en-US" w:eastAsia="zh-CN"/>
                <w14:textFill>
                  <w14:solidFill>
                    <w14:schemeClr w14:val="tx1"/>
                  </w14:solidFill>
                </w14:textFill>
              </w:rPr>
              <w:t>有</w:t>
            </w:r>
            <w:r>
              <w:rPr>
                <w:rFonts w:ascii="Times New Roman" w:hAnsi="Times New Roman" w:eastAsia="宋体" w:cs="Times New Roman"/>
                <w:color w:val="000000" w:themeColor="text1"/>
                <w:kern w:val="0"/>
                <w:sz w:val="24"/>
                <w14:textFill>
                  <w14:solidFill>
                    <w14:schemeClr w14:val="tx1"/>
                  </w14:solidFill>
                </w14:textFill>
              </w:rPr>
              <w:t>国家认可的单位检测合格的油烟净化设施</w:t>
            </w:r>
            <w:r>
              <w:rPr>
                <w:rFonts w:hint="eastAsia" w:cs="Times New Roman"/>
                <w:color w:val="000000" w:themeColor="text1"/>
                <w:kern w:val="0"/>
                <w:sz w:val="24"/>
                <w:lang w:eastAsia="zh-CN"/>
                <w14:textFill>
                  <w14:solidFill>
                    <w14:schemeClr w14:val="tx1"/>
                  </w14:solidFill>
                </w14:textFill>
              </w:rPr>
              <w:t>，</w:t>
            </w:r>
            <w:r>
              <w:rPr>
                <w:rFonts w:hint="eastAsia" w:cs="Times New Roman"/>
                <w:color w:val="000000" w:themeColor="text1"/>
                <w:kern w:val="0"/>
                <w:sz w:val="24"/>
                <w:lang w:val="en-US" w:eastAsia="zh-CN"/>
                <w14:textFill>
                  <w14:solidFill>
                    <w14:schemeClr w14:val="tx1"/>
                  </w14:solidFill>
                </w14:textFill>
              </w:rPr>
              <w:t>经过处理的油烟经专用烟道排放，对周围环境影响不大；机械设备定期进行维护升级以减少噪声的排放，经过</w:t>
            </w:r>
            <w:r>
              <w:rPr>
                <w:rFonts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生产车间的墙体</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及其他</w:t>
            </w:r>
            <w:r>
              <w:rPr>
                <w:rFonts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控制措施等对声源削减</w:t>
            </w:r>
            <w:r>
              <w:rPr>
                <w:rFonts w:hint="eastAsia" w:cs="Times New Roman"/>
                <w:color w:val="000000" w:themeColor="text1"/>
                <w:kern w:val="0"/>
                <w:sz w:val="24"/>
                <w:szCs w:val="24"/>
                <w:highlight w:val="none"/>
                <w:lang w:val="en-US" w:eastAsia="zh-CN" w:bidi="ar-SA"/>
                <w14:textFill>
                  <w14:solidFill>
                    <w14:schemeClr w14:val="tx1"/>
                  </w14:solidFill>
                </w14:textFill>
              </w:rPr>
              <w:t>，噪声排放能满足相关排放标准。</w:t>
            </w:r>
            <w:r>
              <w:rPr>
                <w:rFonts w:hint="eastAsia"/>
                <w:color w:val="000000" w:themeColor="text1"/>
                <w:kern w:val="0"/>
                <w:sz w:val="24"/>
                <w:highlight w:val="none"/>
                <w:lang w:val="en-US" w:eastAsia="zh-CN"/>
                <w14:textFill>
                  <w14:solidFill>
                    <w14:schemeClr w14:val="tx1"/>
                  </w14:solidFill>
                </w14:textFill>
              </w:rPr>
              <w:t>因此，项目的建设符合《关于深入打好污染防治攻坚战的实施方案》。</w:t>
            </w:r>
          </w:p>
          <w:p w14:paraId="1F37652D">
            <w:pPr>
              <w:autoSpaceDE w:val="0"/>
              <w:autoSpaceDN w:val="0"/>
              <w:adjustRightInd w:val="0"/>
              <w:snapToGrid w:val="0"/>
              <w:spacing w:line="360" w:lineRule="auto"/>
              <w:rPr>
                <w:rFonts w:hint="eastAsia" w:cs="Times New Roman"/>
                <w:b/>
                <w:bCs/>
                <w:color w:val="auto"/>
                <w:kern w:val="0"/>
                <w:sz w:val="24"/>
                <w:szCs w:val="24"/>
                <w:lang w:val="en-US" w:eastAsia="zh-CN" w:bidi="ar-SA"/>
              </w:rPr>
            </w:pPr>
            <w:r>
              <w:rPr>
                <w:rFonts w:hint="eastAsia" w:cs="Times New Roman"/>
                <w:b/>
                <w:bCs/>
                <w:color w:val="auto"/>
                <w:kern w:val="0"/>
                <w:sz w:val="24"/>
                <w:szCs w:val="24"/>
                <w:lang w:val="en-US" w:eastAsia="zh-CN" w:bidi="ar-SA"/>
              </w:rPr>
              <w:t>10.与《工业料堆场扬尘整治规范》（DB65/T4061-2017）的符合性分析</w:t>
            </w:r>
          </w:p>
          <w:p w14:paraId="583F1553">
            <w:pPr>
              <w:pStyle w:val="26"/>
              <w:spacing w:line="360" w:lineRule="auto"/>
              <w:ind w:left="0" w:leftChars="0" w:firstLine="480" w:firstLineChars="200"/>
              <w:rPr>
                <w:rFonts w:hint="eastAsia"/>
                <w:lang w:val="en-US" w:eastAsia="zh-CN"/>
              </w:rPr>
            </w:pPr>
            <w:r>
              <w:rPr>
                <w:rFonts w:hint="eastAsia" w:ascii="Times New Roman" w:hAnsi="Times New Roman" w:eastAsia="宋体" w:cs="Times New Roman"/>
                <w:color w:val="auto"/>
                <w:kern w:val="0"/>
                <w:sz w:val="24"/>
                <w:szCs w:val="24"/>
                <w:highlight w:val="none"/>
                <w:lang w:val="en-US" w:eastAsia="zh-CN" w:bidi="ar-SA"/>
              </w:rPr>
              <w:t>根据《工业料堆场扬尘整治规范》（DB65/T4061-2017）中表2工业料堆场扬尘整治方案选择参考表，详见下表1-3。</w:t>
            </w:r>
          </w:p>
          <w:p w14:paraId="5ECE8CB6">
            <w:pPr>
              <w:jc w:val="center"/>
              <w:rPr>
                <w:rFonts w:hint="default"/>
                <w:b/>
                <w:bCs/>
                <w:sz w:val="21"/>
                <w:szCs w:val="21"/>
                <w:lang w:val="en-US" w:eastAsia="zh-CN"/>
              </w:rPr>
            </w:pPr>
            <w:r>
              <w:rPr>
                <w:rFonts w:hint="eastAsia" w:cs="Times New Roman"/>
                <w:b/>
                <w:bCs/>
                <w:color w:val="auto"/>
                <w:kern w:val="0"/>
                <w:sz w:val="21"/>
                <w:szCs w:val="21"/>
                <w:highlight w:val="none"/>
                <w:lang w:val="en-US" w:eastAsia="zh-CN" w:bidi="ar-SA"/>
              </w:rPr>
              <w:t xml:space="preserve">表1-3 </w:t>
            </w:r>
            <w:r>
              <w:rPr>
                <w:rFonts w:hint="eastAsia" w:ascii="Times New Roman" w:hAnsi="Times New Roman" w:eastAsia="宋体" w:cs="Times New Roman"/>
                <w:b/>
                <w:bCs/>
                <w:color w:val="auto"/>
                <w:kern w:val="0"/>
                <w:sz w:val="21"/>
                <w:szCs w:val="21"/>
                <w:highlight w:val="none"/>
                <w:lang w:val="en-US" w:eastAsia="zh-CN" w:bidi="ar-SA"/>
              </w:rPr>
              <w:t>工业料堆场扬尘整治方案选择参考表</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2586"/>
              <w:gridCol w:w="2862"/>
            </w:tblGrid>
            <w:tr w14:paraId="092B1C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06" w:type="dxa"/>
                  <w:tcBorders>
                    <w:bottom w:val="single" w:color="auto" w:sz="12" w:space="0"/>
                  </w:tcBorders>
                  <w:vAlign w:val="center"/>
                </w:tcPr>
                <w:p w14:paraId="4B7CA30D">
                  <w:pPr>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工业料堆场类型</w:t>
                  </w:r>
                </w:p>
              </w:tc>
              <w:tc>
                <w:tcPr>
                  <w:tcW w:w="5448" w:type="dxa"/>
                  <w:gridSpan w:val="2"/>
                  <w:tcBorders>
                    <w:bottom w:val="single" w:color="auto" w:sz="12" w:space="0"/>
                  </w:tcBorders>
                  <w:vAlign w:val="center"/>
                </w:tcPr>
                <w:p w14:paraId="5E271778">
                  <w:pPr>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方案</w:t>
                  </w:r>
                </w:p>
              </w:tc>
            </w:tr>
            <w:tr w14:paraId="5C8240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06" w:type="dxa"/>
                  <w:vMerge w:val="restart"/>
                  <w:tcBorders>
                    <w:top w:val="single" w:color="auto" w:sz="12" w:space="0"/>
                    <w:tl2br w:val="nil"/>
                    <w:tr2bl w:val="nil"/>
                  </w:tcBorders>
                  <w:vAlign w:val="center"/>
                </w:tcPr>
                <w:p w14:paraId="40265D59">
                  <w:pPr>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I类料堆场</w:t>
                  </w:r>
                </w:p>
              </w:tc>
              <w:tc>
                <w:tcPr>
                  <w:tcW w:w="5448" w:type="dxa"/>
                  <w:gridSpan w:val="2"/>
                  <w:tcBorders>
                    <w:top w:val="single" w:color="auto" w:sz="12" w:space="0"/>
                    <w:tl2br w:val="nil"/>
                    <w:tr2bl w:val="nil"/>
                  </w:tcBorders>
                  <w:vAlign w:val="center"/>
                </w:tcPr>
                <w:p w14:paraId="56684278">
                  <w:pPr>
                    <w:jc w:val="left"/>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（1）筒仓</w:t>
                  </w:r>
                </w:p>
              </w:tc>
            </w:tr>
            <w:tr w14:paraId="0A64E4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06" w:type="dxa"/>
                  <w:vMerge w:val="continue"/>
                  <w:tcBorders>
                    <w:tl2br w:val="nil"/>
                    <w:tr2bl w:val="nil"/>
                  </w:tcBorders>
                  <w:vAlign w:val="center"/>
                </w:tcPr>
                <w:p w14:paraId="7990D9BD">
                  <w:pPr>
                    <w:jc w:val="center"/>
                    <w:rPr>
                      <w:rFonts w:hint="eastAsia" w:ascii="Times New Roman" w:hAnsi="Times New Roman" w:eastAsia="宋体" w:cs="Times New Roman"/>
                      <w:color w:val="auto"/>
                      <w:kern w:val="0"/>
                      <w:sz w:val="21"/>
                      <w:szCs w:val="21"/>
                      <w:highlight w:val="none"/>
                      <w:vertAlign w:val="baseline"/>
                      <w:lang w:val="en-US" w:eastAsia="zh-CN" w:bidi="ar-SA"/>
                    </w:rPr>
                  </w:pPr>
                </w:p>
              </w:tc>
              <w:tc>
                <w:tcPr>
                  <w:tcW w:w="5448" w:type="dxa"/>
                  <w:gridSpan w:val="2"/>
                  <w:tcBorders>
                    <w:tl2br w:val="nil"/>
                    <w:tr2bl w:val="nil"/>
                  </w:tcBorders>
                  <w:vAlign w:val="center"/>
                </w:tcPr>
                <w:p w14:paraId="53725795">
                  <w:pPr>
                    <w:jc w:val="left"/>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（2）圆形料仓</w:t>
                  </w:r>
                </w:p>
              </w:tc>
            </w:tr>
            <w:tr w14:paraId="70287E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06" w:type="dxa"/>
                  <w:vMerge w:val="continue"/>
                  <w:tcBorders>
                    <w:tl2br w:val="nil"/>
                    <w:tr2bl w:val="nil"/>
                  </w:tcBorders>
                  <w:vAlign w:val="center"/>
                </w:tcPr>
                <w:p w14:paraId="6899CBEB">
                  <w:pPr>
                    <w:jc w:val="center"/>
                    <w:rPr>
                      <w:rFonts w:hint="eastAsia" w:ascii="Times New Roman" w:hAnsi="Times New Roman" w:eastAsia="宋体" w:cs="Times New Roman"/>
                      <w:color w:val="auto"/>
                      <w:kern w:val="0"/>
                      <w:sz w:val="21"/>
                      <w:szCs w:val="21"/>
                      <w:highlight w:val="none"/>
                      <w:vertAlign w:val="baseline"/>
                      <w:lang w:val="en-US" w:eastAsia="zh-CN" w:bidi="ar-SA"/>
                    </w:rPr>
                  </w:pPr>
                </w:p>
              </w:tc>
              <w:tc>
                <w:tcPr>
                  <w:tcW w:w="5448" w:type="dxa"/>
                  <w:gridSpan w:val="2"/>
                  <w:tcBorders>
                    <w:tl2br w:val="nil"/>
                    <w:tr2bl w:val="nil"/>
                  </w:tcBorders>
                  <w:vAlign w:val="center"/>
                </w:tcPr>
                <w:p w14:paraId="455BE3CC">
                  <w:pPr>
                    <w:jc w:val="left"/>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（3）其他全封闭性仓库</w:t>
                  </w:r>
                </w:p>
              </w:tc>
            </w:tr>
            <w:tr w14:paraId="1736E9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06" w:type="dxa"/>
                  <w:vMerge w:val="restart"/>
                  <w:tcBorders>
                    <w:tl2br w:val="nil"/>
                    <w:tr2bl w:val="nil"/>
                  </w:tcBorders>
                  <w:vAlign w:val="center"/>
                </w:tcPr>
                <w:p w14:paraId="013DD5CD">
                  <w:pPr>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II类料堆场</w:t>
                  </w:r>
                </w:p>
              </w:tc>
              <w:tc>
                <w:tcPr>
                  <w:tcW w:w="5448" w:type="dxa"/>
                  <w:gridSpan w:val="2"/>
                  <w:tcBorders>
                    <w:tl2br w:val="nil"/>
                    <w:tr2bl w:val="nil"/>
                  </w:tcBorders>
                  <w:vAlign w:val="center"/>
                </w:tcPr>
                <w:p w14:paraId="4B028AF7">
                  <w:pPr>
                    <w:jc w:val="left"/>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（4）可用I类料堆场防治方案</w:t>
                  </w:r>
                </w:p>
              </w:tc>
            </w:tr>
            <w:tr w14:paraId="407AC0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06" w:type="dxa"/>
                  <w:vMerge w:val="continue"/>
                  <w:tcBorders>
                    <w:tl2br w:val="nil"/>
                    <w:tr2bl w:val="nil"/>
                  </w:tcBorders>
                  <w:vAlign w:val="center"/>
                </w:tcPr>
                <w:p w14:paraId="011B3C18">
                  <w:pPr>
                    <w:jc w:val="center"/>
                    <w:rPr>
                      <w:rFonts w:hint="eastAsia" w:ascii="Times New Roman" w:hAnsi="Times New Roman" w:eastAsia="宋体" w:cs="Times New Roman"/>
                      <w:color w:val="auto"/>
                      <w:kern w:val="0"/>
                      <w:sz w:val="21"/>
                      <w:szCs w:val="21"/>
                      <w:highlight w:val="none"/>
                      <w:vertAlign w:val="baseline"/>
                      <w:lang w:val="en-US" w:eastAsia="zh-CN" w:bidi="ar-SA"/>
                    </w:rPr>
                  </w:pPr>
                </w:p>
              </w:tc>
              <w:tc>
                <w:tcPr>
                  <w:tcW w:w="2586" w:type="dxa"/>
                  <w:tcBorders>
                    <w:tl2br w:val="nil"/>
                    <w:tr2bl w:val="nil"/>
                  </w:tcBorders>
                  <w:vAlign w:val="center"/>
                </w:tcPr>
                <w:p w14:paraId="019D4830">
                  <w:pPr>
                    <w:numPr>
                      <w:ilvl w:val="0"/>
                      <w:numId w:val="2"/>
                    </w:numPr>
                    <w:jc w:val="left"/>
                    <w:rPr>
                      <w:rFonts w:hint="default"/>
                      <w:lang w:val="en-US" w:eastAsia="zh-CN"/>
                    </w:rPr>
                  </w:pPr>
                  <w:r>
                    <w:rPr>
                      <w:rFonts w:hint="eastAsia" w:cs="Times New Roman"/>
                      <w:color w:val="auto"/>
                      <w:kern w:val="0"/>
                      <w:sz w:val="21"/>
                      <w:szCs w:val="21"/>
                      <w:highlight w:val="none"/>
                      <w:vertAlign w:val="baseline"/>
                      <w:lang w:val="en-US" w:eastAsia="zh-CN" w:bidi="ar-SA"/>
                    </w:rPr>
                    <w:t>半封闭仓库+</w:t>
                  </w:r>
                </w:p>
              </w:tc>
              <w:tc>
                <w:tcPr>
                  <w:tcW w:w="2862" w:type="dxa"/>
                  <w:vMerge w:val="restart"/>
                  <w:tcBorders>
                    <w:tl2br w:val="nil"/>
                    <w:tr2bl w:val="nil"/>
                  </w:tcBorders>
                  <w:vAlign w:val="center"/>
                </w:tcPr>
                <w:p w14:paraId="7727A426">
                  <w:pPr>
                    <w:widowControl/>
                    <w:spacing w:line="240" w:lineRule="auto"/>
                    <w:jc w:val="both"/>
                    <w:rPr>
                      <w:rFonts w:hint="default"/>
                      <w:color w:val="auto"/>
                      <w:sz w:val="21"/>
                      <w:szCs w:val="21"/>
                      <w:lang w:val="en-US" w:eastAsia="zh-CN"/>
                    </w:rPr>
                  </w:pPr>
                  <w:r>
                    <w:rPr>
                      <w:rFonts w:hint="eastAsia"/>
                      <w:color w:val="auto"/>
                      <w:sz w:val="21"/>
                      <w:szCs w:val="21"/>
                      <w:lang w:val="en-US" w:eastAsia="zh-CN"/>
                    </w:rPr>
                    <w:t>a）喷洒水</w:t>
                  </w:r>
                </w:p>
                <w:p w14:paraId="0E2C7130">
                  <w:pPr>
                    <w:pStyle w:val="26"/>
                    <w:spacing w:line="240" w:lineRule="auto"/>
                    <w:ind w:left="0" w:leftChars="0" w:firstLine="0" w:firstLineChars="0"/>
                    <w:rPr>
                      <w:rFonts w:hint="default"/>
                      <w:color w:val="auto"/>
                      <w:sz w:val="21"/>
                      <w:szCs w:val="21"/>
                      <w:lang w:val="en-US" w:eastAsia="zh-CN"/>
                    </w:rPr>
                  </w:pPr>
                  <w:r>
                    <w:rPr>
                      <w:rFonts w:hint="eastAsia"/>
                      <w:color w:val="auto"/>
                      <w:sz w:val="21"/>
                      <w:szCs w:val="21"/>
                      <w:lang w:val="en-US" w:eastAsia="zh-CN"/>
                    </w:rPr>
                    <w:t>b）覆盖</w:t>
                  </w:r>
                </w:p>
                <w:p w14:paraId="09A0BF64">
                  <w:pPr>
                    <w:spacing w:line="240" w:lineRule="auto"/>
                    <w:rPr>
                      <w:rFonts w:hint="default"/>
                      <w:color w:val="auto"/>
                      <w:sz w:val="21"/>
                      <w:szCs w:val="21"/>
                      <w:lang w:val="en-US" w:eastAsia="zh-CN"/>
                    </w:rPr>
                  </w:pPr>
                  <w:r>
                    <w:rPr>
                      <w:rFonts w:hint="eastAsia"/>
                      <w:color w:val="auto"/>
                      <w:sz w:val="21"/>
                      <w:szCs w:val="21"/>
                      <w:lang w:val="en-US" w:eastAsia="zh-CN"/>
                    </w:rPr>
                    <w:t>c）喷洒抑尘剂</w:t>
                  </w:r>
                </w:p>
                <w:p w14:paraId="71487FB6">
                  <w:pPr>
                    <w:jc w:val="left"/>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olor w:val="auto"/>
                      <w:sz w:val="21"/>
                      <w:szCs w:val="21"/>
                      <w:lang w:val="en-US" w:eastAsia="zh-CN"/>
                    </w:rPr>
                    <w:t>d）干雾抑尘</w:t>
                  </w:r>
                </w:p>
              </w:tc>
            </w:tr>
            <w:tr w14:paraId="7A5636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906" w:type="dxa"/>
                  <w:vMerge w:val="continue"/>
                  <w:tcBorders>
                    <w:tl2br w:val="nil"/>
                    <w:tr2bl w:val="nil"/>
                  </w:tcBorders>
                  <w:vAlign w:val="center"/>
                </w:tcPr>
                <w:p w14:paraId="7D3E01D8">
                  <w:pPr>
                    <w:jc w:val="center"/>
                    <w:rPr>
                      <w:rFonts w:hint="eastAsia" w:ascii="Times New Roman" w:hAnsi="Times New Roman" w:eastAsia="宋体" w:cs="Times New Roman"/>
                      <w:color w:val="auto"/>
                      <w:kern w:val="0"/>
                      <w:sz w:val="21"/>
                      <w:szCs w:val="21"/>
                      <w:highlight w:val="none"/>
                      <w:vertAlign w:val="baseline"/>
                      <w:lang w:val="en-US" w:eastAsia="zh-CN" w:bidi="ar-SA"/>
                    </w:rPr>
                  </w:pPr>
                </w:p>
              </w:tc>
              <w:tc>
                <w:tcPr>
                  <w:tcW w:w="2586" w:type="dxa"/>
                  <w:tcBorders>
                    <w:tl2br w:val="nil"/>
                    <w:tr2bl w:val="nil"/>
                  </w:tcBorders>
                  <w:vAlign w:val="center"/>
                </w:tcPr>
                <w:p w14:paraId="75569D1D">
                  <w:pPr>
                    <w:numPr>
                      <w:ilvl w:val="0"/>
                      <w:numId w:val="2"/>
                    </w:numPr>
                    <w:ind w:left="0" w:leftChars="0" w:firstLine="0" w:firstLineChars="0"/>
                    <w:jc w:val="left"/>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防风抑尘网（墙）+</w:t>
                  </w:r>
                </w:p>
              </w:tc>
              <w:tc>
                <w:tcPr>
                  <w:tcW w:w="2862" w:type="dxa"/>
                  <w:vMerge w:val="continue"/>
                  <w:tcBorders>
                    <w:tl2br w:val="nil"/>
                    <w:tr2bl w:val="nil"/>
                  </w:tcBorders>
                  <w:vAlign w:val="center"/>
                </w:tcPr>
                <w:p w14:paraId="6988EE27">
                  <w:pPr>
                    <w:jc w:val="left"/>
                    <w:rPr>
                      <w:rFonts w:hint="eastAsia" w:ascii="Times New Roman" w:hAnsi="Times New Roman" w:eastAsia="宋体" w:cs="Times New Roman"/>
                      <w:color w:val="auto"/>
                      <w:kern w:val="0"/>
                      <w:sz w:val="21"/>
                      <w:szCs w:val="21"/>
                      <w:highlight w:val="none"/>
                      <w:vertAlign w:val="baseline"/>
                      <w:lang w:val="en-US" w:eastAsia="zh-CN" w:bidi="ar-SA"/>
                    </w:rPr>
                  </w:pPr>
                </w:p>
              </w:tc>
            </w:tr>
            <w:tr w14:paraId="279854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06" w:type="dxa"/>
                  <w:vMerge w:val="restart"/>
                  <w:tcBorders>
                    <w:tl2br w:val="nil"/>
                    <w:tr2bl w:val="nil"/>
                  </w:tcBorders>
                  <w:vAlign w:val="center"/>
                </w:tcPr>
                <w:p w14:paraId="74FABE87">
                  <w:pPr>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III类料堆场</w:t>
                  </w:r>
                </w:p>
              </w:tc>
              <w:tc>
                <w:tcPr>
                  <w:tcW w:w="5448" w:type="dxa"/>
                  <w:gridSpan w:val="2"/>
                  <w:tcBorders>
                    <w:tl2br w:val="nil"/>
                    <w:tr2bl w:val="nil"/>
                  </w:tcBorders>
                  <w:vAlign w:val="center"/>
                </w:tcPr>
                <w:p w14:paraId="629CE7A6">
                  <w:pPr>
                    <w:jc w:val="left"/>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（7）可用I和II类料堆场防治方案</w:t>
                  </w:r>
                </w:p>
              </w:tc>
            </w:tr>
            <w:tr w14:paraId="4DBCDD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06" w:type="dxa"/>
                  <w:vMerge w:val="continue"/>
                  <w:tcBorders>
                    <w:tl2br w:val="nil"/>
                    <w:tr2bl w:val="nil"/>
                  </w:tcBorders>
                  <w:vAlign w:val="center"/>
                </w:tcPr>
                <w:p w14:paraId="6E07FDB4">
                  <w:pPr>
                    <w:jc w:val="center"/>
                    <w:rPr>
                      <w:rFonts w:hint="eastAsia" w:ascii="Times New Roman" w:hAnsi="Times New Roman" w:eastAsia="宋体" w:cs="Times New Roman"/>
                      <w:color w:val="auto"/>
                      <w:kern w:val="0"/>
                      <w:sz w:val="21"/>
                      <w:szCs w:val="21"/>
                      <w:highlight w:val="none"/>
                      <w:vertAlign w:val="baseline"/>
                      <w:lang w:val="en-US" w:eastAsia="zh-CN" w:bidi="ar-SA"/>
                    </w:rPr>
                  </w:pPr>
                </w:p>
              </w:tc>
              <w:tc>
                <w:tcPr>
                  <w:tcW w:w="2586" w:type="dxa"/>
                  <w:tcBorders>
                    <w:tl2br w:val="nil"/>
                    <w:tr2bl w:val="nil"/>
                  </w:tcBorders>
                  <w:vAlign w:val="center"/>
                </w:tcPr>
                <w:p w14:paraId="71F89F20">
                  <w:pPr>
                    <w:jc w:val="left"/>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（8）覆盖+</w:t>
                  </w:r>
                </w:p>
              </w:tc>
              <w:tc>
                <w:tcPr>
                  <w:tcW w:w="2862" w:type="dxa"/>
                  <w:tcBorders>
                    <w:tl2br w:val="nil"/>
                    <w:tr2bl w:val="nil"/>
                  </w:tcBorders>
                  <w:vAlign w:val="center"/>
                </w:tcPr>
                <w:p w14:paraId="4DF40835">
                  <w:pPr>
                    <w:widowControl/>
                    <w:jc w:val="both"/>
                    <w:rPr>
                      <w:rFonts w:hint="default" w:eastAsia="宋体"/>
                      <w:color w:val="auto"/>
                      <w:sz w:val="21"/>
                      <w:szCs w:val="21"/>
                      <w:lang w:val="en-US" w:eastAsia="zh-CN"/>
                    </w:rPr>
                  </w:pPr>
                  <w:r>
                    <w:rPr>
                      <w:rFonts w:hint="eastAsia"/>
                      <w:color w:val="auto"/>
                      <w:sz w:val="21"/>
                      <w:szCs w:val="21"/>
                      <w:lang w:val="en-US" w:eastAsia="zh-CN"/>
                    </w:rPr>
                    <w:t>a）喷洒水</w:t>
                  </w:r>
                </w:p>
                <w:p w14:paraId="73D1A414">
                  <w:pPr>
                    <w:jc w:val="left"/>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olor w:val="auto"/>
                      <w:sz w:val="21"/>
                      <w:szCs w:val="21"/>
                      <w:lang w:val="en-US" w:eastAsia="zh-CN"/>
                    </w:rPr>
                    <w:t>b）喷洒抑尘剂</w:t>
                  </w:r>
                </w:p>
              </w:tc>
            </w:tr>
          </w:tbl>
          <w:p w14:paraId="2ED52F28">
            <w:pPr>
              <w:pStyle w:val="26"/>
              <w:ind w:left="0" w:leftChars="0" w:firstLine="0" w:firstLineChars="0"/>
              <w:rPr>
                <w:rFonts w:hint="eastAsia"/>
                <w:lang w:val="en-US" w:eastAsia="zh-CN"/>
              </w:rPr>
            </w:pPr>
          </w:p>
          <w:p w14:paraId="74972B82">
            <w:pPr>
              <w:pStyle w:val="26"/>
              <w:spacing w:line="360" w:lineRule="auto"/>
              <w:ind w:left="0" w:leftChars="0"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《工业料堆场扬尘整治规范》（DB65/T4061-2017）要求：</w:t>
            </w:r>
            <w:r>
              <w:rPr>
                <w:rFonts w:hint="eastAsia"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对于</w:t>
            </w:r>
            <w:r>
              <w:rPr>
                <w:rFonts w:hint="eastAsia" w:cs="Times New Roman"/>
                <w:color w:val="auto"/>
                <w:kern w:val="0"/>
                <w:sz w:val="24"/>
                <w:szCs w:val="24"/>
                <w:highlight w:val="none"/>
                <w:lang w:val="en-US" w:eastAsia="zh-CN" w:bidi="ar-SA"/>
              </w:rPr>
              <w:t>II</w:t>
            </w:r>
            <w:r>
              <w:rPr>
                <w:rFonts w:hint="default" w:ascii="Times New Roman" w:hAnsi="Times New Roman" w:eastAsia="宋体" w:cs="Times New Roman"/>
                <w:color w:val="auto"/>
                <w:kern w:val="0"/>
                <w:sz w:val="24"/>
                <w:szCs w:val="24"/>
                <w:highlight w:val="none"/>
                <w:lang w:val="en-US" w:eastAsia="zh-CN" w:bidi="ar-SA"/>
              </w:rPr>
              <w:t>类料堆场，除选取（5）和（6）两种措施之一外，根据物料特性还应至少选取a、b、c和d四种防治措施之一</w:t>
            </w:r>
            <w:r>
              <w:rPr>
                <w:rFonts w:hint="eastAsia" w:cs="Times New Roman"/>
                <w:color w:val="auto"/>
                <w:kern w:val="0"/>
                <w:sz w:val="24"/>
                <w:szCs w:val="24"/>
                <w:highlight w:val="none"/>
                <w:lang w:val="en-US" w:eastAsia="zh-CN" w:bidi="ar-SA"/>
              </w:rPr>
              <w:t>。”</w:t>
            </w:r>
          </w:p>
          <w:p w14:paraId="14B380EC">
            <w:pPr>
              <w:pStyle w:val="26"/>
              <w:spacing w:line="360" w:lineRule="auto"/>
              <w:ind w:left="0" w:leftChars="0"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本项目采取的料堆场类型为</w:t>
            </w:r>
            <w:r>
              <w:rPr>
                <w:rFonts w:hint="eastAsia" w:cs="Times New Roman"/>
                <w:color w:val="auto"/>
                <w:kern w:val="0"/>
                <w:sz w:val="24"/>
                <w:szCs w:val="24"/>
                <w:highlight w:val="none"/>
                <w:lang w:val="en-US" w:eastAsia="zh-CN" w:bidi="ar-SA"/>
              </w:rPr>
              <w:t>II</w:t>
            </w:r>
            <w:r>
              <w:rPr>
                <w:rFonts w:hint="default" w:ascii="Times New Roman" w:hAnsi="Times New Roman" w:eastAsia="宋体" w:cs="Times New Roman"/>
                <w:color w:val="auto"/>
                <w:kern w:val="0"/>
                <w:sz w:val="24"/>
                <w:szCs w:val="24"/>
                <w:highlight w:val="none"/>
                <w:lang w:val="en-US" w:eastAsia="zh-CN" w:bidi="ar-SA"/>
              </w:rPr>
              <w:t>类料堆场中的半封闭仓库，同时采用了a和b两种防治措施，即喷洒水和覆盖。半封闭仓库周边的路面均采取硬化，并路面保持湿润。因此项目的建设符合《工业料堆场扬尘整治规范》（DB65/T4061-2017）的相关要求。</w:t>
            </w:r>
          </w:p>
          <w:p w14:paraId="7430942B">
            <w:pPr>
              <w:autoSpaceDE w:val="0"/>
              <w:autoSpaceDN w:val="0"/>
              <w:adjustRightInd w:val="0"/>
              <w:snapToGrid w:val="0"/>
              <w:spacing w:line="360" w:lineRule="auto"/>
              <w:rPr>
                <w:b/>
                <w:bCs/>
                <w:color w:val="auto"/>
                <w:kern w:val="0"/>
                <w:sz w:val="24"/>
              </w:rPr>
            </w:pPr>
            <w:r>
              <w:rPr>
                <w:rFonts w:hint="eastAsia" w:cs="Times New Roman"/>
                <w:b/>
                <w:bCs/>
                <w:color w:val="auto"/>
                <w:kern w:val="0"/>
                <w:sz w:val="24"/>
                <w:szCs w:val="24"/>
                <w:lang w:val="en-US" w:eastAsia="zh-CN" w:bidi="ar-SA"/>
              </w:rPr>
              <w:t>11</w:t>
            </w:r>
            <w:r>
              <w:rPr>
                <w:rFonts w:ascii="Times New Roman" w:hAnsi="Times New Roman" w:eastAsia="宋体" w:cs="Times New Roman"/>
                <w:b/>
                <w:bCs/>
                <w:color w:val="auto"/>
                <w:kern w:val="0"/>
                <w:sz w:val="24"/>
                <w:szCs w:val="24"/>
                <w:lang w:val="en-US" w:eastAsia="zh-CN" w:bidi="ar-SA"/>
              </w:rPr>
              <w:t>.</w:t>
            </w:r>
            <w:r>
              <w:rPr>
                <w:b/>
                <w:bCs/>
                <w:color w:val="auto"/>
                <w:kern w:val="0"/>
                <w:sz w:val="24"/>
              </w:rPr>
              <w:t>选址的符合性分析</w:t>
            </w:r>
          </w:p>
          <w:p w14:paraId="57409747">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r>
              <w:rPr>
                <w:color w:val="auto"/>
                <w:kern w:val="0"/>
                <w:sz w:val="24"/>
                <w:highlight w:val="none"/>
              </w:rPr>
              <w:t>本项目建设地点位于新疆维吾尔自治区木垒县</w:t>
            </w:r>
            <w:r>
              <w:rPr>
                <w:rFonts w:hint="eastAsia"/>
                <w:color w:val="auto"/>
                <w:kern w:val="0"/>
                <w:sz w:val="24"/>
                <w:highlight w:val="none"/>
                <w:lang w:val="en-US" w:eastAsia="zh-CN"/>
              </w:rPr>
              <w:t>大石头风电场</w:t>
            </w:r>
            <w:r>
              <w:rPr>
                <w:color w:val="auto"/>
                <w:kern w:val="0"/>
                <w:sz w:val="24"/>
                <w:highlight w:val="none"/>
              </w:rPr>
              <w:t>，中心地理坐标为：</w:t>
            </w:r>
            <w:r>
              <w:rPr>
                <w:rFonts w:hint="eastAsia"/>
                <w:color w:val="auto"/>
                <w:kern w:val="0"/>
                <w:sz w:val="24"/>
                <w:highlight w:val="none"/>
              </w:rPr>
              <w:t>东经</w:t>
            </w:r>
            <w:r>
              <w:rPr>
                <w:color w:val="auto"/>
                <w:kern w:val="0"/>
                <w:sz w:val="24"/>
                <w:highlight w:val="none"/>
              </w:rPr>
              <w:t>9</w:t>
            </w:r>
            <w:r>
              <w:rPr>
                <w:rFonts w:hint="eastAsia"/>
                <w:color w:val="auto"/>
                <w:kern w:val="0"/>
                <w:sz w:val="24"/>
                <w:highlight w:val="none"/>
                <w:lang w:val="en-US" w:eastAsia="zh-CN"/>
              </w:rPr>
              <w:t>1</w:t>
            </w:r>
            <w:r>
              <w:rPr>
                <w:color w:val="auto"/>
                <w:kern w:val="0"/>
                <w:sz w:val="24"/>
                <w:highlight w:val="none"/>
              </w:rPr>
              <w:t>度</w:t>
            </w:r>
            <w:r>
              <w:rPr>
                <w:rFonts w:hint="eastAsia"/>
                <w:color w:val="auto"/>
                <w:kern w:val="0"/>
                <w:sz w:val="24"/>
                <w:highlight w:val="none"/>
                <w:lang w:val="en-US" w:eastAsia="zh-CN"/>
              </w:rPr>
              <w:t>05</w:t>
            </w:r>
            <w:r>
              <w:rPr>
                <w:color w:val="auto"/>
                <w:kern w:val="0"/>
                <w:sz w:val="24"/>
                <w:highlight w:val="none"/>
              </w:rPr>
              <w:t>分</w:t>
            </w:r>
            <w:r>
              <w:rPr>
                <w:rFonts w:hint="eastAsia"/>
                <w:color w:val="auto"/>
                <w:kern w:val="0"/>
                <w:sz w:val="24"/>
                <w:highlight w:val="none"/>
                <w:lang w:val="en-US" w:eastAsia="zh-CN"/>
              </w:rPr>
              <w:t>18.361</w:t>
            </w:r>
            <w:r>
              <w:rPr>
                <w:color w:val="auto"/>
                <w:kern w:val="0"/>
                <w:sz w:val="24"/>
                <w:highlight w:val="none"/>
              </w:rPr>
              <w:t>秒，</w:t>
            </w:r>
            <w:r>
              <w:rPr>
                <w:rFonts w:hint="eastAsia"/>
                <w:color w:val="auto"/>
                <w:kern w:val="0"/>
                <w:sz w:val="24"/>
                <w:highlight w:val="none"/>
              </w:rPr>
              <w:t>北纬</w:t>
            </w:r>
            <w:r>
              <w:rPr>
                <w:color w:val="auto"/>
                <w:kern w:val="0"/>
                <w:sz w:val="24"/>
                <w:highlight w:val="none"/>
              </w:rPr>
              <w:t>4</w:t>
            </w:r>
            <w:r>
              <w:rPr>
                <w:rFonts w:hint="eastAsia"/>
                <w:color w:val="auto"/>
                <w:kern w:val="0"/>
                <w:sz w:val="24"/>
                <w:highlight w:val="none"/>
                <w:lang w:val="en-US" w:eastAsia="zh-CN"/>
              </w:rPr>
              <w:t>3</w:t>
            </w:r>
            <w:r>
              <w:rPr>
                <w:color w:val="auto"/>
                <w:kern w:val="0"/>
                <w:sz w:val="24"/>
                <w:highlight w:val="none"/>
              </w:rPr>
              <w:t>度</w:t>
            </w:r>
            <w:r>
              <w:rPr>
                <w:rFonts w:hint="eastAsia"/>
                <w:color w:val="auto"/>
                <w:kern w:val="0"/>
                <w:sz w:val="24"/>
                <w:highlight w:val="none"/>
                <w:lang w:val="en-US" w:eastAsia="zh-CN"/>
              </w:rPr>
              <w:t>45</w:t>
            </w:r>
            <w:r>
              <w:rPr>
                <w:color w:val="auto"/>
                <w:kern w:val="0"/>
                <w:sz w:val="24"/>
                <w:highlight w:val="none"/>
              </w:rPr>
              <w:t>分</w:t>
            </w:r>
            <w:r>
              <w:rPr>
                <w:rFonts w:hint="eastAsia"/>
                <w:color w:val="auto"/>
                <w:kern w:val="0"/>
                <w:sz w:val="24"/>
                <w:highlight w:val="none"/>
                <w:lang w:val="en-US" w:eastAsia="zh-CN"/>
              </w:rPr>
              <w:t>29.060</w:t>
            </w:r>
            <w:r>
              <w:rPr>
                <w:color w:val="auto"/>
                <w:kern w:val="0"/>
                <w:sz w:val="24"/>
                <w:highlight w:val="none"/>
              </w:rPr>
              <w:t>秒，项目</w:t>
            </w:r>
            <w:r>
              <w:rPr>
                <w:rFonts w:hint="eastAsia"/>
                <w:color w:val="auto"/>
                <w:kern w:val="0"/>
                <w:sz w:val="24"/>
                <w:highlight w:val="none"/>
                <w:lang w:val="en-US" w:eastAsia="zh-CN"/>
              </w:rPr>
              <w:t>四周</w:t>
            </w:r>
            <w:r>
              <w:rPr>
                <w:color w:val="auto"/>
                <w:kern w:val="0"/>
                <w:sz w:val="24"/>
                <w:highlight w:val="none"/>
              </w:rPr>
              <w:t>均为空地。</w:t>
            </w:r>
            <w:r>
              <w:rPr>
                <w:rFonts w:hint="eastAsia"/>
                <w:color w:val="auto"/>
                <w:kern w:val="0"/>
                <w:sz w:val="24"/>
                <w:highlight w:val="none"/>
                <w:lang w:val="en-US" w:eastAsia="zh-CN"/>
              </w:rPr>
              <w:t>项目选址安全可靠，灾害风险低，满足防洪防灾要求。周边无敏感建筑，无农田，不涉及拆迁及占地问题，不占用生态红线，自然环境良好。</w:t>
            </w:r>
            <w:r>
              <w:rPr>
                <w:rFonts w:hint="default" w:ascii="Times New Roman" w:hAnsi="Times New Roman" w:cs="Times New Roman"/>
                <w:color w:val="auto"/>
                <w:spacing w:val="0"/>
                <w:position w:val="0"/>
                <w:sz w:val="24"/>
                <w:szCs w:val="24"/>
                <w:highlight w:val="none"/>
              </w:rPr>
              <w:t>选址地区不属于特殊保护地区、社会关注区和特殊地貌景观区，无重点保护生态品种及濒危生物物种</w:t>
            </w:r>
            <w:r>
              <w:rPr>
                <w:rFonts w:hint="eastAsia"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rPr>
              <w:t>文物古迹等，区域环境敏感因素较少。</w:t>
            </w:r>
            <w:r>
              <w:rPr>
                <w:rFonts w:hint="eastAsia"/>
                <w:color w:val="auto"/>
                <w:kern w:val="0"/>
                <w:sz w:val="24"/>
                <w:highlight w:val="none"/>
                <w:lang w:val="en-US" w:eastAsia="zh-CN"/>
              </w:rPr>
              <w:t>附近约100米处有一条公路，交通便利，更有利于项目的顺利实施。</w:t>
            </w:r>
          </w:p>
          <w:p w14:paraId="364E3EFC">
            <w:pPr>
              <w:autoSpaceDE w:val="0"/>
              <w:autoSpaceDN w:val="0"/>
              <w:adjustRightInd w:val="0"/>
              <w:snapToGrid w:val="0"/>
              <w:spacing w:line="360" w:lineRule="auto"/>
              <w:ind w:firstLine="480" w:firstLineChars="200"/>
              <w:rPr>
                <w:rFonts w:hint="eastAsia"/>
                <w:color w:val="000000" w:themeColor="text1"/>
                <w:kern w:val="0"/>
                <w:sz w:val="24"/>
                <w:highlight w:val="none"/>
                <w:lang w:val="en-US"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本项目属于商品混凝土搅拌站建设项目，项目的土地利用现状地类为天然牧草地，项目建成后为附近的风电场建设提供商品混凝土，项目的服务年限为2年，项目在土地使用期满后完成土地复垦，使土地恢复到可利用的状态。因此，本项目的建设对当地环境的影响是短期的，项目服务期满完成土地复垦后，对周边环境的影响会消失。</w:t>
            </w:r>
          </w:p>
          <w:p w14:paraId="22276B29">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r>
              <w:rPr>
                <w:rFonts w:hint="eastAsia"/>
                <w:color w:val="auto"/>
                <w:kern w:val="0"/>
                <w:sz w:val="24"/>
                <w:highlight w:val="none"/>
                <w:lang w:val="en-US" w:eastAsia="zh-CN"/>
              </w:rPr>
              <w:t>本项目生产工艺简单，各个污染源的污染物经处理之后的排放不超过区域环境容量，对区域环境产生的影响较小。</w:t>
            </w:r>
          </w:p>
          <w:p w14:paraId="1E7A9DDA">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r>
              <w:rPr>
                <w:rFonts w:hint="eastAsia"/>
                <w:color w:val="auto"/>
                <w:kern w:val="0"/>
                <w:sz w:val="24"/>
                <w:highlight w:val="none"/>
                <w:lang w:val="en-US" w:eastAsia="zh-CN"/>
              </w:rPr>
              <w:t>综上所述，项目选址合理，项目周边关系图见附图。</w:t>
            </w:r>
          </w:p>
          <w:p w14:paraId="064D52E5">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p>
          <w:p w14:paraId="067E411E">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p>
          <w:p w14:paraId="71AA0DDA">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p>
          <w:p w14:paraId="6E1BB181">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p>
          <w:p w14:paraId="774B3788">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p>
          <w:p w14:paraId="30278D49">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p>
          <w:p w14:paraId="29E2AD8E">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p>
          <w:p w14:paraId="7A30016E">
            <w:pPr>
              <w:autoSpaceDE w:val="0"/>
              <w:autoSpaceDN w:val="0"/>
              <w:adjustRightInd w:val="0"/>
              <w:snapToGrid w:val="0"/>
              <w:spacing w:line="360" w:lineRule="auto"/>
              <w:rPr>
                <w:rFonts w:hint="eastAsia"/>
                <w:color w:val="auto"/>
                <w:kern w:val="0"/>
                <w:sz w:val="24"/>
                <w:highlight w:val="none"/>
                <w:lang w:val="en-US" w:eastAsia="zh-CN"/>
              </w:rPr>
            </w:pPr>
          </w:p>
        </w:tc>
      </w:tr>
    </w:tbl>
    <w:p w14:paraId="46855B40">
      <w:pPr>
        <w:spacing w:line="360" w:lineRule="auto"/>
        <w:outlineLvl w:val="0"/>
        <w:rPr>
          <w:rFonts w:eastAsia="黑体"/>
          <w:color w:val="auto"/>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0D6249BF">
      <w:pPr>
        <w:pStyle w:val="24"/>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8369"/>
      </w:tblGrid>
      <w:tr w14:paraId="439C5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31" w:hRule="atLeast"/>
          <w:jc w:val="center"/>
        </w:trPr>
        <w:tc>
          <w:tcPr>
            <w:tcW w:w="823" w:type="dxa"/>
            <w:vAlign w:val="center"/>
          </w:tcPr>
          <w:p w14:paraId="5428900D">
            <w:pPr>
              <w:pStyle w:val="24"/>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建设内容</w:t>
            </w:r>
          </w:p>
        </w:tc>
        <w:tc>
          <w:tcPr>
            <w:tcW w:w="8161" w:type="dxa"/>
          </w:tcPr>
          <w:p w14:paraId="58DB5921">
            <w:pPr>
              <w:numPr>
                <w:ilvl w:val="0"/>
                <w:numId w:val="0"/>
              </w:numPr>
              <w:tabs>
                <w:tab w:val="left" w:pos="255"/>
              </w:tabs>
              <w:spacing w:before="120" w:beforeLines="50" w:line="360" w:lineRule="auto"/>
              <w:rPr>
                <w:b/>
                <w:color w:val="auto"/>
                <w:sz w:val="24"/>
                <w:highlight w:val="none"/>
              </w:rPr>
            </w:pPr>
            <w:r>
              <w:rPr>
                <w:rFonts w:ascii="Times New Roman" w:hAnsi="Times New Roman" w:eastAsia="宋体" w:cs="Times New Roman"/>
                <w:b/>
                <w:color w:val="auto"/>
                <w:kern w:val="2"/>
                <w:sz w:val="24"/>
                <w:szCs w:val="24"/>
                <w:lang w:val="en-US" w:eastAsia="zh-CN" w:bidi="ar-SA"/>
              </w:rPr>
              <w:t>1.</w:t>
            </w:r>
            <w:r>
              <w:rPr>
                <w:b/>
                <w:color w:val="auto"/>
                <w:sz w:val="24"/>
                <w:highlight w:val="none"/>
                <w:lang w:val="en-GB"/>
              </w:rPr>
              <w:t>建设项目基本情况</w:t>
            </w:r>
          </w:p>
          <w:p w14:paraId="40C55F4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项目名称：</w:t>
            </w:r>
            <w:r>
              <w:rPr>
                <w:rFonts w:hint="eastAsia" w:ascii="Times New Roman" w:hAnsi="Times New Roman" w:eastAsia="宋体" w:cs="Times New Roman"/>
                <w:color w:val="auto"/>
                <w:kern w:val="0"/>
                <w:sz w:val="24"/>
                <w:lang w:eastAsia="zh-CN"/>
              </w:rPr>
              <w:t>木垒黑走马混凝土有限责任公司</w:t>
            </w:r>
            <w:r>
              <w:rPr>
                <w:rFonts w:hint="default"/>
                <w:color w:val="auto"/>
                <w:sz w:val="24"/>
                <w:lang w:val="en-US" w:eastAsia="zh-CN"/>
              </w:rPr>
              <w:t>大石头风电场商砼项目</w:t>
            </w:r>
            <w:r>
              <w:rPr>
                <w:rFonts w:ascii="Times New Roman" w:hAnsi="Times New Roman" w:eastAsia="宋体" w:cs="Times New Roman"/>
                <w:color w:val="auto"/>
                <w:kern w:val="0"/>
                <w:sz w:val="24"/>
              </w:rPr>
              <w:t>；</w:t>
            </w:r>
          </w:p>
          <w:p w14:paraId="7C4D768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总 投 资：</w:t>
            </w:r>
            <w:r>
              <w:rPr>
                <w:rFonts w:hint="eastAsia" w:cs="Times New Roman"/>
                <w:color w:val="auto"/>
                <w:kern w:val="0"/>
                <w:sz w:val="24"/>
                <w:highlight w:val="none"/>
                <w:lang w:val="en-US" w:eastAsia="zh-CN"/>
              </w:rPr>
              <w:t>500万元，资金来源为建设单位自筹</w:t>
            </w:r>
            <w:r>
              <w:rPr>
                <w:rFonts w:ascii="Times New Roman" w:hAnsi="Times New Roman" w:eastAsia="宋体" w:cs="Times New Roman"/>
                <w:color w:val="auto"/>
                <w:kern w:val="0"/>
                <w:sz w:val="24"/>
              </w:rPr>
              <w:t>；</w:t>
            </w:r>
          </w:p>
          <w:p w14:paraId="4E8265A5">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建设单位：</w:t>
            </w:r>
            <w:r>
              <w:rPr>
                <w:rFonts w:hint="eastAsia" w:ascii="Times New Roman" w:hAnsi="Times New Roman" w:eastAsia="宋体" w:cs="Times New Roman"/>
                <w:color w:val="auto"/>
                <w:kern w:val="0"/>
                <w:sz w:val="24"/>
                <w:lang w:val="zh-CN"/>
              </w:rPr>
              <w:t>木垒黑走马混凝土有限责任公司</w:t>
            </w:r>
            <w:r>
              <w:rPr>
                <w:rFonts w:ascii="Times New Roman" w:hAnsi="Times New Roman" w:eastAsia="宋体" w:cs="Times New Roman"/>
                <w:color w:val="auto"/>
                <w:kern w:val="0"/>
                <w:sz w:val="24"/>
              </w:rPr>
              <w:t>；</w:t>
            </w:r>
          </w:p>
          <w:p w14:paraId="5B4AD71D">
            <w:pPr>
              <w:autoSpaceDE w:val="0"/>
              <w:autoSpaceDN w:val="0"/>
              <w:adjustRightInd w:val="0"/>
              <w:snapToGrid w:val="0"/>
              <w:spacing w:line="360" w:lineRule="auto"/>
              <w:ind w:firstLine="480" w:firstLineChars="200"/>
              <w:rPr>
                <w:color w:val="auto"/>
                <w:sz w:val="24"/>
              </w:rPr>
            </w:pPr>
            <w:r>
              <w:rPr>
                <w:rFonts w:ascii="Times New Roman" w:hAnsi="Times New Roman" w:eastAsia="宋体" w:cs="Times New Roman"/>
                <w:color w:val="auto"/>
                <w:kern w:val="0"/>
                <w:sz w:val="24"/>
              </w:rPr>
              <w:t>建设性质：</w:t>
            </w:r>
            <w:r>
              <w:rPr>
                <w:rFonts w:hint="eastAsia" w:cs="Times New Roman"/>
                <w:color w:val="auto"/>
                <w:kern w:val="0"/>
                <w:sz w:val="24"/>
                <w:lang w:val="en-US" w:eastAsia="zh-CN"/>
              </w:rPr>
              <w:t>新建</w:t>
            </w:r>
            <w:r>
              <w:rPr>
                <w:color w:val="auto"/>
                <w:sz w:val="24"/>
              </w:rPr>
              <w:t>；</w:t>
            </w:r>
          </w:p>
          <w:p w14:paraId="6C4E950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建设地点：项目区位于</w:t>
            </w:r>
            <w:r>
              <w:rPr>
                <w:rFonts w:hint="eastAsia" w:cs="Times New Roman"/>
                <w:color w:val="auto"/>
                <w:kern w:val="0"/>
                <w:sz w:val="24"/>
                <w:highlight w:val="none"/>
                <w:lang w:val="en-US" w:eastAsia="zh-CN"/>
              </w:rPr>
              <w:t>昌吉回族自治州木垒县大石头风电场</w:t>
            </w:r>
            <w:r>
              <w:rPr>
                <w:rFonts w:ascii="Times New Roman" w:hAnsi="Times New Roman" w:eastAsia="宋体" w:cs="Times New Roman"/>
                <w:color w:val="auto"/>
                <w:kern w:val="0"/>
                <w:sz w:val="24"/>
              </w:rPr>
              <w:t>。</w:t>
            </w:r>
            <w:r>
              <w:rPr>
                <w:rFonts w:hint="eastAsia" w:cs="Times New Roman"/>
                <w:color w:val="auto"/>
                <w:kern w:val="0"/>
                <w:sz w:val="24"/>
                <w:lang w:val="en-US" w:eastAsia="zh-CN"/>
              </w:rPr>
              <w:t>项目占地面积为13634m</w:t>
            </w:r>
            <w:r>
              <w:rPr>
                <w:rFonts w:hint="eastAsia" w:cs="Times New Roman"/>
                <w:color w:val="auto"/>
                <w:kern w:val="0"/>
                <w:sz w:val="24"/>
                <w:vertAlign w:val="superscript"/>
                <w:lang w:val="en-US" w:eastAsia="zh-CN"/>
              </w:rPr>
              <w:t>2</w:t>
            </w:r>
            <w:r>
              <w:rPr>
                <w:rFonts w:hint="eastAsia" w:cs="Times New Roman"/>
                <w:color w:val="auto"/>
                <w:kern w:val="0"/>
                <w:sz w:val="24"/>
                <w:vertAlign w:val="baseline"/>
                <w:lang w:val="en-US" w:eastAsia="zh-CN"/>
              </w:rPr>
              <w:t>，四周均为空地。</w:t>
            </w:r>
            <w:r>
              <w:rPr>
                <w:rFonts w:ascii="Times New Roman" w:hAnsi="Times New Roman" w:eastAsia="宋体" w:cs="Times New Roman"/>
                <w:color w:val="auto"/>
                <w:kern w:val="0"/>
                <w:sz w:val="24"/>
              </w:rPr>
              <w:t>项目地理位置见图1，项目周边关系图见图2。</w:t>
            </w:r>
          </w:p>
          <w:p w14:paraId="7B5A0620">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建设背景：经与建设单位核实，本项目主要为风电发电项目施工过程提供商品混凝土。</w:t>
            </w:r>
            <w:r>
              <w:rPr>
                <w:rFonts w:hint="eastAsia" w:ascii="Times New Roman" w:hAnsi="Times New Roman" w:eastAsia="宋体" w:cstheme="minorBidi"/>
                <w:b w:val="0"/>
                <w:bCs w:val="0"/>
                <w:color w:val="000000" w:themeColor="text1"/>
                <w:kern w:val="2"/>
                <w:sz w:val="24"/>
                <w:szCs w:val="24"/>
                <w:lang w:val="en-US" w:eastAsia="zh-CN" w:bidi="ar-SA"/>
                <w14:textFill>
                  <w14:solidFill>
                    <w14:schemeClr w14:val="tx1"/>
                  </w14:solidFill>
                </w14:textFill>
              </w:rPr>
              <w:t>由于木垒县</w:t>
            </w:r>
            <w:r>
              <w:rPr>
                <w:rFonts w:hint="eastAsia" w:cstheme="minorBidi"/>
                <w:b w:val="0"/>
                <w:bCs w:val="0"/>
                <w:color w:val="000000" w:themeColor="text1"/>
                <w:kern w:val="2"/>
                <w:sz w:val="24"/>
                <w:szCs w:val="24"/>
                <w:lang w:val="en-US" w:eastAsia="zh-CN" w:bidi="ar-SA"/>
                <w14:textFill>
                  <w14:solidFill>
                    <w14:schemeClr w14:val="tx1"/>
                  </w14:solidFill>
                </w14:textFill>
              </w:rPr>
              <w:t>大石头</w:t>
            </w:r>
            <w:r>
              <w:rPr>
                <w:rFonts w:hint="eastAsia" w:ascii="Times New Roman" w:hAnsi="Times New Roman" w:eastAsia="宋体" w:cstheme="minorBidi"/>
                <w:b w:val="0"/>
                <w:bCs w:val="0"/>
                <w:color w:val="000000" w:themeColor="text1"/>
                <w:kern w:val="2"/>
                <w:sz w:val="24"/>
                <w:szCs w:val="24"/>
                <w:lang w:val="en-US" w:eastAsia="zh-CN" w:bidi="ar-SA"/>
                <w14:textFill>
                  <w14:solidFill>
                    <w14:schemeClr w14:val="tx1"/>
                  </w14:solidFill>
                </w14:textFill>
              </w:rPr>
              <w:t>风电场建设风电项目所需用的混凝土量较大</w:t>
            </w:r>
            <w:r>
              <w:rPr>
                <w:rFonts w:hint="eastAsia" w:cstheme="minorBidi"/>
                <w:b w:val="0"/>
                <w:bCs w:val="0"/>
                <w:color w:val="000000" w:themeColor="text1"/>
                <w:kern w:val="2"/>
                <w:sz w:val="24"/>
                <w:szCs w:val="24"/>
                <w:lang w:val="en-US" w:eastAsia="zh-CN" w:bidi="ar-SA"/>
                <w14:textFill>
                  <w14:solidFill>
                    <w14:schemeClr w14:val="tx1"/>
                  </w14:solidFill>
                </w14:textFill>
              </w:rPr>
              <w:t>，区域内其他商砼站</w:t>
            </w:r>
            <w:r>
              <w:rPr>
                <w:rFonts w:hint="eastAsia" w:ascii="Times New Roman" w:hAnsi="Times New Roman" w:eastAsia="宋体" w:cstheme="minorBidi"/>
                <w:b w:val="0"/>
                <w:bCs w:val="0"/>
                <w:color w:val="000000" w:themeColor="text1"/>
                <w:kern w:val="2"/>
                <w:sz w:val="24"/>
                <w:szCs w:val="24"/>
                <w:lang w:val="en-US" w:eastAsia="zh-CN" w:bidi="ar-SA"/>
                <w14:textFill>
                  <w14:solidFill>
                    <w14:schemeClr w14:val="tx1"/>
                  </w14:solidFill>
                </w14:textFill>
              </w:rPr>
              <w:t>的产能不能满足木垒县</w:t>
            </w:r>
            <w:r>
              <w:rPr>
                <w:rFonts w:hint="eastAsia" w:cstheme="minorBidi"/>
                <w:b w:val="0"/>
                <w:bCs w:val="0"/>
                <w:color w:val="000000" w:themeColor="text1"/>
                <w:kern w:val="2"/>
                <w:sz w:val="24"/>
                <w:szCs w:val="24"/>
                <w:lang w:val="en-US" w:eastAsia="zh-CN" w:bidi="ar-SA"/>
                <w14:textFill>
                  <w14:solidFill>
                    <w14:schemeClr w14:val="tx1"/>
                  </w14:solidFill>
                </w14:textFill>
              </w:rPr>
              <w:t>大石头</w:t>
            </w:r>
            <w:r>
              <w:rPr>
                <w:rFonts w:hint="eastAsia" w:ascii="Times New Roman" w:hAnsi="Times New Roman" w:eastAsia="宋体" w:cstheme="minorBidi"/>
                <w:b w:val="0"/>
                <w:bCs w:val="0"/>
                <w:color w:val="000000" w:themeColor="text1"/>
                <w:kern w:val="2"/>
                <w:sz w:val="24"/>
                <w:szCs w:val="24"/>
                <w:lang w:val="en-US" w:eastAsia="zh-CN" w:bidi="ar-SA"/>
                <w14:textFill>
                  <w14:solidFill>
                    <w14:schemeClr w14:val="tx1"/>
                  </w14:solidFill>
                </w14:textFill>
              </w:rPr>
              <w:t>风电场风电项目的混凝土需求</w:t>
            </w:r>
            <w:r>
              <w:rPr>
                <w:rFonts w:hint="eastAsia" w:cstheme="minorBidi"/>
                <w:b w:val="0"/>
                <w:bCs w:val="0"/>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heme="minorBidi"/>
                <w:b w:val="0"/>
                <w:bCs w:val="0"/>
                <w:color w:val="000000" w:themeColor="text1"/>
                <w:kern w:val="2"/>
                <w:sz w:val="24"/>
                <w:szCs w:val="24"/>
                <w:lang w:val="en-US" w:eastAsia="zh-CN" w:bidi="ar-SA"/>
                <w14:textFill>
                  <w14:solidFill>
                    <w14:schemeClr w14:val="tx1"/>
                  </w14:solidFill>
                </w14:textFill>
              </w:rPr>
              <w:t>因此建设</w:t>
            </w:r>
            <w:r>
              <w:rPr>
                <w:rFonts w:hint="eastAsia" w:cstheme="minorBidi"/>
                <w:b w:val="0"/>
                <w:bCs w:val="0"/>
                <w:color w:val="000000" w:themeColor="text1"/>
                <w:kern w:val="2"/>
                <w:sz w:val="24"/>
                <w:szCs w:val="24"/>
                <w:lang w:val="en-US" w:eastAsia="zh-CN" w:bidi="ar-SA"/>
                <w14:textFill>
                  <w14:solidFill>
                    <w14:schemeClr w14:val="tx1"/>
                  </w14:solidFill>
                </w14:textFill>
              </w:rPr>
              <w:t>大石头风电场</w:t>
            </w:r>
            <w:r>
              <w:rPr>
                <w:rFonts w:hint="eastAsia" w:ascii="Times New Roman" w:hAnsi="Times New Roman" w:eastAsia="宋体" w:cstheme="minorBidi"/>
                <w:b w:val="0"/>
                <w:bCs w:val="0"/>
                <w:color w:val="000000" w:themeColor="text1"/>
                <w:kern w:val="2"/>
                <w:sz w:val="24"/>
                <w:szCs w:val="24"/>
                <w:lang w:val="en-US" w:eastAsia="zh-CN" w:bidi="ar-SA"/>
                <w14:textFill>
                  <w14:solidFill>
                    <w14:schemeClr w14:val="tx1"/>
                  </w14:solidFill>
                </w14:textFill>
              </w:rPr>
              <w:t>商砼</w:t>
            </w:r>
            <w:r>
              <w:rPr>
                <w:rFonts w:hint="eastAsia" w:cstheme="minorBidi"/>
                <w:b w:val="0"/>
                <w:bCs w:val="0"/>
                <w:color w:val="000000" w:themeColor="text1"/>
                <w:kern w:val="2"/>
                <w:sz w:val="24"/>
                <w:szCs w:val="24"/>
                <w:lang w:val="en-US" w:eastAsia="zh-CN" w:bidi="ar-SA"/>
                <w14:textFill>
                  <w14:solidFill>
                    <w14:schemeClr w14:val="tx1"/>
                  </w14:solidFill>
                </w14:textFill>
              </w:rPr>
              <w:t>项目</w:t>
            </w:r>
            <w:r>
              <w:rPr>
                <w:rFonts w:hint="eastAsia" w:ascii="Times New Roman" w:hAnsi="Times New Roman" w:eastAsia="宋体" w:cstheme="minorBidi"/>
                <w:b w:val="0"/>
                <w:bCs w:val="0"/>
                <w:color w:val="000000" w:themeColor="text1"/>
                <w:kern w:val="2"/>
                <w:sz w:val="24"/>
                <w:szCs w:val="24"/>
                <w:lang w:val="en-US" w:eastAsia="zh-CN" w:bidi="ar-SA"/>
                <w14:textFill>
                  <w14:solidFill>
                    <w14:schemeClr w14:val="tx1"/>
                  </w14:solidFill>
                </w14:textFill>
              </w:rPr>
              <w:t>能够降低混凝土运输的物流成本，提高市场供应能力，满足市场的额外需求，提高施工效率，满足区域发展的要求。</w:t>
            </w:r>
          </w:p>
          <w:p w14:paraId="5B487CC2">
            <w:pPr>
              <w:pStyle w:val="3"/>
              <w:numPr>
                <w:ilvl w:val="0"/>
                <w:numId w:val="0"/>
              </w:numPr>
              <w:rPr>
                <w:color w:val="auto"/>
                <w:szCs w:val="24"/>
              </w:rPr>
            </w:pPr>
            <w:r>
              <w:rPr>
                <w:rFonts w:ascii="Times New Roman" w:hAnsi="Times New Roman" w:eastAsia="宋体" w:cs="Times New Roman"/>
                <w:b/>
                <w:bCs/>
                <w:color w:val="auto"/>
                <w:kern w:val="0"/>
                <w:sz w:val="24"/>
                <w:szCs w:val="24"/>
                <w:lang w:val="en-US" w:eastAsia="zh-CN" w:bidi="ar-SA"/>
              </w:rPr>
              <w:t>2.</w:t>
            </w:r>
            <w:r>
              <w:rPr>
                <w:color w:val="auto"/>
                <w:szCs w:val="24"/>
              </w:rPr>
              <w:t>建设项目内容</w:t>
            </w:r>
          </w:p>
          <w:p w14:paraId="11AB3BFE">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本项目占地面积</w:t>
            </w:r>
            <w:r>
              <w:rPr>
                <w:rFonts w:hint="eastAsia" w:cs="Times New Roman"/>
                <w:color w:val="auto"/>
                <w:kern w:val="0"/>
                <w:sz w:val="24"/>
                <w:lang w:val="en-US" w:eastAsia="zh-CN"/>
              </w:rPr>
              <w:t>13634m</w:t>
            </w:r>
            <w:r>
              <w:rPr>
                <w:rFonts w:hint="eastAsia" w:cs="Times New Roman"/>
                <w:color w:val="auto"/>
                <w:kern w:val="0"/>
                <w:sz w:val="24"/>
                <w:vertAlign w:val="superscript"/>
                <w:lang w:val="en-US" w:eastAsia="zh-CN"/>
              </w:rPr>
              <w:t>2</w:t>
            </w:r>
            <w:r>
              <w:rPr>
                <w:rFonts w:hint="default" w:ascii="Times New Roman" w:hAnsi="Times New Roman" w:eastAsia="宋体" w:cs="Times New Roman"/>
                <w:color w:val="auto"/>
                <w:kern w:val="0"/>
                <w:sz w:val="24"/>
              </w:rPr>
              <w:t>。项目组成情况见表2-1。</w:t>
            </w:r>
          </w:p>
          <w:p w14:paraId="47F84F06">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表2-1    项目工程组成一览表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360"/>
              <w:gridCol w:w="2854"/>
              <w:gridCol w:w="1805"/>
              <w:gridCol w:w="856"/>
            </w:tblGrid>
            <w:tr w14:paraId="381DAB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782" w:type="pct"/>
                  <w:tcBorders>
                    <w:bottom w:val="single" w:color="auto" w:sz="12" w:space="0"/>
                  </w:tcBorders>
                  <w:vAlign w:val="center"/>
                </w:tcPr>
                <w:p w14:paraId="2E6B9942">
                  <w:pPr>
                    <w:pStyle w:val="60"/>
                    <w:rPr>
                      <w:b/>
                      <w:bCs/>
                      <w:color w:val="auto"/>
                      <w:sz w:val="21"/>
                      <w:szCs w:val="21"/>
                    </w:rPr>
                  </w:pPr>
                  <w:r>
                    <w:rPr>
                      <w:b/>
                      <w:bCs/>
                      <w:color w:val="auto"/>
                      <w:sz w:val="21"/>
                      <w:szCs w:val="21"/>
                    </w:rPr>
                    <w:t>工程类型</w:t>
                  </w:r>
                </w:p>
              </w:tc>
              <w:tc>
                <w:tcPr>
                  <w:tcW w:w="834" w:type="pct"/>
                  <w:tcBorders>
                    <w:bottom w:val="single" w:color="auto" w:sz="12" w:space="0"/>
                  </w:tcBorders>
                  <w:vAlign w:val="center"/>
                </w:tcPr>
                <w:p w14:paraId="55D7C8A5">
                  <w:pPr>
                    <w:pStyle w:val="60"/>
                    <w:rPr>
                      <w:b/>
                      <w:bCs/>
                      <w:color w:val="auto"/>
                      <w:sz w:val="21"/>
                      <w:szCs w:val="21"/>
                    </w:rPr>
                  </w:pPr>
                  <w:r>
                    <w:rPr>
                      <w:b/>
                      <w:bCs/>
                      <w:color w:val="auto"/>
                      <w:sz w:val="21"/>
                      <w:szCs w:val="21"/>
                    </w:rPr>
                    <w:t>工程名称</w:t>
                  </w:r>
                </w:p>
              </w:tc>
              <w:tc>
                <w:tcPr>
                  <w:tcW w:w="1750" w:type="pct"/>
                  <w:tcBorders>
                    <w:bottom w:val="single" w:color="auto" w:sz="12" w:space="0"/>
                  </w:tcBorders>
                  <w:vAlign w:val="center"/>
                </w:tcPr>
                <w:p w14:paraId="4820005F">
                  <w:pPr>
                    <w:pStyle w:val="60"/>
                    <w:rPr>
                      <w:b/>
                      <w:bCs/>
                      <w:color w:val="auto"/>
                      <w:sz w:val="21"/>
                      <w:szCs w:val="21"/>
                    </w:rPr>
                  </w:pPr>
                  <w:r>
                    <w:rPr>
                      <w:b/>
                      <w:bCs/>
                      <w:color w:val="auto"/>
                      <w:sz w:val="21"/>
                      <w:szCs w:val="21"/>
                    </w:rPr>
                    <w:t>工程内容</w:t>
                  </w:r>
                </w:p>
              </w:tc>
              <w:tc>
                <w:tcPr>
                  <w:tcW w:w="1107" w:type="pct"/>
                  <w:tcBorders>
                    <w:bottom w:val="single" w:color="auto" w:sz="12" w:space="0"/>
                  </w:tcBorders>
                  <w:vAlign w:val="center"/>
                </w:tcPr>
                <w:p w14:paraId="2854BAD9">
                  <w:pPr>
                    <w:pStyle w:val="60"/>
                    <w:rPr>
                      <w:b/>
                      <w:bCs/>
                      <w:color w:val="auto"/>
                      <w:sz w:val="21"/>
                      <w:szCs w:val="21"/>
                    </w:rPr>
                  </w:pPr>
                  <w:r>
                    <w:rPr>
                      <w:b/>
                      <w:bCs/>
                      <w:color w:val="auto"/>
                      <w:sz w:val="21"/>
                      <w:szCs w:val="21"/>
                    </w:rPr>
                    <w:t>工程规模</w:t>
                  </w:r>
                </w:p>
              </w:tc>
              <w:tc>
                <w:tcPr>
                  <w:tcW w:w="525" w:type="pct"/>
                  <w:tcBorders>
                    <w:bottom w:val="single" w:color="auto" w:sz="12" w:space="0"/>
                  </w:tcBorders>
                  <w:vAlign w:val="center"/>
                </w:tcPr>
                <w:p w14:paraId="48C50AD4">
                  <w:pPr>
                    <w:pStyle w:val="60"/>
                    <w:rPr>
                      <w:b/>
                      <w:bCs/>
                      <w:color w:val="auto"/>
                      <w:sz w:val="21"/>
                      <w:szCs w:val="21"/>
                    </w:rPr>
                  </w:pPr>
                  <w:r>
                    <w:rPr>
                      <w:b/>
                      <w:bCs/>
                      <w:color w:val="auto"/>
                      <w:sz w:val="21"/>
                      <w:szCs w:val="21"/>
                    </w:rPr>
                    <w:t>备注</w:t>
                  </w:r>
                </w:p>
              </w:tc>
            </w:tr>
            <w:tr w14:paraId="62596D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82" w:type="pct"/>
                  <w:tcBorders>
                    <w:top w:val="single" w:color="auto" w:sz="12" w:space="0"/>
                    <w:tl2br w:val="nil"/>
                    <w:tr2bl w:val="nil"/>
                  </w:tcBorders>
                  <w:vAlign w:val="center"/>
                </w:tcPr>
                <w:p w14:paraId="11B348DA">
                  <w:pPr>
                    <w:pStyle w:val="60"/>
                    <w:rPr>
                      <w:color w:val="auto"/>
                      <w:sz w:val="21"/>
                      <w:szCs w:val="21"/>
                    </w:rPr>
                  </w:pPr>
                  <w:r>
                    <w:rPr>
                      <w:color w:val="auto"/>
                      <w:sz w:val="21"/>
                      <w:szCs w:val="21"/>
                    </w:rPr>
                    <w:t>主体工程</w:t>
                  </w:r>
                </w:p>
              </w:tc>
              <w:tc>
                <w:tcPr>
                  <w:tcW w:w="834" w:type="pct"/>
                  <w:tcBorders>
                    <w:top w:val="single" w:color="auto" w:sz="12" w:space="0"/>
                    <w:tl2br w:val="nil"/>
                    <w:tr2bl w:val="nil"/>
                  </w:tcBorders>
                  <w:vAlign w:val="center"/>
                </w:tcPr>
                <w:p w14:paraId="151F372D">
                  <w:pPr>
                    <w:pStyle w:val="60"/>
                    <w:rPr>
                      <w:color w:val="auto"/>
                      <w:sz w:val="21"/>
                      <w:szCs w:val="21"/>
                    </w:rPr>
                  </w:pPr>
                  <w:r>
                    <w:rPr>
                      <w:color w:val="auto"/>
                      <w:sz w:val="21"/>
                      <w:szCs w:val="21"/>
                    </w:rPr>
                    <w:t>生产车间</w:t>
                  </w:r>
                </w:p>
              </w:tc>
              <w:tc>
                <w:tcPr>
                  <w:tcW w:w="1750" w:type="pct"/>
                  <w:tcBorders>
                    <w:top w:val="single" w:color="auto" w:sz="12" w:space="0"/>
                    <w:bottom w:val="single" w:color="auto" w:sz="6" w:space="0"/>
                  </w:tcBorders>
                  <w:vAlign w:val="center"/>
                </w:tcPr>
                <w:p w14:paraId="020F02C0">
                  <w:pPr>
                    <w:jc w:val="center"/>
                    <w:rPr>
                      <w:color w:val="auto"/>
                      <w:sz w:val="21"/>
                      <w:szCs w:val="21"/>
                    </w:rPr>
                  </w:pPr>
                  <w:r>
                    <w:rPr>
                      <w:color w:val="auto"/>
                      <w:sz w:val="21"/>
                      <w:szCs w:val="21"/>
                    </w:rPr>
                    <w:t>密闭搅拌楼，内设</w:t>
                  </w:r>
                  <w:r>
                    <w:rPr>
                      <w:rFonts w:hint="eastAsia"/>
                      <w:color w:val="auto"/>
                      <w:sz w:val="21"/>
                      <w:szCs w:val="21"/>
                      <w:lang w:val="en-US" w:eastAsia="zh-CN"/>
                    </w:rPr>
                    <w:t>两</w:t>
                  </w:r>
                  <w:r>
                    <w:rPr>
                      <w:color w:val="auto"/>
                      <w:sz w:val="21"/>
                      <w:szCs w:val="21"/>
                    </w:rPr>
                    <w:t>条240</w:t>
                  </w:r>
                  <w:r>
                    <w:rPr>
                      <w:rFonts w:hint="eastAsia"/>
                      <w:color w:val="auto"/>
                      <w:sz w:val="21"/>
                      <w:szCs w:val="21"/>
                      <w:lang w:val="en-US" w:eastAsia="zh-CN"/>
                    </w:rPr>
                    <w:t>m</w:t>
                  </w:r>
                  <w:r>
                    <w:rPr>
                      <w:rFonts w:hint="eastAsia"/>
                      <w:color w:val="auto"/>
                      <w:sz w:val="21"/>
                      <w:szCs w:val="21"/>
                      <w:vertAlign w:val="superscript"/>
                      <w:lang w:val="en-US" w:eastAsia="zh-CN"/>
                    </w:rPr>
                    <w:t>3</w:t>
                  </w:r>
                  <w:r>
                    <w:rPr>
                      <w:rFonts w:hint="eastAsia"/>
                      <w:color w:val="auto"/>
                      <w:sz w:val="21"/>
                      <w:szCs w:val="21"/>
                      <w:vertAlign w:val="baseline"/>
                      <w:lang w:val="en-US" w:eastAsia="zh-CN"/>
                    </w:rPr>
                    <w:t>/h</w:t>
                  </w:r>
                  <w:r>
                    <w:rPr>
                      <w:color w:val="auto"/>
                      <w:sz w:val="21"/>
                      <w:szCs w:val="21"/>
                    </w:rPr>
                    <w:t>混凝土生产线，配置</w:t>
                  </w:r>
                  <w:r>
                    <w:rPr>
                      <w:rFonts w:hint="eastAsia"/>
                      <w:color w:val="auto"/>
                      <w:sz w:val="21"/>
                      <w:szCs w:val="21"/>
                      <w:lang w:val="en-US" w:eastAsia="zh-CN"/>
                    </w:rPr>
                    <w:t>2</w:t>
                  </w:r>
                  <w:r>
                    <w:rPr>
                      <w:color w:val="auto"/>
                      <w:sz w:val="21"/>
                      <w:szCs w:val="21"/>
                    </w:rPr>
                    <w:t>套搅拌设备</w:t>
                  </w:r>
                </w:p>
              </w:tc>
              <w:tc>
                <w:tcPr>
                  <w:tcW w:w="1107" w:type="pct"/>
                  <w:tcBorders>
                    <w:top w:val="single" w:color="auto" w:sz="12" w:space="0"/>
                    <w:bottom w:val="single" w:color="auto" w:sz="6" w:space="0"/>
                  </w:tcBorders>
                  <w:vAlign w:val="center"/>
                </w:tcPr>
                <w:p w14:paraId="3289B641">
                  <w:pPr>
                    <w:pStyle w:val="60"/>
                    <w:rPr>
                      <w:rFonts w:hint="default" w:eastAsia="宋体"/>
                      <w:color w:val="auto"/>
                      <w:sz w:val="21"/>
                      <w:szCs w:val="21"/>
                      <w:highlight w:val="none"/>
                      <w:vertAlign w:val="baseline"/>
                      <w:lang w:val="en-US" w:eastAsia="zh-CN"/>
                    </w:rPr>
                  </w:pPr>
                  <w:r>
                    <w:rPr>
                      <w:rFonts w:hint="eastAsia"/>
                      <w:color w:val="auto"/>
                      <w:sz w:val="21"/>
                      <w:szCs w:val="21"/>
                      <w:highlight w:val="none"/>
                      <w:lang w:val="en-US" w:eastAsia="zh-CN"/>
                    </w:rPr>
                    <w:t>占地480m</w:t>
                  </w:r>
                  <w:r>
                    <w:rPr>
                      <w:rFonts w:hint="eastAsia"/>
                      <w:color w:val="auto"/>
                      <w:sz w:val="21"/>
                      <w:szCs w:val="21"/>
                      <w:highlight w:val="none"/>
                      <w:vertAlign w:val="superscript"/>
                      <w:lang w:val="en-US" w:eastAsia="zh-CN"/>
                    </w:rPr>
                    <w:t>2</w:t>
                  </w:r>
                </w:p>
              </w:tc>
              <w:tc>
                <w:tcPr>
                  <w:tcW w:w="525" w:type="pct"/>
                  <w:tcBorders>
                    <w:top w:val="single" w:color="auto" w:sz="12" w:space="0"/>
                    <w:bottom w:val="single" w:color="auto" w:sz="6" w:space="0"/>
                  </w:tcBorders>
                  <w:vAlign w:val="center"/>
                </w:tcPr>
                <w:p w14:paraId="60097515">
                  <w:pPr>
                    <w:pStyle w:val="60"/>
                    <w:rPr>
                      <w:rFonts w:hint="eastAsia" w:eastAsia="宋体"/>
                      <w:color w:val="auto"/>
                      <w:sz w:val="21"/>
                      <w:szCs w:val="21"/>
                      <w:lang w:eastAsia="zh-CN"/>
                    </w:rPr>
                  </w:pPr>
                  <w:r>
                    <w:rPr>
                      <w:rFonts w:hint="eastAsia"/>
                      <w:color w:val="auto"/>
                      <w:sz w:val="21"/>
                      <w:szCs w:val="21"/>
                      <w:lang w:val="en-US" w:eastAsia="zh-CN"/>
                    </w:rPr>
                    <w:t>新建</w:t>
                  </w:r>
                </w:p>
              </w:tc>
            </w:tr>
            <w:tr w14:paraId="3951F7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2" w:type="pct"/>
                  <w:vMerge w:val="restart"/>
                  <w:tcBorders>
                    <w:tl2br w:val="nil"/>
                    <w:tr2bl w:val="nil"/>
                  </w:tcBorders>
                  <w:vAlign w:val="center"/>
                </w:tcPr>
                <w:p w14:paraId="154988D6">
                  <w:pPr>
                    <w:pStyle w:val="60"/>
                    <w:rPr>
                      <w:color w:val="auto"/>
                      <w:sz w:val="21"/>
                      <w:szCs w:val="21"/>
                    </w:rPr>
                  </w:pPr>
                  <w:r>
                    <w:rPr>
                      <w:color w:val="auto"/>
                      <w:sz w:val="21"/>
                      <w:szCs w:val="21"/>
                    </w:rPr>
                    <w:t>储运工程</w:t>
                  </w:r>
                </w:p>
              </w:tc>
              <w:tc>
                <w:tcPr>
                  <w:tcW w:w="834" w:type="pct"/>
                  <w:tcBorders>
                    <w:tl2br w:val="nil"/>
                    <w:tr2bl w:val="nil"/>
                  </w:tcBorders>
                  <w:vAlign w:val="center"/>
                </w:tcPr>
                <w:p w14:paraId="0FBAF99A">
                  <w:pPr>
                    <w:pStyle w:val="60"/>
                    <w:rPr>
                      <w:color w:val="auto"/>
                      <w:sz w:val="21"/>
                      <w:szCs w:val="21"/>
                    </w:rPr>
                  </w:pPr>
                  <w:r>
                    <w:rPr>
                      <w:color w:val="auto"/>
                      <w:sz w:val="21"/>
                      <w:szCs w:val="21"/>
                    </w:rPr>
                    <w:t>砂石料堆场</w:t>
                  </w:r>
                </w:p>
              </w:tc>
              <w:tc>
                <w:tcPr>
                  <w:tcW w:w="1750" w:type="pct"/>
                  <w:tcBorders>
                    <w:tl2br w:val="nil"/>
                    <w:tr2bl w:val="nil"/>
                  </w:tcBorders>
                  <w:vAlign w:val="center"/>
                </w:tcPr>
                <w:p w14:paraId="3127592B">
                  <w:pPr>
                    <w:pStyle w:val="60"/>
                    <w:rPr>
                      <w:rFonts w:hint="default" w:eastAsia="宋体"/>
                      <w:color w:val="auto"/>
                      <w:sz w:val="21"/>
                      <w:szCs w:val="21"/>
                      <w:highlight w:val="yellow"/>
                      <w:lang w:val="en-US" w:eastAsia="zh-CN"/>
                    </w:rPr>
                  </w:pPr>
                  <w:r>
                    <w:rPr>
                      <w:rFonts w:hint="eastAsia"/>
                      <w:color w:val="auto"/>
                      <w:sz w:val="21"/>
                      <w:szCs w:val="21"/>
                      <w:highlight w:val="none"/>
                      <w:lang w:val="en-US" w:eastAsia="zh-CN"/>
                    </w:rPr>
                    <w:t>对地面进行处理以便分类堆放砂石</w:t>
                  </w:r>
                </w:p>
              </w:tc>
              <w:tc>
                <w:tcPr>
                  <w:tcW w:w="1107" w:type="pct"/>
                  <w:tcBorders>
                    <w:tl2br w:val="nil"/>
                    <w:tr2bl w:val="nil"/>
                  </w:tcBorders>
                  <w:vAlign w:val="center"/>
                </w:tcPr>
                <w:p w14:paraId="1692C975">
                  <w:pPr>
                    <w:pStyle w:val="60"/>
                    <w:rPr>
                      <w:rFonts w:hint="default" w:eastAsia="宋体"/>
                      <w:color w:val="auto"/>
                      <w:sz w:val="21"/>
                      <w:szCs w:val="21"/>
                      <w:highlight w:val="none"/>
                      <w:lang w:val="en-US" w:eastAsia="zh-CN"/>
                    </w:rPr>
                  </w:pPr>
                  <w:r>
                    <w:rPr>
                      <w:rFonts w:hint="eastAsia"/>
                      <w:color w:val="auto"/>
                      <w:sz w:val="21"/>
                      <w:szCs w:val="21"/>
                      <w:highlight w:val="none"/>
                      <w:lang w:val="en-US" w:eastAsia="zh-CN"/>
                    </w:rPr>
                    <w:t>1110m</w:t>
                  </w:r>
                  <w:r>
                    <w:rPr>
                      <w:rFonts w:hint="eastAsia"/>
                      <w:color w:val="auto"/>
                      <w:sz w:val="21"/>
                      <w:szCs w:val="21"/>
                      <w:highlight w:val="none"/>
                      <w:vertAlign w:val="superscript"/>
                      <w:lang w:val="en-US" w:eastAsia="zh-CN"/>
                    </w:rPr>
                    <w:t>2</w:t>
                  </w:r>
                </w:p>
              </w:tc>
              <w:tc>
                <w:tcPr>
                  <w:tcW w:w="525" w:type="pct"/>
                  <w:tcBorders>
                    <w:tl2br w:val="nil"/>
                    <w:tr2bl w:val="nil"/>
                  </w:tcBorders>
                  <w:vAlign w:val="center"/>
                </w:tcPr>
                <w:p w14:paraId="40A32550">
                  <w:pPr>
                    <w:pStyle w:val="60"/>
                    <w:rPr>
                      <w:rFonts w:hint="eastAsia" w:eastAsia="宋体"/>
                      <w:color w:val="auto"/>
                      <w:sz w:val="21"/>
                      <w:szCs w:val="21"/>
                      <w:highlight w:val="yellow"/>
                      <w:lang w:val="en-US" w:eastAsia="zh-CN"/>
                    </w:rPr>
                  </w:pPr>
                  <w:r>
                    <w:rPr>
                      <w:rFonts w:hint="eastAsia"/>
                      <w:color w:val="auto"/>
                      <w:sz w:val="21"/>
                      <w:szCs w:val="21"/>
                      <w:highlight w:val="none"/>
                      <w:lang w:val="en-US" w:eastAsia="zh-CN"/>
                    </w:rPr>
                    <w:t>新建</w:t>
                  </w:r>
                </w:p>
              </w:tc>
            </w:tr>
            <w:tr w14:paraId="43EB60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82" w:type="pct"/>
                  <w:vMerge w:val="continue"/>
                  <w:tcBorders>
                    <w:tl2br w:val="nil"/>
                    <w:tr2bl w:val="nil"/>
                  </w:tcBorders>
                  <w:vAlign w:val="center"/>
                </w:tcPr>
                <w:p w14:paraId="5528DFC3">
                  <w:pPr>
                    <w:pStyle w:val="60"/>
                    <w:rPr>
                      <w:color w:val="auto"/>
                      <w:sz w:val="21"/>
                      <w:szCs w:val="21"/>
                    </w:rPr>
                  </w:pPr>
                </w:p>
              </w:tc>
              <w:tc>
                <w:tcPr>
                  <w:tcW w:w="834" w:type="pct"/>
                  <w:tcBorders>
                    <w:tl2br w:val="nil"/>
                    <w:tr2bl w:val="nil"/>
                  </w:tcBorders>
                  <w:vAlign w:val="center"/>
                </w:tcPr>
                <w:p w14:paraId="38BB4F89">
                  <w:pPr>
                    <w:pStyle w:val="60"/>
                    <w:rPr>
                      <w:color w:val="auto"/>
                      <w:sz w:val="21"/>
                      <w:szCs w:val="21"/>
                    </w:rPr>
                  </w:pPr>
                  <w:r>
                    <w:rPr>
                      <w:color w:val="auto"/>
                      <w:sz w:val="21"/>
                      <w:szCs w:val="21"/>
                    </w:rPr>
                    <w:t>粉料筒仓</w:t>
                  </w:r>
                </w:p>
              </w:tc>
              <w:tc>
                <w:tcPr>
                  <w:tcW w:w="1750" w:type="pct"/>
                  <w:tcBorders>
                    <w:tl2br w:val="nil"/>
                    <w:tr2bl w:val="nil"/>
                  </w:tcBorders>
                  <w:vAlign w:val="center"/>
                </w:tcPr>
                <w:p w14:paraId="10F38AE8">
                  <w:pPr>
                    <w:pStyle w:val="60"/>
                    <w:rPr>
                      <w:color w:val="auto"/>
                      <w:sz w:val="21"/>
                      <w:szCs w:val="21"/>
                    </w:rPr>
                  </w:pPr>
                  <w:r>
                    <w:rPr>
                      <w:color w:val="auto"/>
                      <w:sz w:val="21"/>
                      <w:szCs w:val="21"/>
                    </w:rPr>
                    <w:t>粉料筒仓</w:t>
                  </w:r>
                </w:p>
              </w:tc>
              <w:tc>
                <w:tcPr>
                  <w:tcW w:w="1107" w:type="pct"/>
                  <w:tcBorders>
                    <w:tl2br w:val="nil"/>
                    <w:tr2bl w:val="nil"/>
                  </w:tcBorders>
                  <w:vAlign w:val="center"/>
                </w:tcPr>
                <w:p w14:paraId="1F1A06F2">
                  <w:pPr>
                    <w:pStyle w:val="60"/>
                    <w:rPr>
                      <w:rFonts w:hint="default" w:eastAsia="宋体"/>
                      <w:color w:val="auto"/>
                      <w:sz w:val="21"/>
                      <w:szCs w:val="21"/>
                      <w:highlight w:val="none"/>
                      <w:vertAlign w:val="baseline"/>
                      <w:lang w:val="en-US" w:eastAsia="zh-CN"/>
                    </w:rPr>
                  </w:pPr>
                  <w:r>
                    <w:rPr>
                      <w:rFonts w:hint="eastAsia"/>
                      <w:color w:val="auto"/>
                      <w:sz w:val="21"/>
                      <w:szCs w:val="21"/>
                      <w:highlight w:val="none"/>
                      <w:lang w:val="en-US" w:eastAsia="zh-CN"/>
                    </w:rPr>
                    <w:t>400m</w:t>
                  </w:r>
                  <w:r>
                    <w:rPr>
                      <w:rFonts w:hint="eastAsia"/>
                      <w:color w:val="auto"/>
                      <w:sz w:val="21"/>
                      <w:szCs w:val="21"/>
                      <w:highlight w:val="none"/>
                      <w:vertAlign w:val="superscript"/>
                      <w:lang w:val="en-US" w:eastAsia="zh-CN"/>
                    </w:rPr>
                    <w:t>2</w:t>
                  </w:r>
                </w:p>
              </w:tc>
              <w:tc>
                <w:tcPr>
                  <w:tcW w:w="525" w:type="pct"/>
                  <w:tcBorders>
                    <w:tl2br w:val="nil"/>
                    <w:tr2bl w:val="nil"/>
                  </w:tcBorders>
                  <w:vAlign w:val="center"/>
                </w:tcPr>
                <w:p w14:paraId="65846B48">
                  <w:pPr>
                    <w:pStyle w:val="60"/>
                    <w:rPr>
                      <w:rFonts w:hint="eastAsia" w:eastAsia="宋体"/>
                      <w:color w:val="auto"/>
                      <w:sz w:val="21"/>
                      <w:szCs w:val="21"/>
                      <w:lang w:val="en-US" w:eastAsia="zh-CN"/>
                    </w:rPr>
                  </w:pPr>
                  <w:r>
                    <w:rPr>
                      <w:rFonts w:hint="eastAsia"/>
                      <w:color w:val="auto"/>
                      <w:sz w:val="21"/>
                      <w:szCs w:val="21"/>
                      <w:lang w:val="en-US" w:eastAsia="zh-CN"/>
                    </w:rPr>
                    <w:t>新建</w:t>
                  </w:r>
                </w:p>
              </w:tc>
            </w:tr>
            <w:tr w14:paraId="11C91A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82" w:type="pct"/>
                  <w:vMerge w:val="continue"/>
                  <w:tcBorders>
                    <w:tl2br w:val="nil"/>
                    <w:tr2bl w:val="nil"/>
                  </w:tcBorders>
                  <w:vAlign w:val="center"/>
                </w:tcPr>
                <w:p w14:paraId="3AD58DBA">
                  <w:pPr>
                    <w:pStyle w:val="60"/>
                    <w:rPr>
                      <w:color w:val="auto"/>
                      <w:sz w:val="21"/>
                      <w:szCs w:val="21"/>
                    </w:rPr>
                  </w:pPr>
                </w:p>
              </w:tc>
              <w:tc>
                <w:tcPr>
                  <w:tcW w:w="834" w:type="pct"/>
                  <w:tcBorders>
                    <w:tl2br w:val="nil"/>
                    <w:tr2bl w:val="nil"/>
                  </w:tcBorders>
                  <w:vAlign w:val="center"/>
                </w:tcPr>
                <w:p w14:paraId="62AB86C8">
                  <w:pPr>
                    <w:pStyle w:val="60"/>
                    <w:rPr>
                      <w:rFonts w:hint="eastAsia" w:eastAsia="宋体"/>
                      <w:color w:val="auto"/>
                      <w:sz w:val="21"/>
                      <w:szCs w:val="21"/>
                      <w:lang w:val="en-US" w:eastAsia="zh-CN"/>
                    </w:rPr>
                  </w:pPr>
                  <w:r>
                    <w:rPr>
                      <w:rFonts w:hint="eastAsia"/>
                      <w:color w:val="auto"/>
                      <w:sz w:val="21"/>
                      <w:szCs w:val="21"/>
                      <w:lang w:val="en-US" w:eastAsia="zh-CN"/>
                    </w:rPr>
                    <w:t>储水罐</w:t>
                  </w:r>
                </w:p>
              </w:tc>
              <w:tc>
                <w:tcPr>
                  <w:tcW w:w="1750" w:type="pct"/>
                  <w:tcBorders>
                    <w:tl2br w:val="nil"/>
                    <w:tr2bl w:val="nil"/>
                  </w:tcBorders>
                  <w:vAlign w:val="center"/>
                </w:tcPr>
                <w:p w14:paraId="1DD40CF0">
                  <w:pPr>
                    <w:pStyle w:val="60"/>
                    <w:rPr>
                      <w:rFonts w:hint="default" w:eastAsia="宋体"/>
                      <w:color w:val="auto"/>
                      <w:sz w:val="21"/>
                      <w:szCs w:val="21"/>
                      <w:lang w:val="en-US" w:eastAsia="zh-CN"/>
                    </w:rPr>
                  </w:pPr>
                  <w:r>
                    <w:rPr>
                      <w:rFonts w:hint="eastAsia"/>
                      <w:color w:val="auto"/>
                      <w:sz w:val="21"/>
                      <w:szCs w:val="21"/>
                      <w:lang w:val="en-US" w:eastAsia="zh-CN"/>
                    </w:rPr>
                    <w:t>储水罐</w:t>
                  </w:r>
                </w:p>
              </w:tc>
              <w:tc>
                <w:tcPr>
                  <w:tcW w:w="1107" w:type="pct"/>
                  <w:tcBorders>
                    <w:tl2br w:val="nil"/>
                    <w:tr2bl w:val="nil"/>
                  </w:tcBorders>
                  <w:vAlign w:val="center"/>
                </w:tcPr>
                <w:p w14:paraId="11B6C568">
                  <w:pPr>
                    <w:pStyle w:val="60"/>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 w:val="21"/>
                      <w:szCs w:val="21"/>
                      <w:highlight w:val="none"/>
                      <w:lang w:val="en-US" w:eastAsia="zh-CN"/>
                    </w:rPr>
                    <w:t>100m</w:t>
                  </w:r>
                  <w:r>
                    <w:rPr>
                      <w:rFonts w:hint="eastAsia"/>
                      <w:color w:val="auto"/>
                      <w:sz w:val="21"/>
                      <w:szCs w:val="21"/>
                      <w:highlight w:val="none"/>
                      <w:vertAlign w:val="superscript"/>
                      <w:lang w:val="en-US" w:eastAsia="zh-CN"/>
                    </w:rPr>
                    <w:t>2</w:t>
                  </w:r>
                </w:p>
              </w:tc>
              <w:tc>
                <w:tcPr>
                  <w:tcW w:w="525" w:type="pct"/>
                  <w:tcBorders>
                    <w:tl2br w:val="nil"/>
                    <w:tr2bl w:val="nil"/>
                  </w:tcBorders>
                  <w:vAlign w:val="center"/>
                </w:tcPr>
                <w:p w14:paraId="155F3B14">
                  <w:pPr>
                    <w:pStyle w:val="60"/>
                    <w:rPr>
                      <w:rFonts w:hint="default"/>
                      <w:color w:val="auto"/>
                      <w:sz w:val="21"/>
                      <w:szCs w:val="21"/>
                      <w:lang w:val="en-US" w:eastAsia="zh-CN"/>
                    </w:rPr>
                  </w:pPr>
                  <w:r>
                    <w:rPr>
                      <w:rFonts w:hint="eastAsia"/>
                      <w:color w:val="auto"/>
                      <w:sz w:val="21"/>
                      <w:szCs w:val="21"/>
                      <w:lang w:val="en-US" w:eastAsia="zh-CN"/>
                    </w:rPr>
                    <w:t>新建</w:t>
                  </w:r>
                </w:p>
              </w:tc>
            </w:tr>
            <w:tr w14:paraId="2EE112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2" w:type="pct"/>
                  <w:vMerge w:val="continue"/>
                  <w:tcBorders>
                    <w:tl2br w:val="nil"/>
                    <w:tr2bl w:val="nil"/>
                  </w:tcBorders>
                  <w:vAlign w:val="center"/>
                </w:tcPr>
                <w:p w14:paraId="1E97D83D">
                  <w:pPr>
                    <w:pStyle w:val="60"/>
                    <w:rPr>
                      <w:color w:val="auto"/>
                      <w:sz w:val="21"/>
                      <w:szCs w:val="21"/>
                    </w:rPr>
                  </w:pPr>
                </w:p>
              </w:tc>
              <w:tc>
                <w:tcPr>
                  <w:tcW w:w="834" w:type="pct"/>
                  <w:tcBorders>
                    <w:tl2br w:val="nil"/>
                    <w:tr2bl w:val="nil"/>
                  </w:tcBorders>
                  <w:vAlign w:val="center"/>
                </w:tcPr>
                <w:p w14:paraId="463A08C6">
                  <w:pPr>
                    <w:pStyle w:val="60"/>
                    <w:rPr>
                      <w:color w:val="auto"/>
                      <w:sz w:val="21"/>
                      <w:szCs w:val="21"/>
                    </w:rPr>
                  </w:pPr>
                  <w:r>
                    <w:rPr>
                      <w:color w:val="auto"/>
                      <w:sz w:val="21"/>
                      <w:szCs w:val="21"/>
                    </w:rPr>
                    <w:t>输送廊道</w:t>
                  </w:r>
                </w:p>
              </w:tc>
              <w:tc>
                <w:tcPr>
                  <w:tcW w:w="1750" w:type="pct"/>
                  <w:tcBorders>
                    <w:tl2br w:val="nil"/>
                    <w:tr2bl w:val="nil"/>
                  </w:tcBorders>
                  <w:vAlign w:val="center"/>
                </w:tcPr>
                <w:p w14:paraId="1A610DD2">
                  <w:pPr>
                    <w:pStyle w:val="60"/>
                    <w:rPr>
                      <w:color w:val="auto"/>
                      <w:sz w:val="21"/>
                      <w:szCs w:val="21"/>
                    </w:rPr>
                  </w:pPr>
                  <w:r>
                    <w:rPr>
                      <w:rFonts w:hint="eastAsia"/>
                      <w:color w:val="auto"/>
                      <w:sz w:val="21"/>
                      <w:szCs w:val="21"/>
                      <w:lang w:val="en-US" w:eastAsia="zh-CN"/>
                    </w:rPr>
                    <w:t>密闭</w:t>
                  </w:r>
                  <w:r>
                    <w:rPr>
                      <w:color w:val="auto"/>
                      <w:sz w:val="21"/>
                      <w:szCs w:val="21"/>
                    </w:rPr>
                    <w:t>输送廊道</w:t>
                  </w:r>
                </w:p>
              </w:tc>
              <w:tc>
                <w:tcPr>
                  <w:tcW w:w="1107" w:type="pct"/>
                  <w:tcBorders>
                    <w:tl2br w:val="nil"/>
                    <w:tr2bl w:val="nil"/>
                  </w:tcBorders>
                  <w:vAlign w:val="center"/>
                </w:tcPr>
                <w:p w14:paraId="79E473AC">
                  <w:pPr>
                    <w:pStyle w:val="60"/>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525" w:type="pct"/>
                  <w:tcBorders>
                    <w:tl2br w:val="nil"/>
                    <w:tr2bl w:val="nil"/>
                  </w:tcBorders>
                  <w:vAlign w:val="center"/>
                </w:tcPr>
                <w:p w14:paraId="65050F63">
                  <w:pPr>
                    <w:pStyle w:val="60"/>
                    <w:rPr>
                      <w:rFonts w:hint="eastAsia" w:eastAsia="宋体"/>
                      <w:color w:val="auto"/>
                      <w:sz w:val="21"/>
                      <w:szCs w:val="21"/>
                      <w:lang w:val="en-US" w:eastAsia="zh-CN"/>
                    </w:rPr>
                  </w:pPr>
                  <w:r>
                    <w:rPr>
                      <w:rFonts w:hint="eastAsia"/>
                      <w:color w:val="auto"/>
                      <w:sz w:val="21"/>
                      <w:szCs w:val="21"/>
                      <w:lang w:val="en-US" w:eastAsia="zh-CN"/>
                    </w:rPr>
                    <w:t>新建</w:t>
                  </w:r>
                </w:p>
              </w:tc>
            </w:tr>
            <w:tr w14:paraId="7E482C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2" w:type="pct"/>
                  <w:vMerge w:val="continue"/>
                  <w:tcBorders>
                    <w:tl2br w:val="nil"/>
                    <w:tr2bl w:val="nil"/>
                  </w:tcBorders>
                  <w:vAlign w:val="center"/>
                </w:tcPr>
                <w:p w14:paraId="648D13B6">
                  <w:pPr>
                    <w:pStyle w:val="60"/>
                    <w:rPr>
                      <w:color w:val="auto"/>
                      <w:sz w:val="21"/>
                      <w:szCs w:val="21"/>
                    </w:rPr>
                  </w:pPr>
                </w:p>
              </w:tc>
              <w:tc>
                <w:tcPr>
                  <w:tcW w:w="834" w:type="pct"/>
                  <w:tcBorders>
                    <w:tl2br w:val="nil"/>
                    <w:tr2bl w:val="nil"/>
                  </w:tcBorders>
                  <w:vAlign w:val="center"/>
                </w:tcPr>
                <w:p w14:paraId="6068AC3A">
                  <w:pPr>
                    <w:pStyle w:val="11"/>
                    <w:spacing w:after="0"/>
                    <w:ind w:left="0" w:leftChars="0"/>
                    <w:jc w:val="center"/>
                    <w:rPr>
                      <w:color w:val="auto"/>
                      <w:sz w:val="21"/>
                      <w:szCs w:val="21"/>
                    </w:rPr>
                  </w:pPr>
                  <w:r>
                    <w:rPr>
                      <w:color w:val="auto"/>
                      <w:sz w:val="21"/>
                      <w:szCs w:val="21"/>
                    </w:rPr>
                    <w:t>运输</w:t>
                  </w:r>
                </w:p>
              </w:tc>
              <w:tc>
                <w:tcPr>
                  <w:tcW w:w="1750" w:type="pct"/>
                  <w:tcBorders>
                    <w:tl2br w:val="nil"/>
                    <w:tr2bl w:val="nil"/>
                  </w:tcBorders>
                  <w:vAlign w:val="center"/>
                </w:tcPr>
                <w:p w14:paraId="3BF0FF44">
                  <w:pPr>
                    <w:pStyle w:val="11"/>
                    <w:spacing w:after="0"/>
                    <w:ind w:left="0" w:leftChars="0"/>
                    <w:jc w:val="center"/>
                    <w:rPr>
                      <w:color w:val="auto"/>
                      <w:sz w:val="21"/>
                      <w:szCs w:val="21"/>
                      <w:highlight w:val="yellow"/>
                    </w:rPr>
                  </w:pPr>
                  <w:r>
                    <w:rPr>
                      <w:color w:val="auto"/>
                      <w:sz w:val="21"/>
                      <w:szCs w:val="21"/>
                      <w:highlight w:val="none"/>
                    </w:rPr>
                    <w:t>装载机2辆，混凝土罐车15台</w:t>
                  </w:r>
                </w:p>
              </w:tc>
              <w:tc>
                <w:tcPr>
                  <w:tcW w:w="1107" w:type="pct"/>
                  <w:tcBorders>
                    <w:tl2br w:val="nil"/>
                    <w:tr2bl w:val="nil"/>
                  </w:tcBorders>
                  <w:vAlign w:val="center"/>
                </w:tcPr>
                <w:p w14:paraId="7DFA2963">
                  <w:pPr>
                    <w:pStyle w:val="11"/>
                    <w:spacing w:after="0"/>
                    <w:ind w:left="0" w:leftChars="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525" w:type="pct"/>
                  <w:tcBorders>
                    <w:tl2br w:val="nil"/>
                    <w:tr2bl w:val="nil"/>
                  </w:tcBorders>
                  <w:vAlign w:val="center"/>
                </w:tcPr>
                <w:p w14:paraId="548C8E37">
                  <w:pPr>
                    <w:pStyle w:val="11"/>
                    <w:spacing w:after="0"/>
                    <w:ind w:left="0" w:leftChars="0"/>
                    <w:jc w:val="center"/>
                    <w:rPr>
                      <w:color w:val="auto"/>
                      <w:sz w:val="21"/>
                      <w:szCs w:val="21"/>
                    </w:rPr>
                  </w:pPr>
                  <w:r>
                    <w:rPr>
                      <w:color w:val="auto"/>
                      <w:sz w:val="21"/>
                      <w:szCs w:val="21"/>
                    </w:rPr>
                    <w:t>运输</w:t>
                  </w:r>
                </w:p>
              </w:tc>
            </w:tr>
            <w:tr w14:paraId="0A42CC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2" w:type="pct"/>
                  <w:vMerge w:val="restart"/>
                  <w:tcBorders>
                    <w:tl2br w:val="nil"/>
                    <w:tr2bl w:val="nil"/>
                  </w:tcBorders>
                  <w:vAlign w:val="center"/>
                </w:tcPr>
                <w:p w14:paraId="6915EE6E">
                  <w:pPr>
                    <w:pStyle w:val="60"/>
                    <w:rPr>
                      <w:color w:val="auto"/>
                      <w:sz w:val="21"/>
                      <w:szCs w:val="21"/>
                    </w:rPr>
                  </w:pPr>
                  <w:r>
                    <w:rPr>
                      <w:color w:val="auto"/>
                      <w:sz w:val="21"/>
                      <w:szCs w:val="21"/>
                    </w:rPr>
                    <w:t>辅助工程</w:t>
                  </w:r>
                </w:p>
              </w:tc>
              <w:tc>
                <w:tcPr>
                  <w:tcW w:w="834" w:type="pct"/>
                  <w:tcBorders>
                    <w:tl2br w:val="nil"/>
                    <w:tr2bl w:val="nil"/>
                  </w:tcBorders>
                  <w:vAlign w:val="center"/>
                </w:tcPr>
                <w:p w14:paraId="213257CC">
                  <w:pPr>
                    <w:pStyle w:val="60"/>
                    <w:rPr>
                      <w:rFonts w:hint="default" w:eastAsia="宋体"/>
                      <w:color w:val="auto"/>
                      <w:sz w:val="21"/>
                      <w:szCs w:val="21"/>
                      <w:lang w:val="en-US" w:eastAsia="zh-CN"/>
                    </w:rPr>
                  </w:pPr>
                  <w:r>
                    <w:rPr>
                      <w:rFonts w:hint="eastAsia"/>
                      <w:color w:val="auto"/>
                      <w:sz w:val="21"/>
                      <w:szCs w:val="21"/>
                      <w:lang w:val="en-US" w:eastAsia="zh-CN"/>
                    </w:rPr>
                    <w:t>洗车平台</w:t>
                  </w:r>
                </w:p>
              </w:tc>
              <w:tc>
                <w:tcPr>
                  <w:tcW w:w="1750" w:type="pct"/>
                  <w:tcBorders>
                    <w:tl2br w:val="nil"/>
                    <w:tr2bl w:val="nil"/>
                  </w:tcBorders>
                  <w:vAlign w:val="center"/>
                </w:tcPr>
                <w:p w14:paraId="60555109">
                  <w:pPr>
                    <w:pStyle w:val="60"/>
                    <w:rPr>
                      <w:rFonts w:hint="default" w:eastAsia="宋体"/>
                      <w:color w:val="auto"/>
                      <w:sz w:val="21"/>
                      <w:szCs w:val="21"/>
                      <w:lang w:val="en-US" w:eastAsia="zh-CN"/>
                    </w:rPr>
                  </w:pPr>
                  <w:r>
                    <w:rPr>
                      <w:rFonts w:hint="eastAsia"/>
                      <w:color w:val="auto"/>
                      <w:sz w:val="21"/>
                      <w:szCs w:val="21"/>
                      <w:lang w:val="en-US" w:eastAsia="zh-CN"/>
                    </w:rPr>
                    <w:t>1间，混凝土</w:t>
                  </w:r>
                </w:p>
              </w:tc>
              <w:tc>
                <w:tcPr>
                  <w:tcW w:w="1107" w:type="pct"/>
                  <w:tcBorders>
                    <w:tl2br w:val="nil"/>
                    <w:tr2bl w:val="nil"/>
                  </w:tcBorders>
                  <w:vAlign w:val="center"/>
                </w:tcPr>
                <w:p w14:paraId="16203EFD">
                  <w:pPr>
                    <w:pStyle w:val="60"/>
                    <w:rPr>
                      <w:rFonts w:hint="default"/>
                      <w:color w:val="auto"/>
                      <w:sz w:val="21"/>
                      <w:szCs w:val="21"/>
                      <w:highlight w:val="none"/>
                      <w:lang w:val="en-US" w:eastAsia="zh-CN"/>
                    </w:rPr>
                  </w:pPr>
                  <w:r>
                    <w:rPr>
                      <w:rFonts w:hint="eastAsia"/>
                      <w:color w:val="auto"/>
                      <w:sz w:val="21"/>
                      <w:szCs w:val="21"/>
                      <w:highlight w:val="none"/>
                      <w:lang w:val="en-US" w:eastAsia="zh-CN"/>
                    </w:rPr>
                    <w:t>40m</w:t>
                  </w:r>
                  <w:r>
                    <w:rPr>
                      <w:rFonts w:hint="eastAsia"/>
                      <w:color w:val="auto"/>
                      <w:sz w:val="21"/>
                      <w:szCs w:val="21"/>
                      <w:highlight w:val="none"/>
                      <w:vertAlign w:val="superscript"/>
                      <w:lang w:val="en-US" w:eastAsia="zh-CN"/>
                    </w:rPr>
                    <w:t>2</w:t>
                  </w:r>
                </w:p>
              </w:tc>
              <w:tc>
                <w:tcPr>
                  <w:tcW w:w="525" w:type="pct"/>
                  <w:tcBorders>
                    <w:tl2br w:val="nil"/>
                    <w:tr2bl w:val="nil"/>
                  </w:tcBorders>
                  <w:vAlign w:val="center"/>
                </w:tcPr>
                <w:p w14:paraId="1F071CC9">
                  <w:pPr>
                    <w:pStyle w:val="60"/>
                    <w:rPr>
                      <w:rFonts w:hint="default"/>
                      <w:color w:val="auto"/>
                      <w:sz w:val="21"/>
                      <w:szCs w:val="21"/>
                      <w:lang w:val="en-US" w:eastAsia="zh-CN"/>
                    </w:rPr>
                  </w:pPr>
                  <w:r>
                    <w:rPr>
                      <w:rFonts w:hint="eastAsia"/>
                      <w:color w:val="auto"/>
                      <w:sz w:val="21"/>
                      <w:szCs w:val="21"/>
                      <w:lang w:val="en-US" w:eastAsia="zh-CN"/>
                    </w:rPr>
                    <w:t>新建</w:t>
                  </w:r>
                </w:p>
              </w:tc>
            </w:tr>
            <w:tr w14:paraId="1445D3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2" w:type="pct"/>
                  <w:vMerge w:val="continue"/>
                  <w:tcBorders>
                    <w:tl2br w:val="nil"/>
                    <w:tr2bl w:val="nil"/>
                  </w:tcBorders>
                  <w:vAlign w:val="center"/>
                </w:tcPr>
                <w:p w14:paraId="4C469710">
                  <w:pPr>
                    <w:pStyle w:val="60"/>
                    <w:rPr>
                      <w:color w:val="auto"/>
                      <w:sz w:val="21"/>
                      <w:szCs w:val="21"/>
                    </w:rPr>
                  </w:pPr>
                </w:p>
              </w:tc>
              <w:tc>
                <w:tcPr>
                  <w:tcW w:w="834" w:type="pct"/>
                  <w:tcBorders>
                    <w:tl2br w:val="nil"/>
                    <w:tr2bl w:val="nil"/>
                  </w:tcBorders>
                  <w:vAlign w:val="center"/>
                </w:tcPr>
                <w:p w14:paraId="1A2A5B2F">
                  <w:pPr>
                    <w:pStyle w:val="60"/>
                    <w:rPr>
                      <w:color w:val="auto"/>
                      <w:sz w:val="21"/>
                      <w:szCs w:val="21"/>
                    </w:rPr>
                  </w:pPr>
                  <w:r>
                    <w:rPr>
                      <w:color w:val="auto"/>
                      <w:sz w:val="21"/>
                      <w:szCs w:val="21"/>
                    </w:rPr>
                    <w:t>实验室</w:t>
                  </w:r>
                </w:p>
              </w:tc>
              <w:tc>
                <w:tcPr>
                  <w:tcW w:w="1750" w:type="pct"/>
                  <w:tcBorders>
                    <w:tl2br w:val="nil"/>
                    <w:tr2bl w:val="nil"/>
                  </w:tcBorders>
                  <w:vAlign w:val="center"/>
                </w:tcPr>
                <w:p w14:paraId="6140C15C">
                  <w:pPr>
                    <w:pStyle w:val="60"/>
                    <w:rPr>
                      <w:color w:val="auto"/>
                      <w:sz w:val="21"/>
                      <w:szCs w:val="21"/>
                    </w:rPr>
                  </w:pPr>
                  <w:r>
                    <w:rPr>
                      <w:color w:val="auto"/>
                      <w:sz w:val="21"/>
                      <w:szCs w:val="21"/>
                    </w:rPr>
                    <w:t>1间，彩钢房</w:t>
                  </w:r>
                </w:p>
              </w:tc>
              <w:tc>
                <w:tcPr>
                  <w:tcW w:w="1107" w:type="pct"/>
                  <w:tcBorders>
                    <w:tl2br w:val="nil"/>
                    <w:tr2bl w:val="nil"/>
                  </w:tcBorders>
                  <w:vAlign w:val="center"/>
                </w:tcPr>
                <w:p w14:paraId="3D31E315">
                  <w:pPr>
                    <w:pStyle w:val="60"/>
                    <w:rPr>
                      <w:rFonts w:hint="default" w:eastAsia="宋体"/>
                      <w:color w:val="auto"/>
                      <w:sz w:val="21"/>
                      <w:szCs w:val="21"/>
                      <w:highlight w:val="none"/>
                      <w:lang w:val="en-US" w:eastAsia="zh-CN"/>
                    </w:rPr>
                  </w:pPr>
                  <w:r>
                    <w:rPr>
                      <w:rFonts w:hint="eastAsia"/>
                      <w:color w:val="auto"/>
                      <w:sz w:val="21"/>
                      <w:szCs w:val="21"/>
                      <w:highlight w:val="none"/>
                      <w:lang w:val="en-US" w:eastAsia="zh-CN"/>
                    </w:rPr>
                    <w:t>108m</w:t>
                  </w:r>
                  <w:r>
                    <w:rPr>
                      <w:rFonts w:hint="eastAsia"/>
                      <w:color w:val="auto"/>
                      <w:sz w:val="21"/>
                      <w:szCs w:val="21"/>
                      <w:highlight w:val="none"/>
                      <w:vertAlign w:val="superscript"/>
                      <w:lang w:val="en-US" w:eastAsia="zh-CN"/>
                    </w:rPr>
                    <w:t>2</w:t>
                  </w:r>
                </w:p>
              </w:tc>
              <w:tc>
                <w:tcPr>
                  <w:tcW w:w="525" w:type="pct"/>
                  <w:tcBorders>
                    <w:tl2br w:val="nil"/>
                    <w:tr2bl w:val="nil"/>
                  </w:tcBorders>
                  <w:vAlign w:val="center"/>
                </w:tcPr>
                <w:p w14:paraId="445BC9D8">
                  <w:pPr>
                    <w:pStyle w:val="60"/>
                    <w:rPr>
                      <w:rFonts w:hint="eastAsia" w:eastAsia="宋体"/>
                      <w:color w:val="auto"/>
                      <w:sz w:val="21"/>
                      <w:szCs w:val="21"/>
                      <w:lang w:val="en-US" w:eastAsia="zh-CN"/>
                    </w:rPr>
                  </w:pPr>
                  <w:r>
                    <w:rPr>
                      <w:rFonts w:hint="eastAsia"/>
                      <w:color w:val="auto"/>
                      <w:sz w:val="21"/>
                      <w:szCs w:val="21"/>
                      <w:lang w:val="en-US" w:eastAsia="zh-CN"/>
                    </w:rPr>
                    <w:t>新建</w:t>
                  </w:r>
                </w:p>
              </w:tc>
            </w:tr>
            <w:tr w14:paraId="4B7307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2" w:type="pct"/>
                  <w:vMerge w:val="continue"/>
                  <w:tcBorders>
                    <w:tl2br w:val="nil"/>
                    <w:tr2bl w:val="nil"/>
                  </w:tcBorders>
                  <w:vAlign w:val="center"/>
                </w:tcPr>
                <w:p w14:paraId="713505B4">
                  <w:pPr>
                    <w:pStyle w:val="60"/>
                    <w:rPr>
                      <w:color w:val="auto"/>
                      <w:sz w:val="21"/>
                      <w:szCs w:val="21"/>
                    </w:rPr>
                  </w:pPr>
                </w:p>
              </w:tc>
              <w:tc>
                <w:tcPr>
                  <w:tcW w:w="834" w:type="pct"/>
                  <w:tcBorders>
                    <w:tl2br w:val="nil"/>
                    <w:tr2bl w:val="nil"/>
                  </w:tcBorders>
                  <w:vAlign w:val="center"/>
                </w:tcPr>
                <w:p w14:paraId="4E56F4A3">
                  <w:pPr>
                    <w:pStyle w:val="60"/>
                    <w:rPr>
                      <w:color w:val="auto"/>
                      <w:sz w:val="21"/>
                      <w:szCs w:val="21"/>
                    </w:rPr>
                  </w:pPr>
                  <w:r>
                    <w:rPr>
                      <w:color w:val="auto"/>
                      <w:sz w:val="21"/>
                      <w:szCs w:val="21"/>
                    </w:rPr>
                    <w:t>磅房</w:t>
                  </w:r>
                </w:p>
              </w:tc>
              <w:tc>
                <w:tcPr>
                  <w:tcW w:w="1750" w:type="pct"/>
                  <w:tcBorders>
                    <w:tl2br w:val="nil"/>
                    <w:tr2bl w:val="nil"/>
                  </w:tcBorders>
                  <w:vAlign w:val="center"/>
                </w:tcPr>
                <w:p w14:paraId="1403234A">
                  <w:pPr>
                    <w:pStyle w:val="60"/>
                    <w:rPr>
                      <w:color w:val="auto"/>
                      <w:sz w:val="21"/>
                      <w:szCs w:val="21"/>
                    </w:rPr>
                  </w:pPr>
                  <w:r>
                    <w:rPr>
                      <w:color w:val="auto"/>
                      <w:sz w:val="21"/>
                      <w:szCs w:val="21"/>
                    </w:rPr>
                    <w:t>1层，彩钢房</w:t>
                  </w:r>
                </w:p>
              </w:tc>
              <w:tc>
                <w:tcPr>
                  <w:tcW w:w="1107" w:type="pct"/>
                  <w:tcBorders>
                    <w:tl2br w:val="nil"/>
                    <w:tr2bl w:val="nil"/>
                  </w:tcBorders>
                  <w:vAlign w:val="center"/>
                </w:tcPr>
                <w:p w14:paraId="567B8BF8">
                  <w:pPr>
                    <w:pStyle w:val="60"/>
                    <w:rPr>
                      <w:rFonts w:hint="default" w:eastAsia="宋体"/>
                      <w:color w:val="auto"/>
                      <w:sz w:val="21"/>
                      <w:szCs w:val="21"/>
                      <w:highlight w:val="none"/>
                      <w:lang w:val="en-US" w:eastAsia="zh-CN"/>
                    </w:rPr>
                  </w:pPr>
                  <w:r>
                    <w:rPr>
                      <w:rFonts w:hint="eastAsia"/>
                      <w:color w:val="auto"/>
                      <w:sz w:val="21"/>
                      <w:szCs w:val="21"/>
                      <w:highlight w:val="none"/>
                      <w:lang w:val="en-US" w:eastAsia="zh-CN"/>
                    </w:rPr>
                    <w:t>78m</w:t>
                  </w:r>
                  <w:r>
                    <w:rPr>
                      <w:rFonts w:hint="eastAsia"/>
                      <w:color w:val="auto"/>
                      <w:sz w:val="21"/>
                      <w:szCs w:val="21"/>
                      <w:highlight w:val="none"/>
                      <w:vertAlign w:val="superscript"/>
                      <w:lang w:val="en-US" w:eastAsia="zh-CN"/>
                    </w:rPr>
                    <w:t>2</w:t>
                  </w:r>
                </w:p>
              </w:tc>
              <w:tc>
                <w:tcPr>
                  <w:tcW w:w="525" w:type="pct"/>
                  <w:tcBorders>
                    <w:tl2br w:val="nil"/>
                    <w:tr2bl w:val="nil"/>
                  </w:tcBorders>
                  <w:vAlign w:val="center"/>
                </w:tcPr>
                <w:p w14:paraId="752E1E77">
                  <w:pPr>
                    <w:pStyle w:val="60"/>
                    <w:rPr>
                      <w:rFonts w:hint="eastAsia" w:eastAsia="宋体"/>
                      <w:color w:val="auto"/>
                      <w:sz w:val="21"/>
                      <w:szCs w:val="21"/>
                      <w:lang w:val="en-US" w:eastAsia="zh-CN"/>
                    </w:rPr>
                  </w:pPr>
                  <w:r>
                    <w:rPr>
                      <w:rFonts w:hint="eastAsia"/>
                      <w:color w:val="auto"/>
                      <w:sz w:val="21"/>
                      <w:szCs w:val="21"/>
                      <w:lang w:val="en-US" w:eastAsia="zh-CN"/>
                    </w:rPr>
                    <w:t>新建</w:t>
                  </w:r>
                </w:p>
              </w:tc>
            </w:tr>
            <w:tr w14:paraId="5E48B8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2" w:type="pct"/>
                  <w:vMerge w:val="continue"/>
                  <w:tcBorders>
                    <w:tl2br w:val="nil"/>
                    <w:tr2bl w:val="nil"/>
                  </w:tcBorders>
                  <w:vAlign w:val="center"/>
                </w:tcPr>
                <w:p w14:paraId="4C4A64D7">
                  <w:pPr>
                    <w:pStyle w:val="60"/>
                    <w:rPr>
                      <w:color w:val="auto"/>
                      <w:sz w:val="21"/>
                      <w:szCs w:val="21"/>
                    </w:rPr>
                  </w:pPr>
                </w:p>
              </w:tc>
              <w:tc>
                <w:tcPr>
                  <w:tcW w:w="834" w:type="pct"/>
                  <w:tcBorders>
                    <w:tl2br w:val="nil"/>
                    <w:tr2bl w:val="nil"/>
                  </w:tcBorders>
                  <w:vAlign w:val="center"/>
                </w:tcPr>
                <w:p w14:paraId="68E96EB9">
                  <w:pPr>
                    <w:pStyle w:val="60"/>
                    <w:rPr>
                      <w:color w:val="auto"/>
                      <w:sz w:val="21"/>
                      <w:szCs w:val="21"/>
                    </w:rPr>
                  </w:pPr>
                  <w:r>
                    <w:rPr>
                      <w:color w:val="auto"/>
                      <w:sz w:val="21"/>
                      <w:szCs w:val="21"/>
                    </w:rPr>
                    <w:t>办公室</w:t>
                  </w:r>
                </w:p>
              </w:tc>
              <w:tc>
                <w:tcPr>
                  <w:tcW w:w="1750" w:type="pct"/>
                  <w:tcBorders>
                    <w:tl2br w:val="nil"/>
                    <w:tr2bl w:val="nil"/>
                  </w:tcBorders>
                  <w:vAlign w:val="center"/>
                </w:tcPr>
                <w:p w14:paraId="5ACCA35A">
                  <w:pPr>
                    <w:pStyle w:val="60"/>
                    <w:rPr>
                      <w:color w:val="auto"/>
                      <w:sz w:val="21"/>
                      <w:szCs w:val="21"/>
                    </w:rPr>
                  </w:pPr>
                  <w:r>
                    <w:rPr>
                      <w:color w:val="auto"/>
                      <w:sz w:val="21"/>
                      <w:szCs w:val="21"/>
                    </w:rPr>
                    <w:t>1层，彩钢房</w:t>
                  </w:r>
                </w:p>
              </w:tc>
              <w:tc>
                <w:tcPr>
                  <w:tcW w:w="1107" w:type="pct"/>
                  <w:tcBorders>
                    <w:tl2br w:val="nil"/>
                    <w:tr2bl w:val="nil"/>
                  </w:tcBorders>
                  <w:vAlign w:val="center"/>
                </w:tcPr>
                <w:p w14:paraId="16961334">
                  <w:pPr>
                    <w:pStyle w:val="60"/>
                    <w:rPr>
                      <w:rFonts w:hint="default" w:eastAsia="宋体"/>
                      <w:color w:val="auto"/>
                      <w:sz w:val="21"/>
                      <w:szCs w:val="21"/>
                      <w:highlight w:val="none"/>
                      <w:lang w:val="en-US" w:eastAsia="zh-CN"/>
                    </w:rPr>
                  </w:pPr>
                  <w:r>
                    <w:rPr>
                      <w:rFonts w:hint="eastAsia"/>
                      <w:color w:val="auto"/>
                      <w:sz w:val="21"/>
                      <w:szCs w:val="21"/>
                      <w:highlight w:val="none"/>
                      <w:lang w:val="en-US" w:eastAsia="zh-CN"/>
                    </w:rPr>
                    <w:t>276m</w:t>
                  </w:r>
                  <w:r>
                    <w:rPr>
                      <w:rFonts w:hint="eastAsia"/>
                      <w:color w:val="auto"/>
                      <w:sz w:val="21"/>
                      <w:szCs w:val="21"/>
                      <w:highlight w:val="none"/>
                      <w:vertAlign w:val="superscript"/>
                      <w:lang w:val="en-US" w:eastAsia="zh-CN"/>
                    </w:rPr>
                    <w:t>2</w:t>
                  </w:r>
                </w:p>
              </w:tc>
              <w:tc>
                <w:tcPr>
                  <w:tcW w:w="525" w:type="pct"/>
                  <w:tcBorders>
                    <w:tl2br w:val="nil"/>
                    <w:tr2bl w:val="nil"/>
                  </w:tcBorders>
                  <w:vAlign w:val="center"/>
                </w:tcPr>
                <w:p w14:paraId="5E2CCD34">
                  <w:pPr>
                    <w:pStyle w:val="60"/>
                    <w:rPr>
                      <w:rFonts w:hint="eastAsia" w:eastAsia="宋体"/>
                      <w:color w:val="auto"/>
                      <w:sz w:val="21"/>
                      <w:szCs w:val="21"/>
                      <w:lang w:val="en-US" w:eastAsia="zh-CN"/>
                    </w:rPr>
                  </w:pPr>
                  <w:r>
                    <w:rPr>
                      <w:rFonts w:hint="eastAsia"/>
                      <w:color w:val="auto"/>
                      <w:sz w:val="21"/>
                      <w:szCs w:val="21"/>
                      <w:lang w:val="en-US" w:eastAsia="zh-CN"/>
                    </w:rPr>
                    <w:t>新建</w:t>
                  </w:r>
                </w:p>
              </w:tc>
            </w:tr>
            <w:tr w14:paraId="792479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pct"/>
                  <w:vMerge w:val="continue"/>
                  <w:tcBorders>
                    <w:tl2br w:val="nil"/>
                    <w:tr2bl w:val="nil"/>
                  </w:tcBorders>
                  <w:vAlign w:val="center"/>
                </w:tcPr>
                <w:p w14:paraId="18EDF7CB">
                  <w:pPr>
                    <w:pStyle w:val="60"/>
                    <w:rPr>
                      <w:color w:val="auto"/>
                      <w:sz w:val="21"/>
                      <w:szCs w:val="21"/>
                    </w:rPr>
                  </w:pPr>
                </w:p>
              </w:tc>
              <w:tc>
                <w:tcPr>
                  <w:tcW w:w="834" w:type="pct"/>
                  <w:tcBorders>
                    <w:tl2br w:val="nil"/>
                    <w:tr2bl w:val="nil"/>
                  </w:tcBorders>
                  <w:vAlign w:val="center"/>
                </w:tcPr>
                <w:p w14:paraId="7910893B">
                  <w:pPr>
                    <w:pStyle w:val="60"/>
                    <w:rPr>
                      <w:color w:val="auto"/>
                      <w:sz w:val="21"/>
                      <w:szCs w:val="21"/>
                    </w:rPr>
                  </w:pPr>
                  <w:r>
                    <w:rPr>
                      <w:color w:val="auto"/>
                      <w:sz w:val="21"/>
                      <w:szCs w:val="21"/>
                    </w:rPr>
                    <w:t>门卫室</w:t>
                  </w:r>
                </w:p>
              </w:tc>
              <w:tc>
                <w:tcPr>
                  <w:tcW w:w="1750" w:type="pct"/>
                  <w:tcBorders>
                    <w:tl2br w:val="nil"/>
                    <w:tr2bl w:val="nil"/>
                  </w:tcBorders>
                  <w:vAlign w:val="center"/>
                </w:tcPr>
                <w:p w14:paraId="1C3E2FC1">
                  <w:pPr>
                    <w:pStyle w:val="60"/>
                    <w:rPr>
                      <w:color w:val="auto"/>
                      <w:sz w:val="21"/>
                      <w:szCs w:val="21"/>
                    </w:rPr>
                  </w:pPr>
                  <w:r>
                    <w:rPr>
                      <w:color w:val="auto"/>
                      <w:sz w:val="21"/>
                      <w:szCs w:val="21"/>
                    </w:rPr>
                    <w:t>1间，彩钢房</w:t>
                  </w:r>
                </w:p>
              </w:tc>
              <w:tc>
                <w:tcPr>
                  <w:tcW w:w="1107" w:type="pct"/>
                  <w:tcBorders>
                    <w:tl2br w:val="nil"/>
                    <w:tr2bl w:val="nil"/>
                  </w:tcBorders>
                  <w:vAlign w:val="center"/>
                </w:tcPr>
                <w:p w14:paraId="5269FACC">
                  <w:pPr>
                    <w:pStyle w:val="60"/>
                    <w:rPr>
                      <w:rFonts w:hint="default" w:eastAsia="宋体"/>
                      <w:color w:val="auto"/>
                      <w:sz w:val="21"/>
                      <w:szCs w:val="21"/>
                      <w:highlight w:val="none"/>
                      <w:lang w:val="en-US" w:eastAsia="zh-CN"/>
                    </w:rPr>
                  </w:pPr>
                  <w:r>
                    <w:rPr>
                      <w:rFonts w:hint="eastAsia"/>
                      <w:color w:val="auto"/>
                      <w:sz w:val="21"/>
                      <w:szCs w:val="21"/>
                      <w:highlight w:val="none"/>
                      <w:lang w:val="en-US" w:eastAsia="zh-CN"/>
                    </w:rPr>
                    <w:t>30m</w:t>
                  </w:r>
                  <w:r>
                    <w:rPr>
                      <w:rFonts w:hint="eastAsia"/>
                      <w:color w:val="auto"/>
                      <w:sz w:val="21"/>
                      <w:szCs w:val="21"/>
                      <w:highlight w:val="none"/>
                      <w:vertAlign w:val="superscript"/>
                      <w:lang w:val="en-US" w:eastAsia="zh-CN"/>
                    </w:rPr>
                    <w:t>2</w:t>
                  </w:r>
                </w:p>
              </w:tc>
              <w:tc>
                <w:tcPr>
                  <w:tcW w:w="525" w:type="pct"/>
                  <w:tcBorders>
                    <w:tl2br w:val="nil"/>
                    <w:tr2bl w:val="nil"/>
                  </w:tcBorders>
                  <w:vAlign w:val="center"/>
                </w:tcPr>
                <w:p w14:paraId="445B865A">
                  <w:pPr>
                    <w:pStyle w:val="60"/>
                    <w:rPr>
                      <w:rFonts w:hint="eastAsia" w:eastAsia="宋体"/>
                      <w:color w:val="auto"/>
                      <w:sz w:val="21"/>
                      <w:szCs w:val="21"/>
                      <w:lang w:val="en-US" w:eastAsia="zh-CN"/>
                    </w:rPr>
                  </w:pPr>
                  <w:r>
                    <w:rPr>
                      <w:rFonts w:hint="eastAsia"/>
                      <w:color w:val="auto"/>
                      <w:sz w:val="21"/>
                      <w:szCs w:val="21"/>
                      <w:lang w:val="en-US" w:eastAsia="zh-CN"/>
                    </w:rPr>
                    <w:t>新建</w:t>
                  </w:r>
                </w:p>
              </w:tc>
            </w:tr>
            <w:tr w14:paraId="64A95B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2" w:type="pct"/>
                  <w:vMerge w:val="continue"/>
                  <w:tcBorders>
                    <w:tl2br w:val="nil"/>
                    <w:tr2bl w:val="nil"/>
                  </w:tcBorders>
                  <w:vAlign w:val="center"/>
                </w:tcPr>
                <w:p w14:paraId="7B6EBB51">
                  <w:pPr>
                    <w:pStyle w:val="60"/>
                    <w:rPr>
                      <w:color w:val="auto"/>
                      <w:sz w:val="21"/>
                      <w:szCs w:val="21"/>
                    </w:rPr>
                  </w:pPr>
                </w:p>
              </w:tc>
              <w:tc>
                <w:tcPr>
                  <w:tcW w:w="834" w:type="pct"/>
                  <w:tcBorders>
                    <w:tl2br w:val="nil"/>
                    <w:tr2bl w:val="nil"/>
                  </w:tcBorders>
                  <w:vAlign w:val="center"/>
                </w:tcPr>
                <w:p w14:paraId="19D10028">
                  <w:pPr>
                    <w:pStyle w:val="60"/>
                    <w:rPr>
                      <w:color w:val="auto"/>
                      <w:sz w:val="21"/>
                      <w:szCs w:val="21"/>
                    </w:rPr>
                  </w:pPr>
                  <w:r>
                    <w:rPr>
                      <w:color w:val="auto"/>
                      <w:sz w:val="21"/>
                      <w:szCs w:val="21"/>
                    </w:rPr>
                    <w:t>食堂</w:t>
                  </w:r>
                </w:p>
              </w:tc>
              <w:tc>
                <w:tcPr>
                  <w:tcW w:w="1750" w:type="pct"/>
                  <w:tcBorders>
                    <w:tl2br w:val="nil"/>
                    <w:tr2bl w:val="nil"/>
                  </w:tcBorders>
                  <w:vAlign w:val="center"/>
                </w:tcPr>
                <w:p w14:paraId="715EDFB6">
                  <w:pPr>
                    <w:pStyle w:val="60"/>
                    <w:rPr>
                      <w:rFonts w:hint="default" w:eastAsia="宋体"/>
                      <w:color w:val="auto"/>
                      <w:sz w:val="21"/>
                      <w:szCs w:val="21"/>
                      <w:lang w:val="en-US" w:eastAsia="zh-CN"/>
                    </w:rPr>
                  </w:pPr>
                  <w:r>
                    <w:rPr>
                      <w:rFonts w:hint="eastAsia"/>
                      <w:color w:val="auto"/>
                      <w:sz w:val="21"/>
                      <w:szCs w:val="21"/>
                      <w:lang w:val="en-US" w:eastAsia="zh-CN"/>
                    </w:rPr>
                    <w:t>1间，彩钢房</w:t>
                  </w:r>
                </w:p>
              </w:tc>
              <w:tc>
                <w:tcPr>
                  <w:tcW w:w="1107" w:type="pct"/>
                  <w:tcBorders>
                    <w:tl2br w:val="nil"/>
                    <w:tr2bl w:val="nil"/>
                  </w:tcBorders>
                  <w:vAlign w:val="center"/>
                </w:tcPr>
                <w:p w14:paraId="48F98047">
                  <w:pPr>
                    <w:pStyle w:val="60"/>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100</w:t>
                  </w:r>
                  <w:r>
                    <w:rPr>
                      <w:rFonts w:hint="eastAsia"/>
                      <w:color w:val="auto"/>
                      <w:sz w:val="21"/>
                      <w:szCs w:val="21"/>
                      <w:highlight w:val="none"/>
                      <w:lang w:val="en-US" w:eastAsia="zh-CN"/>
                    </w:rPr>
                    <w:t>m</w:t>
                  </w:r>
                  <w:r>
                    <w:rPr>
                      <w:rFonts w:hint="eastAsia"/>
                      <w:color w:val="auto"/>
                      <w:sz w:val="21"/>
                      <w:szCs w:val="21"/>
                      <w:highlight w:val="none"/>
                      <w:vertAlign w:val="superscript"/>
                      <w:lang w:val="en-US" w:eastAsia="zh-CN"/>
                    </w:rPr>
                    <w:t>2</w:t>
                  </w:r>
                </w:p>
              </w:tc>
              <w:tc>
                <w:tcPr>
                  <w:tcW w:w="525" w:type="pct"/>
                  <w:tcBorders>
                    <w:tl2br w:val="nil"/>
                    <w:tr2bl w:val="nil"/>
                  </w:tcBorders>
                  <w:vAlign w:val="center"/>
                </w:tcPr>
                <w:p w14:paraId="502A4283">
                  <w:pPr>
                    <w:pStyle w:val="60"/>
                    <w:rPr>
                      <w:rFonts w:hint="default" w:eastAsia="宋体"/>
                      <w:color w:val="auto"/>
                      <w:sz w:val="21"/>
                      <w:szCs w:val="21"/>
                      <w:lang w:val="en-US" w:eastAsia="zh-CN"/>
                    </w:rPr>
                  </w:pPr>
                  <w:r>
                    <w:rPr>
                      <w:rFonts w:hint="eastAsia"/>
                      <w:color w:val="auto"/>
                      <w:sz w:val="21"/>
                      <w:szCs w:val="21"/>
                      <w:lang w:val="en-US" w:eastAsia="zh-CN"/>
                    </w:rPr>
                    <w:t>新建</w:t>
                  </w:r>
                </w:p>
              </w:tc>
            </w:tr>
            <w:tr w14:paraId="7515F6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2" w:type="pct"/>
                  <w:vMerge w:val="continue"/>
                  <w:tcBorders>
                    <w:tl2br w:val="nil"/>
                    <w:tr2bl w:val="nil"/>
                  </w:tcBorders>
                  <w:vAlign w:val="center"/>
                </w:tcPr>
                <w:p w14:paraId="2E3E65FF">
                  <w:pPr>
                    <w:pStyle w:val="60"/>
                    <w:rPr>
                      <w:color w:val="auto"/>
                      <w:sz w:val="21"/>
                      <w:szCs w:val="21"/>
                    </w:rPr>
                  </w:pPr>
                </w:p>
              </w:tc>
              <w:tc>
                <w:tcPr>
                  <w:tcW w:w="834" w:type="pct"/>
                  <w:tcBorders>
                    <w:tl2br w:val="nil"/>
                    <w:tr2bl w:val="nil"/>
                  </w:tcBorders>
                  <w:vAlign w:val="center"/>
                </w:tcPr>
                <w:p w14:paraId="086D71E2">
                  <w:pPr>
                    <w:pStyle w:val="60"/>
                    <w:rPr>
                      <w:color w:val="auto"/>
                      <w:sz w:val="21"/>
                      <w:szCs w:val="21"/>
                    </w:rPr>
                  </w:pPr>
                  <w:r>
                    <w:rPr>
                      <w:color w:val="auto"/>
                      <w:sz w:val="21"/>
                      <w:szCs w:val="21"/>
                    </w:rPr>
                    <w:t>员工宿舍</w:t>
                  </w:r>
                </w:p>
              </w:tc>
              <w:tc>
                <w:tcPr>
                  <w:tcW w:w="1750" w:type="pct"/>
                  <w:tcBorders>
                    <w:tl2br w:val="nil"/>
                    <w:tr2bl w:val="nil"/>
                  </w:tcBorders>
                  <w:vAlign w:val="center"/>
                </w:tcPr>
                <w:p w14:paraId="2E4A44AF">
                  <w:pPr>
                    <w:pStyle w:val="60"/>
                    <w:rPr>
                      <w:color w:val="auto"/>
                      <w:sz w:val="21"/>
                      <w:szCs w:val="21"/>
                    </w:rPr>
                  </w:pPr>
                  <w:r>
                    <w:rPr>
                      <w:color w:val="auto"/>
                      <w:sz w:val="21"/>
                      <w:szCs w:val="21"/>
                    </w:rPr>
                    <w:t>彩钢房</w:t>
                  </w:r>
                </w:p>
              </w:tc>
              <w:tc>
                <w:tcPr>
                  <w:tcW w:w="1107" w:type="pct"/>
                  <w:tcBorders>
                    <w:tl2br w:val="nil"/>
                    <w:tr2bl w:val="nil"/>
                  </w:tcBorders>
                  <w:vAlign w:val="center"/>
                </w:tcPr>
                <w:p w14:paraId="2161726C">
                  <w:pPr>
                    <w:pStyle w:val="60"/>
                    <w:rPr>
                      <w:rFonts w:hint="default" w:eastAsia="宋体"/>
                      <w:color w:val="auto"/>
                      <w:sz w:val="21"/>
                      <w:szCs w:val="21"/>
                      <w:highlight w:val="yellow"/>
                      <w:lang w:val="en-US" w:eastAsia="zh-CN"/>
                    </w:rPr>
                  </w:pPr>
                  <w:r>
                    <w:rPr>
                      <w:rFonts w:hint="eastAsia"/>
                      <w:color w:val="auto"/>
                      <w:sz w:val="21"/>
                      <w:szCs w:val="21"/>
                      <w:highlight w:val="none"/>
                      <w:lang w:val="en-US" w:eastAsia="zh-CN"/>
                    </w:rPr>
                    <w:t>100m</w:t>
                  </w:r>
                  <w:r>
                    <w:rPr>
                      <w:rFonts w:hint="eastAsia"/>
                      <w:color w:val="auto"/>
                      <w:sz w:val="21"/>
                      <w:szCs w:val="21"/>
                      <w:highlight w:val="none"/>
                      <w:vertAlign w:val="superscript"/>
                      <w:lang w:val="en-US" w:eastAsia="zh-CN"/>
                    </w:rPr>
                    <w:t>2</w:t>
                  </w:r>
                </w:p>
              </w:tc>
              <w:tc>
                <w:tcPr>
                  <w:tcW w:w="525" w:type="pct"/>
                  <w:tcBorders>
                    <w:tl2br w:val="nil"/>
                    <w:tr2bl w:val="nil"/>
                  </w:tcBorders>
                  <w:vAlign w:val="center"/>
                </w:tcPr>
                <w:p w14:paraId="7544D7DC">
                  <w:pPr>
                    <w:pStyle w:val="60"/>
                    <w:rPr>
                      <w:rFonts w:hint="eastAsia" w:eastAsia="宋体"/>
                      <w:color w:val="auto"/>
                      <w:sz w:val="21"/>
                      <w:szCs w:val="21"/>
                      <w:lang w:val="en-US" w:eastAsia="zh-CN"/>
                    </w:rPr>
                  </w:pPr>
                  <w:r>
                    <w:rPr>
                      <w:rFonts w:hint="eastAsia"/>
                      <w:color w:val="auto"/>
                      <w:sz w:val="21"/>
                      <w:szCs w:val="21"/>
                      <w:lang w:val="en-US" w:eastAsia="zh-CN"/>
                    </w:rPr>
                    <w:t>新建</w:t>
                  </w:r>
                </w:p>
              </w:tc>
            </w:tr>
            <w:tr w14:paraId="309D46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2" w:type="pct"/>
                  <w:vMerge w:val="restart"/>
                  <w:tcBorders>
                    <w:tl2br w:val="nil"/>
                    <w:tr2bl w:val="nil"/>
                  </w:tcBorders>
                  <w:vAlign w:val="center"/>
                </w:tcPr>
                <w:p w14:paraId="7847C19A">
                  <w:pPr>
                    <w:pStyle w:val="60"/>
                    <w:rPr>
                      <w:color w:val="auto"/>
                      <w:sz w:val="21"/>
                      <w:szCs w:val="21"/>
                    </w:rPr>
                  </w:pPr>
                  <w:r>
                    <w:rPr>
                      <w:color w:val="auto"/>
                      <w:sz w:val="21"/>
                      <w:szCs w:val="21"/>
                    </w:rPr>
                    <w:t>公用工程</w:t>
                  </w:r>
                </w:p>
              </w:tc>
              <w:tc>
                <w:tcPr>
                  <w:tcW w:w="834" w:type="pct"/>
                  <w:tcBorders>
                    <w:tl2br w:val="nil"/>
                    <w:tr2bl w:val="nil"/>
                  </w:tcBorders>
                  <w:vAlign w:val="center"/>
                </w:tcPr>
                <w:p w14:paraId="371D02DB">
                  <w:pPr>
                    <w:pStyle w:val="60"/>
                    <w:rPr>
                      <w:color w:val="auto"/>
                      <w:sz w:val="21"/>
                      <w:szCs w:val="21"/>
                    </w:rPr>
                  </w:pPr>
                  <w:r>
                    <w:rPr>
                      <w:color w:val="auto"/>
                      <w:sz w:val="21"/>
                      <w:szCs w:val="21"/>
                    </w:rPr>
                    <w:t>供水工程</w:t>
                  </w:r>
                </w:p>
              </w:tc>
              <w:tc>
                <w:tcPr>
                  <w:tcW w:w="2857" w:type="pct"/>
                  <w:gridSpan w:val="2"/>
                  <w:tcBorders>
                    <w:tl2br w:val="nil"/>
                    <w:tr2bl w:val="nil"/>
                  </w:tcBorders>
                  <w:vAlign w:val="center"/>
                </w:tcPr>
                <w:p w14:paraId="299570D2">
                  <w:pPr>
                    <w:pStyle w:val="60"/>
                    <w:rPr>
                      <w:rFonts w:hint="default" w:eastAsia="宋体"/>
                      <w:color w:val="auto"/>
                      <w:sz w:val="21"/>
                      <w:szCs w:val="21"/>
                      <w:lang w:val="en-US" w:eastAsia="zh-CN"/>
                    </w:rPr>
                  </w:pPr>
                  <w:r>
                    <w:rPr>
                      <w:rFonts w:hint="eastAsia"/>
                      <w:color w:val="auto"/>
                      <w:sz w:val="21"/>
                      <w:szCs w:val="21"/>
                      <w:lang w:val="en-US" w:eastAsia="zh-CN"/>
                    </w:rPr>
                    <w:t>从附近村庄拉运</w:t>
                  </w:r>
                </w:p>
              </w:tc>
              <w:tc>
                <w:tcPr>
                  <w:tcW w:w="525" w:type="pct"/>
                  <w:tcBorders>
                    <w:tl2br w:val="nil"/>
                    <w:tr2bl w:val="nil"/>
                  </w:tcBorders>
                  <w:vAlign w:val="center"/>
                </w:tcPr>
                <w:p w14:paraId="22DF8637">
                  <w:pPr>
                    <w:pStyle w:val="60"/>
                    <w:rPr>
                      <w:rFonts w:hint="default" w:eastAsia="宋体"/>
                      <w:color w:val="auto"/>
                      <w:sz w:val="21"/>
                      <w:szCs w:val="21"/>
                      <w:lang w:val="en-US" w:eastAsia="zh-CN"/>
                    </w:rPr>
                  </w:pPr>
                  <w:r>
                    <w:rPr>
                      <w:rFonts w:hint="eastAsia"/>
                      <w:color w:val="auto"/>
                      <w:sz w:val="21"/>
                      <w:szCs w:val="21"/>
                      <w:lang w:val="en-US" w:eastAsia="zh-CN"/>
                    </w:rPr>
                    <w:t>/</w:t>
                  </w:r>
                </w:p>
              </w:tc>
            </w:tr>
            <w:tr w14:paraId="7D1C09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2" w:type="pct"/>
                  <w:vMerge w:val="continue"/>
                  <w:tcBorders>
                    <w:tl2br w:val="nil"/>
                    <w:tr2bl w:val="nil"/>
                  </w:tcBorders>
                  <w:vAlign w:val="center"/>
                </w:tcPr>
                <w:p w14:paraId="0B962297">
                  <w:pPr>
                    <w:pStyle w:val="60"/>
                    <w:rPr>
                      <w:color w:val="auto"/>
                      <w:sz w:val="21"/>
                      <w:szCs w:val="21"/>
                    </w:rPr>
                  </w:pPr>
                </w:p>
              </w:tc>
              <w:tc>
                <w:tcPr>
                  <w:tcW w:w="834" w:type="pct"/>
                  <w:tcBorders>
                    <w:tl2br w:val="nil"/>
                    <w:tr2bl w:val="nil"/>
                  </w:tcBorders>
                  <w:vAlign w:val="center"/>
                </w:tcPr>
                <w:p w14:paraId="27713217">
                  <w:pPr>
                    <w:pStyle w:val="60"/>
                    <w:rPr>
                      <w:color w:val="auto"/>
                      <w:sz w:val="21"/>
                      <w:szCs w:val="21"/>
                    </w:rPr>
                  </w:pPr>
                  <w:r>
                    <w:rPr>
                      <w:color w:val="auto"/>
                      <w:sz w:val="21"/>
                      <w:szCs w:val="21"/>
                    </w:rPr>
                    <w:t>供电工程</w:t>
                  </w:r>
                </w:p>
              </w:tc>
              <w:tc>
                <w:tcPr>
                  <w:tcW w:w="2857" w:type="pct"/>
                  <w:gridSpan w:val="2"/>
                  <w:tcBorders>
                    <w:tl2br w:val="nil"/>
                    <w:tr2bl w:val="nil"/>
                  </w:tcBorders>
                  <w:vAlign w:val="center"/>
                </w:tcPr>
                <w:p w14:paraId="4AA9BEC1">
                  <w:pPr>
                    <w:pStyle w:val="60"/>
                    <w:rPr>
                      <w:rFonts w:hint="default" w:eastAsia="宋体"/>
                      <w:color w:val="auto"/>
                      <w:sz w:val="21"/>
                      <w:szCs w:val="21"/>
                      <w:lang w:val="en-US" w:eastAsia="zh-CN"/>
                    </w:rPr>
                  </w:pPr>
                  <w:r>
                    <w:rPr>
                      <w:rFonts w:hint="eastAsia"/>
                      <w:color w:val="auto"/>
                      <w:sz w:val="21"/>
                      <w:szCs w:val="21"/>
                      <w:highlight w:val="none"/>
                      <w:lang w:val="en-US" w:eastAsia="zh-CN"/>
                    </w:rPr>
                    <w:t>由电网接入</w:t>
                  </w:r>
                </w:p>
              </w:tc>
              <w:tc>
                <w:tcPr>
                  <w:tcW w:w="525" w:type="pct"/>
                  <w:tcBorders>
                    <w:tl2br w:val="nil"/>
                    <w:tr2bl w:val="nil"/>
                  </w:tcBorders>
                  <w:vAlign w:val="center"/>
                </w:tcPr>
                <w:p w14:paraId="7109458D">
                  <w:pPr>
                    <w:pStyle w:val="60"/>
                    <w:rPr>
                      <w:color w:val="auto"/>
                      <w:sz w:val="21"/>
                      <w:szCs w:val="21"/>
                    </w:rPr>
                  </w:pPr>
                  <w:r>
                    <w:rPr>
                      <w:color w:val="auto"/>
                      <w:sz w:val="21"/>
                      <w:szCs w:val="21"/>
                    </w:rPr>
                    <w:t>/</w:t>
                  </w:r>
                </w:p>
              </w:tc>
            </w:tr>
            <w:tr w14:paraId="23982B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pct"/>
                  <w:vMerge w:val="continue"/>
                  <w:tcBorders>
                    <w:tl2br w:val="nil"/>
                    <w:tr2bl w:val="nil"/>
                  </w:tcBorders>
                  <w:vAlign w:val="center"/>
                </w:tcPr>
                <w:p w14:paraId="6A52D864">
                  <w:pPr>
                    <w:pStyle w:val="60"/>
                    <w:rPr>
                      <w:color w:val="auto"/>
                      <w:sz w:val="21"/>
                      <w:szCs w:val="21"/>
                    </w:rPr>
                  </w:pPr>
                </w:p>
              </w:tc>
              <w:tc>
                <w:tcPr>
                  <w:tcW w:w="834" w:type="pct"/>
                  <w:tcBorders>
                    <w:tl2br w:val="nil"/>
                    <w:tr2bl w:val="nil"/>
                  </w:tcBorders>
                  <w:vAlign w:val="center"/>
                </w:tcPr>
                <w:p w14:paraId="112E005E">
                  <w:pPr>
                    <w:pStyle w:val="60"/>
                    <w:rPr>
                      <w:color w:val="auto"/>
                      <w:sz w:val="21"/>
                      <w:szCs w:val="21"/>
                    </w:rPr>
                  </w:pPr>
                  <w:r>
                    <w:rPr>
                      <w:color w:val="auto"/>
                      <w:sz w:val="21"/>
                      <w:szCs w:val="21"/>
                    </w:rPr>
                    <w:t>供热工程</w:t>
                  </w:r>
                </w:p>
              </w:tc>
              <w:tc>
                <w:tcPr>
                  <w:tcW w:w="2857" w:type="pct"/>
                  <w:gridSpan w:val="2"/>
                  <w:tcBorders>
                    <w:tl2br w:val="nil"/>
                    <w:tr2bl w:val="nil"/>
                  </w:tcBorders>
                  <w:vAlign w:val="center"/>
                </w:tcPr>
                <w:p w14:paraId="169763C3">
                  <w:pPr>
                    <w:pStyle w:val="60"/>
                    <w:rPr>
                      <w:rFonts w:ascii="Times New Roman" w:hAnsi="Times New Roman" w:eastAsia="宋体" w:cs="Times New Roman"/>
                      <w:color w:val="auto"/>
                      <w:kern w:val="2"/>
                      <w:sz w:val="21"/>
                      <w:szCs w:val="21"/>
                      <w:lang w:val="en-US" w:eastAsia="zh-CN" w:bidi="ar-SA"/>
                    </w:rPr>
                  </w:pPr>
                  <w:r>
                    <w:rPr>
                      <w:color w:val="auto"/>
                      <w:sz w:val="21"/>
                      <w:szCs w:val="21"/>
                    </w:rPr>
                    <w:t>冬季不生产，值班人员采用电采暖</w:t>
                  </w:r>
                </w:p>
              </w:tc>
              <w:tc>
                <w:tcPr>
                  <w:tcW w:w="525" w:type="pct"/>
                  <w:tcBorders>
                    <w:tl2br w:val="nil"/>
                    <w:tr2bl w:val="nil"/>
                  </w:tcBorders>
                  <w:vAlign w:val="center"/>
                </w:tcPr>
                <w:p w14:paraId="6157D2AF">
                  <w:pPr>
                    <w:pStyle w:val="60"/>
                    <w:rPr>
                      <w:color w:val="auto"/>
                      <w:sz w:val="21"/>
                      <w:szCs w:val="21"/>
                    </w:rPr>
                  </w:pPr>
                  <w:r>
                    <w:rPr>
                      <w:color w:val="auto"/>
                      <w:sz w:val="21"/>
                      <w:szCs w:val="21"/>
                    </w:rPr>
                    <w:t>/</w:t>
                  </w:r>
                </w:p>
              </w:tc>
            </w:tr>
            <w:tr w14:paraId="351A1F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2" w:type="pct"/>
                  <w:vMerge w:val="continue"/>
                  <w:tcBorders>
                    <w:tl2br w:val="nil"/>
                    <w:tr2bl w:val="nil"/>
                  </w:tcBorders>
                  <w:vAlign w:val="center"/>
                </w:tcPr>
                <w:p w14:paraId="60050A27">
                  <w:pPr>
                    <w:pStyle w:val="60"/>
                    <w:rPr>
                      <w:color w:val="auto"/>
                      <w:sz w:val="21"/>
                      <w:szCs w:val="21"/>
                    </w:rPr>
                  </w:pPr>
                </w:p>
              </w:tc>
              <w:tc>
                <w:tcPr>
                  <w:tcW w:w="834" w:type="pct"/>
                  <w:tcBorders>
                    <w:tl2br w:val="nil"/>
                    <w:tr2bl w:val="nil"/>
                  </w:tcBorders>
                  <w:vAlign w:val="center"/>
                </w:tcPr>
                <w:p w14:paraId="14BA9523">
                  <w:pPr>
                    <w:pStyle w:val="60"/>
                    <w:rPr>
                      <w:color w:val="auto"/>
                      <w:sz w:val="21"/>
                      <w:szCs w:val="21"/>
                    </w:rPr>
                  </w:pPr>
                  <w:r>
                    <w:rPr>
                      <w:color w:val="auto"/>
                      <w:sz w:val="21"/>
                      <w:szCs w:val="21"/>
                    </w:rPr>
                    <w:t>排水工程</w:t>
                  </w:r>
                </w:p>
              </w:tc>
              <w:tc>
                <w:tcPr>
                  <w:tcW w:w="2857" w:type="pct"/>
                  <w:gridSpan w:val="2"/>
                  <w:tcBorders>
                    <w:tl2br w:val="nil"/>
                    <w:tr2bl w:val="nil"/>
                  </w:tcBorders>
                  <w:vAlign w:val="center"/>
                </w:tcPr>
                <w:p w14:paraId="68956185">
                  <w:pPr>
                    <w:pStyle w:val="60"/>
                    <w:rPr>
                      <w:rFonts w:hint="default"/>
                      <w:color w:val="auto"/>
                      <w:sz w:val="21"/>
                      <w:szCs w:val="21"/>
                      <w:lang w:val="en-US" w:eastAsia="zh-CN"/>
                    </w:rPr>
                  </w:pPr>
                  <w:r>
                    <w:rPr>
                      <w:rFonts w:hint="eastAsia"/>
                      <w:bCs/>
                      <w:color w:val="auto"/>
                      <w:spacing w:val="-2"/>
                      <w:kern w:val="2"/>
                      <w:sz w:val="21"/>
                      <w:szCs w:val="21"/>
                      <w:lang w:val="en-US" w:eastAsia="zh-CN"/>
                    </w:rPr>
                    <w:t>项目产生的废水经处理之后回用，生活污水经处理达标之后用于料场洒水降尘</w:t>
                  </w:r>
                </w:p>
              </w:tc>
              <w:tc>
                <w:tcPr>
                  <w:tcW w:w="525" w:type="pct"/>
                  <w:tcBorders>
                    <w:tl2br w:val="nil"/>
                    <w:tr2bl w:val="nil"/>
                  </w:tcBorders>
                  <w:vAlign w:val="center"/>
                </w:tcPr>
                <w:p w14:paraId="36875C90">
                  <w:pPr>
                    <w:pStyle w:val="60"/>
                    <w:rPr>
                      <w:rFonts w:hint="eastAsia" w:eastAsia="宋体"/>
                      <w:color w:val="auto"/>
                      <w:sz w:val="21"/>
                      <w:szCs w:val="21"/>
                      <w:lang w:eastAsia="zh-CN"/>
                    </w:rPr>
                  </w:pPr>
                  <w:r>
                    <w:rPr>
                      <w:rFonts w:hint="eastAsia"/>
                      <w:color w:val="auto"/>
                      <w:sz w:val="21"/>
                      <w:szCs w:val="21"/>
                      <w:lang w:val="en-US" w:eastAsia="zh-CN"/>
                    </w:rPr>
                    <w:t>新建</w:t>
                  </w:r>
                </w:p>
              </w:tc>
            </w:tr>
            <w:tr w14:paraId="7F8DFB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82" w:type="pct"/>
                  <w:vMerge w:val="restart"/>
                  <w:tcBorders>
                    <w:tl2br w:val="nil"/>
                    <w:tr2bl w:val="nil"/>
                  </w:tcBorders>
                  <w:vAlign w:val="center"/>
                </w:tcPr>
                <w:p w14:paraId="58B003E9">
                  <w:pPr>
                    <w:pStyle w:val="60"/>
                    <w:rPr>
                      <w:color w:val="auto"/>
                      <w:sz w:val="21"/>
                      <w:szCs w:val="21"/>
                    </w:rPr>
                  </w:pPr>
                  <w:r>
                    <w:rPr>
                      <w:color w:val="auto"/>
                      <w:sz w:val="21"/>
                      <w:szCs w:val="21"/>
                    </w:rPr>
                    <w:t>环保工程</w:t>
                  </w:r>
                </w:p>
              </w:tc>
              <w:tc>
                <w:tcPr>
                  <w:tcW w:w="834" w:type="pct"/>
                  <w:tcBorders>
                    <w:tl2br w:val="nil"/>
                    <w:tr2bl w:val="nil"/>
                  </w:tcBorders>
                  <w:vAlign w:val="center"/>
                </w:tcPr>
                <w:p w14:paraId="394E741B">
                  <w:pPr>
                    <w:pStyle w:val="60"/>
                    <w:rPr>
                      <w:color w:val="auto"/>
                      <w:sz w:val="21"/>
                      <w:szCs w:val="21"/>
                    </w:rPr>
                  </w:pPr>
                  <w:r>
                    <w:rPr>
                      <w:color w:val="auto"/>
                      <w:sz w:val="21"/>
                      <w:szCs w:val="21"/>
                    </w:rPr>
                    <w:t>废气治理</w:t>
                  </w:r>
                </w:p>
              </w:tc>
              <w:tc>
                <w:tcPr>
                  <w:tcW w:w="2857" w:type="pct"/>
                  <w:gridSpan w:val="2"/>
                  <w:tcBorders>
                    <w:tl2br w:val="nil"/>
                    <w:tr2bl w:val="nil"/>
                  </w:tcBorders>
                  <w:vAlign w:val="center"/>
                </w:tcPr>
                <w:p w14:paraId="29564F50">
                  <w:pPr>
                    <w:pStyle w:val="60"/>
                    <w:jc w:val="left"/>
                    <w:rPr>
                      <w:rFonts w:hint="default" w:eastAsia="宋体"/>
                      <w:color w:val="auto"/>
                      <w:sz w:val="21"/>
                      <w:szCs w:val="21"/>
                      <w:lang w:val="en-US" w:eastAsia="zh-CN"/>
                    </w:rPr>
                  </w:pPr>
                  <w:r>
                    <w:rPr>
                      <w:rFonts w:hint="eastAsia"/>
                      <w:color w:val="auto"/>
                      <w:sz w:val="21"/>
                      <w:szCs w:val="21"/>
                      <w:lang w:val="en-US" w:eastAsia="zh-CN"/>
                    </w:rPr>
                    <w:t>搅拌机自带脉冲布袋除尘器，每个筒仓呼吸孔安装一套袋式除尘器。物料运输采用密闭廊道的方式运输。砂石料场区采用半封闭，物料由篷布覆盖，及时清扫及时洒水以减少扬尘。</w:t>
                  </w:r>
                </w:p>
              </w:tc>
              <w:tc>
                <w:tcPr>
                  <w:tcW w:w="525" w:type="pct"/>
                  <w:vMerge w:val="restart"/>
                  <w:tcBorders>
                    <w:tl2br w:val="nil"/>
                    <w:tr2bl w:val="nil"/>
                  </w:tcBorders>
                  <w:vAlign w:val="center"/>
                </w:tcPr>
                <w:p w14:paraId="00A92272">
                  <w:pPr>
                    <w:pStyle w:val="60"/>
                    <w:rPr>
                      <w:rFonts w:hint="eastAsia" w:eastAsia="宋体"/>
                      <w:color w:val="auto"/>
                      <w:sz w:val="21"/>
                      <w:szCs w:val="21"/>
                      <w:lang w:val="en-US" w:eastAsia="zh-CN"/>
                    </w:rPr>
                  </w:pPr>
                  <w:r>
                    <w:rPr>
                      <w:rFonts w:hint="eastAsia"/>
                      <w:color w:val="auto"/>
                      <w:sz w:val="21"/>
                      <w:szCs w:val="21"/>
                      <w:lang w:val="en-US" w:eastAsia="zh-CN"/>
                    </w:rPr>
                    <w:t>新建</w:t>
                  </w:r>
                </w:p>
              </w:tc>
            </w:tr>
            <w:tr w14:paraId="41BFB8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2" w:type="pct"/>
                  <w:vMerge w:val="continue"/>
                  <w:tcBorders>
                    <w:tl2br w:val="nil"/>
                    <w:tr2bl w:val="nil"/>
                  </w:tcBorders>
                </w:tcPr>
                <w:p w14:paraId="73BAFB1E">
                  <w:pPr>
                    <w:pStyle w:val="60"/>
                    <w:rPr>
                      <w:color w:val="auto"/>
                      <w:sz w:val="21"/>
                      <w:szCs w:val="21"/>
                    </w:rPr>
                  </w:pPr>
                </w:p>
              </w:tc>
              <w:tc>
                <w:tcPr>
                  <w:tcW w:w="834" w:type="pct"/>
                  <w:tcBorders>
                    <w:tl2br w:val="nil"/>
                    <w:tr2bl w:val="nil"/>
                  </w:tcBorders>
                  <w:vAlign w:val="center"/>
                </w:tcPr>
                <w:p w14:paraId="543415AE">
                  <w:pPr>
                    <w:pStyle w:val="60"/>
                    <w:rPr>
                      <w:color w:val="auto"/>
                      <w:sz w:val="21"/>
                      <w:szCs w:val="21"/>
                    </w:rPr>
                  </w:pPr>
                  <w:r>
                    <w:rPr>
                      <w:color w:val="auto"/>
                      <w:sz w:val="21"/>
                      <w:szCs w:val="21"/>
                    </w:rPr>
                    <w:t>废水治理</w:t>
                  </w:r>
                </w:p>
              </w:tc>
              <w:tc>
                <w:tcPr>
                  <w:tcW w:w="2857" w:type="pct"/>
                  <w:gridSpan w:val="2"/>
                  <w:tcBorders>
                    <w:tl2br w:val="nil"/>
                    <w:tr2bl w:val="nil"/>
                  </w:tcBorders>
                  <w:vAlign w:val="center"/>
                </w:tcPr>
                <w:p w14:paraId="0C3D521E">
                  <w:pPr>
                    <w:pStyle w:val="60"/>
                    <w:jc w:val="both"/>
                    <w:rPr>
                      <w:rFonts w:hint="default" w:eastAsia="宋体"/>
                      <w:color w:val="auto"/>
                      <w:sz w:val="21"/>
                      <w:szCs w:val="21"/>
                      <w:lang w:val="en-US" w:eastAsia="zh-CN"/>
                    </w:rPr>
                  </w:pPr>
                  <w:r>
                    <w:rPr>
                      <w:rFonts w:hint="eastAsia"/>
                      <w:color w:val="auto"/>
                      <w:sz w:val="21"/>
                      <w:szCs w:val="21"/>
                      <w:lang w:val="en-US" w:eastAsia="zh-CN"/>
                    </w:rPr>
                    <w:t>生产废水经过沉淀池处理之后回用于产品制造，生活污水经过一体化污水处理系统处理达标后用于料场洒水降尘。</w:t>
                  </w:r>
                </w:p>
              </w:tc>
              <w:tc>
                <w:tcPr>
                  <w:tcW w:w="525" w:type="pct"/>
                  <w:vMerge w:val="continue"/>
                  <w:tcBorders>
                    <w:tl2br w:val="nil"/>
                    <w:tr2bl w:val="nil"/>
                  </w:tcBorders>
                  <w:vAlign w:val="center"/>
                </w:tcPr>
                <w:p w14:paraId="378B87ED">
                  <w:pPr>
                    <w:pStyle w:val="60"/>
                    <w:rPr>
                      <w:color w:val="auto"/>
                      <w:sz w:val="21"/>
                      <w:szCs w:val="21"/>
                    </w:rPr>
                  </w:pPr>
                </w:p>
              </w:tc>
            </w:tr>
            <w:tr w14:paraId="36D738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2" w:type="pct"/>
                  <w:vMerge w:val="continue"/>
                  <w:tcBorders>
                    <w:tl2br w:val="nil"/>
                    <w:tr2bl w:val="nil"/>
                  </w:tcBorders>
                </w:tcPr>
                <w:p w14:paraId="0EF2C3C6">
                  <w:pPr>
                    <w:pStyle w:val="60"/>
                    <w:rPr>
                      <w:color w:val="auto"/>
                      <w:sz w:val="21"/>
                      <w:szCs w:val="21"/>
                    </w:rPr>
                  </w:pPr>
                </w:p>
              </w:tc>
              <w:tc>
                <w:tcPr>
                  <w:tcW w:w="834" w:type="pct"/>
                  <w:tcBorders>
                    <w:tl2br w:val="nil"/>
                    <w:tr2bl w:val="nil"/>
                  </w:tcBorders>
                  <w:vAlign w:val="center"/>
                </w:tcPr>
                <w:p w14:paraId="1C63D39D">
                  <w:pPr>
                    <w:pStyle w:val="60"/>
                    <w:rPr>
                      <w:color w:val="auto"/>
                      <w:sz w:val="21"/>
                      <w:szCs w:val="21"/>
                    </w:rPr>
                  </w:pPr>
                  <w:r>
                    <w:rPr>
                      <w:color w:val="auto"/>
                      <w:sz w:val="21"/>
                      <w:szCs w:val="21"/>
                    </w:rPr>
                    <w:t>固废治理</w:t>
                  </w:r>
                </w:p>
              </w:tc>
              <w:tc>
                <w:tcPr>
                  <w:tcW w:w="2857" w:type="pct"/>
                  <w:gridSpan w:val="2"/>
                  <w:tcBorders>
                    <w:tl2br w:val="nil"/>
                    <w:tr2bl w:val="nil"/>
                  </w:tcBorders>
                  <w:vAlign w:val="center"/>
                </w:tcPr>
                <w:p w14:paraId="2E3F7929">
                  <w:pPr>
                    <w:pStyle w:val="60"/>
                    <w:jc w:val="both"/>
                    <w:rPr>
                      <w:rFonts w:hint="default" w:eastAsia="宋体"/>
                      <w:color w:val="auto"/>
                      <w:sz w:val="21"/>
                      <w:szCs w:val="21"/>
                      <w:lang w:val="en-US" w:eastAsia="zh-CN"/>
                    </w:rPr>
                  </w:pPr>
                  <w:r>
                    <w:rPr>
                      <w:rFonts w:hint="eastAsia"/>
                      <w:color w:val="auto"/>
                      <w:sz w:val="21"/>
                      <w:szCs w:val="21"/>
                      <w:lang w:val="en-US" w:eastAsia="zh-CN"/>
                    </w:rPr>
                    <w:t>生活垃圾集中收集之后交由环卫部门处理；沉淀池的沉渣回用于生产；废机油暂存于危废贮存间，用于场内输送设备润滑，剩余部分委托有资质的单位处理。</w:t>
                  </w:r>
                </w:p>
              </w:tc>
              <w:tc>
                <w:tcPr>
                  <w:tcW w:w="525" w:type="pct"/>
                  <w:vMerge w:val="continue"/>
                  <w:tcBorders>
                    <w:tl2br w:val="nil"/>
                    <w:tr2bl w:val="nil"/>
                  </w:tcBorders>
                  <w:vAlign w:val="center"/>
                </w:tcPr>
                <w:p w14:paraId="06B6D495">
                  <w:pPr>
                    <w:pStyle w:val="60"/>
                    <w:rPr>
                      <w:color w:val="auto"/>
                      <w:sz w:val="21"/>
                      <w:szCs w:val="21"/>
                    </w:rPr>
                  </w:pPr>
                </w:p>
              </w:tc>
            </w:tr>
          </w:tbl>
          <w:p w14:paraId="1C26DA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b/>
                <w:color w:val="auto"/>
                <w:sz w:val="24"/>
              </w:rPr>
            </w:pPr>
            <w:r>
              <w:rPr>
                <w:rFonts w:ascii="Times New Roman" w:hAnsi="Times New Roman" w:eastAsia="宋体" w:cs="Times New Roman"/>
                <w:b/>
                <w:color w:val="auto"/>
                <w:kern w:val="2"/>
                <w:sz w:val="24"/>
                <w:szCs w:val="24"/>
                <w:lang w:val="en-US" w:eastAsia="zh-CN" w:bidi="ar-SA"/>
              </w:rPr>
              <w:t>3.</w:t>
            </w:r>
            <w:r>
              <w:rPr>
                <w:b/>
                <w:color w:val="auto"/>
                <w:sz w:val="24"/>
              </w:rPr>
              <w:t>主要生产设备</w:t>
            </w:r>
          </w:p>
          <w:p w14:paraId="00251C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本项目主要设备情况见表2-2。</w:t>
            </w:r>
          </w:p>
          <w:p w14:paraId="5870A252">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表2-2    本项目主要设备一览表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975"/>
              <w:gridCol w:w="1435"/>
              <w:gridCol w:w="1441"/>
              <w:gridCol w:w="1433"/>
              <w:gridCol w:w="954"/>
            </w:tblGrid>
            <w:tr w14:paraId="43431D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9" w:type="pct"/>
                  <w:vMerge w:val="restart"/>
                  <w:tcBorders>
                    <w:bottom w:val="single" w:color="auto" w:sz="6" w:space="0"/>
                    <w:right w:val="single" w:color="auto" w:sz="6" w:space="0"/>
                  </w:tcBorders>
                  <w:vAlign w:val="center"/>
                </w:tcPr>
                <w:p w14:paraId="06BED297">
                  <w:pPr>
                    <w:widowControl/>
                    <w:snapToGrid w:val="0"/>
                    <w:jc w:val="center"/>
                    <w:rPr>
                      <w:b/>
                      <w:bCs/>
                      <w:color w:val="auto"/>
                      <w:sz w:val="21"/>
                      <w:szCs w:val="21"/>
                    </w:rPr>
                  </w:pPr>
                  <w:r>
                    <w:rPr>
                      <w:b/>
                      <w:bCs/>
                      <w:color w:val="auto"/>
                      <w:sz w:val="21"/>
                      <w:szCs w:val="21"/>
                    </w:rPr>
                    <w:t>序号</w:t>
                  </w:r>
                </w:p>
              </w:tc>
              <w:tc>
                <w:tcPr>
                  <w:tcW w:w="1211" w:type="pct"/>
                  <w:vMerge w:val="restart"/>
                  <w:tcBorders>
                    <w:left w:val="single" w:color="auto" w:sz="6" w:space="0"/>
                    <w:bottom w:val="single" w:color="auto" w:sz="6" w:space="0"/>
                    <w:right w:val="single" w:color="auto" w:sz="6" w:space="0"/>
                  </w:tcBorders>
                  <w:vAlign w:val="center"/>
                </w:tcPr>
                <w:p w14:paraId="2729FC8A">
                  <w:pPr>
                    <w:widowControl/>
                    <w:snapToGrid w:val="0"/>
                    <w:jc w:val="center"/>
                    <w:rPr>
                      <w:b/>
                      <w:bCs/>
                      <w:color w:val="auto"/>
                      <w:sz w:val="21"/>
                      <w:szCs w:val="21"/>
                    </w:rPr>
                  </w:pPr>
                  <w:r>
                    <w:rPr>
                      <w:b/>
                      <w:bCs/>
                      <w:color w:val="auto"/>
                      <w:sz w:val="21"/>
                      <w:szCs w:val="21"/>
                    </w:rPr>
                    <w:t>设备名称</w:t>
                  </w:r>
                </w:p>
              </w:tc>
              <w:tc>
                <w:tcPr>
                  <w:tcW w:w="2643" w:type="pct"/>
                  <w:gridSpan w:val="3"/>
                  <w:tcBorders>
                    <w:left w:val="single" w:color="auto" w:sz="6" w:space="0"/>
                    <w:bottom w:val="single" w:color="auto" w:sz="6" w:space="0"/>
                  </w:tcBorders>
                  <w:vAlign w:val="center"/>
                </w:tcPr>
                <w:p w14:paraId="03D5649B">
                  <w:pPr>
                    <w:widowControl/>
                    <w:snapToGrid w:val="0"/>
                    <w:jc w:val="center"/>
                    <w:rPr>
                      <w:b/>
                      <w:bCs/>
                      <w:color w:val="auto"/>
                      <w:sz w:val="21"/>
                      <w:szCs w:val="21"/>
                    </w:rPr>
                  </w:pPr>
                  <w:r>
                    <w:rPr>
                      <w:b/>
                      <w:bCs/>
                      <w:color w:val="auto"/>
                      <w:sz w:val="21"/>
                      <w:szCs w:val="21"/>
                    </w:rPr>
                    <w:t>设施参数</w:t>
                  </w:r>
                </w:p>
              </w:tc>
              <w:tc>
                <w:tcPr>
                  <w:tcW w:w="585" w:type="pct"/>
                  <w:vMerge w:val="restart"/>
                  <w:vAlign w:val="center"/>
                </w:tcPr>
                <w:p w14:paraId="2E00F3D0">
                  <w:pPr>
                    <w:widowControl/>
                    <w:snapToGrid w:val="0"/>
                    <w:jc w:val="center"/>
                    <w:rPr>
                      <w:b/>
                      <w:bCs/>
                      <w:color w:val="auto"/>
                      <w:sz w:val="21"/>
                      <w:szCs w:val="21"/>
                    </w:rPr>
                  </w:pPr>
                  <w:r>
                    <w:rPr>
                      <w:b/>
                      <w:bCs/>
                      <w:color w:val="auto"/>
                      <w:sz w:val="21"/>
                      <w:szCs w:val="21"/>
                    </w:rPr>
                    <w:t>数量</w:t>
                  </w:r>
                </w:p>
              </w:tc>
            </w:tr>
            <w:tr w14:paraId="112A72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9" w:type="pct"/>
                  <w:vMerge w:val="continue"/>
                  <w:tcBorders>
                    <w:top w:val="single" w:color="auto" w:sz="6" w:space="0"/>
                    <w:bottom w:val="single" w:color="auto" w:sz="12" w:space="0"/>
                    <w:right w:val="single" w:color="auto" w:sz="6" w:space="0"/>
                  </w:tcBorders>
                  <w:vAlign w:val="center"/>
                </w:tcPr>
                <w:p w14:paraId="53345426">
                  <w:pPr>
                    <w:widowControl/>
                    <w:snapToGrid w:val="0"/>
                    <w:jc w:val="center"/>
                    <w:rPr>
                      <w:color w:val="auto"/>
                      <w:sz w:val="21"/>
                      <w:szCs w:val="21"/>
                    </w:rPr>
                  </w:pPr>
                </w:p>
              </w:tc>
              <w:tc>
                <w:tcPr>
                  <w:tcW w:w="1211" w:type="pct"/>
                  <w:vMerge w:val="continue"/>
                  <w:tcBorders>
                    <w:top w:val="single" w:color="auto" w:sz="6" w:space="0"/>
                    <w:left w:val="single" w:color="auto" w:sz="6" w:space="0"/>
                    <w:bottom w:val="single" w:color="auto" w:sz="12" w:space="0"/>
                    <w:right w:val="single" w:color="auto" w:sz="6" w:space="0"/>
                  </w:tcBorders>
                  <w:vAlign w:val="center"/>
                </w:tcPr>
                <w:p w14:paraId="08CF116E">
                  <w:pPr>
                    <w:widowControl/>
                    <w:jc w:val="center"/>
                    <w:rPr>
                      <w:color w:val="auto"/>
                      <w:sz w:val="21"/>
                      <w:szCs w:val="21"/>
                    </w:rPr>
                  </w:pPr>
                </w:p>
              </w:tc>
              <w:tc>
                <w:tcPr>
                  <w:tcW w:w="880" w:type="pct"/>
                  <w:tcBorders>
                    <w:top w:val="single" w:color="auto" w:sz="6" w:space="0"/>
                    <w:left w:val="single" w:color="auto" w:sz="6" w:space="0"/>
                    <w:bottom w:val="single" w:color="auto" w:sz="12" w:space="0"/>
                    <w:right w:val="single" w:color="auto" w:sz="6" w:space="0"/>
                  </w:tcBorders>
                  <w:vAlign w:val="center"/>
                </w:tcPr>
                <w:p w14:paraId="74951A99">
                  <w:pPr>
                    <w:widowControl/>
                    <w:jc w:val="center"/>
                    <w:rPr>
                      <w:b/>
                      <w:bCs/>
                      <w:color w:val="auto"/>
                      <w:sz w:val="21"/>
                      <w:szCs w:val="21"/>
                    </w:rPr>
                  </w:pPr>
                  <w:r>
                    <w:rPr>
                      <w:b/>
                      <w:bCs/>
                      <w:color w:val="auto"/>
                      <w:sz w:val="21"/>
                      <w:szCs w:val="21"/>
                    </w:rPr>
                    <w:t>参数</w:t>
                  </w:r>
                </w:p>
                <w:p w14:paraId="33B6EC63">
                  <w:pPr>
                    <w:widowControl/>
                    <w:jc w:val="center"/>
                    <w:rPr>
                      <w:b/>
                      <w:bCs/>
                      <w:color w:val="auto"/>
                      <w:sz w:val="21"/>
                      <w:szCs w:val="21"/>
                    </w:rPr>
                  </w:pPr>
                  <w:r>
                    <w:rPr>
                      <w:b/>
                      <w:bCs/>
                      <w:color w:val="auto"/>
                      <w:sz w:val="21"/>
                      <w:szCs w:val="21"/>
                    </w:rPr>
                    <w:t>名称</w:t>
                  </w:r>
                </w:p>
              </w:tc>
              <w:tc>
                <w:tcPr>
                  <w:tcW w:w="884" w:type="pct"/>
                  <w:tcBorders>
                    <w:top w:val="single" w:color="auto" w:sz="6" w:space="0"/>
                    <w:left w:val="single" w:color="auto" w:sz="6" w:space="0"/>
                    <w:bottom w:val="single" w:color="auto" w:sz="12" w:space="0"/>
                    <w:right w:val="single" w:color="auto" w:sz="6" w:space="0"/>
                  </w:tcBorders>
                  <w:vAlign w:val="center"/>
                </w:tcPr>
                <w:p w14:paraId="14C0730C">
                  <w:pPr>
                    <w:widowControl/>
                    <w:jc w:val="center"/>
                    <w:rPr>
                      <w:b/>
                      <w:bCs/>
                      <w:color w:val="auto"/>
                      <w:sz w:val="21"/>
                      <w:szCs w:val="21"/>
                    </w:rPr>
                  </w:pPr>
                  <w:r>
                    <w:rPr>
                      <w:rFonts w:hint="eastAsia"/>
                      <w:b/>
                      <w:bCs/>
                      <w:color w:val="auto"/>
                      <w:sz w:val="21"/>
                      <w:szCs w:val="21"/>
                    </w:rPr>
                    <w:t>规格</w:t>
                  </w:r>
                </w:p>
              </w:tc>
              <w:tc>
                <w:tcPr>
                  <w:tcW w:w="878" w:type="pct"/>
                  <w:tcBorders>
                    <w:top w:val="single" w:color="auto" w:sz="6" w:space="0"/>
                    <w:left w:val="single" w:color="auto" w:sz="6" w:space="0"/>
                    <w:bottom w:val="single" w:color="auto" w:sz="12" w:space="0"/>
                  </w:tcBorders>
                  <w:vAlign w:val="center"/>
                </w:tcPr>
                <w:p w14:paraId="3C40EEC6">
                  <w:pPr>
                    <w:widowControl/>
                    <w:jc w:val="center"/>
                    <w:rPr>
                      <w:b/>
                      <w:bCs/>
                      <w:color w:val="auto"/>
                      <w:sz w:val="21"/>
                      <w:szCs w:val="21"/>
                    </w:rPr>
                  </w:pPr>
                  <w:r>
                    <w:rPr>
                      <w:b/>
                      <w:bCs/>
                      <w:color w:val="auto"/>
                      <w:sz w:val="21"/>
                      <w:szCs w:val="21"/>
                    </w:rPr>
                    <w:t>计量</w:t>
                  </w:r>
                </w:p>
                <w:p w14:paraId="222025FE">
                  <w:pPr>
                    <w:widowControl/>
                    <w:jc w:val="center"/>
                    <w:rPr>
                      <w:b/>
                      <w:bCs/>
                      <w:color w:val="auto"/>
                      <w:sz w:val="21"/>
                      <w:szCs w:val="21"/>
                    </w:rPr>
                  </w:pPr>
                  <w:r>
                    <w:rPr>
                      <w:b/>
                      <w:bCs/>
                      <w:color w:val="auto"/>
                      <w:sz w:val="21"/>
                      <w:szCs w:val="21"/>
                    </w:rPr>
                    <w:t>单位</w:t>
                  </w:r>
                </w:p>
              </w:tc>
              <w:tc>
                <w:tcPr>
                  <w:tcW w:w="585" w:type="pct"/>
                  <w:vMerge w:val="continue"/>
                  <w:tcBorders>
                    <w:tl2br w:val="nil"/>
                    <w:tr2bl w:val="nil"/>
                  </w:tcBorders>
                  <w:vAlign w:val="center"/>
                </w:tcPr>
                <w:p w14:paraId="0A97EA06">
                  <w:pPr>
                    <w:widowControl/>
                    <w:jc w:val="center"/>
                    <w:rPr>
                      <w:color w:val="auto"/>
                      <w:sz w:val="21"/>
                      <w:szCs w:val="21"/>
                    </w:rPr>
                  </w:pPr>
                </w:p>
              </w:tc>
            </w:tr>
            <w:tr w14:paraId="5D031F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9" w:type="pct"/>
                  <w:tcBorders>
                    <w:top w:val="single" w:color="auto" w:sz="12" w:space="0"/>
                    <w:tl2br w:val="nil"/>
                    <w:tr2bl w:val="nil"/>
                  </w:tcBorders>
                  <w:vAlign w:val="center"/>
                </w:tcPr>
                <w:p w14:paraId="1E11F606">
                  <w:pPr>
                    <w:widowControl/>
                    <w:snapToGrid w:val="0"/>
                    <w:jc w:val="center"/>
                    <w:rPr>
                      <w:color w:val="auto"/>
                      <w:sz w:val="21"/>
                      <w:szCs w:val="21"/>
                    </w:rPr>
                  </w:pPr>
                  <w:r>
                    <w:rPr>
                      <w:color w:val="auto"/>
                      <w:sz w:val="21"/>
                      <w:szCs w:val="21"/>
                    </w:rPr>
                    <w:t>1</w:t>
                  </w:r>
                </w:p>
              </w:tc>
              <w:tc>
                <w:tcPr>
                  <w:tcW w:w="1211" w:type="pct"/>
                  <w:tcBorders>
                    <w:top w:val="single" w:color="auto" w:sz="12" w:space="0"/>
                    <w:tl2br w:val="nil"/>
                    <w:tr2bl w:val="nil"/>
                  </w:tcBorders>
                  <w:vAlign w:val="center"/>
                </w:tcPr>
                <w:p w14:paraId="63737982">
                  <w:pPr>
                    <w:widowControl/>
                    <w:jc w:val="center"/>
                    <w:rPr>
                      <w:color w:val="auto"/>
                      <w:sz w:val="21"/>
                      <w:szCs w:val="21"/>
                    </w:rPr>
                  </w:pPr>
                  <w:r>
                    <w:rPr>
                      <w:color w:val="auto"/>
                      <w:sz w:val="21"/>
                      <w:szCs w:val="21"/>
                    </w:rPr>
                    <w:t>搅拌机（主机）</w:t>
                  </w:r>
                </w:p>
              </w:tc>
              <w:tc>
                <w:tcPr>
                  <w:tcW w:w="880" w:type="pct"/>
                  <w:tcBorders>
                    <w:top w:val="single" w:color="auto" w:sz="12" w:space="0"/>
                    <w:tl2br w:val="nil"/>
                    <w:tr2bl w:val="nil"/>
                  </w:tcBorders>
                  <w:vAlign w:val="center"/>
                </w:tcPr>
                <w:p w14:paraId="4B2002BE">
                  <w:pPr>
                    <w:widowControl/>
                    <w:jc w:val="center"/>
                    <w:rPr>
                      <w:color w:val="auto"/>
                      <w:sz w:val="21"/>
                      <w:szCs w:val="21"/>
                    </w:rPr>
                  </w:pPr>
                  <w:r>
                    <w:rPr>
                      <w:color w:val="auto"/>
                      <w:sz w:val="21"/>
                      <w:szCs w:val="21"/>
                    </w:rPr>
                    <w:t>搅拌</w:t>
                  </w:r>
                </w:p>
                <w:p w14:paraId="1B0A74D0">
                  <w:pPr>
                    <w:widowControl/>
                    <w:jc w:val="center"/>
                    <w:rPr>
                      <w:color w:val="auto"/>
                      <w:sz w:val="21"/>
                      <w:szCs w:val="21"/>
                    </w:rPr>
                  </w:pPr>
                  <w:r>
                    <w:rPr>
                      <w:color w:val="auto"/>
                      <w:sz w:val="21"/>
                      <w:szCs w:val="21"/>
                    </w:rPr>
                    <w:t>能力</w:t>
                  </w:r>
                </w:p>
              </w:tc>
              <w:tc>
                <w:tcPr>
                  <w:tcW w:w="884" w:type="pct"/>
                  <w:tcBorders>
                    <w:top w:val="single" w:color="auto" w:sz="12" w:space="0"/>
                    <w:tl2br w:val="nil"/>
                    <w:tr2bl w:val="nil"/>
                  </w:tcBorders>
                  <w:vAlign w:val="center"/>
                </w:tcPr>
                <w:p w14:paraId="63C6DE0E">
                  <w:pPr>
                    <w:widowControl/>
                    <w:jc w:val="center"/>
                    <w:rPr>
                      <w:rFonts w:hint="default" w:eastAsia="宋体"/>
                      <w:color w:val="auto"/>
                      <w:sz w:val="21"/>
                      <w:szCs w:val="21"/>
                      <w:lang w:val="en-US" w:eastAsia="zh-CN"/>
                    </w:rPr>
                  </w:pPr>
                  <w:r>
                    <w:rPr>
                      <w:rFonts w:hint="eastAsia"/>
                      <w:color w:val="auto"/>
                      <w:sz w:val="21"/>
                      <w:szCs w:val="21"/>
                      <w:lang w:val="en-US" w:eastAsia="zh-CN"/>
                    </w:rPr>
                    <w:t>240</w:t>
                  </w:r>
                </w:p>
              </w:tc>
              <w:tc>
                <w:tcPr>
                  <w:tcW w:w="878" w:type="pct"/>
                  <w:tcBorders>
                    <w:top w:val="single" w:color="auto" w:sz="12" w:space="0"/>
                    <w:tl2br w:val="nil"/>
                    <w:tr2bl w:val="nil"/>
                  </w:tcBorders>
                  <w:vAlign w:val="center"/>
                </w:tcPr>
                <w:p w14:paraId="3E4441D7">
                  <w:pPr>
                    <w:widowControl/>
                    <w:jc w:val="center"/>
                    <w:rPr>
                      <w:color w:val="auto"/>
                      <w:sz w:val="21"/>
                      <w:szCs w:val="21"/>
                    </w:rPr>
                  </w:pPr>
                  <w:r>
                    <w:rPr>
                      <w:color w:val="auto"/>
                      <w:sz w:val="21"/>
                      <w:szCs w:val="21"/>
                    </w:rPr>
                    <w:t>m</w:t>
                  </w:r>
                  <w:r>
                    <w:rPr>
                      <w:color w:val="auto"/>
                      <w:sz w:val="21"/>
                      <w:szCs w:val="21"/>
                      <w:vertAlign w:val="superscript"/>
                    </w:rPr>
                    <w:t>3</w:t>
                  </w:r>
                  <w:r>
                    <w:rPr>
                      <w:color w:val="auto"/>
                      <w:sz w:val="21"/>
                      <w:szCs w:val="21"/>
                    </w:rPr>
                    <w:t>/</w:t>
                  </w:r>
                  <w:r>
                    <w:rPr>
                      <w:rFonts w:hint="eastAsia"/>
                      <w:color w:val="auto"/>
                      <w:sz w:val="21"/>
                      <w:szCs w:val="21"/>
                    </w:rPr>
                    <w:t>h</w:t>
                  </w:r>
                </w:p>
              </w:tc>
              <w:tc>
                <w:tcPr>
                  <w:tcW w:w="585" w:type="pct"/>
                  <w:tcBorders>
                    <w:top w:val="single" w:color="auto" w:sz="12" w:space="0"/>
                    <w:tl2br w:val="nil"/>
                    <w:tr2bl w:val="nil"/>
                  </w:tcBorders>
                  <w:vAlign w:val="center"/>
                </w:tcPr>
                <w:p w14:paraId="3105E3E2">
                  <w:pPr>
                    <w:widowControl/>
                    <w:jc w:val="center"/>
                    <w:rPr>
                      <w:rFonts w:hint="default" w:eastAsia="宋体"/>
                      <w:color w:val="auto"/>
                      <w:sz w:val="21"/>
                      <w:szCs w:val="21"/>
                      <w:lang w:val="en-US" w:eastAsia="zh-CN"/>
                    </w:rPr>
                  </w:pPr>
                  <w:r>
                    <w:rPr>
                      <w:rFonts w:hint="eastAsia"/>
                      <w:color w:val="auto"/>
                      <w:sz w:val="21"/>
                      <w:szCs w:val="21"/>
                      <w:lang w:val="en-US" w:eastAsia="zh-CN"/>
                    </w:rPr>
                    <w:t>2</w:t>
                  </w:r>
                </w:p>
              </w:tc>
            </w:tr>
            <w:tr w14:paraId="1FE43A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59" w:type="pct"/>
                  <w:tcBorders>
                    <w:tl2br w:val="nil"/>
                    <w:tr2bl w:val="nil"/>
                  </w:tcBorders>
                  <w:vAlign w:val="center"/>
                </w:tcPr>
                <w:p w14:paraId="237D44A8">
                  <w:pPr>
                    <w:widowControl/>
                    <w:snapToGrid w:val="0"/>
                    <w:jc w:val="center"/>
                    <w:rPr>
                      <w:color w:val="auto"/>
                      <w:sz w:val="21"/>
                      <w:szCs w:val="21"/>
                    </w:rPr>
                  </w:pPr>
                  <w:r>
                    <w:rPr>
                      <w:color w:val="auto"/>
                      <w:sz w:val="21"/>
                      <w:szCs w:val="21"/>
                    </w:rPr>
                    <w:t>2</w:t>
                  </w:r>
                </w:p>
              </w:tc>
              <w:tc>
                <w:tcPr>
                  <w:tcW w:w="1211" w:type="pct"/>
                  <w:tcBorders>
                    <w:tl2br w:val="nil"/>
                    <w:tr2bl w:val="nil"/>
                  </w:tcBorders>
                  <w:vAlign w:val="center"/>
                </w:tcPr>
                <w:p w14:paraId="43EEABBD">
                  <w:pPr>
                    <w:widowControl/>
                    <w:jc w:val="center"/>
                    <w:rPr>
                      <w:color w:val="auto"/>
                      <w:sz w:val="21"/>
                      <w:szCs w:val="21"/>
                    </w:rPr>
                  </w:pPr>
                  <w:r>
                    <w:rPr>
                      <w:color w:val="auto"/>
                      <w:sz w:val="21"/>
                      <w:szCs w:val="21"/>
                    </w:rPr>
                    <w:t>筒仓</w:t>
                  </w:r>
                </w:p>
              </w:tc>
              <w:tc>
                <w:tcPr>
                  <w:tcW w:w="880" w:type="pct"/>
                  <w:tcBorders>
                    <w:tl2br w:val="nil"/>
                    <w:tr2bl w:val="nil"/>
                  </w:tcBorders>
                  <w:vAlign w:val="center"/>
                </w:tcPr>
                <w:p w14:paraId="2114120E">
                  <w:pPr>
                    <w:widowControl/>
                    <w:jc w:val="center"/>
                    <w:rPr>
                      <w:color w:val="auto"/>
                      <w:sz w:val="21"/>
                      <w:szCs w:val="21"/>
                    </w:rPr>
                  </w:pPr>
                  <w:r>
                    <w:rPr>
                      <w:color w:val="auto"/>
                      <w:sz w:val="21"/>
                      <w:szCs w:val="21"/>
                    </w:rPr>
                    <w:t>容积</w:t>
                  </w:r>
                </w:p>
              </w:tc>
              <w:tc>
                <w:tcPr>
                  <w:tcW w:w="884" w:type="pct"/>
                  <w:tcBorders>
                    <w:tl2br w:val="nil"/>
                    <w:tr2bl w:val="nil"/>
                  </w:tcBorders>
                  <w:vAlign w:val="center"/>
                </w:tcPr>
                <w:p w14:paraId="55ED46C5">
                  <w:pPr>
                    <w:widowControl/>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300</w:t>
                  </w:r>
                </w:p>
              </w:tc>
              <w:tc>
                <w:tcPr>
                  <w:tcW w:w="878" w:type="pct"/>
                  <w:tcBorders>
                    <w:tl2br w:val="nil"/>
                    <w:tr2bl w:val="nil"/>
                  </w:tcBorders>
                  <w:vAlign w:val="center"/>
                </w:tcPr>
                <w:p w14:paraId="55DB39F6">
                  <w:pPr>
                    <w:widowControl/>
                    <w:jc w:val="center"/>
                    <w:rPr>
                      <w:color w:val="auto"/>
                      <w:sz w:val="21"/>
                      <w:szCs w:val="21"/>
                      <w:highlight w:val="none"/>
                    </w:rPr>
                  </w:pPr>
                  <w:r>
                    <w:rPr>
                      <w:color w:val="auto"/>
                      <w:sz w:val="21"/>
                      <w:szCs w:val="21"/>
                      <w:highlight w:val="none"/>
                    </w:rPr>
                    <w:t>m</w:t>
                  </w:r>
                  <w:r>
                    <w:rPr>
                      <w:color w:val="auto"/>
                      <w:sz w:val="21"/>
                      <w:szCs w:val="21"/>
                      <w:highlight w:val="none"/>
                      <w:vertAlign w:val="superscript"/>
                    </w:rPr>
                    <w:t>3</w:t>
                  </w:r>
                </w:p>
              </w:tc>
              <w:tc>
                <w:tcPr>
                  <w:tcW w:w="585" w:type="pct"/>
                  <w:tcBorders>
                    <w:tl2br w:val="nil"/>
                    <w:tr2bl w:val="nil"/>
                  </w:tcBorders>
                  <w:vAlign w:val="center"/>
                </w:tcPr>
                <w:p w14:paraId="17D7D60E">
                  <w:pPr>
                    <w:widowControl/>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w:t>
                  </w:r>
                </w:p>
              </w:tc>
            </w:tr>
            <w:tr w14:paraId="5B20DD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59" w:type="pct"/>
                  <w:tcBorders>
                    <w:tl2br w:val="nil"/>
                    <w:tr2bl w:val="nil"/>
                  </w:tcBorders>
                  <w:vAlign w:val="center"/>
                </w:tcPr>
                <w:p w14:paraId="70C1A8A6">
                  <w:pPr>
                    <w:widowControl/>
                    <w:snapToGrid w:val="0"/>
                    <w:jc w:val="center"/>
                    <w:rPr>
                      <w:rFonts w:hint="eastAsia" w:eastAsia="宋体"/>
                      <w:color w:val="auto"/>
                      <w:sz w:val="21"/>
                      <w:szCs w:val="21"/>
                      <w:lang w:val="en-US" w:eastAsia="zh-CN"/>
                    </w:rPr>
                  </w:pPr>
                  <w:r>
                    <w:rPr>
                      <w:rFonts w:hint="eastAsia"/>
                      <w:color w:val="auto"/>
                      <w:sz w:val="21"/>
                      <w:szCs w:val="21"/>
                      <w:lang w:val="en-US" w:eastAsia="zh-CN"/>
                    </w:rPr>
                    <w:t>3</w:t>
                  </w:r>
                </w:p>
              </w:tc>
              <w:tc>
                <w:tcPr>
                  <w:tcW w:w="1211" w:type="pct"/>
                  <w:tcBorders>
                    <w:tl2br w:val="nil"/>
                    <w:tr2bl w:val="nil"/>
                  </w:tcBorders>
                  <w:vAlign w:val="center"/>
                </w:tcPr>
                <w:p w14:paraId="3571DF15">
                  <w:pPr>
                    <w:widowControl/>
                    <w:jc w:val="center"/>
                    <w:rPr>
                      <w:rFonts w:hint="eastAsia" w:eastAsia="宋体"/>
                      <w:color w:val="auto"/>
                      <w:sz w:val="21"/>
                      <w:szCs w:val="21"/>
                      <w:lang w:val="en-US" w:eastAsia="zh-CN"/>
                    </w:rPr>
                  </w:pPr>
                  <w:r>
                    <w:rPr>
                      <w:rFonts w:hint="eastAsia"/>
                      <w:color w:val="auto"/>
                      <w:sz w:val="21"/>
                      <w:szCs w:val="21"/>
                      <w:lang w:val="en-US" w:eastAsia="zh-CN"/>
                    </w:rPr>
                    <w:t>储水罐</w:t>
                  </w:r>
                </w:p>
              </w:tc>
              <w:tc>
                <w:tcPr>
                  <w:tcW w:w="880" w:type="pct"/>
                  <w:tcBorders>
                    <w:tl2br w:val="nil"/>
                    <w:tr2bl w:val="nil"/>
                  </w:tcBorders>
                  <w:vAlign w:val="center"/>
                </w:tcPr>
                <w:p w14:paraId="48B6A481">
                  <w:pPr>
                    <w:widowControl/>
                    <w:jc w:val="center"/>
                    <w:rPr>
                      <w:rFonts w:hint="default" w:eastAsia="宋体"/>
                      <w:color w:val="auto"/>
                      <w:sz w:val="21"/>
                      <w:szCs w:val="21"/>
                      <w:lang w:val="en-US" w:eastAsia="zh-CN"/>
                    </w:rPr>
                  </w:pPr>
                  <w:r>
                    <w:rPr>
                      <w:rFonts w:hint="eastAsia"/>
                      <w:color w:val="auto"/>
                      <w:sz w:val="21"/>
                      <w:szCs w:val="21"/>
                      <w:lang w:val="en-US" w:eastAsia="zh-CN"/>
                    </w:rPr>
                    <w:t>容积</w:t>
                  </w:r>
                </w:p>
              </w:tc>
              <w:tc>
                <w:tcPr>
                  <w:tcW w:w="884" w:type="pct"/>
                  <w:tcBorders>
                    <w:tl2br w:val="nil"/>
                    <w:tr2bl w:val="nil"/>
                  </w:tcBorders>
                  <w:vAlign w:val="center"/>
                </w:tcPr>
                <w:p w14:paraId="58B680EF">
                  <w:pPr>
                    <w:widowControl/>
                    <w:jc w:val="center"/>
                    <w:rPr>
                      <w:rFonts w:hint="default"/>
                      <w:color w:val="auto"/>
                      <w:sz w:val="21"/>
                      <w:szCs w:val="21"/>
                      <w:highlight w:val="none"/>
                      <w:lang w:val="en-US" w:eastAsia="zh-CN"/>
                    </w:rPr>
                  </w:pPr>
                  <w:r>
                    <w:rPr>
                      <w:rFonts w:hint="eastAsia"/>
                      <w:color w:val="auto"/>
                      <w:sz w:val="21"/>
                      <w:szCs w:val="21"/>
                      <w:highlight w:val="none"/>
                      <w:lang w:val="en-US" w:eastAsia="zh-CN"/>
                    </w:rPr>
                    <w:t>200</w:t>
                  </w:r>
                </w:p>
              </w:tc>
              <w:tc>
                <w:tcPr>
                  <w:tcW w:w="878" w:type="pct"/>
                  <w:tcBorders>
                    <w:tl2br w:val="nil"/>
                    <w:tr2bl w:val="nil"/>
                  </w:tcBorders>
                  <w:vAlign w:val="center"/>
                </w:tcPr>
                <w:p w14:paraId="06AF2C27">
                  <w:pPr>
                    <w:widowControl/>
                    <w:jc w:val="center"/>
                    <w:rPr>
                      <w:color w:val="auto"/>
                      <w:sz w:val="21"/>
                      <w:szCs w:val="21"/>
                      <w:highlight w:val="none"/>
                    </w:rPr>
                  </w:pPr>
                  <w:r>
                    <w:rPr>
                      <w:color w:val="auto"/>
                      <w:sz w:val="21"/>
                      <w:szCs w:val="21"/>
                      <w:highlight w:val="none"/>
                    </w:rPr>
                    <w:t>m</w:t>
                  </w:r>
                  <w:r>
                    <w:rPr>
                      <w:color w:val="auto"/>
                      <w:sz w:val="21"/>
                      <w:szCs w:val="21"/>
                      <w:highlight w:val="none"/>
                      <w:vertAlign w:val="superscript"/>
                    </w:rPr>
                    <w:t>3</w:t>
                  </w:r>
                </w:p>
              </w:tc>
              <w:tc>
                <w:tcPr>
                  <w:tcW w:w="585" w:type="pct"/>
                  <w:tcBorders>
                    <w:tl2br w:val="nil"/>
                    <w:tr2bl w:val="nil"/>
                  </w:tcBorders>
                  <w:vAlign w:val="center"/>
                </w:tcPr>
                <w:p w14:paraId="7DAAF92C">
                  <w:pPr>
                    <w:widowControl/>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r>
            <w:tr w14:paraId="160F23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9" w:type="pct"/>
                  <w:tcBorders>
                    <w:tl2br w:val="nil"/>
                    <w:tr2bl w:val="nil"/>
                  </w:tcBorders>
                  <w:vAlign w:val="center"/>
                </w:tcPr>
                <w:p w14:paraId="2E1CC134">
                  <w:pPr>
                    <w:widowControl/>
                    <w:snapToGrid w:val="0"/>
                    <w:jc w:val="center"/>
                    <w:rPr>
                      <w:rFonts w:hint="eastAsia" w:eastAsia="宋体"/>
                      <w:color w:val="auto"/>
                      <w:sz w:val="21"/>
                      <w:szCs w:val="21"/>
                      <w:lang w:val="en-US" w:eastAsia="zh-CN"/>
                    </w:rPr>
                  </w:pPr>
                  <w:r>
                    <w:rPr>
                      <w:rFonts w:hint="eastAsia"/>
                      <w:color w:val="auto"/>
                      <w:sz w:val="21"/>
                      <w:szCs w:val="21"/>
                      <w:lang w:val="en-US" w:eastAsia="zh-CN"/>
                    </w:rPr>
                    <w:t>4</w:t>
                  </w:r>
                </w:p>
              </w:tc>
              <w:tc>
                <w:tcPr>
                  <w:tcW w:w="1211" w:type="pct"/>
                  <w:tcBorders>
                    <w:tl2br w:val="nil"/>
                    <w:tr2bl w:val="nil"/>
                  </w:tcBorders>
                  <w:vAlign w:val="center"/>
                </w:tcPr>
                <w:p w14:paraId="596E4F46">
                  <w:pPr>
                    <w:widowControl/>
                    <w:jc w:val="center"/>
                    <w:rPr>
                      <w:color w:val="auto"/>
                      <w:sz w:val="21"/>
                      <w:szCs w:val="21"/>
                    </w:rPr>
                  </w:pPr>
                  <w:r>
                    <w:rPr>
                      <w:color w:val="auto"/>
                      <w:sz w:val="21"/>
                      <w:szCs w:val="21"/>
                    </w:rPr>
                    <w:t>泵车</w:t>
                  </w:r>
                </w:p>
              </w:tc>
              <w:tc>
                <w:tcPr>
                  <w:tcW w:w="880" w:type="pct"/>
                  <w:tcBorders>
                    <w:tl2br w:val="nil"/>
                    <w:tr2bl w:val="nil"/>
                  </w:tcBorders>
                  <w:vAlign w:val="center"/>
                </w:tcPr>
                <w:p w14:paraId="58B057BF">
                  <w:pPr>
                    <w:widowControl/>
                    <w:jc w:val="center"/>
                    <w:rPr>
                      <w:color w:val="auto"/>
                      <w:sz w:val="21"/>
                      <w:szCs w:val="21"/>
                    </w:rPr>
                  </w:pPr>
                  <w:r>
                    <w:rPr>
                      <w:color w:val="auto"/>
                      <w:sz w:val="21"/>
                      <w:szCs w:val="21"/>
                    </w:rPr>
                    <w:t>容积</w:t>
                  </w:r>
                </w:p>
              </w:tc>
              <w:tc>
                <w:tcPr>
                  <w:tcW w:w="884" w:type="pct"/>
                  <w:tcBorders>
                    <w:tl2br w:val="nil"/>
                    <w:tr2bl w:val="nil"/>
                  </w:tcBorders>
                  <w:vAlign w:val="center"/>
                </w:tcPr>
                <w:p w14:paraId="6FD95C4E">
                  <w:pPr>
                    <w:widowControl/>
                    <w:jc w:val="center"/>
                    <w:rPr>
                      <w:color w:val="auto"/>
                      <w:sz w:val="21"/>
                      <w:szCs w:val="21"/>
                    </w:rPr>
                  </w:pPr>
                  <w:r>
                    <w:rPr>
                      <w:color w:val="auto"/>
                      <w:sz w:val="21"/>
                      <w:szCs w:val="21"/>
                    </w:rPr>
                    <w:t>/</w:t>
                  </w:r>
                </w:p>
              </w:tc>
              <w:tc>
                <w:tcPr>
                  <w:tcW w:w="878" w:type="pct"/>
                  <w:tcBorders>
                    <w:tl2br w:val="nil"/>
                    <w:tr2bl w:val="nil"/>
                  </w:tcBorders>
                  <w:vAlign w:val="center"/>
                </w:tcPr>
                <w:p w14:paraId="1D07991D">
                  <w:pPr>
                    <w:widowControl/>
                    <w:jc w:val="center"/>
                    <w:rPr>
                      <w:color w:val="auto"/>
                      <w:sz w:val="21"/>
                      <w:szCs w:val="21"/>
                    </w:rPr>
                  </w:pPr>
                  <w:r>
                    <w:rPr>
                      <w:color w:val="auto"/>
                      <w:sz w:val="21"/>
                      <w:szCs w:val="21"/>
                    </w:rPr>
                    <w:t>/</w:t>
                  </w:r>
                </w:p>
              </w:tc>
              <w:tc>
                <w:tcPr>
                  <w:tcW w:w="585" w:type="pct"/>
                  <w:tcBorders>
                    <w:tl2br w:val="nil"/>
                    <w:tr2bl w:val="nil"/>
                  </w:tcBorders>
                  <w:vAlign w:val="center"/>
                </w:tcPr>
                <w:p w14:paraId="551B9C14">
                  <w:pPr>
                    <w:widowControl/>
                    <w:jc w:val="center"/>
                    <w:rPr>
                      <w:rFonts w:hint="eastAsia" w:eastAsia="宋体"/>
                      <w:color w:val="auto"/>
                      <w:sz w:val="21"/>
                      <w:szCs w:val="21"/>
                      <w:lang w:val="en-US" w:eastAsia="zh-CN"/>
                    </w:rPr>
                  </w:pPr>
                  <w:r>
                    <w:rPr>
                      <w:rFonts w:hint="eastAsia"/>
                      <w:color w:val="auto"/>
                      <w:sz w:val="21"/>
                      <w:szCs w:val="21"/>
                      <w:lang w:val="en-US" w:eastAsia="zh-CN"/>
                    </w:rPr>
                    <w:t>6</w:t>
                  </w:r>
                </w:p>
              </w:tc>
            </w:tr>
            <w:tr w14:paraId="5A9FE1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9" w:type="pct"/>
                  <w:tcBorders>
                    <w:tl2br w:val="nil"/>
                    <w:tr2bl w:val="nil"/>
                  </w:tcBorders>
                  <w:vAlign w:val="center"/>
                </w:tcPr>
                <w:p w14:paraId="5B793220">
                  <w:pPr>
                    <w:widowControl/>
                    <w:snapToGrid w:val="0"/>
                    <w:jc w:val="center"/>
                    <w:rPr>
                      <w:rFonts w:hint="eastAsia" w:eastAsia="宋体"/>
                      <w:color w:val="auto"/>
                      <w:sz w:val="21"/>
                      <w:szCs w:val="21"/>
                      <w:lang w:val="en-US" w:eastAsia="zh-CN"/>
                    </w:rPr>
                  </w:pPr>
                  <w:r>
                    <w:rPr>
                      <w:rFonts w:hint="eastAsia"/>
                      <w:color w:val="auto"/>
                      <w:sz w:val="21"/>
                      <w:szCs w:val="21"/>
                      <w:lang w:val="en-US" w:eastAsia="zh-CN"/>
                    </w:rPr>
                    <w:t>5</w:t>
                  </w:r>
                </w:p>
              </w:tc>
              <w:tc>
                <w:tcPr>
                  <w:tcW w:w="1211" w:type="pct"/>
                  <w:tcBorders>
                    <w:tl2br w:val="nil"/>
                    <w:tr2bl w:val="nil"/>
                  </w:tcBorders>
                  <w:vAlign w:val="center"/>
                </w:tcPr>
                <w:p w14:paraId="6A589575">
                  <w:pPr>
                    <w:widowControl/>
                    <w:jc w:val="center"/>
                    <w:rPr>
                      <w:color w:val="auto"/>
                      <w:sz w:val="21"/>
                      <w:szCs w:val="21"/>
                    </w:rPr>
                  </w:pPr>
                  <w:r>
                    <w:rPr>
                      <w:color w:val="auto"/>
                      <w:sz w:val="21"/>
                      <w:szCs w:val="21"/>
                    </w:rPr>
                    <w:t>装载机</w:t>
                  </w:r>
                </w:p>
              </w:tc>
              <w:tc>
                <w:tcPr>
                  <w:tcW w:w="880" w:type="pct"/>
                  <w:tcBorders>
                    <w:tl2br w:val="nil"/>
                    <w:tr2bl w:val="nil"/>
                  </w:tcBorders>
                  <w:vAlign w:val="center"/>
                </w:tcPr>
                <w:p w14:paraId="6FF75A02">
                  <w:pPr>
                    <w:widowControl/>
                    <w:jc w:val="center"/>
                    <w:rPr>
                      <w:color w:val="auto"/>
                      <w:sz w:val="21"/>
                      <w:szCs w:val="21"/>
                    </w:rPr>
                  </w:pPr>
                  <w:r>
                    <w:rPr>
                      <w:color w:val="auto"/>
                      <w:sz w:val="21"/>
                      <w:szCs w:val="21"/>
                    </w:rPr>
                    <w:t>容积</w:t>
                  </w:r>
                </w:p>
              </w:tc>
              <w:tc>
                <w:tcPr>
                  <w:tcW w:w="884" w:type="pct"/>
                  <w:tcBorders>
                    <w:tl2br w:val="nil"/>
                    <w:tr2bl w:val="nil"/>
                  </w:tcBorders>
                  <w:vAlign w:val="center"/>
                </w:tcPr>
                <w:p w14:paraId="04338689">
                  <w:pPr>
                    <w:widowControl/>
                    <w:jc w:val="center"/>
                    <w:rPr>
                      <w:color w:val="auto"/>
                      <w:sz w:val="21"/>
                      <w:szCs w:val="21"/>
                    </w:rPr>
                  </w:pPr>
                  <w:r>
                    <w:rPr>
                      <w:color w:val="auto"/>
                      <w:sz w:val="21"/>
                      <w:szCs w:val="21"/>
                    </w:rPr>
                    <w:t>/</w:t>
                  </w:r>
                </w:p>
              </w:tc>
              <w:tc>
                <w:tcPr>
                  <w:tcW w:w="878" w:type="pct"/>
                  <w:tcBorders>
                    <w:tl2br w:val="nil"/>
                    <w:tr2bl w:val="nil"/>
                  </w:tcBorders>
                  <w:vAlign w:val="center"/>
                </w:tcPr>
                <w:p w14:paraId="1443B1E1">
                  <w:pPr>
                    <w:widowControl/>
                    <w:jc w:val="center"/>
                    <w:rPr>
                      <w:color w:val="auto"/>
                      <w:sz w:val="21"/>
                      <w:szCs w:val="21"/>
                    </w:rPr>
                  </w:pPr>
                  <w:r>
                    <w:rPr>
                      <w:color w:val="auto"/>
                      <w:sz w:val="21"/>
                      <w:szCs w:val="21"/>
                    </w:rPr>
                    <w:t>/</w:t>
                  </w:r>
                </w:p>
              </w:tc>
              <w:tc>
                <w:tcPr>
                  <w:tcW w:w="585" w:type="pct"/>
                  <w:tcBorders>
                    <w:tl2br w:val="nil"/>
                    <w:tr2bl w:val="nil"/>
                  </w:tcBorders>
                  <w:vAlign w:val="center"/>
                </w:tcPr>
                <w:p w14:paraId="59D79174">
                  <w:pPr>
                    <w:widowControl/>
                    <w:jc w:val="center"/>
                    <w:rPr>
                      <w:rFonts w:hint="eastAsia" w:eastAsia="宋体"/>
                      <w:color w:val="auto"/>
                      <w:sz w:val="21"/>
                      <w:szCs w:val="21"/>
                      <w:lang w:val="en-US" w:eastAsia="zh-CN"/>
                    </w:rPr>
                  </w:pPr>
                  <w:r>
                    <w:rPr>
                      <w:rFonts w:hint="eastAsia"/>
                      <w:color w:val="auto"/>
                      <w:sz w:val="21"/>
                      <w:szCs w:val="21"/>
                      <w:lang w:val="en-US" w:eastAsia="zh-CN"/>
                    </w:rPr>
                    <w:t>2</w:t>
                  </w:r>
                </w:p>
              </w:tc>
            </w:tr>
            <w:tr w14:paraId="292C23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9" w:type="pct"/>
                  <w:tcBorders>
                    <w:tl2br w:val="nil"/>
                    <w:tr2bl w:val="nil"/>
                  </w:tcBorders>
                  <w:vAlign w:val="center"/>
                </w:tcPr>
                <w:p w14:paraId="3F34694C">
                  <w:pPr>
                    <w:widowControl/>
                    <w:snapToGrid w:val="0"/>
                    <w:jc w:val="center"/>
                    <w:rPr>
                      <w:rFonts w:hint="eastAsia" w:eastAsia="宋体"/>
                      <w:color w:val="auto"/>
                      <w:sz w:val="21"/>
                      <w:szCs w:val="21"/>
                      <w:lang w:val="en-US" w:eastAsia="zh-CN"/>
                    </w:rPr>
                  </w:pPr>
                  <w:r>
                    <w:rPr>
                      <w:rFonts w:hint="eastAsia"/>
                      <w:color w:val="auto"/>
                      <w:sz w:val="21"/>
                      <w:szCs w:val="21"/>
                      <w:lang w:val="en-US" w:eastAsia="zh-CN"/>
                    </w:rPr>
                    <w:t>6</w:t>
                  </w:r>
                </w:p>
              </w:tc>
              <w:tc>
                <w:tcPr>
                  <w:tcW w:w="1211" w:type="pct"/>
                  <w:tcBorders>
                    <w:tl2br w:val="nil"/>
                    <w:tr2bl w:val="nil"/>
                  </w:tcBorders>
                  <w:vAlign w:val="center"/>
                </w:tcPr>
                <w:p w14:paraId="66981A2E">
                  <w:pPr>
                    <w:widowControl/>
                    <w:jc w:val="center"/>
                    <w:rPr>
                      <w:color w:val="auto"/>
                      <w:sz w:val="21"/>
                      <w:szCs w:val="21"/>
                    </w:rPr>
                  </w:pPr>
                  <w:r>
                    <w:rPr>
                      <w:color w:val="auto"/>
                      <w:sz w:val="21"/>
                      <w:szCs w:val="21"/>
                    </w:rPr>
                    <w:t>混凝土罐车</w:t>
                  </w:r>
                </w:p>
              </w:tc>
              <w:tc>
                <w:tcPr>
                  <w:tcW w:w="880" w:type="pct"/>
                  <w:tcBorders>
                    <w:tl2br w:val="nil"/>
                    <w:tr2bl w:val="nil"/>
                  </w:tcBorders>
                  <w:vAlign w:val="center"/>
                </w:tcPr>
                <w:p w14:paraId="34169711">
                  <w:pPr>
                    <w:widowControl/>
                    <w:jc w:val="center"/>
                    <w:rPr>
                      <w:color w:val="auto"/>
                      <w:sz w:val="21"/>
                      <w:szCs w:val="21"/>
                    </w:rPr>
                  </w:pPr>
                  <w:r>
                    <w:rPr>
                      <w:color w:val="auto"/>
                      <w:sz w:val="21"/>
                      <w:szCs w:val="21"/>
                    </w:rPr>
                    <w:t>容积</w:t>
                  </w:r>
                </w:p>
              </w:tc>
              <w:tc>
                <w:tcPr>
                  <w:tcW w:w="884" w:type="pct"/>
                  <w:tcBorders>
                    <w:tl2br w:val="nil"/>
                    <w:tr2bl w:val="nil"/>
                  </w:tcBorders>
                  <w:vAlign w:val="center"/>
                </w:tcPr>
                <w:p w14:paraId="776569A8">
                  <w:pPr>
                    <w:widowControl/>
                    <w:jc w:val="center"/>
                    <w:rPr>
                      <w:color w:val="auto"/>
                      <w:sz w:val="21"/>
                      <w:szCs w:val="21"/>
                    </w:rPr>
                  </w:pPr>
                  <w:r>
                    <w:rPr>
                      <w:color w:val="auto"/>
                      <w:sz w:val="21"/>
                      <w:szCs w:val="21"/>
                    </w:rPr>
                    <w:t>/</w:t>
                  </w:r>
                </w:p>
              </w:tc>
              <w:tc>
                <w:tcPr>
                  <w:tcW w:w="878" w:type="pct"/>
                  <w:tcBorders>
                    <w:tl2br w:val="nil"/>
                    <w:tr2bl w:val="nil"/>
                  </w:tcBorders>
                  <w:vAlign w:val="center"/>
                </w:tcPr>
                <w:p w14:paraId="38C5AFDD">
                  <w:pPr>
                    <w:widowControl/>
                    <w:jc w:val="center"/>
                    <w:rPr>
                      <w:color w:val="auto"/>
                      <w:sz w:val="21"/>
                      <w:szCs w:val="21"/>
                    </w:rPr>
                  </w:pPr>
                  <w:r>
                    <w:rPr>
                      <w:color w:val="auto"/>
                      <w:sz w:val="21"/>
                      <w:szCs w:val="21"/>
                    </w:rPr>
                    <w:t>/</w:t>
                  </w:r>
                </w:p>
              </w:tc>
              <w:tc>
                <w:tcPr>
                  <w:tcW w:w="585" w:type="pct"/>
                  <w:tcBorders>
                    <w:tl2br w:val="nil"/>
                    <w:tr2bl w:val="nil"/>
                  </w:tcBorders>
                  <w:vAlign w:val="center"/>
                </w:tcPr>
                <w:p w14:paraId="6E4CEAFD">
                  <w:pPr>
                    <w:widowControl/>
                    <w:jc w:val="center"/>
                    <w:rPr>
                      <w:rFonts w:hint="default" w:eastAsia="宋体"/>
                      <w:color w:val="auto"/>
                      <w:sz w:val="21"/>
                      <w:szCs w:val="21"/>
                      <w:lang w:val="en-US" w:eastAsia="zh-CN"/>
                    </w:rPr>
                  </w:pPr>
                  <w:r>
                    <w:rPr>
                      <w:rFonts w:hint="eastAsia"/>
                      <w:color w:val="auto"/>
                      <w:sz w:val="21"/>
                      <w:szCs w:val="21"/>
                      <w:lang w:val="en-US" w:eastAsia="zh-CN"/>
                    </w:rPr>
                    <w:t>15</w:t>
                  </w:r>
                </w:p>
              </w:tc>
            </w:tr>
          </w:tbl>
          <w:p w14:paraId="5B0D1E01">
            <w:pPr>
              <w:numPr>
                <w:ilvl w:val="0"/>
                <w:numId w:val="0"/>
              </w:numPr>
              <w:spacing w:line="360" w:lineRule="auto"/>
              <w:ind w:left="0" w:leftChars="0" w:firstLine="0" w:firstLineChars="0"/>
              <w:rPr>
                <w:b/>
                <w:bCs/>
                <w:color w:val="auto"/>
                <w:sz w:val="24"/>
              </w:rPr>
            </w:pPr>
            <w:r>
              <w:rPr>
                <w:rFonts w:ascii="Times New Roman" w:hAnsi="Times New Roman" w:eastAsia="宋体" w:cs="Times New Roman"/>
                <w:b/>
                <w:bCs/>
                <w:color w:val="auto"/>
                <w:kern w:val="2"/>
                <w:sz w:val="24"/>
                <w:szCs w:val="24"/>
                <w:lang w:val="en-US" w:eastAsia="zh-CN" w:bidi="ar-SA"/>
              </w:rPr>
              <w:t>4.</w:t>
            </w:r>
            <w:r>
              <w:rPr>
                <w:b/>
                <w:bCs/>
                <w:color w:val="auto"/>
                <w:sz w:val="24"/>
              </w:rPr>
              <w:t>原辅材料消耗情况</w:t>
            </w:r>
          </w:p>
          <w:p w14:paraId="587E6BD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本项目主要原料为水泥、砂石、外加剂、粉煤灰、矿粉、水等，供货渠道根据生产情况与企业实际情况进行选择、货源充足。</w:t>
            </w:r>
            <w:r>
              <w:rPr>
                <w:rFonts w:hint="eastAsia" w:ascii="宋体" w:hAnsi="宋体" w:eastAsia="宋体" w:cs="宋体"/>
                <w:sz w:val="24"/>
                <w:szCs w:val="24"/>
                <w:lang w:val="en-US" w:eastAsia="zh-CN"/>
              </w:rPr>
              <w:t>原材料中的辅料为添加剂，</w:t>
            </w:r>
            <w:r>
              <w:rPr>
                <w:rFonts w:ascii="宋体" w:hAnsi="宋体" w:eastAsia="宋体" w:cs="宋体"/>
                <w:sz w:val="24"/>
                <w:szCs w:val="24"/>
              </w:rPr>
              <w:t>混凝土添加剂包括减水剂、缓凝剂、膨胀剂、防水剂和防冻剂等，本项目主要外加剂为减水剂和</w:t>
            </w:r>
            <w:r>
              <w:rPr>
                <w:rFonts w:hint="eastAsia" w:ascii="宋体" w:hAnsi="宋体" w:eastAsia="宋体" w:cs="宋体"/>
                <w:sz w:val="24"/>
                <w:szCs w:val="24"/>
                <w:lang w:val="en-US" w:eastAsia="zh-CN"/>
              </w:rPr>
              <w:t>缓凝剂</w:t>
            </w:r>
            <w:r>
              <w:rPr>
                <w:rFonts w:hint="eastAsia" w:ascii="宋体" w:hAnsi="宋体" w:eastAsia="宋体" w:cs="宋体"/>
                <w:sz w:val="24"/>
                <w:szCs w:val="24"/>
                <w:lang w:eastAsia="zh-CN"/>
              </w:rPr>
              <w:t>。</w:t>
            </w:r>
            <w:r>
              <w:rPr>
                <w:rFonts w:ascii="Times New Roman" w:hAnsi="Times New Roman" w:eastAsia="宋体" w:cs="Times New Roman"/>
                <w:color w:val="auto"/>
                <w:kern w:val="0"/>
                <w:sz w:val="24"/>
              </w:rPr>
              <w:t>主要原辅材料消耗情况见表2-3。</w:t>
            </w:r>
          </w:p>
          <w:p w14:paraId="06B3881D">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表2-3    本项目原辅材料消耗情况一览表</w:t>
            </w:r>
          </w:p>
          <w:tbl>
            <w:tblPr>
              <w:tblStyle w:val="28"/>
              <w:tblW w:w="49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353"/>
              <w:gridCol w:w="892"/>
              <w:gridCol w:w="902"/>
              <w:gridCol w:w="1633"/>
              <w:gridCol w:w="1022"/>
              <w:gridCol w:w="888"/>
            </w:tblGrid>
            <w:tr w14:paraId="42FEC8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3" w:type="pct"/>
                  <w:vAlign w:val="center"/>
                </w:tcPr>
                <w:p w14:paraId="2532230C">
                  <w:pPr>
                    <w:pStyle w:val="62"/>
                    <w:rPr>
                      <w:color w:val="auto"/>
                      <w:sz w:val="21"/>
                      <w:szCs w:val="21"/>
                      <w:highlight w:val="none"/>
                    </w:rPr>
                  </w:pPr>
                  <w:r>
                    <w:rPr>
                      <w:color w:val="auto"/>
                      <w:sz w:val="21"/>
                      <w:szCs w:val="21"/>
                      <w:highlight w:val="none"/>
                    </w:rPr>
                    <w:t>序号</w:t>
                  </w:r>
                </w:p>
              </w:tc>
              <w:tc>
                <w:tcPr>
                  <w:tcW w:w="846" w:type="pct"/>
                  <w:vAlign w:val="center"/>
                </w:tcPr>
                <w:p w14:paraId="5888C013">
                  <w:pPr>
                    <w:pStyle w:val="60"/>
                    <w:rPr>
                      <w:color w:val="auto"/>
                      <w:sz w:val="21"/>
                      <w:szCs w:val="21"/>
                      <w:highlight w:val="none"/>
                    </w:rPr>
                  </w:pPr>
                  <w:r>
                    <w:rPr>
                      <w:color w:val="auto"/>
                      <w:sz w:val="21"/>
                      <w:szCs w:val="21"/>
                      <w:highlight w:val="none"/>
                    </w:rPr>
                    <w:t>种类</w:t>
                  </w:r>
                </w:p>
              </w:tc>
              <w:tc>
                <w:tcPr>
                  <w:tcW w:w="1122" w:type="pct"/>
                  <w:gridSpan w:val="2"/>
                  <w:vAlign w:val="center"/>
                </w:tcPr>
                <w:p w14:paraId="4FD30343">
                  <w:pPr>
                    <w:pStyle w:val="60"/>
                    <w:rPr>
                      <w:color w:val="auto"/>
                      <w:sz w:val="21"/>
                      <w:szCs w:val="21"/>
                      <w:highlight w:val="none"/>
                    </w:rPr>
                  </w:pPr>
                  <w:r>
                    <w:rPr>
                      <w:color w:val="auto"/>
                      <w:sz w:val="21"/>
                      <w:szCs w:val="21"/>
                      <w:highlight w:val="none"/>
                    </w:rPr>
                    <w:t>名称</w:t>
                  </w:r>
                </w:p>
              </w:tc>
              <w:tc>
                <w:tcPr>
                  <w:tcW w:w="1021" w:type="pct"/>
                  <w:vAlign w:val="center"/>
                </w:tcPr>
                <w:p w14:paraId="569C2854">
                  <w:pPr>
                    <w:pStyle w:val="60"/>
                    <w:rPr>
                      <w:color w:val="auto"/>
                      <w:sz w:val="21"/>
                      <w:szCs w:val="21"/>
                      <w:highlight w:val="none"/>
                    </w:rPr>
                  </w:pPr>
                  <w:r>
                    <w:rPr>
                      <w:color w:val="auto"/>
                      <w:sz w:val="21"/>
                      <w:szCs w:val="21"/>
                      <w:highlight w:val="none"/>
                    </w:rPr>
                    <w:t>年消耗量</w:t>
                  </w:r>
                </w:p>
                <w:p w14:paraId="09E8F879">
                  <w:pPr>
                    <w:pStyle w:val="60"/>
                    <w:rPr>
                      <w:color w:val="auto"/>
                      <w:sz w:val="21"/>
                      <w:szCs w:val="21"/>
                      <w:highlight w:val="none"/>
                    </w:rPr>
                  </w:pPr>
                  <w:r>
                    <w:rPr>
                      <w:color w:val="auto"/>
                      <w:sz w:val="21"/>
                      <w:szCs w:val="21"/>
                      <w:highlight w:val="none"/>
                    </w:rPr>
                    <w:t>（t/a）</w:t>
                  </w:r>
                </w:p>
              </w:tc>
              <w:tc>
                <w:tcPr>
                  <w:tcW w:w="639" w:type="pct"/>
                  <w:tcBorders>
                    <w:bottom w:val="single" w:color="auto" w:sz="12" w:space="0"/>
                  </w:tcBorders>
                  <w:vAlign w:val="center"/>
                </w:tcPr>
                <w:p w14:paraId="6955AD2D">
                  <w:pPr>
                    <w:pStyle w:val="62"/>
                    <w:rPr>
                      <w:color w:val="auto"/>
                      <w:sz w:val="21"/>
                      <w:szCs w:val="21"/>
                      <w:highlight w:val="none"/>
                    </w:rPr>
                  </w:pPr>
                  <w:r>
                    <w:rPr>
                      <w:color w:val="auto"/>
                      <w:sz w:val="21"/>
                      <w:szCs w:val="21"/>
                      <w:highlight w:val="none"/>
                    </w:rPr>
                    <w:t>储运</w:t>
                  </w:r>
                </w:p>
                <w:p w14:paraId="1DC93E81">
                  <w:pPr>
                    <w:pStyle w:val="62"/>
                    <w:rPr>
                      <w:color w:val="auto"/>
                      <w:sz w:val="21"/>
                      <w:szCs w:val="21"/>
                      <w:highlight w:val="none"/>
                    </w:rPr>
                  </w:pPr>
                  <w:r>
                    <w:rPr>
                      <w:color w:val="auto"/>
                      <w:sz w:val="21"/>
                      <w:szCs w:val="21"/>
                      <w:highlight w:val="none"/>
                    </w:rPr>
                    <w:t>方式</w:t>
                  </w:r>
                </w:p>
              </w:tc>
              <w:tc>
                <w:tcPr>
                  <w:tcW w:w="555" w:type="pct"/>
                  <w:tcBorders>
                    <w:bottom w:val="single" w:color="auto" w:sz="12" w:space="0"/>
                  </w:tcBorders>
                  <w:vAlign w:val="center"/>
                </w:tcPr>
                <w:p w14:paraId="5FC354C4">
                  <w:pPr>
                    <w:pStyle w:val="62"/>
                    <w:rPr>
                      <w:color w:val="auto"/>
                      <w:sz w:val="21"/>
                      <w:szCs w:val="21"/>
                      <w:highlight w:val="none"/>
                    </w:rPr>
                  </w:pPr>
                  <w:r>
                    <w:rPr>
                      <w:color w:val="auto"/>
                      <w:sz w:val="21"/>
                      <w:szCs w:val="21"/>
                      <w:highlight w:val="none"/>
                    </w:rPr>
                    <w:t>备注</w:t>
                  </w:r>
                </w:p>
              </w:tc>
            </w:tr>
            <w:tr w14:paraId="0B63B4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3" w:type="pct"/>
                  <w:tcBorders>
                    <w:top w:val="single" w:color="auto" w:sz="12" w:space="0"/>
                    <w:tl2br w:val="nil"/>
                    <w:tr2bl w:val="nil"/>
                  </w:tcBorders>
                  <w:vAlign w:val="center"/>
                </w:tcPr>
                <w:p w14:paraId="38829CEB">
                  <w:pPr>
                    <w:pStyle w:val="62"/>
                    <w:rPr>
                      <w:color w:val="auto"/>
                      <w:sz w:val="21"/>
                      <w:szCs w:val="21"/>
                      <w:highlight w:val="none"/>
                    </w:rPr>
                  </w:pPr>
                  <w:r>
                    <w:rPr>
                      <w:color w:val="auto"/>
                      <w:sz w:val="21"/>
                      <w:szCs w:val="21"/>
                      <w:highlight w:val="none"/>
                    </w:rPr>
                    <w:t>1</w:t>
                  </w:r>
                </w:p>
              </w:tc>
              <w:tc>
                <w:tcPr>
                  <w:tcW w:w="846" w:type="pct"/>
                  <w:vMerge w:val="restart"/>
                  <w:tcBorders>
                    <w:top w:val="single" w:color="auto" w:sz="12" w:space="0"/>
                    <w:tl2br w:val="nil"/>
                    <w:tr2bl w:val="nil"/>
                  </w:tcBorders>
                  <w:vAlign w:val="center"/>
                </w:tcPr>
                <w:p w14:paraId="4C48049D">
                  <w:pPr>
                    <w:adjustRightInd w:val="0"/>
                    <w:snapToGrid w:val="0"/>
                    <w:spacing w:line="360" w:lineRule="exact"/>
                    <w:jc w:val="center"/>
                    <w:rPr>
                      <w:color w:val="auto"/>
                      <w:sz w:val="21"/>
                      <w:szCs w:val="21"/>
                      <w:highlight w:val="none"/>
                    </w:rPr>
                  </w:pPr>
                  <w:r>
                    <w:rPr>
                      <w:color w:val="auto"/>
                      <w:sz w:val="21"/>
                      <w:szCs w:val="21"/>
                      <w:highlight w:val="none"/>
                    </w:rPr>
                    <w:t>原料</w:t>
                  </w:r>
                </w:p>
                <w:p w14:paraId="3B6B77BF">
                  <w:pPr>
                    <w:adjustRightInd w:val="0"/>
                    <w:snapToGrid w:val="0"/>
                    <w:spacing w:line="360" w:lineRule="exact"/>
                    <w:jc w:val="center"/>
                    <w:rPr>
                      <w:color w:val="auto"/>
                      <w:sz w:val="21"/>
                      <w:szCs w:val="21"/>
                      <w:highlight w:val="none"/>
                    </w:rPr>
                  </w:pPr>
                </w:p>
              </w:tc>
              <w:tc>
                <w:tcPr>
                  <w:tcW w:w="1122" w:type="pct"/>
                  <w:gridSpan w:val="2"/>
                  <w:tcBorders>
                    <w:top w:val="single" w:color="auto" w:sz="12" w:space="0"/>
                    <w:tl2br w:val="nil"/>
                    <w:tr2bl w:val="nil"/>
                  </w:tcBorders>
                  <w:vAlign w:val="center"/>
                </w:tcPr>
                <w:p w14:paraId="3F379E9C">
                  <w:pPr>
                    <w:adjustRightInd w:val="0"/>
                    <w:snapToGrid w:val="0"/>
                    <w:spacing w:line="360" w:lineRule="exact"/>
                    <w:jc w:val="center"/>
                    <w:rPr>
                      <w:color w:val="auto"/>
                      <w:sz w:val="21"/>
                      <w:szCs w:val="21"/>
                      <w:highlight w:val="none"/>
                    </w:rPr>
                  </w:pPr>
                  <w:r>
                    <w:rPr>
                      <w:color w:val="auto"/>
                      <w:sz w:val="21"/>
                      <w:szCs w:val="21"/>
                      <w:highlight w:val="none"/>
                    </w:rPr>
                    <w:t>水泥</w:t>
                  </w:r>
                </w:p>
              </w:tc>
              <w:tc>
                <w:tcPr>
                  <w:tcW w:w="1021" w:type="pct"/>
                  <w:tcBorders>
                    <w:top w:val="single" w:color="auto" w:sz="12" w:space="0"/>
                    <w:tl2br w:val="nil"/>
                    <w:tr2bl w:val="nil"/>
                  </w:tcBorders>
                  <w:vAlign w:val="center"/>
                </w:tcPr>
                <w:p w14:paraId="3C4D95E5">
                  <w:pPr>
                    <w:adjustRightInd w:val="0"/>
                    <w:snapToGrid w:val="0"/>
                    <w:spacing w:line="36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57600</w:t>
                  </w:r>
                </w:p>
              </w:tc>
              <w:tc>
                <w:tcPr>
                  <w:tcW w:w="639" w:type="pct"/>
                  <w:tcBorders>
                    <w:top w:val="single" w:color="auto" w:sz="12" w:space="0"/>
                  </w:tcBorders>
                  <w:vAlign w:val="center"/>
                </w:tcPr>
                <w:p w14:paraId="00AFCD98">
                  <w:pPr>
                    <w:pStyle w:val="62"/>
                    <w:rPr>
                      <w:color w:val="auto"/>
                      <w:sz w:val="21"/>
                      <w:szCs w:val="21"/>
                      <w:highlight w:val="none"/>
                    </w:rPr>
                  </w:pPr>
                  <w:r>
                    <w:rPr>
                      <w:color w:val="auto"/>
                      <w:sz w:val="21"/>
                      <w:szCs w:val="21"/>
                      <w:highlight w:val="none"/>
                    </w:rPr>
                    <w:t>筒仓</w:t>
                  </w:r>
                </w:p>
              </w:tc>
              <w:tc>
                <w:tcPr>
                  <w:tcW w:w="555" w:type="pct"/>
                  <w:tcBorders>
                    <w:top w:val="single" w:color="auto" w:sz="12" w:space="0"/>
                  </w:tcBorders>
                  <w:vAlign w:val="center"/>
                </w:tcPr>
                <w:p w14:paraId="5289C1BF">
                  <w:pPr>
                    <w:pStyle w:val="62"/>
                    <w:rPr>
                      <w:color w:val="auto"/>
                      <w:sz w:val="21"/>
                      <w:szCs w:val="21"/>
                      <w:highlight w:val="none"/>
                    </w:rPr>
                  </w:pPr>
                  <w:r>
                    <w:rPr>
                      <w:color w:val="auto"/>
                      <w:sz w:val="21"/>
                      <w:szCs w:val="21"/>
                      <w:highlight w:val="none"/>
                    </w:rPr>
                    <w:t>外购</w:t>
                  </w:r>
                </w:p>
              </w:tc>
            </w:tr>
            <w:tr w14:paraId="6C16C9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3" w:type="pct"/>
                  <w:tcBorders>
                    <w:tl2br w:val="nil"/>
                    <w:tr2bl w:val="nil"/>
                  </w:tcBorders>
                  <w:vAlign w:val="center"/>
                </w:tcPr>
                <w:p w14:paraId="6AA2E03F">
                  <w:pPr>
                    <w:pStyle w:val="62"/>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846" w:type="pct"/>
                  <w:vMerge w:val="continue"/>
                  <w:tcBorders>
                    <w:tl2br w:val="nil"/>
                    <w:tr2bl w:val="nil"/>
                  </w:tcBorders>
                  <w:vAlign w:val="center"/>
                </w:tcPr>
                <w:p w14:paraId="06B295CE">
                  <w:pPr>
                    <w:adjustRightInd w:val="0"/>
                    <w:snapToGrid w:val="0"/>
                    <w:spacing w:line="360" w:lineRule="exact"/>
                    <w:jc w:val="center"/>
                    <w:rPr>
                      <w:color w:val="auto"/>
                      <w:sz w:val="21"/>
                      <w:szCs w:val="21"/>
                      <w:highlight w:val="none"/>
                    </w:rPr>
                  </w:pPr>
                </w:p>
              </w:tc>
              <w:tc>
                <w:tcPr>
                  <w:tcW w:w="1122" w:type="pct"/>
                  <w:gridSpan w:val="2"/>
                  <w:tcBorders>
                    <w:tl2br w:val="nil"/>
                    <w:tr2bl w:val="nil"/>
                  </w:tcBorders>
                  <w:vAlign w:val="center"/>
                </w:tcPr>
                <w:p w14:paraId="441F4DD4">
                  <w:pPr>
                    <w:adjustRightInd w:val="0"/>
                    <w:snapToGrid w:val="0"/>
                    <w:spacing w:line="360" w:lineRule="exact"/>
                    <w:jc w:val="center"/>
                    <w:rPr>
                      <w:color w:val="auto"/>
                      <w:sz w:val="21"/>
                      <w:szCs w:val="21"/>
                      <w:highlight w:val="none"/>
                    </w:rPr>
                  </w:pPr>
                  <w:r>
                    <w:rPr>
                      <w:color w:val="auto"/>
                      <w:sz w:val="21"/>
                      <w:szCs w:val="21"/>
                      <w:highlight w:val="none"/>
                    </w:rPr>
                    <w:t>粉煤灰</w:t>
                  </w:r>
                </w:p>
              </w:tc>
              <w:tc>
                <w:tcPr>
                  <w:tcW w:w="1021" w:type="pct"/>
                  <w:tcBorders>
                    <w:tl2br w:val="nil"/>
                    <w:tr2bl w:val="nil"/>
                  </w:tcBorders>
                  <w:vAlign w:val="center"/>
                </w:tcPr>
                <w:p w14:paraId="2088A62A">
                  <w:pPr>
                    <w:adjustRightInd w:val="0"/>
                    <w:snapToGrid w:val="0"/>
                    <w:spacing w:line="36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96000</w:t>
                  </w:r>
                </w:p>
              </w:tc>
              <w:tc>
                <w:tcPr>
                  <w:tcW w:w="639" w:type="pct"/>
                  <w:tcBorders>
                    <w:tl2br w:val="nil"/>
                    <w:tr2bl w:val="nil"/>
                  </w:tcBorders>
                  <w:vAlign w:val="center"/>
                </w:tcPr>
                <w:p w14:paraId="2FF19C0C">
                  <w:pPr>
                    <w:jc w:val="center"/>
                    <w:rPr>
                      <w:color w:val="auto"/>
                      <w:sz w:val="21"/>
                      <w:szCs w:val="21"/>
                      <w:highlight w:val="none"/>
                    </w:rPr>
                  </w:pPr>
                  <w:r>
                    <w:rPr>
                      <w:color w:val="auto"/>
                      <w:sz w:val="21"/>
                      <w:szCs w:val="21"/>
                      <w:highlight w:val="none"/>
                    </w:rPr>
                    <w:t>筒仓</w:t>
                  </w:r>
                </w:p>
              </w:tc>
              <w:tc>
                <w:tcPr>
                  <w:tcW w:w="555" w:type="pct"/>
                  <w:tcBorders>
                    <w:tl2br w:val="nil"/>
                    <w:tr2bl w:val="nil"/>
                  </w:tcBorders>
                  <w:vAlign w:val="center"/>
                </w:tcPr>
                <w:p w14:paraId="25198F43">
                  <w:pPr>
                    <w:pStyle w:val="62"/>
                    <w:rPr>
                      <w:color w:val="auto"/>
                      <w:sz w:val="21"/>
                      <w:szCs w:val="21"/>
                      <w:highlight w:val="none"/>
                    </w:rPr>
                  </w:pPr>
                  <w:r>
                    <w:rPr>
                      <w:color w:val="auto"/>
                      <w:sz w:val="21"/>
                      <w:szCs w:val="21"/>
                      <w:highlight w:val="none"/>
                    </w:rPr>
                    <w:t>外购</w:t>
                  </w:r>
                </w:p>
              </w:tc>
            </w:tr>
            <w:tr w14:paraId="624E90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3" w:type="pct"/>
                  <w:tcBorders>
                    <w:tl2br w:val="nil"/>
                    <w:tr2bl w:val="nil"/>
                  </w:tcBorders>
                  <w:vAlign w:val="center"/>
                </w:tcPr>
                <w:p w14:paraId="342F4B03">
                  <w:pPr>
                    <w:pStyle w:val="62"/>
                    <w:rPr>
                      <w:rFonts w:hint="eastAsia" w:eastAsia="宋体"/>
                      <w:color w:val="auto"/>
                      <w:sz w:val="21"/>
                      <w:szCs w:val="21"/>
                      <w:highlight w:val="none"/>
                      <w:lang w:eastAsia="zh-CN"/>
                    </w:rPr>
                  </w:pPr>
                  <w:r>
                    <w:rPr>
                      <w:rFonts w:hint="eastAsia"/>
                      <w:color w:val="auto"/>
                      <w:sz w:val="21"/>
                      <w:szCs w:val="21"/>
                      <w:highlight w:val="none"/>
                      <w:lang w:val="en-US" w:eastAsia="zh-CN"/>
                    </w:rPr>
                    <w:t>3</w:t>
                  </w:r>
                </w:p>
              </w:tc>
              <w:tc>
                <w:tcPr>
                  <w:tcW w:w="846" w:type="pct"/>
                  <w:vMerge w:val="continue"/>
                  <w:tcBorders>
                    <w:tl2br w:val="nil"/>
                    <w:tr2bl w:val="nil"/>
                  </w:tcBorders>
                  <w:vAlign w:val="center"/>
                </w:tcPr>
                <w:p w14:paraId="08198119">
                  <w:pPr>
                    <w:adjustRightInd w:val="0"/>
                    <w:snapToGrid w:val="0"/>
                    <w:spacing w:line="360" w:lineRule="exact"/>
                    <w:jc w:val="center"/>
                    <w:rPr>
                      <w:color w:val="auto"/>
                      <w:sz w:val="21"/>
                      <w:szCs w:val="21"/>
                      <w:highlight w:val="none"/>
                    </w:rPr>
                  </w:pPr>
                </w:p>
              </w:tc>
              <w:tc>
                <w:tcPr>
                  <w:tcW w:w="1122" w:type="pct"/>
                  <w:gridSpan w:val="2"/>
                  <w:tcBorders>
                    <w:tl2br w:val="nil"/>
                    <w:tr2bl w:val="nil"/>
                  </w:tcBorders>
                  <w:vAlign w:val="center"/>
                </w:tcPr>
                <w:p w14:paraId="581C385F">
                  <w:pPr>
                    <w:adjustRightInd w:val="0"/>
                    <w:snapToGrid w:val="0"/>
                    <w:spacing w:line="360" w:lineRule="exact"/>
                    <w:jc w:val="center"/>
                    <w:rPr>
                      <w:color w:val="auto"/>
                      <w:sz w:val="21"/>
                      <w:szCs w:val="21"/>
                      <w:highlight w:val="none"/>
                    </w:rPr>
                  </w:pPr>
                  <w:r>
                    <w:rPr>
                      <w:color w:val="auto"/>
                      <w:sz w:val="21"/>
                      <w:szCs w:val="21"/>
                      <w:highlight w:val="none"/>
                    </w:rPr>
                    <w:t>砂子</w:t>
                  </w:r>
                </w:p>
              </w:tc>
              <w:tc>
                <w:tcPr>
                  <w:tcW w:w="1021" w:type="pct"/>
                  <w:tcBorders>
                    <w:tl2br w:val="nil"/>
                    <w:tr2bl w:val="nil"/>
                  </w:tcBorders>
                  <w:vAlign w:val="center"/>
                </w:tcPr>
                <w:p w14:paraId="08FF6174">
                  <w:pPr>
                    <w:adjustRightInd w:val="0"/>
                    <w:snapToGrid w:val="0"/>
                    <w:spacing w:line="360" w:lineRule="exact"/>
                    <w:jc w:val="center"/>
                    <w:rPr>
                      <w:rFonts w:hint="default"/>
                      <w:color w:val="auto"/>
                      <w:sz w:val="21"/>
                      <w:szCs w:val="21"/>
                      <w:highlight w:val="none"/>
                      <w:lang w:val="en-US"/>
                    </w:rPr>
                  </w:pPr>
                  <w:r>
                    <w:rPr>
                      <w:rFonts w:hint="eastAsia"/>
                      <w:color w:val="auto"/>
                      <w:sz w:val="21"/>
                      <w:szCs w:val="21"/>
                      <w:highlight w:val="none"/>
                      <w:lang w:val="en-US" w:eastAsia="zh-CN"/>
                    </w:rPr>
                    <w:t>96000</w:t>
                  </w:r>
                </w:p>
              </w:tc>
              <w:tc>
                <w:tcPr>
                  <w:tcW w:w="639" w:type="pct"/>
                  <w:tcBorders>
                    <w:tl2br w:val="nil"/>
                    <w:tr2bl w:val="nil"/>
                  </w:tcBorders>
                  <w:vAlign w:val="center"/>
                </w:tcPr>
                <w:p w14:paraId="6C43B45D">
                  <w:pPr>
                    <w:jc w:val="center"/>
                    <w:rPr>
                      <w:color w:val="auto"/>
                      <w:sz w:val="21"/>
                      <w:szCs w:val="21"/>
                      <w:highlight w:val="none"/>
                    </w:rPr>
                  </w:pPr>
                  <w:r>
                    <w:rPr>
                      <w:color w:val="auto"/>
                      <w:sz w:val="21"/>
                      <w:szCs w:val="21"/>
                      <w:highlight w:val="none"/>
                    </w:rPr>
                    <w:t>散装</w:t>
                  </w:r>
                </w:p>
              </w:tc>
              <w:tc>
                <w:tcPr>
                  <w:tcW w:w="555" w:type="pct"/>
                  <w:tcBorders>
                    <w:tl2br w:val="nil"/>
                    <w:tr2bl w:val="nil"/>
                  </w:tcBorders>
                  <w:vAlign w:val="center"/>
                </w:tcPr>
                <w:p w14:paraId="4C06EFA3">
                  <w:pPr>
                    <w:pStyle w:val="62"/>
                    <w:rPr>
                      <w:color w:val="auto"/>
                      <w:sz w:val="21"/>
                      <w:szCs w:val="21"/>
                      <w:highlight w:val="none"/>
                    </w:rPr>
                  </w:pPr>
                  <w:r>
                    <w:rPr>
                      <w:color w:val="auto"/>
                      <w:sz w:val="21"/>
                      <w:szCs w:val="21"/>
                      <w:highlight w:val="none"/>
                    </w:rPr>
                    <w:t>外购</w:t>
                  </w:r>
                </w:p>
              </w:tc>
            </w:tr>
            <w:tr w14:paraId="746ADF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3" w:type="pct"/>
                  <w:tcBorders>
                    <w:tl2br w:val="nil"/>
                    <w:tr2bl w:val="nil"/>
                  </w:tcBorders>
                  <w:vAlign w:val="center"/>
                </w:tcPr>
                <w:p w14:paraId="2BADF1A5">
                  <w:pPr>
                    <w:pStyle w:val="62"/>
                    <w:rPr>
                      <w:rFonts w:hint="eastAsia" w:eastAsia="宋体"/>
                      <w:color w:val="auto"/>
                      <w:sz w:val="21"/>
                      <w:szCs w:val="21"/>
                      <w:highlight w:val="none"/>
                      <w:lang w:eastAsia="zh-CN"/>
                    </w:rPr>
                  </w:pPr>
                  <w:r>
                    <w:rPr>
                      <w:rFonts w:hint="eastAsia"/>
                      <w:color w:val="auto"/>
                      <w:sz w:val="21"/>
                      <w:szCs w:val="21"/>
                      <w:highlight w:val="none"/>
                      <w:lang w:val="en-US" w:eastAsia="zh-CN"/>
                    </w:rPr>
                    <w:t>4</w:t>
                  </w:r>
                </w:p>
              </w:tc>
              <w:tc>
                <w:tcPr>
                  <w:tcW w:w="846" w:type="pct"/>
                  <w:vMerge w:val="continue"/>
                  <w:tcBorders>
                    <w:tl2br w:val="nil"/>
                    <w:tr2bl w:val="nil"/>
                  </w:tcBorders>
                  <w:vAlign w:val="center"/>
                </w:tcPr>
                <w:p w14:paraId="3AB8F4B0">
                  <w:pPr>
                    <w:adjustRightInd w:val="0"/>
                    <w:snapToGrid w:val="0"/>
                    <w:spacing w:line="360" w:lineRule="exact"/>
                    <w:jc w:val="center"/>
                    <w:rPr>
                      <w:color w:val="auto"/>
                      <w:sz w:val="21"/>
                      <w:szCs w:val="21"/>
                      <w:highlight w:val="none"/>
                    </w:rPr>
                  </w:pPr>
                </w:p>
              </w:tc>
              <w:tc>
                <w:tcPr>
                  <w:tcW w:w="1122" w:type="pct"/>
                  <w:gridSpan w:val="2"/>
                  <w:tcBorders>
                    <w:tl2br w:val="nil"/>
                    <w:tr2bl w:val="nil"/>
                  </w:tcBorders>
                  <w:vAlign w:val="center"/>
                </w:tcPr>
                <w:p w14:paraId="238A1CFB">
                  <w:pPr>
                    <w:adjustRightInd w:val="0"/>
                    <w:snapToGrid w:val="0"/>
                    <w:spacing w:line="360" w:lineRule="exact"/>
                    <w:jc w:val="center"/>
                    <w:rPr>
                      <w:color w:val="auto"/>
                      <w:sz w:val="21"/>
                      <w:szCs w:val="21"/>
                      <w:highlight w:val="none"/>
                    </w:rPr>
                  </w:pPr>
                  <w:r>
                    <w:rPr>
                      <w:color w:val="auto"/>
                      <w:sz w:val="21"/>
                      <w:szCs w:val="21"/>
                      <w:highlight w:val="none"/>
                    </w:rPr>
                    <w:t>碎石</w:t>
                  </w:r>
                </w:p>
              </w:tc>
              <w:tc>
                <w:tcPr>
                  <w:tcW w:w="1021" w:type="pct"/>
                  <w:tcBorders>
                    <w:tl2br w:val="nil"/>
                    <w:tr2bl w:val="nil"/>
                  </w:tcBorders>
                  <w:vAlign w:val="center"/>
                </w:tcPr>
                <w:p w14:paraId="0FEE737F">
                  <w:pPr>
                    <w:adjustRightInd w:val="0"/>
                    <w:snapToGrid w:val="0"/>
                    <w:spacing w:line="360" w:lineRule="exact"/>
                    <w:jc w:val="center"/>
                    <w:rPr>
                      <w:rFonts w:hint="default"/>
                      <w:color w:val="auto"/>
                      <w:sz w:val="21"/>
                      <w:szCs w:val="21"/>
                      <w:highlight w:val="none"/>
                      <w:lang w:val="en-US"/>
                    </w:rPr>
                  </w:pPr>
                  <w:r>
                    <w:rPr>
                      <w:rFonts w:hint="eastAsia"/>
                      <w:color w:val="auto"/>
                      <w:sz w:val="21"/>
                      <w:szCs w:val="21"/>
                      <w:highlight w:val="none"/>
                      <w:lang w:val="en-US" w:eastAsia="zh-CN"/>
                    </w:rPr>
                    <w:t>192000</w:t>
                  </w:r>
                </w:p>
              </w:tc>
              <w:tc>
                <w:tcPr>
                  <w:tcW w:w="639" w:type="pct"/>
                  <w:tcBorders>
                    <w:tl2br w:val="nil"/>
                    <w:tr2bl w:val="nil"/>
                  </w:tcBorders>
                  <w:vAlign w:val="center"/>
                </w:tcPr>
                <w:p w14:paraId="25137924">
                  <w:pPr>
                    <w:jc w:val="center"/>
                    <w:rPr>
                      <w:color w:val="auto"/>
                      <w:sz w:val="21"/>
                      <w:szCs w:val="21"/>
                      <w:highlight w:val="none"/>
                    </w:rPr>
                  </w:pPr>
                  <w:r>
                    <w:rPr>
                      <w:color w:val="auto"/>
                      <w:sz w:val="21"/>
                      <w:szCs w:val="21"/>
                      <w:highlight w:val="none"/>
                    </w:rPr>
                    <w:t>散装</w:t>
                  </w:r>
                </w:p>
              </w:tc>
              <w:tc>
                <w:tcPr>
                  <w:tcW w:w="555" w:type="pct"/>
                  <w:tcBorders>
                    <w:tl2br w:val="nil"/>
                    <w:tr2bl w:val="nil"/>
                  </w:tcBorders>
                  <w:vAlign w:val="center"/>
                </w:tcPr>
                <w:p w14:paraId="51653EF1">
                  <w:pPr>
                    <w:pStyle w:val="62"/>
                    <w:rPr>
                      <w:color w:val="auto"/>
                      <w:sz w:val="21"/>
                      <w:szCs w:val="21"/>
                      <w:highlight w:val="none"/>
                    </w:rPr>
                  </w:pPr>
                  <w:r>
                    <w:rPr>
                      <w:color w:val="auto"/>
                      <w:sz w:val="21"/>
                      <w:szCs w:val="21"/>
                      <w:highlight w:val="none"/>
                    </w:rPr>
                    <w:t>外购</w:t>
                  </w:r>
                </w:p>
              </w:tc>
            </w:tr>
            <w:tr w14:paraId="4B37A0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13" w:type="pct"/>
                  <w:tcBorders>
                    <w:tl2br w:val="nil"/>
                    <w:tr2bl w:val="nil"/>
                  </w:tcBorders>
                  <w:vAlign w:val="center"/>
                </w:tcPr>
                <w:p w14:paraId="14AE2624">
                  <w:pPr>
                    <w:pStyle w:val="62"/>
                    <w:rPr>
                      <w:rFonts w:hint="eastAsia" w:eastAsia="宋体"/>
                      <w:color w:val="auto"/>
                      <w:sz w:val="21"/>
                      <w:szCs w:val="21"/>
                      <w:highlight w:val="none"/>
                      <w:lang w:eastAsia="zh-CN"/>
                    </w:rPr>
                  </w:pPr>
                  <w:r>
                    <w:rPr>
                      <w:rFonts w:hint="eastAsia"/>
                      <w:color w:val="auto"/>
                      <w:sz w:val="21"/>
                      <w:szCs w:val="21"/>
                      <w:highlight w:val="none"/>
                      <w:lang w:val="en-US" w:eastAsia="zh-CN"/>
                    </w:rPr>
                    <w:t>5</w:t>
                  </w:r>
                </w:p>
              </w:tc>
              <w:tc>
                <w:tcPr>
                  <w:tcW w:w="846" w:type="pct"/>
                  <w:vMerge w:val="restart"/>
                  <w:tcBorders>
                    <w:tl2br w:val="nil"/>
                    <w:tr2bl w:val="nil"/>
                  </w:tcBorders>
                  <w:vAlign w:val="center"/>
                </w:tcPr>
                <w:p w14:paraId="6B1D4854">
                  <w:pPr>
                    <w:adjustRightInd w:val="0"/>
                    <w:snapToGrid w:val="0"/>
                    <w:spacing w:line="360" w:lineRule="exact"/>
                    <w:jc w:val="center"/>
                    <w:rPr>
                      <w:color w:val="auto"/>
                      <w:sz w:val="21"/>
                      <w:szCs w:val="21"/>
                      <w:highlight w:val="none"/>
                    </w:rPr>
                  </w:pPr>
                  <w:r>
                    <w:rPr>
                      <w:color w:val="auto"/>
                      <w:sz w:val="21"/>
                      <w:szCs w:val="21"/>
                      <w:highlight w:val="none"/>
                    </w:rPr>
                    <w:t>辅料</w:t>
                  </w:r>
                </w:p>
              </w:tc>
              <w:tc>
                <w:tcPr>
                  <w:tcW w:w="558" w:type="pct"/>
                  <w:vMerge w:val="restart"/>
                  <w:tcBorders>
                    <w:tl2br w:val="nil"/>
                    <w:tr2bl w:val="nil"/>
                  </w:tcBorders>
                  <w:vAlign w:val="center"/>
                </w:tcPr>
                <w:p w14:paraId="6FE21F48">
                  <w:pPr>
                    <w:adjustRightInd w:val="0"/>
                    <w:snapToGrid w:val="0"/>
                    <w:spacing w:line="360" w:lineRule="exact"/>
                    <w:jc w:val="center"/>
                    <w:rPr>
                      <w:color w:val="auto"/>
                      <w:sz w:val="21"/>
                      <w:szCs w:val="21"/>
                      <w:highlight w:val="none"/>
                    </w:rPr>
                  </w:pPr>
                  <w:r>
                    <w:rPr>
                      <w:color w:val="auto"/>
                      <w:sz w:val="21"/>
                      <w:szCs w:val="21"/>
                      <w:highlight w:val="none"/>
                    </w:rPr>
                    <w:t>外加剂</w:t>
                  </w:r>
                </w:p>
              </w:tc>
              <w:tc>
                <w:tcPr>
                  <w:tcW w:w="564" w:type="pct"/>
                  <w:tcBorders>
                    <w:tl2br w:val="nil"/>
                    <w:tr2bl w:val="nil"/>
                  </w:tcBorders>
                  <w:vAlign w:val="center"/>
                </w:tcPr>
                <w:p w14:paraId="67D41E6D">
                  <w:pPr>
                    <w:adjustRightInd w:val="0"/>
                    <w:snapToGrid w:val="0"/>
                    <w:spacing w:line="36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减水剂</w:t>
                  </w:r>
                </w:p>
              </w:tc>
              <w:tc>
                <w:tcPr>
                  <w:tcW w:w="1021" w:type="pct"/>
                  <w:tcBorders>
                    <w:tl2br w:val="nil"/>
                    <w:tr2bl w:val="nil"/>
                  </w:tcBorders>
                  <w:vAlign w:val="center"/>
                </w:tcPr>
                <w:p w14:paraId="3938A0CE">
                  <w:pPr>
                    <w:adjustRightInd w:val="0"/>
                    <w:snapToGrid w:val="0"/>
                    <w:spacing w:line="36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4900</w:t>
                  </w:r>
                </w:p>
              </w:tc>
              <w:tc>
                <w:tcPr>
                  <w:tcW w:w="639" w:type="pct"/>
                  <w:tcBorders>
                    <w:tl2br w:val="nil"/>
                    <w:tr2bl w:val="nil"/>
                  </w:tcBorders>
                  <w:vAlign w:val="center"/>
                </w:tcPr>
                <w:p w14:paraId="30254E80">
                  <w:pPr>
                    <w:jc w:val="center"/>
                    <w:rPr>
                      <w:color w:val="auto"/>
                      <w:sz w:val="21"/>
                      <w:szCs w:val="21"/>
                      <w:highlight w:val="none"/>
                    </w:rPr>
                  </w:pPr>
                  <w:r>
                    <w:rPr>
                      <w:color w:val="auto"/>
                      <w:sz w:val="21"/>
                      <w:szCs w:val="21"/>
                      <w:highlight w:val="none"/>
                    </w:rPr>
                    <w:t>塑料桶或铁桶</w:t>
                  </w:r>
                </w:p>
              </w:tc>
              <w:tc>
                <w:tcPr>
                  <w:tcW w:w="555" w:type="pct"/>
                  <w:tcBorders>
                    <w:tl2br w:val="nil"/>
                    <w:tr2bl w:val="nil"/>
                  </w:tcBorders>
                  <w:vAlign w:val="center"/>
                </w:tcPr>
                <w:p w14:paraId="59CE1FAE">
                  <w:pPr>
                    <w:pStyle w:val="62"/>
                    <w:rPr>
                      <w:color w:val="auto"/>
                      <w:sz w:val="21"/>
                      <w:szCs w:val="21"/>
                      <w:highlight w:val="none"/>
                    </w:rPr>
                  </w:pPr>
                  <w:r>
                    <w:rPr>
                      <w:color w:val="auto"/>
                      <w:sz w:val="21"/>
                      <w:szCs w:val="21"/>
                      <w:highlight w:val="none"/>
                    </w:rPr>
                    <w:t>外购</w:t>
                  </w:r>
                </w:p>
              </w:tc>
            </w:tr>
            <w:tr w14:paraId="174E6B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13" w:type="pct"/>
                  <w:tcBorders>
                    <w:tl2br w:val="nil"/>
                    <w:tr2bl w:val="nil"/>
                  </w:tcBorders>
                  <w:vAlign w:val="center"/>
                </w:tcPr>
                <w:p w14:paraId="5D393B16">
                  <w:pPr>
                    <w:adjustRightInd w:val="0"/>
                    <w:snapToGrid w:val="0"/>
                    <w:spacing w:line="360" w:lineRule="exact"/>
                    <w:jc w:val="center"/>
                    <w:rPr>
                      <w:rFonts w:hint="eastAsia" w:eastAsia="宋体"/>
                      <w:lang w:val="en-US" w:eastAsia="zh-CN"/>
                    </w:rPr>
                  </w:pPr>
                  <w:r>
                    <w:rPr>
                      <w:rFonts w:hint="eastAsia"/>
                      <w:lang w:val="en-US" w:eastAsia="zh-CN"/>
                    </w:rPr>
                    <w:t>6</w:t>
                  </w:r>
                </w:p>
              </w:tc>
              <w:tc>
                <w:tcPr>
                  <w:tcW w:w="846" w:type="pct"/>
                  <w:vMerge w:val="continue"/>
                  <w:tcBorders>
                    <w:tl2br w:val="nil"/>
                    <w:tr2bl w:val="nil"/>
                  </w:tcBorders>
                  <w:vAlign w:val="center"/>
                </w:tcPr>
                <w:p w14:paraId="012F76C5">
                  <w:pPr>
                    <w:adjustRightInd w:val="0"/>
                    <w:snapToGrid w:val="0"/>
                    <w:spacing w:line="360" w:lineRule="exact"/>
                    <w:jc w:val="center"/>
                  </w:pPr>
                </w:p>
              </w:tc>
              <w:tc>
                <w:tcPr>
                  <w:tcW w:w="558" w:type="pct"/>
                  <w:vMerge w:val="continue"/>
                  <w:tcBorders>
                    <w:tl2br w:val="nil"/>
                    <w:tr2bl w:val="nil"/>
                  </w:tcBorders>
                  <w:vAlign w:val="center"/>
                </w:tcPr>
                <w:p w14:paraId="6C6FE597">
                  <w:pPr>
                    <w:adjustRightInd w:val="0"/>
                    <w:snapToGrid w:val="0"/>
                    <w:spacing w:line="360" w:lineRule="exact"/>
                    <w:jc w:val="center"/>
                  </w:pPr>
                </w:p>
              </w:tc>
              <w:tc>
                <w:tcPr>
                  <w:tcW w:w="564" w:type="pct"/>
                  <w:tcBorders>
                    <w:tl2br w:val="nil"/>
                    <w:tr2bl w:val="nil"/>
                  </w:tcBorders>
                  <w:vAlign w:val="center"/>
                </w:tcPr>
                <w:p w14:paraId="23E58522">
                  <w:pPr>
                    <w:adjustRightInd w:val="0"/>
                    <w:snapToGrid w:val="0"/>
                    <w:spacing w:line="360" w:lineRule="exact"/>
                    <w:jc w:val="center"/>
                    <w:rPr>
                      <w:rFonts w:hint="eastAsia" w:eastAsia="宋体"/>
                      <w:lang w:val="en-US" w:eastAsia="zh-CN"/>
                    </w:rPr>
                  </w:pPr>
                  <w:r>
                    <w:rPr>
                      <w:rFonts w:hint="eastAsia"/>
                      <w:lang w:val="en-US" w:eastAsia="zh-CN"/>
                    </w:rPr>
                    <w:t>缓凝剂</w:t>
                  </w:r>
                </w:p>
              </w:tc>
              <w:tc>
                <w:tcPr>
                  <w:tcW w:w="1021" w:type="pct"/>
                  <w:tcBorders>
                    <w:tl2br w:val="nil"/>
                    <w:tr2bl w:val="nil"/>
                  </w:tcBorders>
                  <w:vAlign w:val="center"/>
                </w:tcPr>
                <w:p w14:paraId="74345162">
                  <w:pPr>
                    <w:adjustRightInd w:val="0"/>
                    <w:snapToGrid w:val="0"/>
                    <w:spacing w:line="360" w:lineRule="exact"/>
                    <w:jc w:val="center"/>
                    <w:rPr>
                      <w:rFonts w:hint="default" w:eastAsia="宋体"/>
                      <w:lang w:val="en-US" w:eastAsia="zh-CN"/>
                    </w:rPr>
                  </w:pPr>
                  <w:r>
                    <w:rPr>
                      <w:rFonts w:hint="eastAsia"/>
                      <w:lang w:val="en-US" w:eastAsia="zh-CN"/>
                    </w:rPr>
                    <w:t>4900</w:t>
                  </w:r>
                </w:p>
              </w:tc>
              <w:tc>
                <w:tcPr>
                  <w:tcW w:w="639" w:type="pct"/>
                  <w:tcBorders>
                    <w:tl2br w:val="nil"/>
                    <w:tr2bl w:val="nil"/>
                  </w:tcBorders>
                  <w:vAlign w:val="center"/>
                </w:tcPr>
                <w:p w14:paraId="17F73429">
                  <w:pPr>
                    <w:adjustRightInd w:val="0"/>
                    <w:snapToGrid w:val="0"/>
                    <w:spacing w:line="360" w:lineRule="exact"/>
                    <w:jc w:val="center"/>
                  </w:pPr>
                  <w:r>
                    <w:rPr>
                      <w:color w:val="auto"/>
                      <w:sz w:val="21"/>
                      <w:szCs w:val="21"/>
                      <w:highlight w:val="none"/>
                    </w:rPr>
                    <w:t>塑料桶或铁桶</w:t>
                  </w:r>
                </w:p>
              </w:tc>
              <w:tc>
                <w:tcPr>
                  <w:tcW w:w="555" w:type="pct"/>
                  <w:tcBorders>
                    <w:tl2br w:val="nil"/>
                    <w:tr2bl w:val="nil"/>
                  </w:tcBorders>
                  <w:vAlign w:val="center"/>
                </w:tcPr>
                <w:p w14:paraId="49087EB8">
                  <w:pPr>
                    <w:adjustRightInd w:val="0"/>
                    <w:snapToGrid w:val="0"/>
                    <w:spacing w:line="360" w:lineRule="exact"/>
                    <w:jc w:val="center"/>
                  </w:pPr>
                  <w:r>
                    <w:rPr>
                      <w:color w:val="auto"/>
                      <w:sz w:val="21"/>
                      <w:szCs w:val="21"/>
                      <w:highlight w:val="none"/>
                    </w:rPr>
                    <w:t>外购</w:t>
                  </w:r>
                </w:p>
              </w:tc>
            </w:tr>
            <w:tr w14:paraId="70645B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3" w:type="pct"/>
                  <w:tcBorders>
                    <w:tl2br w:val="nil"/>
                    <w:tr2bl w:val="nil"/>
                  </w:tcBorders>
                  <w:vAlign w:val="center"/>
                </w:tcPr>
                <w:p w14:paraId="5DB5D812">
                  <w:pPr>
                    <w:pStyle w:val="62"/>
                    <w:rPr>
                      <w:rFonts w:hint="eastAsia" w:eastAsia="宋体"/>
                      <w:color w:val="auto"/>
                      <w:sz w:val="21"/>
                      <w:szCs w:val="21"/>
                      <w:highlight w:val="none"/>
                      <w:lang w:eastAsia="zh-CN"/>
                    </w:rPr>
                  </w:pPr>
                  <w:r>
                    <w:rPr>
                      <w:rFonts w:hint="eastAsia"/>
                      <w:color w:val="auto"/>
                      <w:sz w:val="21"/>
                      <w:szCs w:val="21"/>
                      <w:highlight w:val="none"/>
                      <w:lang w:val="en-US" w:eastAsia="zh-CN"/>
                    </w:rPr>
                    <w:t>7</w:t>
                  </w:r>
                </w:p>
              </w:tc>
              <w:tc>
                <w:tcPr>
                  <w:tcW w:w="846" w:type="pct"/>
                  <w:vMerge w:val="restart"/>
                  <w:tcBorders>
                    <w:tl2br w:val="nil"/>
                    <w:tr2bl w:val="nil"/>
                  </w:tcBorders>
                  <w:vAlign w:val="center"/>
                </w:tcPr>
                <w:p w14:paraId="721B1B88">
                  <w:pPr>
                    <w:pStyle w:val="60"/>
                    <w:rPr>
                      <w:color w:val="auto"/>
                      <w:sz w:val="21"/>
                      <w:szCs w:val="21"/>
                      <w:highlight w:val="none"/>
                    </w:rPr>
                  </w:pPr>
                  <w:r>
                    <w:rPr>
                      <w:color w:val="auto"/>
                      <w:sz w:val="21"/>
                      <w:szCs w:val="21"/>
                      <w:highlight w:val="none"/>
                    </w:rPr>
                    <w:t>能源消耗</w:t>
                  </w:r>
                </w:p>
              </w:tc>
              <w:tc>
                <w:tcPr>
                  <w:tcW w:w="1122" w:type="pct"/>
                  <w:gridSpan w:val="2"/>
                  <w:tcBorders>
                    <w:tl2br w:val="nil"/>
                    <w:tr2bl w:val="nil"/>
                  </w:tcBorders>
                  <w:vAlign w:val="center"/>
                </w:tcPr>
                <w:p w14:paraId="35AF7766">
                  <w:pPr>
                    <w:pStyle w:val="60"/>
                    <w:rPr>
                      <w:color w:val="auto"/>
                      <w:sz w:val="21"/>
                      <w:szCs w:val="21"/>
                      <w:highlight w:val="none"/>
                    </w:rPr>
                  </w:pPr>
                  <w:r>
                    <w:rPr>
                      <w:color w:val="auto"/>
                      <w:sz w:val="21"/>
                      <w:szCs w:val="21"/>
                      <w:highlight w:val="none"/>
                    </w:rPr>
                    <w:t>水（生产）</w:t>
                  </w:r>
                </w:p>
              </w:tc>
              <w:tc>
                <w:tcPr>
                  <w:tcW w:w="1021" w:type="pct"/>
                  <w:tcBorders>
                    <w:tl2br w:val="nil"/>
                    <w:tr2bl w:val="nil"/>
                  </w:tcBorders>
                  <w:vAlign w:val="center"/>
                </w:tcPr>
                <w:p w14:paraId="0243662F">
                  <w:pPr>
                    <w:pStyle w:val="60"/>
                    <w:rPr>
                      <w:rFonts w:hint="default"/>
                      <w:color w:val="auto"/>
                      <w:sz w:val="21"/>
                      <w:szCs w:val="21"/>
                      <w:highlight w:val="none"/>
                      <w:lang w:val="en-US"/>
                    </w:rPr>
                  </w:pPr>
                  <w:r>
                    <w:rPr>
                      <w:rFonts w:hint="eastAsia"/>
                      <w:color w:val="auto"/>
                      <w:sz w:val="21"/>
                      <w:szCs w:val="21"/>
                      <w:highlight w:val="none"/>
                      <w:lang w:val="en-US" w:eastAsia="zh-CN"/>
                    </w:rPr>
                    <w:t>29000</w:t>
                  </w:r>
                </w:p>
              </w:tc>
              <w:tc>
                <w:tcPr>
                  <w:tcW w:w="639" w:type="pct"/>
                  <w:tcBorders>
                    <w:tl2br w:val="nil"/>
                    <w:tr2bl w:val="nil"/>
                  </w:tcBorders>
                  <w:vAlign w:val="center"/>
                </w:tcPr>
                <w:p w14:paraId="24535871">
                  <w:pPr>
                    <w:jc w:val="center"/>
                    <w:rPr>
                      <w:color w:val="auto"/>
                      <w:sz w:val="21"/>
                      <w:szCs w:val="21"/>
                      <w:highlight w:val="none"/>
                    </w:rPr>
                  </w:pPr>
                  <w:r>
                    <w:rPr>
                      <w:color w:val="auto"/>
                      <w:sz w:val="21"/>
                      <w:szCs w:val="21"/>
                      <w:highlight w:val="none"/>
                    </w:rPr>
                    <w:t>/</w:t>
                  </w:r>
                </w:p>
              </w:tc>
              <w:tc>
                <w:tcPr>
                  <w:tcW w:w="555" w:type="pct"/>
                  <w:tcBorders>
                    <w:tl2br w:val="nil"/>
                    <w:tr2bl w:val="nil"/>
                  </w:tcBorders>
                  <w:vAlign w:val="center"/>
                </w:tcPr>
                <w:p w14:paraId="66B9E6F8">
                  <w:pPr>
                    <w:pStyle w:val="62"/>
                    <w:rPr>
                      <w:color w:val="auto"/>
                      <w:sz w:val="21"/>
                      <w:szCs w:val="21"/>
                      <w:highlight w:val="none"/>
                    </w:rPr>
                  </w:pPr>
                  <w:r>
                    <w:rPr>
                      <w:color w:val="auto"/>
                      <w:sz w:val="21"/>
                      <w:szCs w:val="21"/>
                      <w:highlight w:val="none"/>
                    </w:rPr>
                    <w:t>/</w:t>
                  </w:r>
                </w:p>
              </w:tc>
            </w:tr>
            <w:tr w14:paraId="35C458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3" w:type="pct"/>
                  <w:tcBorders>
                    <w:tl2br w:val="nil"/>
                    <w:tr2bl w:val="nil"/>
                  </w:tcBorders>
                  <w:vAlign w:val="center"/>
                </w:tcPr>
                <w:p w14:paraId="337EF20F">
                  <w:pPr>
                    <w:pStyle w:val="62"/>
                    <w:rPr>
                      <w:rFonts w:hint="eastAsia" w:eastAsia="宋体"/>
                      <w:color w:val="auto"/>
                      <w:sz w:val="21"/>
                      <w:szCs w:val="21"/>
                      <w:highlight w:val="none"/>
                      <w:lang w:val="en-US" w:eastAsia="zh-CN"/>
                    </w:rPr>
                  </w:pPr>
                  <w:r>
                    <w:rPr>
                      <w:rFonts w:hint="eastAsia"/>
                      <w:color w:val="auto"/>
                      <w:sz w:val="21"/>
                      <w:szCs w:val="21"/>
                      <w:highlight w:val="none"/>
                      <w:lang w:val="en-US" w:eastAsia="zh-CN"/>
                    </w:rPr>
                    <w:t>8</w:t>
                  </w:r>
                </w:p>
              </w:tc>
              <w:tc>
                <w:tcPr>
                  <w:tcW w:w="846" w:type="pct"/>
                  <w:vMerge w:val="continue"/>
                  <w:tcBorders>
                    <w:tl2br w:val="nil"/>
                    <w:tr2bl w:val="nil"/>
                  </w:tcBorders>
                  <w:vAlign w:val="center"/>
                </w:tcPr>
                <w:p w14:paraId="06A8B09F">
                  <w:pPr>
                    <w:pStyle w:val="60"/>
                    <w:rPr>
                      <w:color w:val="auto"/>
                      <w:sz w:val="21"/>
                      <w:szCs w:val="21"/>
                      <w:highlight w:val="none"/>
                    </w:rPr>
                  </w:pPr>
                </w:p>
              </w:tc>
              <w:tc>
                <w:tcPr>
                  <w:tcW w:w="1122" w:type="pct"/>
                  <w:gridSpan w:val="2"/>
                  <w:tcBorders>
                    <w:tl2br w:val="nil"/>
                    <w:tr2bl w:val="nil"/>
                  </w:tcBorders>
                  <w:vAlign w:val="center"/>
                </w:tcPr>
                <w:p w14:paraId="227DE475">
                  <w:pPr>
                    <w:pStyle w:val="60"/>
                    <w:rPr>
                      <w:color w:val="auto"/>
                      <w:sz w:val="21"/>
                      <w:szCs w:val="21"/>
                      <w:highlight w:val="none"/>
                    </w:rPr>
                  </w:pPr>
                  <w:r>
                    <w:rPr>
                      <w:color w:val="auto"/>
                      <w:sz w:val="21"/>
                      <w:szCs w:val="21"/>
                      <w:highlight w:val="none"/>
                    </w:rPr>
                    <w:t>电耗</w:t>
                  </w:r>
                </w:p>
              </w:tc>
              <w:tc>
                <w:tcPr>
                  <w:tcW w:w="1021" w:type="pct"/>
                  <w:tcBorders>
                    <w:tl2br w:val="nil"/>
                    <w:tr2bl w:val="nil"/>
                  </w:tcBorders>
                  <w:vAlign w:val="center"/>
                </w:tcPr>
                <w:p w14:paraId="399CBF12">
                  <w:pPr>
                    <w:pStyle w:val="60"/>
                    <w:rPr>
                      <w:color w:val="auto"/>
                      <w:sz w:val="21"/>
                      <w:szCs w:val="21"/>
                      <w:highlight w:val="none"/>
                    </w:rPr>
                  </w:pPr>
                  <w:r>
                    <w:rPr>
                      <w:rFonts w:hint="eastAsia"/>
                      <w:color w:val="auto"/>
                      <w:sz w:val="21"/>
                      <w:szCs w:val="21"/>
                      <w:highlight w:val="none"/>
                      <w:lang w:val="en-US" w:eastAsia="zh-CN"/>
                    </w:rPr>
                    <w:t>4804</w:t>
                  </w:r>
                  <w:r>
                    <w:rPr>
                      <w:color w:val="auto"/>
                      <w:sz w:val="21"/>
                      <w:szCs w:val="21"/>
                      <w:highlight w:val="none"/>
                    </w:rPr>
                    <w:t>00</w:t>
                  </w:r>
                </w:p>
                <w:p w14:paraId="0D90B3D5">
                  <w:pPr>
                    <w:pStyle w:val="60"/>
                    <w:rPr>
                      <w:color w:val="auto"/>
                      <w:sz w:val="21"/>
                      <w:szCs w:val="21"/>
                      <w:highlight w:val="none"/>
                    </w:rPr>
                  </w:pPr>
                  <w:r>
                    <w:rPr>
                      <w:rFonts w:hint="eastAsia"/>
                      <w:color w:val="auto"/>
                      <w:sz w:val="21"/>
                      <w:szCs w:val="21"/>
                      <w:highlight w:val="none"/>
                      <w:lang w:eastAsia="zh-CN"/>
                    </w:rPr>
                    <w:t>kW</w:t>
                  </w:r>
                  <w:r>
                    <w:rPr>
                      <w:color w:val="auto"/>
                      <w:sz w:val="21"/>
                      <w:szCs w:val="21"/>
                      <w:highlight w:val="none"/>
                    </w:rPr>
                    <w:t>·h</w:t>
                  </w:r>
                </w:p>
              </w:tc>
              <w:tc>
                <w:tcPr>
                  <w:tcW w:w="639" w:type="pct"/>
                  <w:tcBorders>
                    <w:tl2br w:val="nil"/>
                    <w:tr2bl w:val="nil"/>
                  </w:tcBorders>
                  <w:vAlign w:val="center"/>
                </w:tcPr>
                <w:p w14:paraId="64F6885E">
                  <w:pPr>
                    <w:jc w:val="center"/>
                    <w:rPr>
                      <w:color w:val="auto"/>
                      <w:sz w:val="21"/>
                      <w:szCs w:val="21"/>
                      <w:highlight w:val="none"/>
                    </w:rPr>
                  </w:pPr>
                  <w:r>
                    <w:rPr>
                      <w:color w:val="auto"/>
                      <w:sz w:val="21"/>
                      <w:szCs w:val="21"/>
                      <w:highlight w:val="none"/>
                    </w:rPr>
                    <w:t>/</w:t>
                  </w:r>
                </w:p>
              </w:tc>
              <w:tc>
                <w:tcPr>
                  <w:tcW w:w="555" w:type="pct"/>
                  <w:tcBorders>
                    <w:tl2br w:val="nil"/>
                    <w:tr2bl w:val="nil"/>
                  </w:tcBorders>
                  <w:vAlign w:val="center"/>
                </w:tcPr>
                <w:p w14:paraId="11CFC32F">
                  <w:pPr>
                    <w:pStyle w:val="62"/>
                    <w:rPr>
                      <w:color w:val="auto"/>
                      <w:sz w:val="21"/>
                      <w:szCs w:val="21"/>
                      <w:highlight w:val="none"/>
                    </w:rPr>
                  </w:pPr>
                  <w:r>
                    <w:rPr>
                      <w:color w:val="auto"/>
                      <w:sz w:val="21"/>
                      <w:szCs w:val="21"/>
                      <w:highlight w:val="none"/>
                    </w:rPr>
                    <w:t>/</w:t>
                  </w:r>
                </w:p>
              </w:tc>
            </w:tr>
          </w:tbl>
          <w:p w14:paraId="70A63C5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项目中水泥、粉煤灰均放置在密闭筒仓中，砂子、</w:t>
            </w:r>
            <w:r>
              <w:rPr>
                <w:rFonts w:hint="eastAsia" w:cs="Times New Roman"/>
                <w:color w:val="auto"/>
                <w:kern w:val="0"/>
                <w:sz w:val="24"/>
                <w:lang w:val="en-US" w:eastAsia="zh-CN"/>
              </w:rPr>
              <w:t>碎石</w:t>
            </w:r>
            <w:r>
              <w:rPr>
                <w:rFonts w:ascii="Times New Roman" w:hAnsi="Times New Roman" w:eastAsia="宋体" w:cs="Times New Roman"/>
                <w:color w:val="auto"/>
                <w:kern w:val="0"/>
                <w:sz w:val="24"/>
              </w:rPr>
              <w:t>储存于砂石堆料场中，减水剂</w:t>
            </w:r>
            <w:r>
              <w:rPr>
                <w:rFonts w:hint="eastAsia" w:cs="Times New Roman"/>
                <w:color w:val="auto"/>
                <w:kern w:val="0"/>
                <w:sz w:val="24"/>
                <w:lang w:val="en-US" w:eastAsia="zh-CN"/>
              </w:rPr>
              <w:t>和缓凝剂</w:t>
            </w:r>
            <w:r>
              <w:rPr>
                <w:rFonts w:ascii="Times New Roman" w:hAnsi="Times New Roman" w:eastAsia="宋体" w:cs="Times New Roman"/>
                <w:color w:val="auto"/>
                <w:kern w:val="0"/>
                <w:sz w:val="24"/>
              </w:rPr>
              <w:t>设有专门的减水剂桶</w:t>
            </w:r>
            <w:r>
              <w:rPr>
                <w:rFonts w:hint="eastAsia" w:cs="Times New Roman"/>
                <w:color w:val="auto"/>
                <w:kern w:val="0"/>
                <w:sz w:val="24"/>
                <w:lang w:val="en-US" w:eastAsia="zh-CN"/>
              </w:rPr>
              <w:t>和缓凝剂桶</w:t>
            </w:r>
            <w:r>
              <w:rPr>
                <w:rFonts w:ascii="Times New Roman" w:hAnsi="Times New Roman" w:eastAsia="宋体" w:cs="Times New Roman"/>
                <w:color w:val="auto"/>
                <w:kern w:val="0"/>
                <w:sz w:val="24"/>
              </w:rPr>
              <w:t>储存。</w:t>
            </w:r>
          </w:p>
          <w:p w14:paraId="605A1FE7">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原材料理化性质：</w:t>
            </w:r>
          </w:p>
          <w:p w14:paraId="37E6E89E">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highlight w:val="yellow"/>
                <w:lang w:val="en-US" w:eastAsia="zh-CN"/>
              </w:rPr>
            </w:pPr>
            <w:r>
              <w:rPr>
                <w:rFonts w:ascii="Times New Roman" w:hAnsi="Times New Roman" w:eastAsia="宋体" w:cs="Times New Roman"/>
                <w:color w:val="auto"/>
                <w:kern w:val="0"/>
                <w:sz w:val="24"/>
                <w:highlight w:val="none"/>
              </w:rPr>
              <w:t>（1）</w:t>
            </w:r>
            <w:r>
              <w:rPr>
                <w:rFonts w:hint="eastAsia" w:cs="Times New Roman"/>
                <w:color w:val="auto"/>
                <w:kern w:val="0"/>
                <w:sz w:val="24"/>
                <w:highlight w:val="none"/>
                <w:lang w:val="en-US" w:eastAsia="zh-CN"/>
              </w:rPr>
              <w:t>水泥：水泥为粉状水硬性无机凝胶材料，加水搅拌后形成浆体，能在空气中硬化或者在水中硬化，并能把砂、石材料牢固的胶结在一起。主要由硅酸三钙、铝酸三钙、铁铝酸四钙等化合物组成，根据这些成分的比例和性质，以及环境温度、湿度等条件来调整水泥的水化反应速度和硬化程度。</w:t>
            </w:r>
          </w:p>
          <w:p w14:paraId="0015CC83">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ascii="Times New Roman" w:hAnsi="Times New Roman" w:eastAsia="宋体" w:cs="Times New Roman"/>
                <w:color w:val="auto"/>
                <w:kern w:val="0"/>
                <w:sz w:val="24"/>
                <w:highlight w:val="none"/>
              </w:rPr>
              <w:t>（2）</w:t>
            </w:r>
            <w:r>
              <w:rPr>
                <w:rFonts w:hint="eastAsia" w:cs="Times New Roman"/>
                <w:color w:val="auto"/>
                <w:kern w:val="0"/>
                <w:sz w:val="24"/>
                <w:highlight w:val="none"/>
                <w:lang w:val="en-US" w:eastAsia="zh-CN"/>
              </w:rPr>
              <w:t>粉煤灰：粉煤灰是煤中无机矿物质灼烧后的氧化物和硅酸盐矿物组成的混合物。物相主要是玻璃体，占50%~80%，主要矿物有莫来石、石英、方解石、钙长石、磁铁矿、赤铁矿、硅酸钙共占70%左右,</w:t>
            </w:r>
            <w:r>
              <w:rPr>
                <w:rFonts w:ascii="Times New Roman" w:hAnsi="Times New Roman" w:eastAsia="宋体" w:cs="Times New Roman"/>
                <w:color w:val="auto"/>
                <w:kern w:val="0"/>
                <w:sz w:val="24"/>
                <w:highlight w:val="none"/>
              </w:rPr>
              <w:t>由于粉煤灰经高温熔融，所以其结构非常致密。</w:t>
            </w:r>
          </w:p>
          <w:p w14:paraId="10461D48">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ascii="Times New Roman" w:hAnsi="Times New Roman" w:eastAsia="宋体" w:cs="Times New Roman"/>
                <w:color w:val="auto"/>
                <w:kern w:val="0"/>
                <w:sz w:val="24"/>
                <w:highlight w:val="none"/>
              </w:rPr>
              <w:t>（3）</w:t>
            </w:r>
            <w:r>
              <w:rPr>
                <w:rFonts w:hint="eastAsia" w:cs="Times New Roman"/>
                <w:color w:val="auto"/>
                <w:kern w:val="0"/>
                <w:sz w:val="24"/>
                <w:highlight w:val="none"/>
                <w:lang w:val="en-US" w:eastAsia="zh-CN"/>
              </w:rPr>
              <w:t>减水剂：减水剂是一种混凝土外加剂，主要作用是在维持混凝土坍落度不变条件下减少拌合用水量，或者减少单位水泥用量，以此来节约成本并提高混凝土的性能。减水剂的使用可以改善混凝土的流动性，便于施工，提高混凝土的强度、耐久性、抗裂性能，以及混凝土的密实性和抗渗性，减少混凝土的收缩率，防止开裂。减水剂的使用需要根据具体的混凝土配合比、施工环境和要求来决定，不同类型的减水剂适用于不同的工程和性能要求。正确使用减水剂可以显著提高混凝土的性能和质量，确保工程的安全可靠性。</w:t>
            </w:r>
          </w:p>
          <w:p w14:paraId="5741F128">
            <w:pPr>
              <w:spacing w:line="360" w:lineRule="auto"/>
              <w:rPr>
                <w:b/>
                <w:bCs/>
                <w:color w:val="auto"/>
                <w:sz w:val="24"/>
                <w:highlight w:val="yellow"/>
              </w:rPr>
            </w:pPr>
            <w:r>
              <w:rPr>
                <w:rFonts w:hint="eastAsia"/>
                <w:b/>
                <w:bCs/>
                <w:color w:val="auto"/>
                <w:sz w:val="24"/>
                <w:lang w:val="en-US" w:eastAsia="zh-CN"/>
              </w:rPr>
              <w:t>5</w:t>
            </w:r>
            <w:r>
              <w:rPr>
                <w:b/>
                <w:bCs/>
                <w:color w:val="auto"/>
                <w:sz w:val="24"/>
              </w:rPr>
              <w:t>. 本项目产品方案</w:t>
            </w:r>
          </w:p>
          <w:p w14:paraId="5342745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最终产品为商品混凝土。按《混凝土结构设计规范》（GB50010-2010及其修订）的设计规定，混凝土强度分为C15、C20、C25、C30、C35、C40、C45、C50、C55、C60、C65、C70、C75、C80等十四个等级。本项目常规生产的混凝土等级主要有C20、C25、C30</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C40、C45</w:t>
            </w:r>
            <w:r>
              <w:rPr>
                <w:rFonts w:hint="eastAsia" w:ascii="Times New Roman" w:hAnsi="Times New Roman" w:eastAsia="宋体" w:cs="Times New Roman"/>
                <w:color w:val="auto"/>
                <w:kern w:val="0"/>
                <w:sz w:val="24"/>
              </w:rPr>
              <w:t>五</w:t>
            </w:r>
            <w:r>
              <w:rPr>
                <w:rFonts w:ascii="Times New Roman" w:hAnsi="Times New Roman" w:eastAsia="宋体" w:cs="Times New Roman"/>
                <w:color w:val="auto"/>
                <w:kern w:val="0"/>
                <w:sz w:val="24"/>
              </w:rPr>
              <w:t>种，产品方案见表2-4。</w:t>
            </w:r>
          </w:p>
          <w:p w14:paraId="37FD62FE">
            <w:pPr>
              <w:pStyle w:val="58"/>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default" w:ascii="Times New Roman" w:hAnsi="Times New Roman" w:eastAsia="宋体" w:cs="Times New Roman"/>
                <w:color w:val="auto"/>
              </w:rPr>
              <w:t>表2-4    本项目产品方案一览表</w:t>
            </w:r>
          </w:p>
          <w:tbl>
            <w:tblPr>
              <w:tblStyle w:val="28"/>
              <w:tblpPr w:leftFromText="180" w:rightFromText="180" w:vertAnchor="text" w:horzAnchor="page" w:tblpX="93" w:tblpY="252"/>
              <w:tblOverlap w:val="never"/>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1755"/>
              <w:gridCol w:w="1764"/>
              <w:gridCol w:w="2596"/>
            </w:tblGrid>
            <w:tr w14:paraId="0C45C2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8" w:type="pct"/>
                  <w:tcBorders>
                    <w:bottom w:val="single" w:color="auto" w:sz="12" w:space="0"/>
                  </w:tcBorders>
                  <w:vAlign w:val="center"/>
                </w:tcPr>
                <w:p w14:paraId="1480681B">
                  <w:pPr>
                    <w:pStyle w:val="8"/>
                    <w:spacing w:before="0" w:after="0" w:line="240" w:lineRule="auto"/>
                    <w:ind w:right="0"/>
                    <w:jc w:val="center"/>
                    <w:rPr>
                      <w:b/>
                      <w:bCs/>
                      <w:color w:val="auto"/>
                      <w:kern w:val="2"/>
                      <w:sz w:val="21"/>
                      <w:szCs w:val="21"/>
                      <w:highlight w:val="none"/>
                    </w:rPr>
                  </w:pPr>
                  <w:r>
                    <w:rPr>
                      <w:b/>
                      <w:bCs/>
                      <w:color w:val="auto"/>
                      <w:kern w:val="2"/>
                      <w:sz w:val="21"/>
                      <w:szCs w:val="21"/>
                      <w:highlight w:val="none"/>
                    </w:rPr>
                    <w:t>产品名称</w:t>
                  </w:r>
                </w:p>
              </w:tc>
              <w:tc>
                <w:tcPr>
                  <w:tcW w:w="1076" w:type="pct"/>
                  <w:tcBorders>
                    <w:bottom w:val="single" w:color="auto" w:sz="12" w:space="0"/>
                  </w:tcBorders>
                  <w:vAlign w:val="center"/>
                </w:tcPr>
                <w:p w14:paraId="1EDF79F7">
                  <w:pPr>
                    <w:pStyle w:val="8"/>
                    <w:spacing w:before="0" w:after="0" w:line="240" w:lineRule="auto"/>
                    <w:ind w:right="0"/>
                    <w:jc w:val="center"/>
                    <w:rPr>
                      <w:b/>
                      <w:bCs/>
                      <w:color w:val="auto"/>
                      <w:kern w:val="2"/>
                      <w:sz w:val="21"/>
                      <w:szCs w:val="21"/>
                      <w:highlight w:val="none"/>
                    </w:rPr>
                  </w:pPr>
                  <w:r>
                    <w:rPr>
                      <w:b/>
                      <w:bCs/>
                      <w:color w:val="auto"/>
                      <w:kern w:val="2"/>
                      <w:sz w:val="21"/>
                      <w:szCs w:val="21"/>
                      <w:highlight w:val="none"/>
                    </w:rPr>
                    <w:t>数量</w:t>
                  </w:r>
                </w:p>
              </w:tc>
              <w:tc>
                <w:tcPr>
                  <w:tcW w:w="1082" w:type="pct"/>
                  <w:tcBorders>
                    <w:bottom w:val="single" w:color="auto" w:sz="12" w:space="0"/>
                  </w:tcBorders>
                  <w:vAlign w:val="center"/>
                </w:tcPr>
                <w:p w14:paraId="34DD192E">
                  <w:pPr>
                    <w:pStyle w:val="8"/>
                    <w:spacing w:before="0" w:after="0" w:line="240" w:lineRule="auto"/>
                    <w:ind w:right="0"/>
                    <w:jc w:val="center"/>
                    <w:rPr>
                      <w:b/>
                      <w:bCs/>
                      <w:color w:val="auto"/>
                      <w:kern w:val="2"/>
                      <w:sz w:val="21"/>
                      <w:szCs w:val="21"/>
                      <w:highlight w:val="none"/>
                    </w:rPr>
                  </w:pPr>
                  <w:r>
                    <w:rPr>
                      <w:b/>
                      <w:bCs/>
                      <w:color w:val="auto"/>
                      <w:kern w:val="2"/>
                      <w:sz w:val="21"/>
                      <w:szCs w:val="21"/>
                      <w:highlight w:val="none"/>
                    </w:rPr>
                    <w:t>产品规格</w:t>
                  </w:r>
                </w:p>
              </w:tc>
              <w:tc>
                <w:tcPr>
                  <w:tcW w:w="1592" w:type="pct"/>
                  <w:tcBorders>
                    <w:bottom w:val="single" w:color="auto" w:sz="12" w:space="0"/>
                  </w:tcBorders>
                  <w:vAlign w:val="center"/>
                </w:tcPr>
                <w:p w14:paraId="6B859B7C">
                  <w:pPr>
                    <w:pStyle w:val="8"/>
                    <w:spacing w:before="0" w:after="0" w:line="240" w:lineRule="auto"/>
                    <w:ind w:right="0"/>
                    <w:jc w:val="center"/>
                    <w:rPr>
                      <w:b/>
                      <w:bCs/>
                      <w:color w:val="auto"/>
                      <w:kern w:val="2"/>
                      <w:sz w:val="21"/>
                      <w:szCs w:val="21"/>
                      <w:highlight w:val="none"/>
                    </w:rPr>
                  </w:pPr>
                  <w:r>
                    <w:rPr>
                      <w:b/>
                      <w:bCs/>
                      <w:color w:val="auto"/>
                      <w:kern w:val="2"/>
                      <w:sz w:val="21"/>
                      <w:szCs w:val="21"/>
                      <w:highlight w:val="none"/>
                    </w:rPr>
                    <w:t>备注</w:t>
                  </w:r>
                </w:p>
              </w:tc>
            </w:tr>
            <w:tr w14:paraId="43D4EE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8" w:type="pct"/>
                  <w:vMerge w:val="restart"/>
                  <w:tcBorders>
                    <w:top w:val="single" w:color="auto" w:sz="12" w:space="0"/>
                    <w:tl2br w:val="nil"/>
                    <w:tr2bl w:val="nil"/>
                  </w:tcBorders>
                  <w:vAlign w:val="center"/>
                </w:tcPr>
                <w:p w14:paraId="5F6D23C5">
                  <w:pPr>
                    <w:pStyle w:val="8"/>
                    <w:spacing w:before="0" w:after="0" w:line="240" w:lineRule="auto"/>
                    <w:ind w:right="0"/>
                    <w:jc w:val="center"/>
                    <w:rPr>
                      <w:color w:val="auto"/>
                      <w:kern w:val="2"/>
                      <w:sz w:val="21"/>
                      <w:szCs w:val="21"/>
                      <w:highlight w:val="none"/>
                    </w:rPr>
                  </w:pPr>
                  <w:r>
                    <w:rPr>
                      <w:color w:val="auto"/>
                      <w:kern w:val="2"/>
                      <w:sz w:val="21"/>
                      <w:szCs w:val="21"/>
                      <w:highlight w:val="none"/>
                    </w:rPr>
                    <w:t>商品混凝土</w:t>
                  </w:r>
                </w:p>
              </w:tc>
              <w:tc>
                <w:tcPr>
                  <w:tcW w:w="1076" w:type="pct"/>
                  <w:tcBorders>
                    <w:top w:val="single" w:color="auto" w:sz="12" w:space="0"/>
                    <w:tl2br w:val="nil"/>
                    <w:tr2bl w:val="nil"/>
                  </w:tcBorders>
                  <w:vAlign w:val="center"/>
                </w:tcPr>
                <w:p w14:paraId="6F40EF58">
                  <w:pPr>
                    <w:pStyle w:val="8"/>
                    <w:spacing w:before="0" w:after="0" w:line="240" w:lineRule="auto"/>
                    <w:ind w:right="0"/>
                    <w:jc w:val="center"/>
                    <w:rPr>
                      <w:color w:val="auto"/>
                      <w:kern w:val="2"/>
                      <w:sz w:val="21"/>
                      <w:szCs w:val="21"/>
                      <w:highlight w:val="none"/>
                    </w:rPr>
                  </w:pPr>
                  <w:r>
                    <w:rPr>
                      <w:rFonts w:hint="eastAsia"/>
                      <w:color w:val="auto"/>
                      <w:kern w:val="2"/>
                      <w:sz w:val="21"/>
                      <w:szCs w:val="21"/>
                      <w:highlight w:val="none"/>
                      <w:lang w:val="en-US" w:eastAsia="zh-CN"/>
                    </w:rPr>
                    <w:t>2</w:t>
                  </w:r>
                  <w:r>
                    <w:rPr>
                      <w:color w:val="auto"/>
                      <w:kern w:val="2"/>
                      <w:sz w:val="21"/>
                      <w:szCs w:val="21"/>
                      <w:highlight w:val="none"/>
                    </w:rPr>
                    <w:t>万m</w:t>
                  </w:r>
                  <w:r>
                    <w:rPr>
                      <w:color w:val="auto"/>
                      <w:kern w:val="2"/>
                      <w:sz w:val="21"/>
                      <w:szCs w:val="21"/>
                      <w:highlight w:val="none"/>
                      <w:vertAlign w:val="superscript"/>
                    </w:rPr>
                    <w:t>3</w:t>
                  </w:r>
                </w:p>
              </w:tc>
              <w:tc>
                <w:tcPr>
                  <w:tcW w:w="1082" w:type="pct"/>
                  <w:tcBorders>
                    <w:top w:val="single" w:color="auto" w:sz="12" w:space="0"/>
                    <w:tl2br w:val="nil"/>
                    <w:tr2bl w:val="nil"/>
                  </w:tcBorders>
                  <w:vAlign w:val="center"/>
                </w:tcPr>
                <w:p w14:paraId="2FAA73BB">
                  <w:pPr>
                    <w:pStyle w:val="8"/>
                    <w:spacing w:before="0" w:after="0" w:line="240" w:lineRule="auto"/>
                    <w:ind w:right="0"/>
                    <w:jc w:val="center"/>
                    <w:rPr>
                      <w:color w:val="auto"/>
                      <w:kern w:val="2"/>
                      <w:sz w:val="21"/>
                      <w:szCs w:val="21"/>
                      <w:highlight w:val="none"/>
                    </w:rPr>
                  </w:pPr>
                  <w:r>
                    <w:rPr>
                      <w:color w:val="auto"/>
                      <w:kern w:val="2"/>
                      <w:sz w:val="21"/>
                      <w:szCs w:val="21"/>
                      <w:highlight w:val="none"/>
                    </w:rPr>
                    <w:t>C20</w:t>
                  </w:r>
                </w:p>
              </w:tc>
              <w:tc>
                <w:tcPr>
                  <w:tcW w:w="1592" w:type="pct"/>
                  <w:tcBorders>
                    <w:top w:val="single" w:color="auto" w:sz="12" w:space="0"/>
                    <w:tl2br w:val="nil"/>
                    <w:tr2bl w:val="nil"/>
                  </w:tcBorders>
                  <w:vAlign w:val="center"/>
                </w:tcPr>
                <w:p w14:paraId="572DBA99">
                  <w:pPr>
                    <w:pStyle w:val="8"/>
                    <w:spacing w:before="0" w:after="0" w:line="240" w:lineRule="auto"/>
                    <w:ind w:right="0"/>
                    <w:jc w:val="center"/>
                    <w:rPr>
                      <w:color w:val="auto"/>
                      <w:kern w:val="2"/>
                      <w:sz w:val="21"/>
                      <w:szCs w:val="21"/>
                      <w:highlight w:val="none"/>
                    </w:rPr>
                  </w:pPr>
                  <w:r>
                    <w:rPr>
                      <w:rFonts w:hint="eastAsia"/>
                      <w:color w:val="auto"/>
                      <w:kern w:val="2"/>
                      <w:sz w:val="21"/>
                      <w:szCs w:val="21"/>
                      <w:highlight w:val="none"/>
                    </w:rPr>
                    <w:t>/</w:t>
                  </w:r>
                </w:p>
              </w:tc>
            </w:tr>
            <w:tr w14:paraId="2D8F21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8" w:type="pct"/>
                  <w:vMerge w:val="continue"/>
                  <w:tcBorders>
                    <w:tl2br w:val="nil"/>
                    <w:tr2bl w:val="nil"/>
                  </w:tcBorders>
                  <w:vAlign w:val="center"/>
                </w:tcPr>
                <w:p w14:paraId="7A9BFF08">
                  <w:pPr>
                    <w:pStyle w:val="8"/>
                    <w:spacing w:before="0" w:after="0" w:line="240" w:lineRule="auto"/>
                    <w:ind w:right="0"/>
                    <w:jc w:val="center"/>
                    <w:rPr>
                      <w:color w:val="auto"/>
                      <w:kern w:val="2"/>
                      <w:sz w:val="21"/>
                      <w:szCs w:val="21"/>
                      <w:highlight w:val="none"/>
                    </w:rPr>
                  </w:pPr>
                </w:p>
              </w:tc>
              <w:tc>
                <w:tcPr>
                  <w:tcW w:w="1076" w:type="pct"/>
                  <w:tcBorders>
                    <w:tl2br w:val="nil"/>
                    <w:tr2bl w:val="nil"/>
                  </w:tcBorders>
                  <w:vAlign w:val="center"/>
                </w:tcPr>
                <w:p w14:paraId="02E811BB">
                  <w:pPr>
                    <w:pStyle w:val="8"/>
                    <w:spacing w:before="0" w:after="0" w:line="240" w:lineRule="auto"/>
                    <w:ind w:right="0"/>
                    <w:jc w:val="center"/>
                    <w:rPr>
                      <w:rFonts w:hint="default"/>
                      <w:color w:val="auto"/>
                      <w:kern w:val="2"/>
                      <w:sz w:val="21"/>
                      <w:szCs w:val="21"/>
                      <w:highlight w:val="none"/>
                      <w:lang w:val="en-US" w:eastAsia="zh-CN"/>
                    </w:rPr>
                  </w:pPr>
                  <w:r>
                    <w:rPr>
                      <w:rFonts w:hint="eastAsia"/>
                      <w:color w:val="auto"/>
                      <w:kern w:val="2"/>
                      <w:sz w:val="21"/>
                      <w:szCs w:val="21"/>
                      <w:highlight w:val="none"/>
                      <w:lang w:val="en-US" w:eastAsia="zh-CN"/>
                    </w:rPr>
                    <w:t>3</w:t>
                  </w:r>
                  <w:r>
                    <w:rPr>
                      <w:color w:val="auto"/>
                      <w:kern w:val="2"/>
                      <w:sz w:val="21"/>
                      <w:szCs w:val="21"/>
                      <w:highlight w:val="none"/>
                    </w:rPr>
                    <w:t>万m</w:t>
                  </w:r>
                  <w:r>
                    <w:rPr>
                      <w:color w:val="auto"/>
                      <w:kern w:val="2"/>
                      <w:sz w:val="21"/>
                      <w:szCs w:val="21"/>
                      <w:highlight w:val="none"/>
                      <w:vertAlign w:val="superscript"/>
                    </w:rPr>
                    <w:t>3</w:t>
                  </w:r>
                </w:p>
              </w:tc>
              <w:tc>
                <w:tcPr>
                  <w:tcW w:w="1082" w:type="pct"/>
                  <w:tcBorders>
                    <w:tl2br w:val="nil"/>
                    <w:tr2bl w:val="nil"/>
                  </w:tcBorders>
                  <w:vAlign w:val="center"/>
                </w:tcPr>
                <w:p w14:paraId="21DC9844">
                  <w:pPr>
                    <w:pStyle w:val="8"/>
                    <w:spacing w:before="0" w:after="0" w:line="240" w:lineRule="auto"/>
                    <w:ind w:right="0"/>
                    <w:jc w:val="center"/>
                    <w:rPr>
                      <w:rFonts w:hint="default" w:eastAsia="宋体"/>
                      <w:color w:val="auto"/>
                      <w:kern w:val="2"/>
                      <w:sz w:val="21"/>
                      <w:szCs w:val="21"/>
                      <w:highlight w:val="none"/>
                      <w:lang w:val="en-US" w:eastAsia="zh-CN"/>
                    </w:rPr>
                  </w:pPr>
                  <w:r>
                    <w:rPr>
                      <w:rFonts w:hint="eastAsia"/>
                      <w:color w:val="auto"/>
                      <w:kern w:val="2"/>
                      <w:sz w:val="21"/>
                      <w:szCs w:val="21"/>
                      <w:highlight w:val="none"/>
                      <w:lang w:val="en-US" w:eastAsia="zh-CN"/>
                    </w:rPr>
                    <w:t>C25</w:t>
                  </w:r>
                </w:p>
              </w:tc>
              <w:tc>
                <w:tcPr>
                  <w:tcW w:w="1592" w:type="pct"/>
                  <w:tcBorders>
                    <w:tl2br w:val="nil"/>
                    <w:tr2bl w:val="nil"/>
                  </w:tcBorders>
                  <w:vAlign w:val="center"/>
                </w:tcPr>
                <w:p w14:paraId="0EFCEBB1">
                  <w:pPr>
                    <w:pStyle w:val="8"/>
                    <w:spacing w:before="0" w:after="0" w:line="240" w:lineRule="auto"/>
                    <w:ind w:right="0"/>
                    <w:jc w:val="center"/>
                    <w:rPr>
                      <w:rFonts w:hint="eastAsia" w:eastAsia="宋体"/>
                      <w:color w:val="auto"/>
                      <w:kern w:val="2"/>
                      <w:sz w:val="21"/>
                      <w:szCs w:val="21"/>
                      <w:highlight w:val="none"/>
                      <w:lang w:val="en-US" w:eastAsia="zh-CN"/>
                    </w:rPr>
                  </w:pPr>
                  <w:r>
                    <w:rPr>
                      <w:rFonts w:hint="eastAsia"/>
                      <w:color w:val="auto"/>
                      <w:kern w:val="2"/>
                      <w:sz w:val="21"/>
                      <w:szCs w:val="21"/>
                      <w:highlight w:val="none"/>
                      <w:lang w:val="en-US" w:eastAsia="zh-CN"/>
                    </w:rPr>
                    <w:t>/</w:t>
                  </w:r>
                </w:p>
              </w:tc>
            </w:tr>
            <w:tr w14:paraId="4AD1CD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8" w:type="pct"/>
                  <w:vMerge w:val="continue"/>
                  <w:tcBorders>
                    <w:tl2br w:val="nil"/>
                    <w:tr2bl w:val="nil"/>
                  </w:tcBorders>
                  <w:vAlign w:val="center"/>
                </w:tcPr>
                <w:p w14:paraId="0A29E756">
                  <w:pPr>
                    <w:pStyle w:val="8"/>
                    <w:spacing w:before="0" w:after="0" w:line="240" w:lineRule="auto"/>
                    <w:ind w:right="0"/>
                    <w:jc w:val="center"/>
                    <w:rPr>
                      <w:color w:val="auto"/>
                      <w:kern w:val="2"/>
                      <w:sz w:val="21"/>
                      <w:szCs w:val="21"/>
                      <w:highlight w:val="none"/>
                    </w:rPr>
                  </w:pPr>
                </w:p>
              </w:tc>
              <w:tc>
                <w:tcPr>
                  <w:tcW w:w="1076" w:type="pct"/>
                  <w:tcBorders>
                    <w:tl2br w:val="nil"/>
                    <w:tr2bl w:val="nil"/>
                  </w:tcBorders>
                  <w:vAlign w:val="center"/>
                </w:tcPr>
                <w:p w14:paraId="3743DEC5">
                  <w:pPr>
                    <w:pStyle w:val="8"/>
                    <w:spacing w:before="0" w:after="0" w:line="240" w:lineRule="auto"/>
                    <w:ind w:right="0"/>
                    <w:jc w:val="center"/>
                    <w:rPr>
                      <w:rFonts w:hint="default"/>
                      <w:color w:val="auto"/>
                      <w:kern w:val="2"/>
                      <w:sz w:val="21"/>
                      <w:szCs w:val="21"/>
                      <w:highlight w:val="none"/>
                      <w:lang w:val="en-US" w:eastAsia="zh-CN"/>
                    </w:rPr>
                  </w:pPr>
                  <w:r>
                    <w:rPr>
                      <w:rFonts w:hint="eastAsia"/>
                      <w:color w:val="auto"/>
                      <w:kern w:val="2"/>
                      <w:sz w:val="21"/>
                      <w:szCs w:val="21"/>
                      <w:highlight w:val="none"/>
                      <w:lang w:val="en-US" w:eastAsia="zh-CN"/>
                    </w:rPr>
                    <w:t>9</w:t>
                  </w:r>
                  <w:r>
                    <w:rPr>
                      <w:color w:val="auto"/>
                      <w:kern w:val="2"/>
                      <w:sz w:val="21"/>
                      <w:szCs w:val="21"/>
                      <w:highlight w:val="none"/>
                    </w:rPr>
                    <w:t>万m</w:t>
                  </w:r>
                  <w:r>
                    <w:rPr>
                      <w:color w:val="auto"/>
                      <w:kern w:val="2"/>
                      <w:sz w:val="21"/>
                      <w:szCs w:val="21"/>
                      <w:highlight w:val="none"/>
                      <w:vertAlign w:val="superscript"/>
                    </w:rPr>
                    <w:t>3</w:t>
                  </w:r>
                </w:p>
              </w:tc>
              <w:tc>
                <w:tcPr>
                  <w:tcW w:w="1082" w:type="pct"/>
                  <w:tcBorders>
                    <w:tl2br w:val="nil"/>
                    <w:tr2bl w:val="nil"/>
                  </w:tcBorders>
                  <w:vAlign w:val="center"/>
                </w:tcPr>
                <w:p w14:paraId="7C7D1C51">
                  <w:pPr>
                    <w:pStyle w:val="8"/>
                    <w:spacing w:before="0" w:after="0" w:line="240" w:lineRule="auto"/>
                    <w:ind w:right="0"/>
                    <w:jc w:val="center"/>
                    <w:rPr>
                      <w:rFonts w:hint="default" w:eastAsia="宋体"/>
                      <w:color w:val="auto"/>
                      <w:kern w:val="2"/>
                      <w:sz w:val="21"/>
                      <w:szCs w:val="21"/>
                      <w:highlight w:val="none"/>
                      <w:lang w:val="en-US" w:eastAsia="zh-CN"/>
                    </w:rPr>
                  </w:pPr>
                  <w:r>
                    <w:rPr>
                      <w:rFonts w:hint="eastAsia"/>
                      <w:color w:val="auto"/>
                      <w:kern w:val="2"/>
                      <w:sz w:val="21"/>
                      <w:szCs w:val="21"/>
                      <w:highlight w:val="none"/>
                      <w:lang w:val="en-US" w:eastAsia="zh-CN"/>
                    </w:rPr>
                    <w:t>C30</w:t>
                  </w:r>
                </w:p>
              </w:tc>
              <w:tc>
                <w:tcPr>
                  <w:tcW w:w="1592" w:type="pct"/>
                  <w:tcBorders>
                    <w:tl2br w:val="nil"/>
                    <w:tr2bl w:val="nil"/>
                  </w:tcBorders>
                  <w:vAlign w:val="center"/>
                </w:tcPr>
                <w:p w14:paraId="63520DFF">
                  <w:pPr>
                    <w:pStyle w:val="8"/>
                    <w:spacing w:before="0" w:after="0" w:line="240" w:lineRule="auto"/>
                    <w:ind w:right="0"/>
                    <w:jc w:val="center"/>
                    <w:rPr>
                      <w:rFonts w:hint="eastAsia" w:eastAsia="宋体"/>
                      <w:color w:val="auto"/>
                      <w:kern w:val="2"/>
                      <w:sz w:val="21"/>
                      <w:szCs w:val="21"/>
                      <w:highlight w:val="none"/>
                      <w:lang w:val="en-US" w:eastAsia="zh-CN"/>
                    </w:rPr>
                  </w:pPr>
                  <w:r>
                    <w:rPr>
                      <w:rFonts w:hint="eastAsia"/>
                      <w:color w:val="auto"/>
                      <w:kern w:val="2"/>
                      <w:sz w:val="21"/>
                      <w:szCs w:val="21"/>
                      <w:highlight w:val="none"/>
                      <w:lang w:val="en-US" w:eastAsia="zh-CN"/>
                    </w:rPr>
                    <w:t>/</w:t>
                  </w:r>
                </w:p>
              </w:tc>
            </w:tr>
            <w:tr w14:paraId="4AD148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8" w:type="pct"/>
                  <w:vMerge w:val="continue"/>
                  <w:tcBorders>
                    <w:tl2br w:val="nil"/>
                    <w:tr2bl w:val="nil"/>
                  </w:tcBorders>
                  <w:vAlign w:val="center"/>
                </w:tcPr>
                <w:p w14:paraId="7D5498C1">
                  <w:pPr>
                    <w:pStyle w:val="8"/>
                    <w:spacing w:before="0" w:after="0" w:line="240" w:lineRule="auto"/>
                    <w:ind w:right="0"/>
                    <w:jc w:val="center"/>
                    <w:rPr>
                      <w:color w:val="auto"/>
                      <w:kern w:val="2"/>
                      <w:sz w:val="21"/>
                      <w:szCs w:val="21"/>
                      <w:highlight w:val="none"/>
                    </w:rPr>
                  </w:pPr>
                </w:p>
              </w:tc>
              <w:tc>
                <w:tcPr>
                  <w:tcW w:w="1076" w:type="pct"/>
                  <w:tcBorders>
                    <w:tl2br w:val="nil"/>
                    <w:tr2bl w:val="nil"/>
                  </w:tcBorders>
                  <w:vAlign w:val="center"/>
                </w:tcPr>
                <w:p w14:paraId="79B80336">
                  <w:pPr>
                    <w:pStyle w:val="8"/>
                    <w:spacing w:before="0" w:after="0" w:line="240" w:lineRule="auto"/>
                    <w:ind w:right="0"/>
                    <w:jc w:val="center"/>
                    <w:rPr>
                      <w:rFonts w:hint="default"/>
                      <w:color w:val="auto"/>
                      <w:kern w:val="2"/>
                      <w:sz w:val="21"/>
                      <w:szCs w:val="21"/>
                      <w:highlight w:val="none"/>
                      <w:lang w:val="en-US" w:eastAsia="zh-CN"/>
                    </w:rPr>
                  </w:pPr>
                  <w:r>
                    <w:rPr>
                      <w:rFonts w:hint="eastAsia"/>
                      <w:color w:val="auto"/>
                      <w:kern w:val="2"/>
                      <w:sz w:val="21"/>
                      <w:szCs w:val="21"/>
                      <w:highlight w:val="none"/>
                      <w:lang w:val="en-US" w:eastAsia="zh-CN"/>
                    </w:rPr>
                    <w:t>4</w:t>
                  </w:r>
                  <w:r>
                    <w:rPr>
                      <w:color w:val="auto"/>
                      <w:kern w:val="2"/>
                      <w:sz w:val="21"/>
                      <w:szCs w:val="21"/>
                      <w:highlight w:val="none"/>
                    </w:rPr>
                    <w:t>万m</w:t>
                  </w:r>
                  <w:r>
                    <w:rPr>
                      <w:color w:val="auto"/>
                      <w:kern w:val="2"/>
                      <w:sz w:val="21"/>
                      <w:szCs w:val="21"/>
                      <w:highlight w:val="none"/>
                      <w:vertAlign w:val="superscript"/>
                    </w:rPr>
                    <w:t>3</w:t>
                  </w:r>
                </w:p>
              </w:tc>
              <w:tc>
                <w:tcPr>
                  <w:tcW w:w="1082" w:type="pct"/>
                  <w:tcBorders>
                    <w:tl2br w:val="nil"/>
                    <w:tr2bl w:val="nil"/>
                  </w:tcBorders>
                  <w:vAlign w:val="center"/>
                </w:tcPr>
                <w:p w14:paraId="05394102">
                  <w:pPr>
                    <w:pStyle w:val="8"/>
                    <w:spacing w:before="0" w:after="0" w:line="240" w:lineRule="auto"/>
                    <w:ind w:right="0"/>
                    <w:jc w:val="center"/>
                    <w:rPr>
                      <w:rFonts w:hint="default" w:eastAsia="宋体"/>
                      <w:color w:val="auto"/>
                      <w:kern w:val="2"/>
                      <w:sz w:val="21"/>
                      <w:szCs w:val="21"/>
                      <w:highlight w:val="none"/>
                      <w:lang w:val="en-US" w:eastAsia="zh-CN"/>
                    </w:rPr>
                  </w:pPr>
                  <w:r>
                    <w:rPr>
                      <w:rFonts w:hint="eastAsia"/>
                      <w:color w:val="auto"/>
                      <w:kern w:val="2"/>
                      <w:sz w:val="21"/>
                      <w:szCs w:val="21"/>
                      <w:highlight w:val="none"/>
                      <w:lang w:val="en-US" w:eastAsia="zh-CN"/>
                    </w:rPr>
                    <w:t>C40</w:t>
                  </w:r>
                </w:p>
              </w:tc>
              <w:tc>
                <w:tcPr>
                  <w:tcW w:w="1592" w:type="pct"/>
                  <w:tcBorders>
                    <w:tl2br w:val="nil"/>
                    <w:tr2bl w:val="nil"/>
                  </w:tcBorders>
                  <w:vAlign w:val="center"/>
                </w:tcPr>
                <w:p w14:paraId="03B889F2">
                  <w:pPr>
                    <w:pStyle w:val="8"/>
                    <w:spacing w:before="0" w:after="0" w:line="240" w:lineRule="auto"/>
                    <w:ind w:right="0"/>
                    <w:jc w:val="center"/>
                    <w:rPr>
                      <w:rFonts w:hint="eastAsia" w:eastAsia="宋体"/>
                      <w:color w:val="auto"/>
                      <w:kern w:val="2"/>
                      <w:sz w:val="21"/>
                      <w:szCs w:val="21"/>
                      <w:highlight w:val="none"/>
                      <w:lang w:val="en-US" w:eastAsia="zh-CN"/>
                    </w:rPr>
                  </w:pPr>
                  <w:r>
                    <w:rPr>
                      <w:rFonts w:hint="eastAsia"/>
                      <w:color w:val="auto"/>
                      <w:kern w:val="2"/>
                      <w:sz w:val="21"/>
                      <w:szCs w:val="21"/>
                      <w:highlight w:val="none"/>
                      <w:lang w:val="en-US" w:eastAsia="zh-CN"/>
                    </w:rPr>
                    <w:t>/</w:t>
                  </w:r>
                </w:p>
              </w:tc>
            </w:tr>
            <w:tr w14:paraId="444300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8" w:type="pct"/>
                  <w:vMerge w:val="continue"/>
                  <w:tcBorders>
                    <w:tl2br w:val="nil"/>
                    <w:tr2bl w:val="nil"/>
                  </w:tcBorders>
                  <w:vAlign w:val="center"/>
                </w:tcPr>
                <w:p w14:paraId="618D3CA9">
                  <w:pPr>
                    <w:pStyle w:val="8"/>
                    <w:spacing w:before="0" w:after="0" w:line="240" w:lineRule="auto"/>
                    <w:ind w:right="0"/>
                    <w:jc w:val="center"/>
                    <w:rPr>
                      <w:color w:val="auto"/>
                      <w:kern w:val="2"/>
                      <w:sz w:val="21"/>
                      <w:szCs w:val="21"/>
                      <w:highlight w:val="none"/>
                    </w:rPr>
                  </w:pPr>
                </w:p>
              </w:tc>
              <w:tc>
                <w:tcPr>
                  <w:tcW w:w="1076" w:type="pct"/>
                  <w:tcBorders>
                    <w:tl2br w:val="nil"/>
                    <w:tr2bl w:val="nil"/>
                  </w:tcBorders>
                  <w:vAlign w:val="center"/>
                </w:tcPr>
                <w:p w14:paraId="037ADA61">
                  <w:pPr>
                    <w:pStyle w:val="8"/>
                    <w:spacing w:before="0" w:after="0" w:line="240" w:lineRule="auto"/>
                    <w:ind w:right="0"/>
                    <w:jc w:val="center"/>
                    <w:rPr>
                      <w:rFonts w:hint="default"/>
                      <w:color w:val="auto"/>
                      <w:kern w:val="2"/>
                      <w:sz w:val="21"/>
                      <w:szCs w:val="21"/>
                      <w:highlight w:val="none"/>
                      <w:lang w:val="en-US" w:eastAsia="zh-CN"/>
                    </w:rPr>
                  </w:pPr>
                  <w:r>
                    <w:rPr>
                      <w:rFonts w:hint="eastAsia"/>
                      <w:color w:val="auto"/>
                      <w:kern w:val="2"/>
                      <w:sz w:val="21"/>
                      <w:szCs w:val="21"/>
                      <w:highlight w:val="none"/>
                      <w:lang w:val="en-US" w:eastAsia="zh-CN"/>
                    </w:rPr>
                    <w:t>2</w:t>
                  </w:r>
                  <w:r>
                    <w:rPr>
                      <w:color w:val="auto"/>
                      <w:kern w:val="2"/>
                      <w:sz w:val="21"/>
                      <w:szCs w:val="21"/>
                      <w:highlight w:val="none"/>
                    </w:rPr>
                    <w:t>万m</w:t>
                  </w:r>
                  <w:r>
                    <w:rPr>
                      <w:color w:val="auto"/>
                      <w:kern w:val="2"/>
                      <w:sz w:val="21"/>
                      <w:szCs w:val="21"/>
                      <w:highlight w:val="none"/>
                      <w:vertAlign w:val="superscript"/>
                    </w:rPr>
                    <w:t>3</w:t>
                  </w:r>
                </w:p>
              </w:tc>
              <w:tc>
                <w:tcPr>
                  <w:tcW w:w="1082" w:type="pct"/>
                  <w:tcBorders>
                    <w:tl2br w:val="nil"/>
                    <w:tr2bl w:val="nil"/>
                  </w:tcBorders>
                  <w:vAlign w:val="center"/>
                </w:tcPr>
                <w:p w14:paraId="1BFE573E">
                  <w:pPr>
                    <w:pStyle w:val="8"/>
                    <w:spacing w:before="0" w:after="0" w:line="240" w:lineRule="auto"/>
                    <w:ind w:right="0"/>
                    <w:jc w:val="center"/>
                    <w:rPr>
                      <w:rFonts w:hint="default" w:eastAsia="宋体"/>
                      <w:color w:val="auto"/>
                      <w:kern w:val="2"/>
                      <w:sz w:val="21"/>
                      <w:szCs w:val="21"/>
                      <w:highlight w:val="none"/>
                      <w:lang w:val="en-US" w:eastAsia="zh-CN"/>
                    </w:rPr>
                  </w:pPr>
                  <w:r>
                    <w:rPr>
                      <w:rFonts w:hint="eastAsia"/>
                      <w:color w:val="auto"/>
                      <w:kern w:val="2"/>
                      <w:sz w:val="21"/>
                      <w:szCs w:val="21"/>
                      <w:highlight w:val="none"/>
                      <w:lang w:val="en-US" w:eastAsia="zh-CN"/>
                    </w:rPr>
                    <w:t>C45</w:t>
                  </w:r>
                </w:p>
              </w:tc>
              <w:tc>
                <w:tcPr>
                  <w:tcW w:w="1592" w:type="pct"/>
                  <w:tcBorders>
                    <w:tl2br w:val="nil"/>
                    <w:tr2bl w:val="nil"/>
                  </w:tcBorders>
                  <w:vAlign w:val="center"/>
                </w:tcPr>
                <w:p w14:paraId="31F324A3">
                  <w:pPr>
                    <w:pStyle w:val="8"/>
                    <w:spacing w:before="0" w:after="0" w:line="240" w:lineRule="auto"/>
                    <w:ind w:right="0"/>
                    <w:jc w:val="center"/>
                    <w:rPr>
                      <w:rFonts w:hint="eastAsia" w:eastAsia="宋体"/>
                      <w:color w:val="auto"/>
                      <w:kern w:val="2"/>
                      <w:sz w:val="21"/>
                      <w:szCs w:val="21"/>
                      <w:highlight w:val="none"/>
                      <w:lang w:val="en-US" w:eastAsia="zh-CN"/>
                    </w:rPr>
                  </w:pPr>
                  <w:r>
                    <w:rPr>
                      <w:rFonts w:hint="eastAsia"/>
                      <w:color w:val="auto"/>
                      <w:kern w:val="2"/>
                      <w:sz w:val="21"/>
                      <w:szCs w:val="21"/>
                      <w:highlight w:val="none"/>
                      <w:lang w:val="en-US" w:eastAsia="zh-CN"/>
                    </w:rPr>
                    <w:t>/</w:t>
                  </w:r>
                </w:p>
              </w:tc>
            </w:tr>
          </w:tbl>
          <w:p w14:paraId="3EF7DD5C">
            <w:pPr>
              <w:autoSpaceDE w:val="0"/>
              <w:autoSpaceDN w:val="0"/>
              <w:adjustRightInd w:val="0"/>
              <w:snapToGrid w:val="0"/>
              <w:spacing w:line="360" w:lineRule="auto"/>
              <w:ind w:firstLine="480" w:firstLineChars="200"/>
            </w:pPr>
            <w:r>
              <w:rPr>
                <w:rFonts w:ascii="Times New Roman" w:hAnsi="Times New Roman" w:eastAsia="宋体" w:cs="Times New Roman"/>
                <w:color w:val="auto"/>
                <w:kern w:val="0"/>
                <w:sz w:val="24"/>
              </w:rPr>
              <w:t>本项目物料平衡见表2-5。</w:t>
            </w:r>
          </w:p>
          <w:p w14:paraId="53DC7EFC">
            <w:pPr>
              <w:pStyle w:val="8"/>
              <w:adjustRightInd w:val="0"/>
              <w:spacing w:before="0" w:after="0" w:line="240" w:lineRule="auto"/>
              <w:ind w:right="0"/>
              <w:jc w:val="center"/>
              <w:rPr>
                <w:b/>
                <w:bCs/>
                <w:color w:val="auto"/>
                <w:sz w:val="21"/>
                <w:szCs w:val="21"/>
                <w:highlight w:val="none"/>
              </w:rPr>
            </w:pPr>
            <w:r>
              <w:rPr>
                <w:b/>
                <w:bCs/>
                <w:color w:val="auto"/>
                <w:sz w:val="21"/>
                <w:szCs w:val="21"/>
                <w:highlight w:val="none"/>
              </w:rPr>
              <w:t>表2-5    本项目物料平衡一览表</w:t>
            </w:r>
          </w:p>
          <w:tbl>
            <w:tblPr>
              <w:tblStyle w:val="28"/>
              <w:tblW w:w="4996"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411"/>
              <w:gridCol w:w="1843"/>
              <w:gridCol w:w="1369"/>
              <w:gridCol w:w="1983"/>
              <w:gridCol w:w="1540"/>
            </w:tblGrid>
            <w:tr w14:paraId="1C7F139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66" w:type="pct"/>
                  <w:vMerge w:val="restart"/>
                  <w:vAlign w:val="center"/>
                </w:tcPr>
                <w:p w14:paraId="0C3D3C5E">
                  <w:pPr>
                    <w:pStyle w:val="39"/>
                    <w:spacing w:after="0" w:line="240" w:lineRule="auto"/>
                    <w:jc w:val="center"/>
                    <w:rPr>
                      <w:b/>
                      <w:bCs/>
                      <w:color w:val="auto"/>
                      <w:sz w:val="21"/>
                      <w:szCs w:val="21"/>
                      <w:highlight w:val="none"/>
                    </w:rPr>
                  </w:pPr>
                  <w:r>
                    <w:rPr>
                      <w:b/>
                      <w:bCs/>
                      <w:color w:val="auto"/>
                      <w:sz w:val="21"/>
                      <w:szCs w:val="21"/>
                      <w:highlight w:val="none"/>
                    </w:rPr>
                    <w:t>序号</w:t>
                  </w:r>
                </w:p>
              </w:tc>
              <w:tc>
                <w:tcPr>
                  <w:tcW w:w="1131" w:type="pct"/>
                  <w:tcBorders>
                    <w:bottom w:val="single" w:color="auto" w:sz="12" w:space="0"/>
                  </w:tcBorders>
                  <w:vAlign w:val="center"/>
                </w:tcPr>
                <w:p w14:paraId="66596C35">
                  <w:pPr>
                    <w:pStyle w:val="39"/>
                    <w:spacing w:after="0" w:line="240" w:lineRule="auto"/>
                    <w:jc w:val="center"/>
                    <w:rPr>
                      <w:b/>
                      <w:bCs/>
                      <w:color w:val="auto"/>
                      <w:sz w:val="21"/>
                      <w:szCs w:val="21"/>
                      <w:highlight w:val="none"/>
                    </w:rPr>
                  </w:pPr>
                  <w:r>
                    <w:rPr>
                      <w:b/>
                      <w:bCs/>
                      <w:color w:val="auto"/>
                      <w:sz w:val="21"/>
                      <w:szCs w:val="21"/>
                      <w:highlight w:val="none"/>
                    </w:rPr>
                    <w:t>原料名称</w:t>
                  </w:r>
                </w:p>
              </w:tc>
              <w:tc>
                <w:tcPr>
                  <w:tcW w:w="840" w:type="pct"/>
                  <w:tcBorders>
                    <w:bottom w:val="single" w:color="auto" w:sz="12" w:space="0"/>
                  </w:tcBorders>
                  <w:vAlign w:val="center"/>
                </w:tcPr>
                <w:p w14:paraId="4C1B7B05">
                  <w:pPr>
                    <w:pStyle w:val="39"/>
                    <w:spacing w:after="0" w:line="240" w:lineRule="auto"/>
                    <w:jc w:val="center"/>
                    <w:rPr>
                      <w:b/>
                      <w:bCs/>
                      <w:color w:val="auto"/>
                      <w:sz w:val="21"/>
                      <w:szCs w:val="21"/>
                      <w:highlight w:val="none"/>
                    </w:rPr>
                  </w:pPr>
                  <w:r>
                    <w:rPr>
                      <w:b/>
                      <w:bCs/>
                      <w:color w:val="auto"/>
                      <w:sz w:val="21"/>
                      <w:szCs w:val="21"/>
                      <w:highlight w:val="none"/>
                    </w:rPr>
                    <w:t>数量t/a</w:t>
                  </w:r>
                </w:p>
              </w:tc>
              <w:tc>
                <w:tcPr>
                  <w:tcW w:w="1217" w:type="pct"/>
                  <w:tcBorders>
                    <w:bottom w:val="single" w:color="auto" w:sz="12" w:space="0"/>
                  </w:tcBorders>
                  <w:vAlign w:val="center"/>
                </w:tcPr>
                <w:p w14:paraId="113E2F98">
                  <w:pPr>
                    <w:pStyle w:val="39"/>
                    <w:spacing w:after="0" w:line="240" w:lineRule="auto"/>
                    <w:jc w:val="center"/>
                    <w:rPr>
                      <w:b/>
                      <w:bCs/>
                      <w:color w:val="auto"/>
                      <w:sz w:val="21"/>
                      <w:szCs w:val="21"/>
                      <w:highlight w:val="none"/>
                    </w:rPr>
                  </w:pPr>
                  <w:r>
                    <w:rPr>
                      <w:b/>
                      <w:bCs/>
                      <w:color w:val="auto"/>
                      <w:sz w:val="21"/>
                      <w:szCs w:val="21"/>
                      <w:highlight w:val="none"/>
                    </w:rPr>
                    <w:t>成品名称</w:t>
                  </w:r>
                </w:p>
              </w:tc>
              <w:tc>
                <w:tcPr>
                  <w:tcW w:w="945" w:type="pct"/>
                  <w:tcBorders>
                    <w:bottom w:val="single" w:color="auto" w:sz="12" w:space="0"/>
                  </w:tcBorders>
                  <w:vAlign w:val="center"/>
                </w:tcPr>
                <w:p w14:paraId="5D3FFD8C">
                  <w:pPr>
                    <w:pStyle w:val="39"/>
                    <w:spacing w:after="0" w:line="240" w:lineRule="auto"/>
                    <w:jc w:val="center"/>
                    <w:rPr>
                      <w:b/>
                      <w:bCs/>
                      <w:color w:val="auto"/>
                      <w:sz w:val="21"/>
                      <w:szCs w:val="21"/>
                      <w:highlight w:val="none"/>
                    </w:rPr>
                  </w:pPr>
                  <w:r>
                    <w:rPr>
                      <w:b/>
                      <w:bCs/>
                      <w:color w:val="auto"/>
                      <w:sz w:val="21"/>
                      <w:szCs w:val="21"/>
                      <w:highlight w:val="none"/>
                    </w:rPr>
                    <w:t>数量t/a</w:t>
                  </w:r>
                </w:p>
              </w:tc>
            </w:tr>
            <w:tr w14:paraId="41A44E9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66" w:type="pct"/>
                  <w:vMerge w:val="continue"/>
                  <w:tcBorders>
                    <w:bottom w:val="single" w:color="auto" w:sz="12" w:space="0"/>
                  </w:tcBorders>
                  <w:vAlign w:val="center"/>
                </w:tcPr>
                <w:p w14:paraId="48C1E57A">
                  <w:pPr>
                    <w:pStyle w:val="39"/>
                    <w:spacing w:after="0" w:line="240" w:lineRule="auto"/>
                    <w:jc w:val="center"/>
                    <w:rPr>
                      <w:b/>
                      <w:bCs/>
                      <w:color w:val="auto"/>
                      <w:sz w:val="21"/>
                      <w:szCs w:val="21"/>
                      <w:highlight w:val="none"/>
                    </w:rPr>
                  </w:pPr>
                </w:p>
              </w:tc>
              <w:tc>
                <w:tcPr>
                  <w:tcW w:w="1971" w:type="pct"/>
                  <w:gridSpan w:val="2"/>
                  <w:tcBorders>
                    <w:top w:val="single" w:color="auto" w:sz="12" w:space="0"/>
                    <w:bottom w:val="single" w:color="auto" w:sz="12" w:space="0"/>
                  </w:tcBorders>
                  <w:vAlign w:val="center"/>
                </w:tcPr>
                <w:p w14:paraId="64300B08">
                  <w:pPr>
                    <w:pStyle w:val="39"/>
                    <w:spacing w:after="0" w:line="240" w:lineRule="auto"/>
                    <w:jc w:val="center"/>
                    <w:rPr>
                      <w:b/>
                      <w:bCs/>
                      <w:color w:val="auto"/>
                      <w:sz w:val="21"/>
                      <w:szCs w:val="21"/>
                      <w:highlight w:val="none"/>
                    </w:rPr>
                  </w:pPr>
                  <w:r>
                    <w:rPr>
                      <w:b/>
                      <w:bCs/>
                      <w:color w:val="auto"/>
                      <w:sz w:val="21"/>
                      <w:szCs w:val="21"/>
                      <w:highlight w:val="none"/>
                    </w:rPr>
                    <w:t>投入</w:t>
                  </w:r>
                </w:p>
              </w:tc>
              <w:tc>
                <w:tcPr>
                  <w:tcW w:w="2162" w:type="pct"/>
                  <w:gridSpan w:val="2"/>
                  <w:tcBorders>
                    <w:top w:val="single" w:color="auto" w:sz="12" w:space="0"/>
                    <w:bottom w:val="single" w:color="auto" w:sz="12" w:space="0"/>
                  </w:tcBorders>
                  <w:vAlign w:val="center"/>
                </w:tcPr>
                <w:p w14:paraId="1768C945">
                  <w:pPr>
                    <w:pStyle w:val="39"/>
                    <w:spacing w:after="0" w:line="240" w:lineRule="auto"/>
                    <w:jc w:val="center"/>
                    <w:rPr>
                      <w:b/>
                      <w:bCs/>
                      <w:color w:val="auto"/>
                      <w:sz w:val="21"/>
                      <w:szCs w:val="21"/>
                      <w:highlight w:val="none"/>
                    </w:rPr>
                  </w:pPr>
                  <w:r>
                    <w:rPr>
                      <w:b/>
                      <w:bCs/>
                      <w:color w:val="auto"/>
                      <w:sz w:val="21"/>
                      <w:szCs w:val="21"/>
                      <w:highlight w:val="none"/>
                    </w:rPr>
                    <w:t>产出</w:t>
                  </w:r>
                </w:p>
              </w:tc>
            </w:tr>
            <w:tr w14:paraId="4DCA52A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pct"/>
                  <w:tcBorders>
                    <w:top w:val="single" w:color="auto" w:sz="12" w:space="0"/>
                    <w:tl2br w:val="nil"/>
                    <w:tr2bl w:val="nil"/>
                  </w:tcBorders>
                  <w:vAlign w:val="center"/>
                </w:tcPr>
                <w:p w14:paraId="004992B1">
                  <w:pPr>
                    <w:pStyle w:val="39"/>
                    <w:spacing w:after="0" w:line="240" w:lineRule="auto"/>
                    <w:jc w:val="center"/>
                    <w:rPr>
                      <w:color w:val="auto"/>
                      <w:sz w:val="21"/>
                      <w:szCs w:val="21"/>
                      <w:highlight w:val="none"/>
                    </w:rPr>
                  </w:pPr>
                  <w:r>
                    <w:rPr>
                      <w:color w:val="auto"/>
                      <w:sz w:val="21"/>
                      <w:szCs w:val="21"/>
                      <w:highlight w:val="none"/>
                    </w:rPr>
                    <w:t>1</w:t>
                  </w:r>
                </w:p>
              </w:tc>
              <w:tc>
                <w:tcPr>
                  <w:tcW w:w="1131" w:type="pct"/>
                  <w:tcBorders>
                    <w:top w:val="single" w:color="auto" w:sz="12" w:space="0"/>
                    <w:tl2br w:val="nil"/>
                    <w:tr2bl w:val="nil"/>
                  </w:tcBorders>
                  <w:vAlign w:val="center"/>
                </w:tcPr>
                <w:p w14:paraId="53B83AA7">
                  <w:pPr>
                    <w:adjustRightInd w:val="0"/>
                    <w:snapToGrid w:val="0"/>
                    <w:jc w:val="center"/>
                    <w:rPr>
                      <w:color w:val="auto"/>
                      <w:sz w:val="21"/>
                      <w:szCs w:val="21"/>
                      <w:highlight w:val="none"/>
                    </w:rPr>
                  </w:pPr>
                  <w:r>
                    <w:rPr>
                      <w:color w:val="auto"/>
                      <w:sz w:val="21"/>
                      <w:szCs w:val="21"/>
                      <w:highlight w:val="none"/>
                    </w:rPr>
                    <w:t>水泥</w:t>
                  </w:r>
                </w:p>
              </w:tc>
              <w:tc>
                <w:tcPr>
                  <w:tcW w:w="840" w:type="pct"/>
                  <w:tcBorders>
                    <w:top w:val="single" w:color="auto" w:sz="12" w:space="0"/>
                    <w:tl2br w:val="nil"/>
                    <w:tr2bl w:val="nil"/>
                  </w:tcBorders>
                  <w:vAlign w:val="center"/>
                </w:tcPr>
                <w:p w14:paraId="5339402E">
                  <w:pPr>
                    <w:widowControl/>
                    <w:jc w:val="center"/>
                    <w:textAlignment w:val="center"/>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57600</w:t>
                  </w:r>
                </w:p>
              </w:tc>
              <w:tc>
                <w:tcPr>
                  <w:tcW w:w="1217" w:type="pct"/>
                  <w:tcBorders>
                    <w:top w:val="single" w:color="auto" w:sz="12" w:space="0"/>
                    <w:tl2br w:val="nil"/>
                    <w:tr2bl w:val="nil"/>
                  </w:tcBorders>
                  <w:vAlign w:val="center"/>
                </w:tcPr>
                <w:p w14:paraId="5715329B">
                  <w:pPr>
                    <w:pStyle w:val="39"/>
                    <w:spacing w:after="0" w:line="240" w:lineRule="auto"/>
                    <w:jc w:val="center"/>
                    <w:rPr>
                      <w:color w:val="auto"/>
                      <w:sz w:val="21"/>
                      <w:szCs w:val="21"/>
                      <w:highlight w:val="none"/>
                    </w:rPr>
                  </w:pPr>
                  <w:r>
                    <w:rPr>
                      <w:color w:val="auto"/>
                      <w:sz w:val="21"/>
                      <w:szCs w:val="21"/>
                      <w:highlight w:val="none"/>
                    </w:rPr>
                    <w:t>商品混凝土</w:t>
                  </w:r>
                </w:p>
              </w:tc>
              <w:tc>
                <w:tcPr>
                  <w:tcW w:w="945" w:type="pct"/>
                  <w:tcBorders>
                    <w:top w:val="single" w:color="auto" w:sz="12" w:space="0"/>
                    <w:tl2br w:val="nil"/>
                    <w:tr2bl w:val="nil"/>
                  </w:tcBorders>
                  <w:vAlign w:val="center"/>
                </w:tcPr>
                <w:p w14:paraId="65F8E08F">
                  <w:pPr>
                    <w:pStyle w:val="39"/>
                    <w:spacing w:after="0" w:line="240" w:lineRule="auto"/>
                    <w:jc w:val="center"/>
                    <w:rPr>
                      <w:color w:val="auto"/>
                      <w:sz w:val="21"/>
                      <w:szCs w:val="21"/>
                      <w:highlight w:val="none"/>
                    </w:rPr>
                  </w:pPr>
                  <w:r>
                    <w:rPr>
                      <w:rFonts w:hint="eastAsia"/>
                      <w:color w:val="auto"/>
                      <w:sz w:val="21"/>
                      <w:szCs w:val="21"/>
                      <w:highlight w:val="none"/>
                      <w:lang w:val="en-US" w:eastAsia="zh-CN"/>
                    </w:rPr>
                    <w:t>48</w:t>
                  </w:r>
                  <w:r>
                    <w:rPr>
                      <w:rFonts w:hint="eastAsia"/>
                      <w:color w:val="auto"/>
                      <w:sz w:val="21"/>
                      <w:szCs w:val="21"/>
                      <w:highlight w:val="none"/>
                    </w:rPr>
                    <w:t>0000</w:t>
                  </w:r>
                </w:p>
              </w:tc>
            </w:tr>
            <w:tr w14:paraId="6110981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66" w:type="pct"/>
                  <w:tcBorders>
                    <w:tl2br w:val="nil"/>
                    <w:tr2bl w:val="nil"/>
                  </w:tcBorders>
                  <w:vAlign w:val="center"/>
                </w:tcPr>
                <w:p w14:paraId="670CE923">
                  <w:pPr>
                    <w:jc w:val="center"/>
                    <w:rPr>
                      <w:color w:val="auto"/>
                      <w:sz w:val="21"/>
                      <w:szCs w:val="21"/>
                      <w:highlight w:val="none"/>
                    </w:rPr>
                  </w:pPr>
                  <w:r>
                    <w:rPr>
                      <w:color w:val="auto"/>
                      <w:sz w:val="21"/>
                      <w:szCs w:val="21"/>
                      <w:highlight w:val="none"/>
                    </w:rPr>
                    <w:t>2</w:t>
                  </w:r>
                </w:p>
              </w:tc>
              <w:tc>
                <w:tcPr>
                  <w:tcW w:w="1131" w:type="pct"/>
                  <w:tcBorders>
                    <w:tl2br w:val="nil"/>
                    <w:tr2bl w:val="nil"/>
                  </w:tcBorders>
                  <w:vAlign w:val="center"/>
                </w:tcPr>
                <w:p w14:paraId="0D8BB7DF">
                  <w:pPr>
                    <w:adjustRightInd w:val="0"/>
                    <w:snapToGrid w:val="0"/>
                    <w:jc w:val="center"/>
                    <w:rPr>
                      <w:color w:val="auto"/>
                      <w:sz w:val="21"/>
                      <w:szCs w:val="21"/>
                      <w:highlight w:val="none"/>
                    </w:rPr>
                  </w:pPr>
                  <w:r>
                    <w:rPr>
                      <w:color w:val="auto"/>
                      <w:sz w:val="21"/>
                      <w:szCs w:val="21"/>
                      <w:highlight w:val="none"/>
                    </w:rPr>
                    <w:t>粉煤灰</w:t>
                  </w:r>
                </w:p>
              </w:tc>
              <w:tc>
                <w:tcPr>
                  <w:tcW w:w="840" w:type="pct"/>
                  <w:tcBorders>
                    <w:tl2br w:val="nil"/>
                    <w:tr2bl w:val="nil"/>
                  </w:tcBorders>
                  <w:vAlign w:val="center"/>
                </w:tcPr>
                <w:p w14:paraId="19240CE8">
                  <w:pPr>
                    <w:widowControl/>
                    <w:jc w:val="center"/>
                    <w:textAlignment w:val="center"/>
                    <w:rPr>
                      <w:rFonts w:hint="default"/>
                      <w:color w:val="auto"/>
                      <w:sz w:val="21"/>
                      <w:szCs w:val="21"/>
                      <w:highlight w:val="none"/>
                      <w:lang w:val="en-US"/>
                    </w:rPr>
                  </w:pPr>
                  <w:r>
                    <w:rPr>
                      <w:rFonts w:hint="eastAsia"/>
                      <w:color w:val="auto"/>
                      <w:kern w:val="0"/>
                      <w:sz w:val="21"/>
                      <w:szCs w:val="21"/>
                      <w:highlight w:val="none"/>
                      <w:lang w:val="en-US" w:eastAsia="zh-CN" w:bidi="ar"/>
                    </w:rPr>
                    <w:t>96000</w:t>
                  </w:r>
                </w:p>
              </w:tc>
              <w:tc>
                <w:tcPr>
                  <w:tcW w:w="1217" w:type="pct"/>
                  <w:tcBorders>
                    <w:tl2br w:val="nil"/>
                    <w:tr2bl w:val="nil"/>
                  </w:tcBorders>
                  <w:vAlign w:val="center"/>
                </w:tcPr>
                <w:p w14:paraId="24E05424">
                  <w:pPr>
                    <w:pStyle w:val="39"/>
                    <w:spacing w:after="0" w:line="240" w:lineRule="auto"/>
                    <w:jc w:val="center"/>
                    <w:rPr>
                      <w:color w:val="auto"/>
                      <w:sz w:val="21"/>
                      <w:szCs w:val="21"/>
                      <w:highlight w:val="none"/>
                    </w:rPr>
                  </w:pPr>
                  <w:r>
                    <w:rPr>
                      <w:color w:val="auto"/>
                      <w:sz w:val="21"/>
                      <w:szCs w:val="21"/>
                      <w:highlight w:val="none"/>
                    </w:rPr>
                    <w:t>除尘灰</w:t>
                  </w:r>
                </w:p>
              </w:tc>
              <w:tc>
                <w:tcPr>
                  <w:tcW w:w="945" w:type="pct"/>
                  <w:tcBorders>
                    <w:tl2br w:val="nil"/>
                    <w:tr2bl w:val="nil"/>
                  </w:tcBorders>
                  <w:vAlign w:val="center"/>
                </w:tcPr>
                <w:p w14:paraId="18118B7A">
                  <w:pPr>
                    <w:pStyle w:val="39"/>
                    <w:spacing w:after="0"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341.21</w:t>
                  </w:r>
                </w:p>
              </w:tc>
            </w:tr>
            <w:tr w14:paraId="3A37148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pct"/>
                  <w:tcBorders>
                    <w:tl2br w:val="nil"/>
                    <w:tr2bl w:val="nil"/>
                  </w:tcBorders>
                  <w:vAlign w:val="center"/>
                </w:tcPr>
                <w:p w14:paraId="2D5499B0">
                  <w:pPr>
                    <w:pStyle w:val="39"/>
                    <w:spacing w:after="0" w:line="240" w:lineRule="auto"/>
                    <w:jc w:val="center"/>
                    <w:rPr>
                      <w:color w:val="auto"/>
                      <w:sz w:val="21"/>
                      <w:szCs w:val="21"/>
                      <w:highlight w:val="none"/>
                    </w:rPr>
                  </w:pPr>
                  <w:r>
                    <w:rPr>
                      <w:color w:val="auto"/>
                      <w:sz w:val="21"/>
                      <w:szCs w:val="21"/>
                      <w:highlight w:val="none"/>
                    </w:rPr>
                    <w:t>3</w:t>
                  </w:r>
                </w:p>
              </w:tc>
              <w:tc>
                <w:tcPr>
                  <w:tcW w:w="1131" w:type="pct"/>
                  <w:tcBorders>
                    <w:tl2br w:val="nil"/>
                    <w:tr2bl w:val="nil"/>
                  </w:tcBorders>
                  <w:vAlign w:val="center"/>
                </w:tcPr>
                <w:p w14:paraId="733928A1">
                  <w:pPr>
                    <w:adjustRightInd w:val="0"/>
                    <w:snapToGrid w:val="0"/>
                    <w:jc w:val="center"/>
                    <w:rPr>
                      <w:color w:val="auto"/>
                      <w:sz w:val="21"/>
                      <w:szCs w:val="21"/>
                      <w:highlight w:val="none"/>
                    </w:rPr>
                  </w:pPr>
                  <w:r>
                    <w:rPr>
                      <w:color w:val="auto"/>
                      <w:sz w:val="21"/>
                      <w:szCs w:val="21"/>
                      <w:highlight w:val="none"/>
                    </w:rPr>
                    <w:t>砂子</w:t>
                  </w:r>
                </w:p>
              </w:tc>
              <w:tc>
                <w:tcPr>
                  <w:tcW w:w="840" w:type="pct"/>
                  <w:tcBorders>
                    <w:tl2br w:val="nil"/>
                    <w:tr2bl w:val="nil"/>
                  </w:tcBorders>
                  <w:vAlign w:val="center"/>
                </w:tcPr>
                <w:p w14:paraId="00DF338C">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96000</w:t>
                  </w:r>
                </w:p>
              </w:tc>
              <w:tc>
                <w:tcPr>
                  <w:tcW w:w="1217" w:type="pct"/>
                  <w:tcBorders>
                    <w:tl2br w:val="nil"/>
                    <w:tr2bl w:val="nil"/>
                  </w:tcBorders>
                  <w:vAlign w:val="center"/>
                </w:tcPr>
                <w:p w14:paraId="5A153222">
                  <w:pPr>
                    <w:pStyle w:val="39"/>
                    <w:spacing w:after="0" w:line="240" w:lineRule="auto"/>
                    <w:jc w:val="center"/>
                    <w:rPr>
                      <w:color w:val="auto"/>
                      <w:sz w:val="21"/>
                      <w:szCs w:val="21"/>
                      <w:highlight w:val="none"/>
                    </w:rPr>
                  </w:pPr>
                  <w:r>
                    <w:rPr>
                      <w:color w:val="auto"/>
                      <w:sz w:val="21"/>
                      <w:szCs w:val="21"/>
                      <w:highlight w:val="none"/>
                    </w:rPr>
                    <w:t>粉尘</w:t>
                  </w:r>
                </w:p>
              </w:tc>
              <w:tc>
                <w:tcPr>
                  <w:tcW w:w="945" w:type="pct"/>
                  <w:tcBorders>
                    <w:tl2br w:val="nil"/>
                    <w:tr2bl w:val="nil"/>
                  </w:tcBorders>
                  <w:vAlign w:val="center"/>
                </w:tcPr>
                <w:p w14:paraId="52AACCA2">
                  <w:pPr>
                    <w:pStyle w:val="39"/>
                    <w:spacing w:after="0"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3.22</w:t>
                  </w:r>
                </w:p>
              </w:tc>
            </w:tr>
            <w:tr w14:paraId="7747613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pct"/>
                  <w:tcBorders>
                    <w:tl2br w:val="nil"/>
                    <w:tr2bl w:val="nil"/>
                  </w:tcBorders>
                  <w:vAlign w:val="center"/>
                </w:tcPr>
                <w:p w14:paraId="4F8B8B6A">
                  <w:pPr>
                    <w:pStyle w:val="39"/>
                    <w:spacing w:after="0" w:line="240" w:lineRule="auto"/>
                    <w:jc w:val="center"/>
                    <w:rPr>
                      <w:color w:val="auto"/>
                      <w:sz w:val="21"/>
                      <w:szCs w:val="21"/>
                      <w:highlight w:val="none"/>
                    </w:rPr>
                  </w:pPr>
                  <w:r>
                    <w:rPr>
                      <w:color w:val="auto"/>
                      <w:sz w:val="21"/>
                      <w:szCs w:val="21"/>
                      <w:highlight w:val="none"/>
                    </w:rPr>
                    <w:t>4</w:t>
                  </w:r>
                </w:p>
              </w:tc>
              <w:tc>
                <w:tcPr>
                  <w:tcW w:w="1131" w:type="pct"/>
                  <w:tcBorders>
                    <w:tl2br w:val="nil"/>
                    <w:tr2bl w:val="nil"/>
                  </w:tcBorders>
                  <w:vAlign w:val="center"/>
                </w:tcPr>
                <w:p w14:paraId="3330BC3C">
                  <w:pPr>
                    <w:adjustRightInd w:val="0"/>
                    <w:snapToGrid w:val="0"/>
                    <w:jc w:val="center"/>
                    <w:rPr>
                      <w:color w:val="auto"/>
                      <w:sz w:val="21"/>
                      <w:szCs w:val="21"/>
                      <w:highlight w:val="none"/>
                    </w:rPr>
                  </w:pPr>
                  <w:r>
                    <w:rPr>
                      <w:color w:val="auto"/>
                      <w:sz w:val="21"/>
                      <w:szCs w:val="21"/>
                      <w:highlight w:val="none"/>
                    </w:rPr>
                    <w:t>碎石</w:t>
                  </w:r>
                </w:p>
              </w:tc>
              <w:tc>
                <w:tcPr>
                  <w:tcW w:w="840" w:type="pct"/>
                  <w:tcBorders>
                    <w:tl2br w:val="nil"/>
                    <w:tr2bl w:val="nil"/>
                  </w:tcBorders>
                  <w:vAlign w:val="center"/>
                </w:tcPr>
                <w:p w14:paraId="5B41C26F">
                  <w:pPr>
                    <w:widowControl/>
                    <w:jc w:val="center"/>
                    <w:textAlignment w:val="center"/>
                    <w:rPr>
                      <w:rFonts w:hint="default"/>
                      <w:color w:val="auto"/>
                      <w:sz w:val="21"/>
                      <w:szCs w:val="21"/>
                      <w:highlight w:val="none"/>
                      <w:lang w:val="en-US"/>
                    </w:rPr>
                  </w:pPr>
                  <w:r>
                    <w:rPr>
                      <w:rFonts w:hint="eastAsia"/>
                      <w:color w:val="auto"/>
                      <w:kern w:val="0"/>
                      <w:sz w:val="21"/>
                      <w:szCs w:val="21"/>
                      <w:highlight w:val="none"/>
                      <w:lang w:val="en-US" w:eastAsia="zh-CN" w:bidi="ar"/>
                    </w:rPr>
                    <w:t>192000</w:t>
                  </w:r>
                </w:p>
              </w:tc>
              <w:tc>
                <w:tcPr>
                  <w:tcW w:w="1217" w:type="pct"/>
                  <w:tcBorders>
                    <w:tl2br w:val="nil"/>
                    <w:tr2bl w:val="nil"/>
                  </w:tcBorders>
                  <w:vAlign w:val="center"/>
                </w:tcPr>
                <w:p w14:paraId="6787E03C">
                  <w:pPr>
                    <w:pStyle w:val="39"/>
                    <w:spacing w:after="0" w:line="240" w:lineRule="auto"/>
                    <w:jc w:val="center"/>
                    <w:rPr>
                      <w:rFonts w:hint="default" w:eastAsia="宋体"/>
                      <w:color w:val="auto"/>
                      <w:sz w:val="21"/>
                      <w:szCs w:val="21"/>
                      <w:highlight w:val="yellow"/>
                      <w:lang w:val="en-US" w:eastAsia="zh-CN"/>
                    </w:rPr>
                  </w:pPr>
                  <w:r>
                    <w:rPr>
                      <w:rFonts w:hint="eastAsia"/>
                      <w:color w:val="auto"/>
                      <w:sz w:val="21"/>
                      <w:szCs w:val="21"/>
                      <w:highlight w:val="none"/>
                      <w:lang w:val="en-US" w:eastAsia="zh-CN"/>
                    </w:rPr>
                    <w:t>不合格混凝土</w:t>
                  </w:r>
                </w:p>
              </w:tc>
              <w:tc>
                <w:tcPr>
                  <w:tcW w:w="945" w:type="pct"/>
                  <w:tcBorders>
                    <w:tl2br w:val="nil"/>
                    <w:tr2bl w:val="nil"/>
                  </w:tcBorders>
                  <w:vAlign w:val="center"/>
                </w:tcPr>
                <w:p w14:paraId="00AD0083">
                  <w:pPr>
                    <w:pStyle w:val="39"/>
                    <w:spacing w:after="0"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25</w:t>
                  </w:r>
                </w:p>
              </w:tc>
            </w:tr>
            <w:tr w14:paraId="10DE1EA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66" w:type="pct"/>
                  <w:tcBorders>
                    <w:tl2br w:val="nil"/>
                    <w:tr2bl w:val="nil"/>
                  </w:tcBorders>
                  <w:vAlign w:val="center"/>
                </w:tcPr>
                <w:p w14:paraId="2FF3F8E5">
                  <w:pPr>
                    <w:pStyle w:val="39"/>
                    <w:spacing w:after="0" w:line="240" w:lineRule="auto"/>
                    <w:jc w:val="center"/>
                    <w:rPr>
                      <w:color w:val="auto"/>
                      <w:sz w:val="21"/>
                      <w:szCs w:val="21"/>
                      <w:highlight w:val="none"/>
                    </w:rPr>
                  </w:pPr>
                  <w:r>
                    <w:rPr>
                      <w:color w:val="auto"/>
                      <w:sz w:val="21"/>
                      <w:szCs w:val="21"/>
                      <w:highlight w:val="none"/>
                    </w:rPr>
                    <w:t>5</w:t>
                  </w:r>
                </w:p>
              </w:tc>
              <w:tc>
                <w:tcPr>
                  <w:tcW w:w="1131" w:type="pct"/>
                  <w:tcBorders>
                    <w:tl2br w:val="nil"/>
                    <w:tr2bl w:val="nil"/>
                  </w:tcBorders>
                  <w:vAlign w:val="center"/>
                </w:tcPr>
                <w:p w14:paraId="637B4D13">
                  <w:pPr>
                    <w:adjustRightInd w:val="0"/>
                    <w:snapToGrid w:val="0"/>
                    <w:jc w:val="center"/>
                    <w:rPr>
                      <w:color w:val="auto"/>
                      <w:sz w:val="21"/>
                      <w:szCs w:val="21"/>
                      <w:highlight w:val="none"/>
                    </w:rPr>
                  </w:pPr>
                  <w:r>
                    <w:rPr>
                      <w:color w:val="auto"/>
                      <w:sz w:val="21"/>
                      <w:szCs w:val="21"/>
                      <w:highlight w:val="none"/>
                    </w:rPr>
                    <w:t>外加剂</w:t>
                  </w:r>
                </w:p>
              </w:tc>
              <w:tc>
                <w:tcPr>
                  <w:tcW w:w="840" w:type="pct"/>
                  <w:tcBorders>
                    <w:tl2br w:val="nil"/>
                    <w:tr2bl w:val="nil"/>
                  </w:tcBorders>
                  <w:vAlign w:val="center"/>
                </w:tcPr>
                <w:p w14:paraId="28A6DF35">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w:t>
                  </w:r>
                  <w:r>
                    <w:rPr>
                      <w:rFonts w:hint="eastAsia" w:cs="Times New Roman"/>
                      <w:color w:val="auto"/>
                      <w:kern w:val="2"/>
                      <w:sz w:val="21"/>
                      <w:szCs w:val="21"/>
                      <w:highlight w:val="none"/>
                      <w:lang w:val="en-US" w:eastAsia="zh-CN" w:bidi="ar-SA"/>
                    </w:rPr>
                    <w:t>8</w:t>
                  </w:r>
                  <w:r>
                    <w:rPr>
                      <w:rFonts w:hint="eastAsia" w:ascii="Times New Roman" w:hAnsi="Times New Roman" w:eastAsia="宋体" w:cs="Times New Roman"/>
                      <w:color w:val="auto"/>
                      <w:kern w:val="2"/>
                      <w:sz w:val="21"/>
                      <w:szCs w:val="21"/>
                      <w:highlight w:val="none"/>
                      <w:lang w:val="en-US" w:eastAsia="zh-CN" w:bidi="ar-SA"/>
                    </w:rPr>
                    <w:t>00</w:t>
                  </w:r>
                </w:p>
              </w:tc>
              <w:tc>
                <w:tcPr>
                  <w:tcW w:w="1217" w:type="pct"/>
                  <w:tcBorders>
                    <w:tl2br w:val="nil"/>
                    <w:tr2bl w:val="nil"/>
                  </w:tcBorders>
                  <w:vAlign w:val="center"/>
                </w:tcPr>
                <w:p w14:paraId="5E584F23">
                  <w:pPr>
                    <w:pStyle w:val="39"/>
                    <w:spacing w:after="0" w:line="240" w:lineRule="auto"/>
                    <w:jc w:val="center"/>
                    <w:rPr>
                      <w:rFonts w:hint="eastAsia" w:ascii="Times New Roman" w:hAnsi="Times New Roman" w:eastAsia="宋体" w:cs="Times New Roman"/>
                      <w:color w:val="auto"/>
                      <w:kern w:val="2"/>
                      <w:sz w:val="21"/>
                      <w:szCs w:val="21"/>
                      <w:highlight w:val="yellow"/>
                      <w:lang w:val="en-US" w:eastAsia="zh-CN" w:bidi="ar-SA"/>
                    </w:rPr>
                  </w:pPr>
                  <w:r>
                    <w:rPr>
                      <w:rFonts w:hint="eastAsia"/>
                      <w:color w:val="auto"/>
                      <w:sz w:val="21"/>
                      <w:szCs w:val="21"/>
                      <w:highlight w:val="none"/>
                      <w:lang w:val="en-US" w:eastAsia="zh-CN"/>
                    </w:rPr>
                    <w:t>沉淀池沉渣</w:t>
                  </w:r>
                </w:p>
              </w:tc>
              <w:tc>
                <w:tcPr>
                  <w:tcW w:w="945" w:type="pct"/>
                  <w:tcBorders>
                    <w:tl2br w:val="nil"/>
                    <w:tr2bl w:val="nil"/>
                  </w:tcBorders>
                  <w:vAlign w:val="center"/>
                </w:tcPr>
                <w:p w14:paraId="40A855C6">
                  <w:pPr>
                    <w:pStyle w:val="39"/>
                    <w:spacing w:after="0"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29.07</w:t>
                  </w:r>
                </w:p>
              </w:tc>
            </w:tr>
            <w:tr w14:paraId="46FF1B4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66" w:type="pct"/>
                  <w:tcBorders>
                    <w:tl2br w:val="nil"/>
                    <w:tr2bl w:val="nil"/>
                  </w:tcBorders>
                  <w:vAlign w:val="center"/>
                </w:tcPr>
                <w:p w14:paraId="2EE73889">
                  <w:pPr>
                    <w:pStyle w:val="39"/>
                    <w:spacing w:after="0" w:line="240" w:lineRule="auto"/>
                    <w:jc w:val="center"/>
                    <w:rPr>
                      <w:color w:val="auto"/>
                      <w:sz w:val="21"/>
                      <w:szCs w:val="21"/>
                      <w:highlight w:val="none"/>
                    </w:rPr>
                  </w:pPr>
                  <w:r>
                    <w:rPr>
                      <w:color w:val="auto"/>
                      <w:sz w:val="21"/>
                      <w:szCs w:val="21"/>
                      <w:highlight w:val="none"/>
                    </w:rPr>
                    <w:t>6</w:t>
                  </w:r>
                </w:p>
              </w:tc>
              <w:tc>
                <w:tcPr>
                  <w:tcW w:w="1131" w:type="pct"/>
                  <w:tcBorders>
                    <w:tl2br w:val="nil"/>
                    <w:tr2bl w:val="nil"/>
                  </w:tcBorders>
                  <w:vAlign w:val="center"/>
                </w:tcPr>
                <w:p w14:paraId="71D8E838">
                  <w:pPr>
                    <w:pStyle w:val="60"/>
                    <w:rPr>
                      <w:color w:val="auto"/>
                      <w:sz w:val="21"/>
                      <w:szCs w:val="21"/>
                      <w:highlight w:val="none"/>
                    </w:rPr>
                  </w:pPr>
                  <w:r>
                    <w:rPr>
                      <w:color w:val="auto"/>
                      <w:sz w:val="21"/>
                      <w:szCs w:val="21"/>
                      <w:highlight w:val="none"/>
                    </w:rPr>
                    <w:t>水（</w:t>
                  </w:r>
                  <w:r>
                    <w:rPr>
                      <w:rFonts w:hint="eastAsia"/>
                      <w:color w:val="auto"/>
                      <w:sz w:val="21"/>
                      <w:szCs w:val="21"/>
                      <w:highlight w:val="none"/>
                      <w:lang w:val="en-US" w:eastAsia="zh-CN"/>
                    </w:rPr>
                    <w:t>产品用水</w:t>
                  </w:r>
                  <w:r>
                    <w:rPr>
                      <w:color w:val="auto"/>
                      <w:sz w:val="21"/>
                      <w:szCs w:val="21"/>
                      <w:highlight w:val="none"/>
                    </w:rPr>
                    <w:t>）</w:t>
                  </w:r>
                </w:p>
              </w:tc>
              <w:tc>
                <w:tcPr>
                  <w:tcW w:w="840" w:type="pct"/>
                  <w:tcBorders>
                    <w:tl2br w:val="nil"/>
                    <w:tr2bl w:val="nil"/>
                  </w:tcBorders>
                  <w:vAlign w:val="center"/>
                </w:tcPr>
                <w:p w14:paraId="48B694BB">
                  <w:pPr>
                    <w:widowControl/>
                    <w:jc w:val="center"/>
                    <w:textAlignment w:val="center"/>
                    <w:rPr>
                      <w:rFonts w:hint="default"/>
                      <w:color w:val="auto"/>
                      <w:sz w:val="21"/>
                      <w:szCs w:val="21"/>
                      <w:highlight w:val="none"/>
                      <w:lang w:val="en-US"/>
                    </w:rPr>
                  </w:pPr>
                  <w:r>
                    <w:rPr>
                      <w:rFonts w:hint="eastAsia"/>
                      <w:color w:val="auto"/>
                      <w:kern w:val="0"/>
                      <w:sz w:val="21"/>
                      <w:szCs w:val="21"/>
                      <w:highlight w:val="none"/>
                      <w:lang w:val="en-US" w:eastAsia="zh-CN" w:bidi="ar"/>
                    </w:rPr>
                    <w:t>29000</w:t>
                  </w:r>
                </w:p>
              </w:tc>
              <w:tc>
                <w:tcPr>
                  <w:tcW w:w="1217" w:type="pct"/>
                  <w:tcBorders>
                    <w:tl2br w:val="nil"/>
                    <w:tr2bl w:val="nil"/>
                  </w:tcBorders>
                  <w:vAlign w:val="center"/>
                </w:tcPr>
                <w:p w14:paraId="0D79DEE4">
                  <w:pPr>
                    <w:pStyle w:val="39"/>
                    <w:spacing w:after="0"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实验室废料</w:t>
                  </w:r>
                </w:p>
              </w:tc>
              <w:tc>
                <w:tcPr>
                  <w:tcW w:w="945" w:type="pct"/>
                  <w:tcBorders>
                    <w:tl2br w:val="nil"/>
                    <w:tr2bl w:val="nil"/>
                  </w:tcBorders>
                  <w:vAlign w:val="center"/>
                </w:tcPr>
                <w:p w14:paraId="3EC10E1F">
                  <w:pPr>
                    <w:pStyle w:val="39"/>
                    <w:spacing w:after="0"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1.5</w:t>
                  </w:r>
                </w:p>
              </w:tc>
            </w:tr>
            <w:tr w14:paraId="4327FB3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pct"/>
                  <w:tcBorders>
                    <w:tl2br w:val="nil"/>
                    <w:tr2bl w:val="nil"/>
                  </w:tcBorders>
                  <w:vAlign w:val="center"/>
                </w:tcPr>
                <w:p w14:paraId="4BA9AA9F">
                  <w:pPr>
                    <w:pStyle w:val="39"/>
                    <w:spacing w:after="0" w:line="240" w:lineRule="auto"/>
                    <w:jc w:val="center"/>
                    <w:rPr>
                      <w:color w:val="auto"/>
                      <w:sz w:val="21"/>
                      <w:szCs w:val="21"/>
                      <w:highlight w:val="none"/>
                    </w:rPr>
                  </w:pPr>
                  <w:r>
                    <w:rPr>
                      <w:color w:val="auto"/>
                      <w:sz w:val="21"/>
                      <w:szCs w:val="21"/>
                      <w:highlight w:val="none"/>
                    </w:rPr>
                    <w:t>合计</w:t>
                  </w:r>
                </w:p>
              </w:tc>
              <w:tc>
                <w:tcPr>
                  <w:tcW w:w="1131" w:type="pct"/>
                  <w:tcBorders>
                    <w:tl2br w:val="nil"/>
                    <w:tr2bl w:val="nil"/>
                  </w:tcBorders>
                  <w:vAlign w:val="center"/>
                </w:tcPr>
                <w:p w14:paraId="7C325C37">
                  <w:pPr>
                    <w:pStyle w:val="39"/>
                    <w:spacing w:after="0" w:line="240" w:lineRule="auto"/>
                    <w:jc w:val="center"/>
                    <w:rPr>
                      <w:color w:val="auto"/>
                      <w:sz w:val="21"/>
                      <w:szCs w:val="21"/>
                      <w:highlight w:val="yellow"/>
                    </w:rPr>
                  </w:pPr>
                </w:p>
              </w:tc>
              <w:tc>
                <w:tcPr>
                  <w:tcW w:w="840" w:type="pct"/>
                  <w:tcBorders>
                    <w:tl2br w:val="nil"/>
                    <w:tr2bl w:val="nil"/>
                  </w:tcBorders>
                  <w:vAlign w:val="center"/>
                </w:tcPr>
                <w:p w14:paraId="56C022A5">
                  <w:pPr>
                    <w:widowControl/>
                    <w:jc w:val="center"/>
                    <w:textAlignment w:val="center"/>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48</w:t>
                  </w:r>
                  <w:r>
                    <w:rPr>
                      <w:color w:val="auto"/>
                      <w:kern w:val="0"/>
                      <w:sz w:val="21"/>
                      <w:szCs w:val="21"/>
                      <w:highlight w:val="none"/>
                      <w:lang w:bidi="ar"/>
                    </w:rPr>
                    <w:t>0</w:t>
                  </w:r>
                  <w:r>
                    <w:rPr>
                      <w:rFonts w:hint="eastAsia"/>
                      <w:color w:val="auto"/>
                      <w:kern w:val="0"/>
                      <w:sz w:val="21"/>
                      <w:szCs w:val="21"/>
                      <w:highlight w:val="none"/>
                      <w:lang w:val="en-US" w:eastAsia="zh-CN" w:bidi="ar"/>
                    </w:rPr>
                    <w:t>400</w:t>
                  </w:r>
                </w:p>
              </w:tc>
              <w:tc>
                <w:tcPr>
                  <w:tcW w:w="1217" w:type="pct"/>
                  <w:tcBorders>
                    <w:tl2br w:val="nil"/>
                    <w:tr2bl w:val="nil"/>
                  </w:tcBorders>
                  <w:vAlign w:val="center"/>
                </w:tcPr>
                <w:p w14:paraId="3693F5F5">
                  <w:pPr>
                    <w:pStyle w:val="39"/>
                    <w:spacing w:after="0" w:line="240" w:lineRule="auto"/>
                    <w:jc w:val="center"/>
                    <w:rPr>
                      <w:color w:val="auto"/>
                      <w:sz w:val="21"/>
                      <w:szCs w:val="21"/>
                      <w:highlight w:val="none"/>
                    </w:rPr>
                  </w:pPr>
                </w:p>
              </w:tc>
              <w:tc>
                <w:tcPr>
                  <w:tcW w:w="945" w:type="pct"/>
                  <w:tcBorders>
                    <w:tl2br w:val="nil"/>
                    <w:tr2bl w:val="nil"/>
                  </w:tcBorders>
                  <w:vAlign w:val="center"/>
                </w:tcPr>
                <w:p w14:paraId="678D20DB">
                  <w:pPr>
                    <w:pStyle w:val="39"/>
                    <w:spacing w:after="0" w:line="240" w:lineRule="auto"/>
                    <w:jc w:val="center"/>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48</w:t>
                  </w:r>
                  <w:r>
                    <w:rPr>
                      <w:color w:val="auto"/>
                      <w:kern w:val="0"/>
                      <w:sz w:val="21"/>
                      <w:szCs w:val="21"/>
                      <w:highlight w:val="none"/>
                      <w:lang w:bidi="ar"/>
                    </w:rPr>
                    <w:t>0</w:t>
                  </w:r>
                  <w:r>
                    <w:rPr>
                      <w:rFonts w:hint="eastAsia"/>
                      <w:color w:val="auto"/>
                      <w:kern w:val="0"/>
                      <w:sz w:val="21"/>
                      <w:szCs w:val="21"/>
                      <w:highlight w:val="none"/>
                      <w:lang w:val="en-US" w:eastAsia="zh-CN" w:bidi="ar"/>
                    </w:rPr>
                    <w:t>400</w:t>
                  </w:r>
                </w:p>
              </w:tc>
            </w:tr>
          </w:tbl>
          <w:p w14:paraId="5E3A3CDA">
            <w:pPr>
              <w:numPr>
                <w:ilvl w:val="0"/>
                <w:numId w:val="0"/>
              </w:numPr>
              <w:spacing w:line="360" w:lineRule="auto"/>
              <w:ind w:left="0" w:leftChars="0" w:firstLine="0" w:firstLineChars="0"/>
              <w:rPr>
                <w:b/>
                <w:bCs/>
                <w:color w:val="auto"/>
                <w:sz w:val="24"/>
              </w:rPr>
            </w:pPr>
            <w:r>
              <w:rPr>
                <w:rFonts w:ascii="Times New Roman" w:hAnsi="Times New Roman" w:eastAsia="宋体" w:cs="Times New Roman"/>
                <w:b/>
                <w:bCs/>
                <w:color w:val="auto"/>
                <w:kern w:val="2"/>
                <w:sz w:val="24"/>
                <w:szCs w:val="24"/>
                <w:lang w:val="en-US" w:eastAsia="zh-CN" w:bidi="ar-SA"/>
              </w:rPr>
              <w:t>5.</w:t>
            </w:r>
            <w:r>
              <w:rPr>
                <w:b/>
                <w:bCs/>
                <w:color w:val="auto"/>
                <w:sz w:val="24"/>
              </w:rPr>
              <w:t>公用工程</w:t>
            </w:r>
          </w:p>
          <w:p w14:paraId="448D69F8">
            <w:pPr>
              <w:spacing w:line="360" w:lineRule="auto"/>
              <w:rPr>
                <w:b/>
                <w:bCs/>
                <w:color w:val="auto"/>
                <w:sz w:val="24"/>
              </w:rPr>
            </w:pPr>
            <w:r>
              <w:rPr>
                <w:b/>
                <w:bCs/>
                <w:color w:val="auto"/>
                <w:sz w:val="24"/>
              </w:rPr>
              <w:t>5.1给排水</w:t>
            </w:r>
          </w:p>
          <w:p w14:paraId="46C4E06E">
            <w:pPr>
              <w:spacing w:line="360" w:lineRule="auto"/>
              <w:rPr>
                <w:b/>
                <w:bCs/>
                <w:color w:val="auto"/>
                <w:sz w:val="24"/>
              </w:rPr>
            </w:pPr>
            <w:r>
              <w:rPr>
                <w:b/>
                <w:bCs/>
                <w:color w:val="auto"/>
                <w:sz w:val="24"/>
              </w:rPr>
              <w:t>5.1.1给水</w:t>
            </w:r>
          </w:p>
          <w:p w14:paraId="3318D94E">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ascii="Times New Roman" w:hAnsi="Times New Roman" w:eastAsia="宋体" w:cs="Times New Roman"/>
                <w:color w:val="auto"/>
                <w:kern w:val="0"/>
                <w:sz w:val="24"/>
              </w:rPr>
              <w:t>本项目位于新疆维吾尔自治区</w:t>
            </w:r>
            <w:r>
              <w:rPr>
                <w:rFonts w:hint="eastAsia" w:ascii="Times New Roman" w:hAnsi="Times New Roman" w:eastAsia="宋体" w:cs="Times New Roman"/>
                <w:color w:val="auto"/>
                <w:kern w:val="0"/>
                <w:sz w:val="24"/>
              </w:rPr>
              <w:t>木垒县</w:t>
            </w:r>
            <w:r>
              <w:rPr>
                <w:rFonts w:hint="eastAsia" w:cs="Times New Roman"/>
                <w:color w:val="auto"/>
                <w:kern w:val="0"/>
                <w:sz w:val="24"/>
                <w:lang w:val="en-US" w:eastAsia="zh-CN"/>
              </w:rPr>
              <w:t>大石头风电场</w:t>
            </w:r>
            <w:r>
              <w:rPr>
                <w:rFonts w:hint="eastAsia" w:cs="Times New Roman"/>
                <w:color w:val="auto"/>
                <w:kern w:val="0"/>
                <w:sz w:val="24"/>
                <w:lang w:eastAsia="zh-CN"/>
              </w:rPr>
              <w:t>，</w:t>
            </w:r>
            <w:r>
              <w:rPr>
                <w:rFonts w:hint="eastAsia" w:cs="Times New Roman"/>
                <w:color w:val="auto"/>
                <w:kern w:val="0"/>
                <w:sz w:val="24"/>
                <w:lang w:val="en-US" w:eastAsia="zh-CN"/>
              </w:rPr>
              <w:t>本项目用水主要为生产用水和工作人员生活用水，用水来源为罐车从附近村庄拉运，采用20m</w:t>
            </w:r>
            <w:r>
              <w:rPr>
                <w:rFonts w:hint="eastAsia" w:cs="Times New Roman"/>
                <w:color w:val="auto"/>
                <w:kern w:val="0"/>
                <w:sz w:val="24"/>
                <w:vertAlign w:val="superscript"/>
                <w:lang w:val="en-US" w:eastAsia="zh-CN"/>
              </w:rPr>
              <w:t>3</w:t>
            </w:r>
            <w:r>
              <w:rPr>
                <w:rFonts w:hint="eastAsia" w:cs="Times New Roman"/>
                <w:color w:val="auto"/>
                <w:kern w:val="0"/>
                <w:sz w:val="24"/>
                <w:vertAlign w:val="baseline"/>
                <w:lang w:val="en-US" w:eastAsia="zh-CN"/>
              </w:rPr>
              <w:t>罐车，每2天拉运一次，每次拉运380m³储存于厂区内蓄水罐中。</w:t>
            </w:r>
          </w:p>
          <w:p w14:paraId="7F2F0563">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（1）生产用水</w:t>
            </w:r>
          </w:p>
          <w:p w14:paraId="6C1C4314">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1）产品用水</w:t>
            </w:r>
          </w:p>
          <w:p w14:paraId="733B1DA1">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本项目年生产能力为20万m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，每立方米商品混凝土用水量按0.</w:t>
            </w:r>
            <w:r>
              <w:rPr>
                <w:rFonts w:hint="eastAsia" w:cs="Times New Roman"/>
                <w:color w:val="auto"/>
                <w:kern w:val="0"/>
                <w:sz w:val="24"/>
                <w:lang w:val="en-US" w:eastAsia="zh-CN"/>
              </w:rPr>
              <w:t>145</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计算，则产品用水量为</w:t>
            </w:r>
            <w:r>
              <w:rPr>
                <w:rFonts w:hint="eastAsia" w:cs="Times New Roman"/>
                <w:color w:val="auto"/>
                <w:kern w:val="0"/>
                <w:sz w:val="24"/>
                <w:lang w:val="en-US" w:eastAsia="zh-CN"/>
              </w:rPr>
              <w:t>29000</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w:t>
            </w:r>
          </w:p>
          <w:p w14:paraId="26492A0C">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2）搅拌设备清洗用水</w:t>
            </w:r>
          </w:p>
          <w:p w14:paraId="669C07C7">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highlight w:val="yellow"/>
              </w:rPr>
            </w:pPr>
            <w:r>
              <w:rPr>
                <w:rFonts w:hint="eastAsia" w:ascii="Times New Roman" w:hAnsi="Times New Roman" w:eastAsia="宋体" w:cs="Times New Roman"/>
                <w:color w:val="auto"/>
                <w:kern w:val="0"/>
                <w:sz w:val="24"/>
              </w:rPr>
              <w:t>搅拌设备每天</w:t>
            </w:r>
            <w:r>
              <w:rPr>
                <w:rFonts w:hint="eastAsia" w:cs="Times New Roman"/>
                <w:color w:val="auto"/>
                <w:kern w:val="0"/>
                <w:sz w:val="24"/>
                <w:lang w:val="en-US" w:eastAsia="zh-CN"/>
              </w:rPr>
              <w:t>清洗2次</w:t>
            </w:r>
            <w:r>
              <w:rPr>
                <w:rFonts w:hint="eastAsia" w:ascii="Times New Roman" w:hAnsi="Times New Roman" w:eastAsia="宋体" w:cs="Times New Roman"/>
                <w:color w:val="auto"/>
                <w:kern w:val="0"/>
                <w:sz w:val="24"/>
              </w:rPr>
              <w:t>，每次清洗用水量约1m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，项目有2台搅拌设备，搅拌机清洗用水量约为4m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/d，搅拌设备清洗用水总量约720m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w:t>
            </w:r>
            <w:r>
              <w:rPr>
                <w:rFonts w:hint="eastAsia" w:ascii="Times New Roman" w:hAnsi="Times New Roman" w:eastAsia="宋体" w:cs="Times New Roman"/>
                <w:color w:val="auto"/>
                <w:kern w:val="0"/>
                <w:sz w:val="24"/>
                <w:highlight w:val="none"/>
              </w:rPr>
              <w:t>，其中新鲜水补水量1</w:t>
            </w:r>
            <w:r>
              <w:rPr>
                <w:rFonts w:hint="eastAsia" w:cs="Times New Roman"/>
                <w:color w:val="auto"/>
                <w:kern w:val="0"/>
                <w:sz w:val="24"/>
                <w:highlight w:val="none"/>
                <w:lang w:val="en-US" w:eastAsia="zh-CN"/>
              </w:rPr>
              <w:t>44</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/a（</w:t>
            </w:r>
            <w:r>
              <w:rPr>
                <w:rFonts w:hint="eastAsia" w:cs="Times New Roman"/>
                <w:color w:val="auto"/>
                <w:kern w:val="0"/>
                <w:sz w:val="24"/>
                <w:highlight w:val="none"/>
                <w:lang w:val="en-US" w:eastAsia="zh-CN"/>
              </w:rPr>
              <w:t>0.8</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/d），循环用水量</w:t>
            </w:r>
            <w:r>
              <w:rPr>
                <w:rFonts w:hint="eastAsia" w:cs="Times New Roman"/>
                <w:color w:val="auto"/>
                <w:kern w:val="0"/>
                <w:sz w:val="24"/>
                <w:highlight w:val="none"/>
                <w:lang w:val="en-US" w:eastAsia="zh-CN"/>
              </w:rPr>
              <w:t>576</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/a（3</w:t>
            </w:r>
            <w:r>
              <w:rPr>
                <w:rFonts w:hint="eastAsia"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/d）。</w:t>
            </w:r>
          </w:p>
          <w:p w14:paraId="286E3C56">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3）车辆清洗用水</w:t>
            </w:r>
          </w:p>
          <w:p w14:paraId="6904A7CC">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 xml:space="preserve">为防止将泥沙带到外环境中造成粉尘二次污染，本项目在搅拌站内废水沉淀池旁设置洗车平台，对出站的混凝土运输罐车、水泥及粉煤灰运输罐车、砂石料运输车辆车轮、车厢外部进行冲洗，冲洗后的废水直接流入沉淀池。 </w:t>
            </w:r>
          </w:p>
          <w:p w14:paraId="1209E02E">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原料运输车辆、混凝土罐车每天约清洗24次，每次清洗用水量约1m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，原料运输车辆、混凝土罐车清洗用水量约为4320m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/a（24m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/d），</w:t>
            </w:r>
            <w:r>
              <w:rPr>
                <w:rFonts w:hint="eastAsia" w:ascii="Times New Roman" w:hAnsi="Times New Roman" w:eastAsia="宋体" w:cs="Times New Roman"/>
                <w:color w:val="auto"/>
                <w:kern w:val="0"/>
                <w:sz w:val="24"/>
                <w:highlight w:val="none"/>
              </w:rPr>
              <w:t>其中新鲜水补水量</w:t>
            </w:r>
            <w:r>
              <w:rPr>
                <w:rFonts w:hint="eastAsia" w:cs="Times New Roman"/>
                <w:color w:val="auto"/>
                <w:kern w:val="0"/>
                <w:sz w:val="24"/>
                <w:highlight w:val="none"/>
                <w:lang w:val="en-US" w:eastAsia="zh-CN"/>
              </w:rPr>
              <w:t>900</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/a（</w:t>
            </w:r>
            <w:r>
              <w:rPr>
                <w:rFonts w:hint="eastAsia" w:cs="Times New Roman"/>
                <w:color w:val="auto"/>
                <w:kern w:val="0"/>
                <w:sz w:val="24"/>
                <w:highlight w:val="none"/>
                <w:lang w:val="en-US" w:eastAsia="zh-CN"/>
              </w:rPr>
              <w:t>5</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/d），循环用水量34</w:t>
            </w:r>
            <w:r>
              <w:rPr>
                <w:rFonts w:hint="eastAsia" w:cs="Times New Roman"/>
                <w:color w:val="auto"/>
                <w:kern w:val="0"/>
                <w:sz w:val="24"/>
                <w:highlight w:val="none"/>
                <w:lang w:val="en-US" w:eastAsia="zh-CN"/>
              </w:rPr>
              <w:t>20</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/a（19m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/d）。</w:t>
            </w:r>
          </w:p>
          <w:p w14:paraId="6ADC8223">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4）地面冲洗用水</w:t>
            </w:r>
          </w:p>
          <w:p w14:paraId="64CC94F2">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厂区搅拌楼、生活区、主要运输道路的地面需进行冲洗，</w:t>
            </w:r>
            <w:r>
              <w:rPr>
                <w:rFonts w:hint="eastAsia" w:cs="Times New Roman"/>
                <w:color w:val="auto"/>
                <w:kern w:val="0"/>
                <w:sz w:val="24"/>
                <w:lang w:val="en-US" w:eastAsia="zh-CN"/>
              </w:rPr>
              <w:t>厂区硬化面积约11000m</w:t>
            </w:r>
            <w:r>
              <w:rPr>
                <w:rFonts w:hint="eastAsia" w:cs="Times New Roman"/>
                <w:color w:val="auto"/>
                <w:kern w:val="0"/>
                <w:sz w:val="24"/>
                <w:vertAlign w:val="superscript"/>
                <w:lang w:val="en-US" w:eastAsia="zh-CN"/>
              </w:rPr>
              <w:t>2</w:t>
            </w:r>
            <w:r>
              <w:rPr>
                <w:rFonts w:hint="eastAsia" w:cs="Times New Roman"/>
                <w:color w:val="auto"/>
                <w:kern w:val="0"/>
                <w:sz w:val="24"/>
                <w:vertAlign w:val="baseline"/>
                <w:lang w:val="en-US" w:eastAsia="zh-CN"/>
              </w:rPr>
              <w:t>，</w:t>
            </w:r>
            <w:r>
              <w:rPr>
                <w:rFonts w:hint="eastAsia" w:ascii="Times New Roman" w:hAnsi="Times New Roman" w:eastAsia="宋体" w:cs="Times New Roman"/>
                <w:color w:val="auto"/>
                <w:kern w:val="0"/>
                <w:sz w:val="24"/>
              </w:rPr>
              <w:t>冲洗面积约为</w:t>
            </w:r>
            <w:r>
              <w:rPr>
                <w:rFonts w:hint="eastAsia" w:cs="Times New Roman"/>
                <w:color w:val="auto"/>
                <w:kern w:val="0"/>
                <w:sz w:val="24"/>
                <w:lang w:val="en-US" w:eastAsia="zh-CN"/>
              </w:rPr>
              <w:t>6</w:t>
            </w:r>
            <w:r>
              <w:rPr>
                <w:rFonts w:hint="eastAsia" w:ascii="Times New Roman" w:hAnsi="Times New Roman" w:eastAsia="宋体" w:cs="Times New Roman"/>
                <w:color w:val="auto"/>
                <w:kern w:val="0"/>
                <w:sz w:val="24"/>
              </w:rPr>
              <w:t>000m</w:t>
            </w:r>
            <w:r>
              <w:rPr>
                <w:rFonts w:hint="eastAsia" w:ascii="Times New Roman" w:hAnsi="Times New Roman" w:eastAsia="宋体" w:cs="Times New Roman"/>
                <w:color w:val="auto"/>
                <w:kern w:val="0"/>
                <w:sz w:val="24"/>
                <w:vertAlign w:val="superscript"/>
              </w:rPr>
              <w:t>2</w:t>
            </w:r>
            <w:r>
              <w:rPr>
                <w:rFonts w:hint="eastAsia" w:ascii="Times New Roman" w:hAnsi="Times New Roman" w:eastAsia="宋体" w:cs="Times New Roman"/>
                <w:color w:val="auto"/>
                <w:kern w:val="0"/>
                <w:sz w:val="24"/>
              </w:rPr>
              <w:t>，每平方米清洗用水约0.002m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，每2天清洁1次，每次用水量约为1</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，厂区地面清洁总用水量约为</w:t>
            </w:r>
            <w:r>
              <w:rPr>
                <w:rFonts w:hint="eastAsia" w:cs="Times New Roman"/>
                <w:color w:val="auto"/>
                <w:kern w:val="0"/>
                <w:sz w:val="24"/>
                <w:lang w:val="en-US" w:eastAsia="zh-CN"/>
              </w:rPr>
              <w:t>1080</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w:t>
            </w:r>
            <w:r>
              <w:rPr>
                <w:rFonts w:hint="eastAsia" w:cs="Times New Roman"/>
                <w:color w:val="auto"/>
                <w:kern w:val="0"/>
                <w:sz w:val="24"/>
                <w:lang w:val="en-US" w:eastAsia="zh-CN"/>
              </w:rPr>
              <w:t>6</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/d）。</w:t>
            </w:r>
          </w:p>
          <w:p w14:paraId="0600FF72">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5）料场降尘用水</w:t>
            </w:r>
          </w:p>
          <w:p w14:paraId="5C796C19">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本项目砂石料堆场设置雾炮机，抑制料场扬尘，砂石料料场每天洒水降尘</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rPr>
              <w:t>次，每次洒水持续1小时，每次用水量约</w:t>
            </w:r>
            <w:r>
              <w:rPr>
                <w:rFonts w:hint="eastAsia" w:cs="Times New Roman"/>
                <w:color w:val="auto"/>
                <w:kern w:val="0"/>
                <w:sz w:val="24"/>
                <w:lang w:val="en-US" w:eastAsia="zh-CN"/>
              </w:rPr>
              <w:t>3</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，料场降尘用水量约为1080m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/a（6m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/d）。</w:t>
            </w:r>
          </w:p>
          <w:p w14:paraId="2F8E83E8">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6）绿化用水</w:t>
            </w:r>
          </w:p>
          <w:p w14:paraId="748AEACF">
            <w:pPr>
              <w:autoSpaceDE w:val="0"/>
              <w:autoSpaceDN w:val="0"/>
              <w:adjustRightInd w:val="0"/>
              <w:snapToGrid w:val="0"/>
              <w:spacing w:line="360" w:lineRule="auto"/>
              <w:ind w:firstLine="480" w:firstLineChars="200"/>
              <w:rPr>
                <w:rFonts w:hint="default" w:cs="Times New Roman"/>
                <w:color w:val="auto"/>
                <w:kern w:val="0"/>
                <w:sz w:val="24"/>
                <w:highlight w:val="yellow"/>
                <w:vertAlign w:val="baseline"/>
                <w:lang w:val="en-US" w:eastAsia="zh-CN"/>
              </w:rPr>
            </w:pPr>
            <w:r>
              <w:rPr>
                <w:rFonts w:hint="eastAsia" w:ascii="Times New Roman" w:hAnsi="Times New Roman" w:eastAsia="宋体" w:cs="Times New Roman"/>
                <w:color w:val="auto"/>
                <w:kern w:val="0"/>
                <w:sz w:val="24"/>
              </w:rPr>
              <w:t>本项目绿化面积约为1000m</w:t>
            </w:r>
            <w:r>
              <w:rPr>
                <w:rFonts w:hint="eastAsia" w:ascii="Times New Roman" w:hAnsi="Times New Roman" w:eastAsia="宋体" w:cs="Times New Roman"/>
                <w:color w:val="auto"/>
                <w:kern w:val="0"/>
                <w:sz w:val="24"/>
                <w:vertAlign w:val="superscript"/>
              </w:rPr>
              <w:t>2</w:t>
            </w:r>
            <w:r>
              <w:rPr>
                <w:rFonts w:hint="eastAsia" w:ascii="Times New Roman" w:hAnsi="Times New Roman" w:eastAsia="宋体" w:cs="Times New Roman"/>
                <w:color w:val="auto"/>
                <w:kern w:val="0"/>
                <w:sz w:val="24"/>
              </w:rPr>
              <w:t>，根据《绿化管理用水定额》，新疆大部绿化管理用水定额通用值为4.8L/（m</w:t>
            </w:r>
            <w:r>
              <w:rPr>
                <w:rFonts w:hint="eastAsia" w:ascii="Times New Roman" w:hAnsi="Times New Roman" w:eastAsia="宋体" w:cs="Times New Roman"/>
                <w:color w:val="auto"/>
                <w:kern w:val="0"/>
                <w:sz w:val="24"/>
                <w:vertAlign w:val="superscript"/>
              </w:rPr>
              <w:t>2</w:t>
            </w:r>
            <w:r>
              <w:rPr>
                <w:rFonts w:hint="eastAsia" w:ascii="Times New Roman" w:hAnsi="Times New Roman" w:eastAsia="宋体" w:cs="Times New Roman"/>
                <w:color w:val="auto"/>
                <w:kern w:val="0"/>
                <w:sz w:val="24"/>
              </w:rPr>
              <w:t>/d），则绿化用水量为864m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w:t>
            </w:r>
          </w:p>
          <w:p w14:paraId="1CBCDD3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（2）生活用水</w:t>
            </w:r>
          </w:p>
          <w:p w14:paraId="27BDB8D9">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ascii="Times New Roman" w:hAnsi="Times New Roman" w:eastAsia="宋体" w:cs="Times New Roman"/>
                <w:color w:val="auto"/>
                <w:kern w:val="0"/>
                <w:sz w:val="24"/>
              </w:rPr>
              <w:t>本项目建成后</w:t>
            </w:r>
            <w:r>
              <w:rPr>
                <w:rFonts w:hint="eastAsia" w:cs="Times New Roman"/>
                <w:color w:val="auto"/>
                <w:kern w:val="0"/>
                <w:sz w:val="24"/>
                <w:lang w:eastAsia="zh-CN"/>
              </w:rPr>
              <w:t>，</w:t>
            </w:r>
            <w:r>
              <w:rPr>
                <w:rFonts w:ascii="Times New Roman" w:hAnsi="Times New Roman" w:eastAsia="宋体" w:cs="Times New Roman"/>
                <w:color w:val="auto"/>
                <w:kern w:val="0"/>
                <w:sz w:val="24"/>
              </w:rPr>
              <w:t>劳动定员</w:t>
            </w:r>
            <w:r>
              <w:rPr>
                <w:rFonts w:hint="eastAsia" w:cs="Times New Roman"/>
                <w:color w:val="auto"/>
                <w:kern w:val="0"/>
                <w:sz w:val="24"/>
                <w:lang w:val="en-US" w:eastAsia="zh-CN"/>
              </w:rPr>
              <w:t>46</w:t>
            </w:r>
            <w:r>
              <w:rPr>
                <w:rFonts w:ascii="Times New Roman" w:hAnsi="Times New Roman" w:eastAsia="宋体" w:cs="Times New Roman"/>
                <w:color w:val="auto"/>
                <w:kern w:val="0"/>
                <w:sz w:val="24"/>
              </w:rPr>
              <w:t>人，</w:t>
            </w:r>
            <w:r>
              <w:rPr>
                <w:rFonts w:hint="eastAsia" w:ascii="Times New Roman" w:hAnsi="Times New Roman" w:eastAsia="宋体" w:cs="Times New Roman"/>
                <w:color w:val="auto"/>
                <w:kern w:val="0"/>
                <w:sz w:val="24"/>
              </w:rPr>
              <w:t>参考《新疆维吾尔自治区生活用水定额》，</w:t>
            </w:r>
            <w:r>
              <w:rPr>
                <w:rFonts w:ascii="Times New Roman" w:hAnsi="Times New Roman" w:eastAsia="宋体" w:cs="Times New Roman"/>
                <w:color w:val="auto"/>
                <w:kern w:val="0"/>
                <w:sz w:val="24"/>
              </w:rPr>
              <w:t>每人每天的用水量按80L计，年工作天数</w:t>
            </w:r>
            <w:r>
              <w:rPr>
                <w:rFonts w:hint="eastAsia" w:cs="Times New Roman"/>
                <w:color w:val="auto"/>
                <w:kern w:val="0"/>
                <w:sz w:val="24"/>
                <w:lang w:val="en-US" w:eastAsia="zh-CN"/>
              </w:rPr>
              <w:t>18</w:t>
            </w:r>
            <w:r>
              <w:rPr>
                <w:rFonts w:ascii="Times New Roman" w:hAnsi="Times New Roman" w:eastAsia="宋体" w:cs="Times New Roman"/>
                <w:color w:val="auto"/>
                <w:kern w:val="0"/>
                <w:sz w:val="24"/>
              </w:rPr>
              <w:t>0d，则生活用水量为</w:t>
            </w:r>
            <w:r>
              <w:rPr>
                <w:rFonts w:hint="eastAsia" w:cs="Times New Roman"/>
                <w:color w:val="auto"/>
                <w:kern w:val="0"/>
                <w:sz w:val="24"/>
                <w:highlight w:val="none"/>
                <w:lang w:val="en-US" w:eastAsia="zh-CN"/>
              </w:rPr>
              <w:t>622.4</w:t>
            </w:r>
            <w:r>
              <w:rPr>
                <w:rFonts w:ascii="Times New Roman" w:hAnsi="Times New Roman" w:eastAsia="宋体" w:cs="Times New Roman"/>
                <w:color w:val="auto"/>
                <w:kern w:val="0"/>
                <w:sz w:val="24"/>
                <w:highlight w:val="none"/>
              </w:rPr>
              <w:t>m</w:t>
            </w:r>
            <w:r>
              <w:rPr>
                <w:rFonts w:ascii="Times New Roman" w:hAnsi="Times New Roman" w:eastAsia="宋体" w:cs="Times New Roman"/>
                <w:color w:val="auto"/>
                <w:kern w:val="0"/>
                <w:sz w:val="24"/>
                <w:highlight w:val="none"/>
                <w:vertAlign w:val="superscript"/>
              </w:rPr>
              <w:t>3</w:t>
            </w:r>
            <w:r>
              <w:rPr>
                <w:rFonts w:ascii="Times New Roman" w:hAnsi="Times New Roman" w:eastAsia="宋体" w:cs="Times New Roman"/>
                <w:color w:val="auto"/>
                <w:kern w:val="0"/>
                <w:sz w:val="24"/>
                <w:highlight w:val="none"/>
              </w:rPr>
              <w:t>/a（</w:t>
            </w:r>
            <w:r>
              <w:rPr>
                <w:rFonts w:hint="eastAsia" w:cs="Times New Roman"/>
                <w:color w:val="auto"/>
                <w:kern w:val="0"/>
                <w:sz w:val="24"/>
                <w:highlight w:val="none"/>
                <w:lang w:val="en-US" w:eastAsia="zh-CN"/>
              </w:rPr>
              <w:t>3.46</w:t>
            </w:r>
            <w:r>
              <w:rPr>
                <w:rFonts w:ascii="Times New Roman" w:hAnsi="Times New Roman" w:eastAsia="宋体" w:cs="Times New Roman"/>
                <w:color w:val="auto"/>
                <w:kern w:val="0"/>
                <w:sz w:val="24"/>
                <w:highlight w:val="none"/>
              </w:rPr>
              <w:t>m</w:t>
            </w:r>
            <w:r>
              <w:rPr>
                <w:rFonts w:ascii="Times New Roman" w:hAnsi="Times New Roman" w:eastAsia="宋体" w:cs="Times New Roman"/>
                <w:color w:val="auto"/>
                <w:kern w:val="0"/>
                <w:sz w:val="24"/>
                <w:highlight w:val="none"/>
                <w:vertAlign w:val="superscript"/>
              </w:rPr>
              <w:t>3</w:t>
            </w:r>
            <w:r>
              <w:rPr>
                <w:rFonts w:ascii="Times New Roman" w:hAnsi="Times New Roman" w:eastAsia="宋体" w:cs="Times New Roman"/>
                <w:color w:val="auto"/>
                <w:kern w:val="0"/>
                <w:sz w:val="24"/>
                <w:highlight w:val="none"/>
              </w:rPr>
              <w:t>/d</w:t>
            </w:r>
            <w:r>
              <w:rPr>
                <w:rFonts w:hint="eastAsia" w:cs="Times New Roman"/>
                <w:color w:val="auto"/>
                <w:kern w:val="0"/>
                <w:sz w:val="24"/>
                <w:highlight w:val="none"/>
                <w:lang w:eastAsia="zh-CN"/>
              </w:rPr>
              <w:t>）。</w:t>
            </w:r>
          </w:p>
          <w:p w14:paraId="577C6D26">
            <w:pPr>
              <w:spacing w:line="360" w:lineRule="auto"/>
              <w:rPr>
                <w:b/>
                <w:bCs/>
                <w:color w:val="auto"/>
                <w:sz w:val="24"/>
              </w:rPr>
            </w:pPr>
            <w:r>
              <w:rPr>
                <w:b/>
                <w:bCs/>
                <w:color w:val="auto"/>
                <w:sz w:val="24"/>
              </w:rPr>
              <w:t>5.1.2排水</w:t>
            </w:r>
          </w:p>
          <w:p w14:paraId="0A95ABCA">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（1）生产用水</w:t>
            </w:r>
          </w:p>
          <w:p w14:paraId="2C58CEDC">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1）产品用水</w:t>
            </w:r>
          </w:p>
          <w:p w14:paraId="2BC6C1F7">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rPr>
              <w:t>本项目产品用水量</w:t>
            </w:r>
            <w:r>
              <w:rPr>
                <w:rFonts w:hint="eastAsia" w:cs="Times New Roman"/>
                <w:color w:val="auto"/>
                <w:kern w:val="0"/>
                <w:sz w:val="24"/>
                <w:lang w:val="en-US" w:eastAsia="zh-CN"/>
              </w:rPr>
              <w:t>29000</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w:t>
            </w:r>
            <w:r>
              <w:rPr>
                <w:rFonts w:hint="eastAsia" w:cs="Times New Roman"/>
                <w:color w:val="auto"/>
                <w:kern w:val="0"/>
                <w:sz w:val="24"/>
                <w:lang w:val="en-US" w:eastAsia="zh-CN"/>
              </w:rPr>
              <w:t>全部进入产品，无排出。</w:t>
            </w:r>
          </w:p>
          <w:p w14:paraId="37EEC94E">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2）搅拌设备清洗用水</w:t>
            </w:r>
          </w:p>
          <w:p w14:paraId="6B54F15C">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rPr>
              <w:t>搅拌设</w:t>
            </w:r>
            <w:r>
              <w:rPr>
                <w:rFonts w:hint="eastAsia" w:ascii="Times New Roman" w:hAnsi="Times New Roman" w:eastAsia="宋体" w:cs="Times New Roman"/>
                <w:color w:val="auto"/>
                <w:kern w:val="0"/>
                <w:sz w:val="24"/>
                <w:highlight w:val="none"/>
              </w:rPr>
              <w:t>备清洗用水总量约720m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/a，</w:t>
            </w:r>
            <w:r>
              <w:rPr>
                <w:rFonts w:hint="eastAsia" w:cs="Times New Roman"/>
                <w:color w:val="auto"/>
                <w:kern w:val="0"/>
                <w:sz w:val="24"/>
                <w:highlight w:val="none"/>
                <w:lang w:val="en-US" w:eastAsia="zh-CN"/>
              </w:rPr>
              <w:t>其中损耗按20%计，则损耗水量</w:t>
            </w:r>
            <w:r>
              <w:rPr>
                <w:rFonts w:hint="eastAsia" w:ascii="Times New Roman" w:hAnsi="Times New Roman" w:eastAsia="宋体" w:cs="Times New Roman"/>
                <w:color w:val="auto"/>
                <w:kern w:val="0"/>
                <w:sz w:val="24"/>
                <w:highlight w:val="none"/>
              </w:rPr>
              <w:t>1</w:t>
            </w:r>
            <w:r>
              <w:rPr>
                <w:rFonts w:hint="eastAsia" w:cs="Times New Roman"/>
                <w:color w:val="auto"/>
                <w:kern w:val="0"/>
                <w:sz w:val="24"/>
                <w:highlight w:val="none"/>
                <w:lang w:val="en-US" w:eastAsia="zh-CN"/>
              </w:rPr>
              <w:t>44</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/a（</w:t>
            </w:r>
            <w:r>
              <w:rPr>
                <w:rFonts w:hint="eastAsia" w:cs="Times New Roman"/>
                <w:color w:val="auto"/>
                <w:kern w:val="0"/>
                <w:sz w:val="24"/>
                <w:highlight w:val="none"/>
                <w:lang w:val="en-US" w:eastAsia="zh-CN"/>
              </w:rPr>
              <w:t>0.8</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/d），</w:t>
            </w:r>
            <w:r>
              <w:rPr>
                <w:rFonts w:hint="eastAsia" w:cs="Times New Roman"/>
                <w:color w:val="auto"/>
                <w:kern w:val="0"/>
                <w:sz w:val="24"/>
                <w:highlight w:val="none"/>
                <w:lang w:val="en-US" w:eastAsia="zh-CN"/>
              </w:rPr>
              <w:t>其余废水经沉淀池沉淀之后回用于搅拌设备清洗，回用水量</w:t>
            </w:r>
            <w:r>
              <w:rPr>
                <w:rFonts w:hint="eastAsia" w:ascii="Times New Roman" w:hAnsi="Times New Roman" w:eastAsia="宋体" w:cs="Times New Roman"/>
                <w:color w:val="auto"/>
                <w:kern w:val="0"/>
                <w:sz w:val="24"/>
                <w:highlight w:val="none"/>
              </w:rPr>
              <w:t>5</w:t>
            </w:r>
            <w:r>
              <w:rPr>
                <w:rFonts w:hint="eastAsia" w:cs="Times New Roman"/>
                <w:color w:val="auto"/>
                <w:kern w:val="0"/>
                <w:sz w:val="24"/>
                <w:highlight w:val="none"/>
                <w:lang w:val="en-US" w:eastAsia="zh-CN"/>
              </w:rPr>
              <w:t>76</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/a（3.</w:t>
            </w:r>
            <w:r>
              <w:rPr>
                <w:rFonts w:hint="eastAsia"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/d）。</w:t>
            </w:r>
          </w:p>
          <w:p w14:paraId="1A9427DE">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3）车辆清洗用水</w:t>
            </w:r>
          </w:p>
          <w:p w14:paraId="1FA4BDF9">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rPr>
              <w:t>车辆清洗用水</w:t>
            </w:r>
            <w:r>
              <w:rPr>
                <w:rFonts w:hint="eastAsia" w:ascii="Times New Roman" w:hAnsi="Times New Roman" w:eastAsia="宋体" w:cs="Times New Roman"/>
                <w:color w:val="auto"/>
                <w:kern w:val="0"/>
                <w:sz w:val="24"/>
                <w:highlight w:val="none"/>
              </w:rPr>
              <w:t>总量约</w:t>
            </w:r>
            <w:r>
              <w:rPr>
                <w:rFonts w:hint="eastAsia" w:cs="Times New Roman"/>
                <w:color w:val="auto"/>
                <w:kern w:val="0"/>
                <w:sz w:val="24"/>
                <w:highlight w:val="none"/>
                <w:lang w:val="en-US" w:eastAsia="zh-CN"/>
              </w:rPr>
              <w:t>4320</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/a，</w:t>
            </w:r>
            <w:r>
              <w:rPr>
                <w:rFonts w:hint="eastAsia" w:cs="Times New Roman"/>
                <w:color w:val="auto"/>
                <w:kern w:val="0"/>
                <w:sz w:val="24"/>
                <w:highlight w:val="none"/>
                <w:lang w:val="en-US" w:eastAsia="zh-CN"/>
              </w:rPr>
              <w:t>其中损耗按20%计，则损耗水量900</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/a（</w:t>
            </w:r>
            <w:r>
              <w:rPr>
                <w:rFonts w:hint="eastAsia" w:cs="Times New Roman"/>
                <w:color w:val="auto"/>
                <w:kern w:val="0"/>
                <w:sz w:val="24"/>
                <w:highlight w:val="none"/>
                <w:lang w:val="en-US" w:eastAsia="zh-CN"/>
              </w:rPr>
              <w:t>5</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/d），</w:t>
            </w:r>
            <w:r>
              <w:rPr>
                <w:rFonts w:hint="eastAsia" w:cs="Times New Roman"/>
                <w:color w:val="auto"/>
                <w:kern w:val="0"/>
                <w:sz w:val="24"/>
                <w:highlight w:val="none"/>
                <w:lang w:val="en-US" w:eastAsia="zh-CN"/>
              </w:rPr>
              <w:t>其余废水经沉淀池沉淀之后回用于车辆清洗，回用水量3420</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/a（</w:t>
            </w:r>
            <w:r>
              <w:rPr>
                <w:rFonts w:hint="eastAsia" w:cs="Times New Roman"/>
                <w:color w:val="auto"/>
                <w:kern w:val="0"/>
                <w:sz w:val="24"/>
                <w:highlight w:val="none"/>
                <w:lang w:val="en-US" w:eastAsia="zh-CN"/>
              </w:rPr>
              <w:t>19</w:t>
            </w:r>
            <w:r>
              <w:rPr>
                <w:rFonts w:hint="eastAsia" w:ascii="Times New Roman" w:hAnsi="Times New Roman" w:eastAsia="宋体" w:cs="Times New Roman"/>
                <w:color w:val="auto"/>
                <w:kern w:val="0"/>
                <w:sz w:val="24"/>
                <w:highlight w:val="none"/>
              </w:rPr>
              <w:t>m</w:t>
            </w:r>
            <w:r>
              <w:rPr>
                <w:rFonts w:hint="eastAsia" w:ascii="Times New Roman" w:hAnsi="Times New Roman" w:eastAsia="宋体" w:cs="Times New Roman"/>
                <w:color w:val="auto"/>
                <w:kern w:val="0"/>
                <w:sz w:val="24"/>
                <w:highlight w:val="none"/>
                <w:vertAlign w:val="superscript"/>
              </w:rPr>
              <w:t>3</w:t>
            </w:r>
            <w:r>
              <w:rPr>
                <w:rFonts w:hint="eastAsia" w:ascii="Times New Roman" w:hAnsi="Times New Roman" w:eastAsia="宋体" w:cs="Times New Roman"/>
                <w:color w:val="auto"/>
                <w:kern w:val="0"/>
                <w:sz w:val="24"/>
                <w:highlight w:val="none"/>
              </w:rPr>
              <w:t>/d）。</w:t>
            </w:r>
          </w:p>
          <w:p w14:paraId="640CB57C">
            <w:pPr>
              <w:pStyle w:val="26"/>
              <w:spacing w:line="360" w:lineRule="auto"/>
              <w:ind w:left="0" w:leftChars="0"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4）地面冲洗用水</w:t>
            </w:r>
          </w:p>
          <w:p w14:paraId="52A4729F">
            <w:pPr>
              <w:spacing w:line="360" w:lineRule="auto"/>
              <w:ind w:firstLine="480" w:firstLineChars="200"/>
              <w:rPr>
                <w:rFonts w:hint="eastAsia" w:eastAsia="宋体" w:cs="Times New Roman"/>
                <w:color w:val="auto"/>
                <w:kern w:val="0"/>
                <w:sz w:val="24"/>
                <w:lang w:eastAsia="zh-CN"/>
              </w:rPr>
            </w:pPr>
            <w:r>
              <w:rPr>
                <w:rFonts w:hint="eastAsia" w:ascii="Times New Roman" w:hAnsi="Times New Roman" w:eastAsia="宋体" w:cs="Times New Roman"/>
                <w:color w:val="auto"/>
                <w:kern w:val="0"/>
                <w:sz w:val="24"/>
                <w:highlight w:val="none"/>
                <w:lang w:val="en-US" w:eastAsia="zh-CN"/>
              </w:rPr>
              <w:t>由于</w:t>
            </w:r>
            <w:r>
              <w:rPr>
                <w:rFonts w:hint="eastAsia" w:ascii="Times New Roman" w:hAnsi="Times New Roman" w:eastAsia="宋体" w:cs="Times New Roman"/>
                <w:color w:val="auto"/>
                <w:kern w:val="0"/>
                <w:sz w:val="24"/>
                <w:lang w:val="en-US" w:eastAsia="zh-CN"/>
              </w:rPr>
              <w:t>站区地面清洗水无法回用，均蒸发消耗，</w:t>
            </w:r>
            <w:r>
              <w:rPr>
                <w:rFonts w:hint="eastAsia" w:eastAsia="宋体" w:cs="Times New Roman"/>
                <w:color w:val="auto"/>
                <w:kern w:val="0"/>
                <w:sz w:val="24"/>
                <w:lang w:val="en-US" w:eastAsia="zh-CN"/>
              </w:rPr>
              <w:t>因此</w:t>
            </w:r>
            <w:r>
              <w:rPr>
                <w:rFonts w:hint="eastAsia" w:ascii="Times New Roman" w:hAnsi="Times New Roman" w:eastAsia="宋体" w:cs="Times New Roman"/>
                <w:color w:val="auto"/>
                <w:kern w:val="0"/>
                <w:sz w:val="24"/>
              </w:rPr>
              <w:t>地面冲洗用水</w:t>
            </w:r>
            <w:r>
              <w:rPr>
                <w:rFonts w:hint="eastAsia" w:eastAsia="宋体" w:cs="Times New Roman"/>
                <w:color w:val="auto"/>
                <w:kern w:val="0"/>
                <w:sz w:val="24"/>
                <w:lang w:val="en-US" w:eastAsia="zh-CN"/>
              </w:rPr>
              <w:t>消耗量约</w:t>
            </w:r>
            <w:r>
              <w:rPr>
                <w:rFonts w:hint="eastAsia" w:cs="Times New Roman"/>
                <w:color w:val="auto"/>
                <w:kern w:val="0"/>
                <w:sz w:val="24"/>
                <w:lang w:val="en-US" w:eastAsia="zh-CN"/>
              </w:rPr>
              <w:t>1080</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w:t>
            </w:r>
            <w:r>
              <w:rPr>
                <w:rFonts w:hint="eastAsia" w:cs="Times New Roman"/>
                <w:color w:val="auto"/>
                <w:kern w:val="0"/>
                <w:sz w:val="24"/>
                <w:lang w:val="en-US" w:eastAsia="zh-CN"/>
              </w:rPr>
              <w:t>6</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/d）</w:t>
            </w:r>
            <w:r>
              <w:rPr>
                <w:rFonts w:hint="eastAsia" w:eastAsia="宋体" w:cs="Times New Roman"/>
                <w:color w:val="auto"/>
                <w:kern w:val="0"/>
                <w:sz w:val="24"/>
                <w:lang w:eastAsia="zh-CN"/>
              </w:rPr>
              <w:t>。</w:t>
            </w:r>
          </w:p>
          <w:p w14:paraId="0F3F7C49">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5）料场降尘用水</w:t>
            </w:r>
          </w:p>
          <w:p w14:paraId="6EEADB6D">
            <w:pPr>
              <w:numPr>
                <w:ilvl w:val="0"/>
                <w:numId w:val="0"/>
              </w:numPr>
              <w:spacing w:line="360" w:lineRule="auto"/>
              <w:ind w:firstLine="480" w:firstLineChars="200"/>
              <w:rPr>
                <w:rFonts w:hint="eastAsia" w:ascii="Times New Roman" w:hAnsi="Times New Roman" w:eastAsia="宋体" w:cs="Times New Roman"/>
                <w:color w:val="auto"/>
                <w:kern w:val="0"/>
                <w:sz w:val="24"/>
              </w:rPr>
            </w:pPr>
            <w:r>
              <w:rPr>
                <w:rFonts w:hint="eastAsia"/>
                <w:sz w:val="24"/>
                <w:szCs w:val="32"/>
                <w:lang w:val="en-US" w:eastAsia="zh-CN"/>
              </w:rPr>
              <w:t>本项目砂石料堆场设置雾炮机，抑制料场扬尘，砂石料料场每天洒水降尘2次，每次洒水持续1小时，每次用水量约3m</w:t>
            </w:r>
            <w:r>
              <w:rPr>
                <w:rFonts w:hint="eastAsia"/>
                <w:sz w:val="24"/>
                <w:szCs w:val="32"/>
                <w:vertAlign w:val="superscript"/>
                <w:lang w:val="en-US" w:eastAsia="zh-CN"/>
              </w:rPr>
              <w:t>3</w:t>
            </w:r>
            <w:r>
              <w:rPr>
                <w:rFonts w:hint="eastAsia"/>
                <w:sz w:val="24"/>
                <w:szCs w:val="32"/>
                <w:vertAlign w:val="baseline"/>
                <w:lang w:val="en-US" w:eastAsia="zh-CN"/>
              </w:rPr>
              <w:t>，料场降尘用水量约为1080</w:t>
            </w:r>
            <w:r>
              <w:rPr>
                <w:rFonts w:hint="eastAsia" w:cs="Times New Roman"/>
                <w:color w:val="auto"/>
                <w:kern w:val="0"/>
                <w:sz w:val="24"/>
                <w:lang w:val="en-US" w:eastAsia="zh-CN"/>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ascii="Times New Roman" w:hAnsi="Times New Roman" w:eastAsia="宋体" w:cs="Times New Roman"/>
                <w:color w:val="auto"/>
                <w:kern w:val="0"/>
                <w:sz w:val="24"/>
                <w:lang w:eastAsia="zh-CN"/>
              </w:rPr>
              <w:t>（</w:t>
            </w:r>
            <w:r>
              <w:rPr>
                <w:rFonts w:hint="eastAsia" w:cs="Times New Roman"/>
                <w:color w:val="auto"/>
                <w:kern w:val="0"/>
                <w:sz w:val="24"/>
                <w:lang w:val="en-US" w:eastAsia="zh-CN"/>
              </w:rPr>
              <w:t>6</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r>
              <w:rPr>
                <w:rFonts w:hint="eastAsia" w:ascii="Times New Roman" w:hAnsi="Times New Roman" w:eastAsia="宋体" w:cs="Times New Roman"/>
                <w:color w:val="auto"/>
                <w:kern w:val="0"/>
                <w:sz w:val="24"/>
                <w:lang w:eastAsia="zh-CN"/>
              </w:rPr>
              <w:t>），</w:t>
            </w:r>
            <w:r>
              <w:rPr>
                <w:rFonts w:hint="eastAsia" w:eastAsia="宋体" w:cs="Times New Roman"/>
                <w:color w:val="auto"/>
                <w:kern w:val="0"/>
                <w:sz w:val="24"/>
                <w:lang w:val="en-US" w:eastAsia="zh-CN"/>
              </w:rPr>
              <w:t>均蒸发消耗，无法回用</w:t>
            </w:r>
            <w:r>
              <w:rPr>
                <w:rFonts w:hint="eastAsia" w:ascii="Times New Roman" w:hAnsi="Times New Roman" w:eastAsia="宋体" w:cs="Times New Roman"/>
                <w:color w:val="auto"/>
                <w:kern w:val="0"/>
                <w:sz w:val="24"/>
              </w:rPr>
              <w:t>。</w:t>
            </w:r>
          </w:p>
          <w:p w14:paraId="509D323D">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6）绿化用水</w:t>
            </w:r>
          </w:p>
          <w:p w14:paraId="1230BD7F">
            <w:pPr>
              <w:autoSpaceDE w:val="0"/>
              <w:autoSpaceDN w:val="0"/>
              <w:adjustRightInd w:val="0"/>
              <w:snapToGrid w:val="0"/>
              <w:spacing w:line="360" w:lineRule="auto"/>
              <w:ind w:firstLine="480" w:firstLineChars="200"/>
              <w:rPr>
                <w:rFonts w:hint="eastAsia" w:eastAsia="宋体" w:cs="Times New Roman"/>
                <w:color w:val="auto"/>
                <w:kern w:val="0"/>
                <w:sz w:val="24"/>
                <w:lang w:val="en-US" w:eastAsia="zh-CN"/>
              </w:rPr>
            </w:pPr>
            <w:r>
              <w:rPr>
                <w:rFonts w:hint="eastAsia" w:ascii="Times New Roman" w:hAnsi="Times New Roman" w:eastAsia="宋体" w:cs="Times New Roman"/>
                <w:color w:val="auto"/>
                <w:kern w:val="0"/>
                <w:sz w:val="24"/>
              </w:rPr>
              <w:t>本项目绿化用水量为864m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/a</w:t>
            </w:r>
            <w:r>
              <w:rPr>
                <w:rFonts w:hint="eastAsia" w:eastAsia="宋体" w:cs="Times New Roman"/>
                <w:color w:val="auto"/>
                <w:kern w:val="0"/>
                <w:sz w:val="24"/>
                <w:lang w:eastAsia="zh-CN"/>
              </w:rPr>
              <w:t>，</w:t>
            </w:r>
            <w:r>
              <w:rPr>
                <w:rFonts w:hint="eastAsia" w:eastAsia="宋体" w:cs="Times New Roman"/>
                <w:color w:val="auto"/>
                <w:kern w:val="0"/>
                <w:sz w:val="24"/>
                <w:lang w:val="en-US" w:eastAsia="zh-CN"/>
              </w:rPr>
              <w:t>均用于厂区绿化，无回用。</w:t>
            </w:r>
          </w:p>
          <w:p w14:paraId="0B736CC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（2）生活用水</w:t>
            </w:r>
          </w:p>
          <w:p w14:paraId="69EE85A7">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vertAlign w:val="baseline"/>
                <w:lang w:val="en-US" w:eastAsia="zh-CN"/>
              </w:rPr>
            </w:pPr>
            <w:r>
              <w:rPr>
                <w:rFonts w:hint="eastAsia" w:cs="Times New Roman"/>
                <w:color w:val="auto"/>
                <w:kern w:val="0"/>
                <w:sz w:val="24"/>
                <w:lang w:val="en-US" w:eastAsia="zh-CN"/>
              </w:rPr>
              <w:t>生活污水经过污水一体化处理设备达标后用于料场洒水降尘，生活污水产生量按生活用水量80%计算，总排水量约为497.95</w:t>
            </w:r>
            <w:r>
              <w:rPr>
                <w:rFonts w:ascii="Times New Roman" w:hAnsi="Times New Roman" w:eastAsia="宋体" w:cs="Times New Roman"/>
                <w:color w:val="auto"/>
                <w:kern w:val="0"/>
                <w:sz w:val="24"/>
              </w:rPr>
              <w:t>/a</w:t>
            </w:r>
            <w:r>
              <w:rPr>
                <w:rFonts w:hint="eastAsia" w:cs="Times New Roman"/>
                <w:color w:val="auto"/>
                <w:kern w:val="0"/>
                <w:sz w:val="24"/>
                <w:lang w:eastAsia="zh-CN"/>
              </w:rPr>
              <w:t>（</w:t>
            </w:r>
            <w:r>
              <w:rPr>
                <w:rFonts w:hint="eastAsia" w:cs="Times New Roman"/>
                <w:color w:val="auto"/>
                <w:kern w:val="0"/>
                <w:sz w:val="24"/>
                <w:lang w:val="en-US" w:eastAsia="zh-CN"/>
              </w:rPr>
              <w:t>2.766</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w:t>
            </w:r>
            <w:r>
              <w:rPr>
                <w:rFonts w:hint="eastAsia" w:cs="Times New Roman"/>
                <w:color w:val="auto"/>
                <w:kern w:val="0"/>
                <w:sz w:val="24"/>
                <w:lang w:val="en-US" w:eastAsia="zh-CN"/>
              </w:rPr>
              <w:t>d</w:t>
            </w:r>
            <w:r>
              <w:rPr>
                <w:rFonts w:hint="eastAsia" w:cs="Times New Roman"/>
                <w:color w:val="auto"/>
                <w:kern w:val="0"/>
                <w:sz w:val="24"/>
                <w:lang w:eastAsia="zh-CN"/>
              </w:rPr>
              <w:t>）。</w:t>
            </w:r>
            <w:r>
              <w:rPr>
                <w:rFonts w:hint="eastAsia" w:cs="Times New Roman"/>
                <w:color w:val="auto"/>
                <w:kern w:val="0"/>
                <w:sz w:val="24"/>
                <w:highlight w:val="none"/>
                <w:lang w:val="en-US" w:eastAsia="zh-CN"/>
              </w:rPr>
              <w:t>其中一体化处理设备产生的污泥0.085t/a，污泥含水率60%，则污泥消耗水量0.05m</w:t>
            </w:r>
            <w:r>
              <w:rPr>
                <w:rFonts w:hint="eastAsia" w:cs="Times New Roman"/>
                <w:color w:val="auto"/>
                <w:kern w:val="0"/>
                <w:sz w:val="24"/>
                <w:highlight w:val="none"/>
                <w:vertAlign w:val="superscript"/>
                <w:lang w:val="en-US" w:eastAsia="zh-CN"/>
              </w:rPr>
              <w:t>3</w:t>
            </w:r>
            <w:r>
              <w:rPr>
                <w:rFonts w:hint="eastAsia" w:cs="Times New Roman"/>
                <w:color w:val="auto"/>
                <w:kern w:val="0"/>
                <w:sz w:val="24"/>
                <w:highlight w:val="none"/>
                <w:vertAlign w:val="baseline"/>
                <w:lang w:val="en-US" w:eastAsia="zh-CN"/>
              </w:rPr>
              <w:t>/a，其余污水回用于料场降尘。</w:t>
            </w:r>
          </w:p>
          <w:p w14:paraId="6A041EE8">
            <w:pPr>
              <w:spacing w:line="360" w:lineRule="auto"/>
              <w:rPr>
                <w:b/>
                <w:bCs/>
                <w:color w:val="auto"/>
                <w:sz w:val="24"/>
              </w:rPr>
            </w:pPr>
            <w:r>
              <w:rPr>
                <w:b/>
                <w:bCs/>
                <w:color w:val="auto"/>
                <w:sz w:val="24"/>
              </w:rPr>
              <w:t>5.1.3</w:t>
            </w:r>
            <w:r>
              <w:rPr>
                <w:b/>
                <w:bCs/>
                <w:color w:val="auto"/>
                <w:sz w:val="24"/>
                <w:highlight w:val="none"/>
              </w:rPr>
              <w:t>本项目水平衡图</w:t>
            </w:r>
          </w:p>
          <w:p w14:paraId="3E975509">
            <w:pPr>
              <w:autoSpaceDE w:val="0"/>
              <w:autoSpaceDN w:val="0"/>
              <w:adjustRightInd w:val="0"/>
              <w:snapToGrid w:val="0"/>
              <w:spacing w:line="360" w:lineRule="auto"/>
              <w:ind w:firstLine="480" w:firstLineChars="200"/>
              <w:rPr>
                <w:color w:val="auto"/>
              </w:rPr>
            </w:pPr>
            <w:r>
              <w:rPr>
                <w:rFonts w:ascii="Times New Roman" w:hAnsi="Times New Roman" w:eastAsia="宋体" w:cs="Times New Roman"/>
                <w:color w:val="auto"/>
                <w:kern w:val="0"/>
                <w:sz w:val="24"/>
              </w:rPr>
              <w:t>本项目水平衡图见图1。</w:t>
            </w:r>
          </w:p>
          <w:p w14:paraId="5B4F5742">
            <w:pPr>
              <w:pStyle w:val="8"/>
              <w:rPr>
                <w:rFonts w:hint="eastAsia" w:eastAsia="宋体"/>
                <w:lang w:val="en-US" w:eastAsia="zh-CN"/>
              </w:rPr>
            </w:pPr>
            <w:r>
              <w:rPr>
                <w:rFonts w:hint="eastAsia" w:eastAsia="宋体"/>
                <w:lang w:val="en-US" w:eastAsia="zh-CN"/>
              </w:rPr>
              <w:t xml:space="preserve"> </w:t>
            </w:r>
          </w:p>
          <w:p w14:paraId="2B94ACB8">
            <w:pPr>
              <w:pStyle w:val="8"/>
              <w:rPr>
                <w:rFonts w:hint="eastAsia" w:eastAsia="宋体"/>
                <w:lang w:eastAsia="zh-CN"/>
              </w:rPr>
            </w:pPr>
            <w:r>
              <w:rPr>
                <w:rFonts w:hint="eastAsia" w:eastAsia="宋体"/>
                <w:lang w:eastAsia="zh-CN"/>
              </w:rPr>
              <w:drawing>
                <wp:inline distT="0" distB="0" distL="114300" distR="114300">
                  <wp:extent cx="5102860" cy="3273425"/>
                  <wp:effectExtent l="0" t="0" r="2540" b="3175"/>
                  <wp:docPr id="28" name="ECB019B1-382A-4266-B25C-5B523AA43C14-1" descr="C:/Users/哥哥/AppData/Local/Temp/wps.ILtAt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CB019B1-382A-4266-B25C-5B523AA43C14-1" descr="C:/Users/哥哥/AppData/Local/Temp/wps.ILtAtFwps"/>
                          <pic:cNvPicPr>
                            <a:picLocks noChangeAspect="1"/>
                          </pic:cNvPicPr>
                        </pic:nvPicPr>
                        <pic:blipFill>
                          <a:blip r:embed="rId7"/>
                          <a:stretch>
                            <a:fillRect/>
                          </a:stretch>
                        </pic:blipFill>
                        <pic:spPr>
                          <a:xfrm>
                            <a:off x="0" y="0"/>
                            <a:ext cx="5102860" cy="3273425"/>
                          </a:xfrm>
                          <a:prstGeom prst="rect">
                            <a:avLst/>
                          </a:prstGeom>
                        </pic:spPr>
                      </pic:pic>
                    </a:graphicData>
                  </a:graphic>
                </wp:inline>
              </w:drawing>
            </w:r>
          </w:p>
          <w:p w14:paraId="652A0AF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4"/>
                <w:lang w:eastAsia="zh-CN"/>
              </w:rPr>
            </w:pPr>
            <w:r>
              <w:rPr>
                <w:b/>
                <w:bCs/>
                <w:color w:val="auto"/>
                <w:sz w:val="21"/>
                <w:szCs w:val="21"/>
              </w:rPr>
              <w:t>图</w:t>
            </w:r>
            <w:r>
              <w:rPr>
                <w:rFonts w:hint="eastAsia"/>
                <w:b/>
                <w:bCs/>
                <w:color w:val="auto"/>
                <w:sz w:val="21"/>
                <w:szCs w:val="21"/>
                <w:lang w:val="en-US" w:eastAsia="zh-CN"/>
              </w:rPr>
              <w:t xml:space="preserve">1  </w:t>
            </w:r>
            <w:r>
              <w:rPr>
                <w:b/>
                <w:bCs/>
                <w:color w:val="auto"/>
                <w:sz w:val="21"/>
                <w:szCs w:val="21"/>
              </w:rPr>
              <w:t>本项目</w:t>
            </w:r>
            <w:r>
              <w:rPr>
                <w:rFonts w:hint="eastAsia"/>
                <w:b/>
                <w:bCs/>
                <w:color w:val="auto"/>
                <w:sz w:val="21"/>
                <w:szCs w:val="21"/>
                <w:lang w:val="en-US" w:eastAsia="zh-CN"/>
              </w:rPr>
              <w:t>水平衡</w:t>
            </w:r>
            <w:r>
              <w:rPr>
                <w:b/>
                <w:bCs/>
                <w:color w:val="auto"/>
                <w:sz w:val="21"/>
                <w:szCs w:val="21"/>
              </w:rPr>
              <w:t>图</w:t>
            </w:r>
            <w:r>
              <w:rPr>
                <w:rFonts w:hint="eastAsia"/>
                <w:b/>
                <w:bCs/>
                <w:color w:val="auto"/>
                <w:sz w:val="21"/>
                <w:szCs w:val="21"/>
                <w:lang w:eastAsia="zh-CN"/>
              </w:rPr>
              <w:t>（</w:t>
            </w:r>
            <w:r>
              <w:rPr>
                <w:rFonts w:hint="eastAsia"/>
                <w:b/>
                <w:bCs/>
                <w:color w:val="auto"/>
                <w:sz w:val="21"/>
                <w:szCs w:val="21"/>
                <w:lang w:val="en-US" w:eastAsia="zh-CN"/>
              </w:rPr>
              <w:t>单位：t/a</w:t>
            </w:r>
            <w:r>
              <w:rPr>
                <w:rFonts w:hint="eastAsia"/>
                <w:b/>
                <w:bCs/>
                <w:color w:val="auto"/>
                <w:sz w:val="21"/>
                <w:szCs w:val="21"/>
                <w:lang w:eastAsia="zh-CN"/>
              </w:rPr>
              <w:t>）</w:t>
            </w:r>
          </w:p>
          <w:p w14:paraId="7A69952E">
            <w:pPr>
              <w:spacing w:line="360" w:lineRule="auto"/>
              <w:rPr>
                <w:b/>
                <w:bCs/>
                <w:color w:val="auto"/>
                <w:sz w:val="24"/>
              </w:rPr>
            </w:pPr>
            <w:r>
              <w:rPr>
                <w:b/>
                <w:bCs/>
                <w:color w:val="auto"/>
                <w:sz w:val="24"/>
              </w:rPr>
              <w:t>5.2供电</w:t>
            </w:r>
          </w:p>
          <w:p w14:paraId="1801A10A">
            <w:pPr>
              <w:spacing w:line="360" w:lineRule="auto"/>
              <w:ind w:firstLine="480" w:firstLineChars="200"/>
              <w:rPr>
                <w:color w:val="auto"/>
                <w:sz w:val="24"/>
                <w:highlight w:val="yellow"/>
              </w:rPr>
            </w:pPr>
            <w:r>
              <w:rPr>
                <w:rFonts w:ascii="Times New Roman" w:hAnsi="Times New Roman" w:eastAsia="宋体" w:cs="Times New Roman"/>
                <w:color w:val="auto"/>
                <w:kern w:val="0"/>
                <w:sz w:val="24"/>
              </w:rPr>
              <w:t>项目用电由项目区供电电网接入，厂区建设变压器，能够满足项目区生产、办公、生活需求。</w:t>
            </w:r>
          </w:p>
          <w:p w14:paraId="48AD908D">
            <w:pPr>
              <w:spacing w:line="360" w:lineRule="auto"/>
              <w:rPr>
                <w:b/>
                <w:bCs/>
                <w:color w:val="auto"/>
                <w:sz w:val="24"/>
              </w:rPr>
            </w:pPr>
            <w:r>
              <w:rPr>
                <w:b/>
                <w:bCs/>
                <w:color w:val="auto"/>
                <w:sz w:val="24"/>
              </w:rPr>
              <w:t>5.3供热</w:t>
            </w:r>
          </w:p>
          <w:p w14:paraId="31D9E89A">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ascii="Times New Roman" w:hAnsi="Times New Roman" w:eastAsia="宋体" w:cs="Times New Roman"/>
                <w:color w:val="auto"/>
                <w:kern w:val="0"/>
                <w:sz w:val="24"/>
              </w:rPr>
              <w:t>本项目</w:t>
            </w:r>
            <w:r>
              <w:rPr>
                <w:rFonts w:hint="eastAsia" w:cs="Times New Roman"/>
                <w:color w:val="auto"/>
                <w:kern w:val="0"/>
                <w:sz w:val="24"/>
                <w:lang w:val="en-US" w:eastAsia="zh-CN"/>
              </w:rPr>
              <w:t>冬季不生产，值班人员使用电采暖。</w:t>
            </w:r>
          </w:p>
          <w:p w14:paraId="7FA39649">
            <w:pPr>
              <w:spacing w:line="360" w:lineRule="auto"/>
              <w:rPr>
                <w:b/>
                <w:bCs/>
                <w:color w:val="auto"/>
                <w:sz w:val="24"/>
              </w:rPr>
            </w:pPr>
            <w:r>
              <w:rPr>
                <w:b/>
                <w:bCs/>
                <w:color w:val="auto"/>
                <w:sz w:val="24"/>
              </w:rPr>
              <w:t>6.劳动定员及工作制度</w:t>
            </w:r>
          </w:p>
          <w:p w14:paraId="19FBEDE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本项目劳动定员</w:t>
            </w:r>
            <w:r>
              <w:rPr>
                <w:rFonts w:hint="eastAsia" w:cs="Times New Roman"/>
                <w:color w:val="auto"/>
                <w:kern w:val="0"/>
                <w:sz w:val="24"/>
                <w:lang w:val="en-US" w:eastAsia="zh-CN"/>
              </w:rPr>
              <w:t>46</w:t>
            </w:r>
            <w:r>
              <w:rPr>
                <w:rFonts w:ascii="Times New Roman" w:hAnsi="Times New Roman" w:eastAsia="宋体" w:cs="Times New Roman"/>
                <w:color w:val="auto"/>
                <w:kern w:val="0"/>
                <w:sz w:val="24"/>
              </w:rPr>
              <w:t>人，根据生产流程的要求，工作时间采用单班制（白班）工作制，每班有效工作时间8小时，</w:t>
            </w:r>
            <w:r>
              <w:rPr>
                <w:rFonts w:hint="eastAsia" w:cs="Times New Roman"/>
                <w:color w:val="auto"/>
                <w:kern w:val="0"/>
                <w:sz w:val="24"/>
                <w:lang w:val="en-US" w:eastAsia="zh-CN"/>
              </w:rPr>
              <w:t>每年工作18</w:t>
            </w:r>
            <w:r>
              <w:rPr>
                <w:rFonts w:ascii="Times New Roman" w:hAnsi="Times New Roman" w:eastAsia="宋体" w:cs="Times New Roman"/>
                <w:color w:val="auto"/>
                <w:kern w:val="0"/>
                <w:sz w:val="24"/>
              </w:rPr>
              <w:t>0天</w:t>
            </w:r>
            <w:r>
              <w:rPr>
                <w:rFonts w:hint="eastAsia" w:cs="Times New Roman"/>
                <w:color w:val="auto"/>
                <w:kern w:val="0"/>
                <w:sz w:val="24"/>
                <w:lang w:eastAsia="zh-CN"/>
              </w:rPr>
              <w:t>，</w:t>
            </w:r>
            <w:r>
              <w:rPr>
                <w:rFonts w:hint="eastAsia" w:cs="Times New Roman"/>
                <w:color w:val="auto"/>
                <w:kern w:val="0"/>
                <w:sz w:val="24"/>
                <w:lang w:val="en-US" w:eastAsia="zh-CN"/>
              </w:rPr>
              <w:t>冬季不生产</w:t>
            </w:r>
            <w:r>
              <w:rPr>
                <w:rFonts w:ascii="Times New Roman" w:hAnsi="Times New Roman" w:eastAsia="宋体" w:cs="Times New Roman"/>
                <w:color w:val="auto"/>
                <w:kern w:val="0"/>
                <w:sz w:val="24"/>
              </w:rPr>
              <w:t>。</w:t>
            </w:r>
          </w:p>
          <w:p w14:paraId="36AD54E0">
            <w:pPr>
              <w:spacing w:line="360" w:lineRule="auto"/>
              <w:rPr>
                <w:b/>
                <w:bCs/>
                <w:color w:val="auto"/>
                <w:sz w:val="24"/>
              </w:rPr>
            </w:pPr>
            <w:r>
              <w:rPr>
                <w:b/>
                <w:bCs/>
                <w:color w:val="auto"/>
                <w:sz w:val="24"/>
              </w:rPr>
              <w:t>7.本项目平面布置</w:t>
            </w:r>
          </w:p>
          <w:p w14:paraId="4B802A1F">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highlight w:val="yellow"/>
                <w:lang w:val="en-US" w:eastAsia="zh-CN"/>
              </w:rPr>
            </w:pPr>
            <w:r>
              <w:rPr>
                <w:rFonts w:ascii="Times New Roman" w:hAnsi="Times New Roman" w:eastAsia="宋体" w:cs="Times New Roman"/>
                <w:color w:val="auto"/>
                <w:kern w:val="0"/>
                <w:sz w:val="24"/>
              </w:rPr>
              <w:t>本项目</w:t>
            </w:r>
            <w:r>
              <w:rPr>
                <w:rFonts w:hint="eastAsia" w:cs="Times New Roman"/>
                <w:color w:val="auto"/>
                <w:kern w:val="0"/>
                <w:sz w:val="24"/>
                <w:lang w:val="en-US" w:eastAsia="zh-CN"/>
              </w:rPr>
              <w:t>建设地点位于新疆维吾尔自治区昌吉木垒县大石头风电场，项目四周东南西北侧均为空地，根据厂区形状、工艺流程和周围环境进行总平面布置，</w:t>
            </w:r>
            <w:bookmarkStart w:id="1" w:name="_Toc27729"/>
            <w:r>
              <w:rPr>
                <w:rFonts w:ascii="Times New Roman" w:hAnsi="Times New Roman" w:eastAsia="宋体" w:cs="Times New Roman"/>
                <w:color w:val="auto"/>
                <w:kern w:val="0"/>
                <w:sz w:val="24"/>
                <w:highlight w:val="none"/>
              </w:rPr>
              <w:t>出入口设置在厂区</w:t>
            </w:r>
            <w:r>
              <w:rPr>
                <w:rFonts w:hint="eastAsia" w:cs="Times New Roman"/>
                <w:color w:val="auto"/>
                <w:kern w:val="0"/>
                <w:sz w:val="24"/>
                <w:highlight w:val="none"/>
                <w:lang w:val="en-US" w:eastAsia="zh-CN"/>
              </w:rPr>
              <w:t>东</w:t>
            </w:r>
            <w:r>
              <w:rPr>
                <w:rFonts w:ascii="Times New Roman" w:hAnsi="Times New Roman" w:eastAsia="宋体" w:cs="Times New Roman"/>
                <w:color w:val="auto"/>
                <w:kern w:val="0"/>
                <w:sz w:val="24"/>
                <w:highlight w:val="none"/>
              </w:rPr>
              <w:t>侧，磅房设置在厂区</w:t>
            </w:r>
            <w:r>
              <w:rPr>
                <w:rFonts w:hint="eastAsia" w:cs="Times New Roman"/>
                <w:color w:val="auto"/>
                <w:kern w:val="0"/>
                <w:sz w:val="24"/>
                <w:highlight w:val="none"/>
                <w:lang w:val="en-US" w:eastAsia="zh-CN"/>
              </w:rPr>
              <w:t>东</w:t>
            </w:r>
            <w:r>
              <w:rPr>
                <w:rFonts w:hint="eastAsia" w:ascii="Times New Roman" w:hAnsi="Times New Roman" w:eastAsia="宋体" w:cs="Times New Roman"/>
                <w:color w:val="auto"/>
                <w:kern w:val="0"/>
                <w:sz w:val="24"/>
                <w:highlight w:val="none"/>
              </w:rPr>
              <w:t>侧</w:t>
            </w:r>
            <w:r>
              <w:rPr>
                <w:rFonts w:hint="eastAsia" w:cs="Times New Roman"/>
                <w:color w:val="auto"/>
                <w:kern w:val="0"/>
                <w:sz w:val="24"/>
                <w:highlight w:val="none"/>
                <w:lang w:val="en-US" w:eastAsia="zh-CN"/>
              </w:rPr>
              <w:t>偏北南</w:t>
            </w:r>
            <w:r>
              <w:rPr>
                <w:rFonts w:ascii="Times New Roman" w:hAnsi="Times New Roman" w:eastAsia="宋体" w:cs="Times New Roman"/>
                <w:color w:val="auto"/>
                <w:kern w:val="0"/>
                <w:sz w:val="24"/>
                <w:highlight w:val="none"/>
              </w:rPr>
              <w:t>，厂区</w:t>
            </w:r>
            <w:r>
              <w:rPr>
                <w:rFonts w:hint="eastAsia" w:cs="Times New Roman"/>
                <w:color w:val="auto"/>
                <w:kern w:val="0"/>
                <w:sz w:val="24"/>
                <w:highlight w:val="none"/>
                <w:lang w:val="en-US" w:eastAsia="zh-CN"/>
              </w:rPr>
              <w:t>最</w:t>
            </w:r>
            <w:r>
              <w:rPr>
                <w:rFonts w:ascii="Times New Roman" w:hAnsi="Times New Roman" w:eastAsia="宋体" w:cs="Times New Roman"/>
                <w:color w:val="auto"/>
                <w:kern w:val="0"/>
                <w:sz w:val="24"/>
                <w:highlight w:val="none"/>
              </w:rPr>
              <w:t>北侧为</w:t>
            </w:r>
            <w:r>
              <w:rPr>
                <w:rFonts w:hint="eastAsia" w:cs="Times New Roman"/>
                <w:color w:val="auto"/>
                <w:kern w:val="0"/>
                <w:sz w:val="24"/>
                <w:highlight w:val="none"/>
                <w:lang w:val="en-US" w:eastAsia="zh-CN"/>
              </w:rPr>
              <w:t>砂石料场</w:t>
            </w:r>
            <w:r>
              <w:rPr>
                <w:rFonts w:hint="eastAsia" w:cs="Times New Roman"/>
                <w:color w:val="auto"/>
                <w:kern w:val="0"/>
                <w:sz w:val="24"/>
                <w:highlight w:val="none"/>
                <w:lang w:eastAsia="zh-CN"/>
              </w:rPr>
              <w:t>，</w:t>
            </w:r>
            <w:r>
              <w:rPr>
                <w:rFonts w:hint="eastAsia" w:cs="Times New Roman"/>
                <w:color w:val="auto"/>
                <w:kern w:val="0"/>
                <w:sz w:val="24"/>
                <w:highlight w:val="none"/>
                <w:lang w:val="en-US" w:eastAsia="zh-CN"/>
              </w:rPr>
              <w:t>砂石料场南边为两块上料区，上料区南边为搅拌楼</w:t>
            </w:r>
            <w:r>
              <w:rPr>
                <w:rFonts w:ascii="Times New Roman" w:hAnsi="Times New Roman" w:eastAsia="宋体" w:cs="Times New Roman"/>
                <w:color w:val="auto"/>
                <w:kern w:val="0"/>
                <w:sz w:val="24"/>
                <w:highlight w:val="none"/>
              </w:rPr>
              <w:t>，</w:t>
            </w:r>
            <w:r>
              <w:rPr>
                <w:rFonts w:hint="eastAsia" w:cs="Times New Roman"/>
                <w:color w:val="auto"/>
                <w:kern w:val="0"/>
                <w:sz w:val="24"/>
                <w:highlight w:val="none"/>
                <w:lang w:val="en-US" w:eastAsia="zh-CN"/>
              </w:rPr>
              <w:t>实验室和库房位于西侧偏南，厂区南</w:t>
            </w:r>
            <w:r>
              <w:rPr>
                <w:rFonts w:ascii="Times New Roman" w:hAnsi="Times New Roman" w:eastAsia="宋体" w:cs="Times New Roman"/>
                <w:color w:val="auto"/>
                <w:kern w:val="0"/>
                <w:sz w:val="24"/>
                <w:highlight w:val="none"/>
              </w:rPr>
              <w:t>侧为</w:t>
            </w:r>
            <w:r>
              <w:rPr>
                <w:rFonts w:hint="eastAsia" w:cs="Times New Roman"/>
                <w:color w:val="auto"/>
                <w:kern w:val="0"/>
                <w:sz w:val="24"/>
                <w:highlight w:val="none"/>
                <w:lang w:val="en-US" w:eastAsia="zh-CN"/>
              </w:rPr>
              <w:t>办公区、员工宿舍楼和公厕，</w:t>
            </w:r>
            <w:r>
              <w:rPr>
                <w:rFonts w:ascii="Times New Roman" w:hAnsi="Times New Roman" w:eastAsia="宋体" w:cs="Times New Roman"/>
                <w:color w:val="auto"/>
                <w:kern w:val="0"/>
                <w:sz w:val="24"/>
                <w:highlight w:val="none"/>
              </w:rPr>
              <w:t>厂区内适当布置停车位，为人流、车流集散提供良好条件。</w:t>
            </w:r>
            <w:bookmarkEnd w:id="1"/>
          </w:p>
          <w:p w14:paraId="1E6C8861">
            <w:pPr>
              <w:autoSpaceDE w:val="0"/>
              <w:autoSpaceDN w:val="0"/>
              <w:adjustRightInd w:val="0"/>
              <w:snapToGrid w:val="0"/>
              <w:spacing w:line="360" w:lineRule="auto"/>
              <w:ind w:firstLine="480" w:firstLineChars="200"/>
              <w:rPr>
                <w:rFonts w:hint="eastAsia" w:eastAsia="宋体"/>
                <w:bCs/>
                <w:color w:val="auto"/>
                <w:sz w:val="24"/>
                <w:lang w:val="en-US" w:eastAsia="zh-CN"/>
              </w:rPr>
            </w:pPr>
            <w:r>
              <w:rPr>
                <w:rFonts w:ascii="Times New Roman" w:hAnsi="Times New Roman" w:eastAsia="宋体" w:cs="Times New Roman"/>
                <w:color w:val="auto"/>
                <w:kern w:val="0"/>
                <w:sz w:val="24"/>
              </w:rPr>
              <w:t>综上所述，拟建项目总平面布置相对合理。本项目平面布置图见附图</w:t>
            </w:r>
            <w:r>
              <w:rPr>
                <w:rFonts w:hint="eastAsia" w:cs="Times New Roman"/>
                <w:color w:val="auto"/>
                <w:kern w:val="0"/>
                <w:sz w:val="24"/>
                <w:lang w:val="en-US" w:eastAsia="zh-CN"/>
              </w:rPr>
              <w:t>3</w:t>
            </w:r>
            <w:r>
              <w:rPr>
                <w:rFonts w:ascii="Times New Roman" w:hAnsi="Times New Roman" w:eastAsia="宋体" w:cs="Times New Roman"/>
                <w:color w:val="auto"/>
                <w:kern w:val="0"/>
                <w:sz w:val="24"/>
              </w:rPr>
              <w:t>。</w:t>
            </w:r>
          </w:p>
        </w:tc>
      </w:tr>
      <w:tr w14:paraId="77A426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4" w:hRule="atLeast"/>
          <w:jc w:val="center"/>
        </w:trPr>
        <w:tc>
          <w:tcPr>
            <w:tcW w:w="823" w:type="dxa"/>
            <w:vAlign w:val="center"/>
          </w:tcPr>
          <w:p w14:paraId="3771487B">
            <w:pPr>
              <w:pStyle w:val="24"/>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工艺流程和产排污环节</w:t>
            </w:r>
          </w:p>
        </w:tc>
        <w:tc>
          <w:tcPr>
            <w:tcW w:w="8161" w:type="dxa"/>
          </w:tcPr>
          <w:p w14:paraId="28C2F5E6">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1.工艺流程</w:t>
            </w:r>
          </w:p>
          <w:p w14:paraId="67A23F1E">
            <w:pPr>
              <w:autoSpaceDE w:val="0"/>
              <w:autoSpaceDN w:val="0"/>
              <w:adjustRightInd w:val="0"/>
              <w:snapToGrid w:val="0"/>
              <w:spacing w:line="360" w:lineRule="auto"/>
              <w:ind w:firstLine="480" w:firstLineChars="200"/>
              <w:rPr>
                <w:rFonts w:hint="eastAsia" w:eastAsia="宋体"/>
                <w:color w:val="auto"/>
                <w:sz w:val="24"/>
                <w:lang w:eastAsia="zh-CN"/>
              </w:rPr>
            </w:pPr>
            <w:r>
              <w:rPr>
                <w:rFonts w:ascii="Times New Roman" w:hAnsi="Times New Roman" w:eastAsia="宋体" w:cs="Times New Roman"/>
                <w:color w:val="auto"/>
                <w:kern w:val="0"/>
                <w:sz w:val="24"/>
              </w:rPr>
              <w:t>本项目生产工艺流程见图2。</w:t>
            </w:r>
          </w:p>
          <w:p w14:paraId="159AE2B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宋体"/>
                <w:b/>
                <w:bCs/>
                <w:color w:val="auto"/>
                <w:sz w:val="21"/>
                <w:szCs w:val="21"/>
                <w:lang w:eastAsia="zh-CN"/>
              </w:rPr>
            </w:pPr>
            <w:r>
              <w:rPr>
                <w:rFonts w:hint="eastAsia" w:eastAsia="宋体"/>
                <w:b/>
                <w:bCs/>
                <w:color w:val="auto"/>
                <w:sz w:val="21"/>
                <w:szCs w:val="21"/>
                <w:lang w:eastAsia="zh-CN"/>
              </w:rPr>
              <w:drawing>
                <wp:inline distT="0" distB="0" distL="114300" distR="114300">
                  <wp:extent cx="5113655" cy="2575560"/>
                  <wp:effectExtent l="0" t="0" r="0" b="0"/>
                  <wp:docPr id="29" name="ECB019B1-382A-4266-B25C-5B523AA43C14-2" descr="C:/Users/哥哥/AppData/Local/Temp/wps.QoWWg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CB019B1-382A-4266-B25C-5B523AA43C14-2" descr="C:/Users/哥哥/AppData/Local/Temp/wps.QoWWgawps"/>
                          <pic:cNvPicPr>
                            <a:picLocks noChangeAspect="1"/>
                          </pic:cNvPicPr>
                        </pic:nvPicPr>
                        <pic:blipFill>
                          <a:blip r:embed="rId8"/>
                          <a:stretch>
                            <a:fillRect/>
                          </a:stretch>
                        </pic:blipFill>
                        <pic:spPr>
                          <a:xfrm>
                            <a:off x="0" y="0"/>
                            <a:ext cx="5113655" cy="2575560"/>
                          </a:xfrm>
                          <a:prstGeom prst="rect">
                            <a:avLst/>
                          </a:prstGeom>
                        </pic:spPr>
                      </pic:pic>
                    </a:graphicData>
                  </a:graphic>
                </wp:inline>
              </w:drawing>
            </w:r>
          </w:p>
          <w:p w14:paraId="1D8B39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b/>
                <w:bCs/>
                <w:color w:val="auto"/>
                <w:sz w:val="21"/>
                <w:szCs w:val="21"/>
              </w:rPr>
            </w:pPr>
            <w:r>
              <w:rPr>
                <w:b/>
                <w:bCs/>
                <w:color w:val="auto"/>
                <w:sz w:val="21"/>
                <w:szCs w:val="21"/>
              </w:rPr>
              <w:t>图2    本项目生产工艺流程图</w:t>
            </w:r>
          </w:p>
          <w:p w14:paraId="691F0D6C">
            <w:pPr>
              <w:spacing w:line="360" w:lineRule="auto"/>
              <w:rPr>
                <w:color w:val="auto"/>
                <w:sz w:val="24"/>
              </w:rPr>
            </w:pPr>
            <w:r>
              <w:rPr>
                <w:color w:val="auto"/>
                <w:sz w:val="24"/>
              </w:rPr>
              <w:t>主要工艺说明：</w:t>
            </w:r>
          </w:p>
          <w:p w14:paraId="75AD5F2F">
            <w:pPr>
              <w:pStyle w:val="39"/>
              <w:spacing w:after="0" w:line="360" w:lineRule="auto"/>
              <w:ind w:firstLine="480" w:firstLineChars="200"/>
              <w:rPr>
                <w:color w:val="auto"/>
                <w:sz w:val="24"/>
              </w:rPr>
            </w:pPr>
            <w:r>
              <w:rPr>
                <w:rFonts w:hint="eastAsia" w:cs="Times New Roman"/>
                <w:color w:val="auto"/>
                <w:kern w:val="0"/>
                <w:sz w:val="24"/>
                <w:szCs w:val="24"/>
                <w:lang w:val="en-US" w:eastAsia="zh-CN" w:bidi="ar-SA"/>
              </w:rPr>
              <w:t>本项目生产工序</w:t>
            </w:r>
            <w:r>
              <w:rPr>
                <w:rFonts w:ascii="Times New Roman" w:hAnsi="Times New Roman" w:eastAsia="宋体" w:cs="Times New Roman"/>
                <w:color w:val="auto"/>
                <w:kern w:val="0"/>
                <w:sz w:val="24"/>
                <w:szCs w:val="24"/>
                <w:lang w:val="en-US" w:eastAsia="zh-CN" w:bidi="ar-SA"/>
              </w:rPr>
              <w:t>采用物料储存、物料称量输送、搅拌工序、外运等等几部分组成，生产工艺如下：</w:t>
            </w:r>
            <w:r>
              <w:rPr>
                <w:color w:val="auto"/>
                <w:sz w:val="24"/>
              </w:rPr>
              <w:t xml:space="preserve"> </w:t>
            </w:r>
          </w:p>
          <w:p w14:paraId="00398FDD">
            <w:pPr>
              <w:pStyle w:val="39"/>
              <w:numPr>
                <w:ilvl w:val="0"/>
                <w:numId w:val="0"/>
              </w:numPr>
              <w:spacing w:after="0"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color w:val="auto"/>
                <w:sz w:val="24"/>
              </w:rPr>
              <w:t>物料储存</w:t>
            </w:r>
          </w:p>
          <w:p w14:paraId="01DCBB8A">
            <w:pPr>
              <w:pStyle w:val="39"/>
              <w:spacing w:after="0" w:line="360" w:lineRule="auto"/>
              <w:ind w:firstLine="480" w:firstLineChars="200"/>
              <w:rPr>
                <w:rFonts w:hint="eastAsia" w:eastAsia="宋体"/>
                <w:color w:val="auto"/>
                <w:sz w:val="24"/>
                <w:lang w:val="en-US" w:eastAsia="zh-CN"/>
              </w:rPr>
            </w:pPr>
            <w:r>
              <w:rPr>
                <w:rFonts w:hint="eastAsia"/>
                <w:color w:val="auto"/>
                <w:sz w:val="24"/>
                <w:lang w:val="en-US" w:eastAsia="zh-CN"/>
              </w:rPr>
              <w:t>原料砂子、碎石由篷布覆盖的货车运输到厂区砂石料场储存，采用自卸货方式装卸，料场洒水降尘全覆盖；</w:t>
            </w:r>
            <w:r>
              <w:rPr>
                <w:color w:val="auto"/>
                <w:sz w:val="24"/>
              </w:rPr>
              <w:t>水泥、粉煤灰等粉料分别由专用罐车运输进厂，通过罐车自带的管道以负压吸入料斗，再以压缩空气（正压）通过管道吸入</w:t>
            </w:r>
            <w:r>
              <w:rPr>
                <w:rFonts w:hint="eastAsia"/>
                <w:color w:val="auto"/>
                <w:sz w:val="24"/>
                <w:lang w:val="en-US" w:eastAsia="zh-CN"/>
              </w:rPr>
              <w:t>各个筒仓</w:t>
            </w:r>
            <w:r>
              <w:rPr>
                <w:color w:val="auto"/>
                <w:sz w:val="24"/>
              </w:rPr>
              <w:t>，整个输送过程在密闭的管道中完成</w:t>
            </w:r>
            <w:r>
              <w:rPr>
                <w:rFonts w:hint="eastAsia"/>
                <w:color w:val="auto"/>
                <w:sz w:val="24"/>
                <w:lang w:eastAsia="zh-CN"/>
              </w:rPr>
              <w:t>，</w:t>
            </w:r>
            <w:r>
              <w:rPr>
                <w:rFonts w:hint="eastAsia"/>
                <w:color w:val="auto"/>
                <w:sz w:val="24"/>
                <w:lang w:val="en-US" w:eastAsia="zh-CN"/>
              </w:rPr>
              <w:t>各筒仓均装有布袋除尘器，含尘废气经除尘后达标排放，收集的粉尘排入筒仓；</w:t>
            </w:r>
            <w:r>
              <w:rPr>
                <w:color w:val="auto"/>
                <w:sz w:val="24"/>
              </w:rPr>
              <w:t>添加剂由专用罐车运输至厂区</w:t>
            </w:r>
            <w:r>
              <w:rPr>
                <w:rFonts w:hint="eastAsia"/>
                <w:color w:val="auto"/>
                <w:sz w:val="24"/>
                <w:lang w:val="en-US" w:eastAsia="zh-CN"/>
              </w:rPr>
              <w:t>后</w:t>
            </w:r>
            <w:r>
              <w:rPr>
                <w:color w:val="auto"/>
                <w:sz w:val="24"/>
              </w:rPr>
              <w:t>储存</w:t>
            </w:r>
            <w:r>
              <w:rPr>
                <w:rFonts w:hint="eastAsia"/>
                <w:color w:val="auto"/>
                <w:sz w:val="24"/>
                <w:lang w:val="en-US" w:eastAsia="zh-CN"/>
              </w:rPr>
              <w:t>在专用</w:t>
            </w:r>
            <w:r>
              <w:rPr>
                <w:color w:val="auto"/>
                <w:sz w:val="24"/>
              </w:rPr>
              <w:t>添加剂储罐</w:t>
            </w:r>
            <w:r>
              <w:rPr>
                <w:rFonts w:hint="eastAsia"/>
                <w:color w:val="auto"/>
                <w:sz w:val="24"/>
                <w:lang w:eastAsia="zh-CN"/>
              </w:rPr>
              <w:t>。</w:t>
            </w:r>
          </w:p>
          <w:p w14:paraId="27074BC8">
            <w:pPr>
              <w:pStyle w:val="39"/>
              <w:spacing w:after="0" w:line="360" w:lineRule="auto"/>
              <w:ind w:firstLine="480" w:firstLineChars="200"/>
              <w:rPr>
                <w:color w:val="auto"/>
                <w:sz w:val="24"/>
              </w:rPr>
            </w:pPr>
            <w:r>
              <w:rPr>
                <w:color w:val="auto"/>
                <w:sz w:val="24"/>
              </w:rPr>
              <w:t>（2）物料称量输送</w:t>
            </w:r>
          </w:p>
          <w:p w14:paraId="49B8A25B">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各物料根据产品类型不同确定不同比例加料，砂子、碎石由车辆从料场装载至斗式料仓，料仓安装自动计量系统，</w:t>
            </w:r>
            <w:r>
              <w:rPr>
                <w:rFonts w:ascii="Times New Roman" w:hAnsi="Times New Roman" w:eastAsia="宋体" w:cs="Times New Roman"/>
                <w:color w:val="auto"/>
                <w:kern w:val="0"/>
                <w:sz w:val="24"/>
              </w:rPr>
              <w:t>物料经过计量后由密闭的输送机输送至斜皮带，由密闭斜皮带送入混凝土搅拌机；水泥、粉煤灰等粉料由密闭输送机输送到粉料秤斗进行计量，</w:t>
            </w:r>
            <w:r>
              <w:rPr>
                <w:rFonts w:hint="eastAsia" w:cs="Times New Roman"/>
                <w:color w:val="auto"/>
                <w:kern w:val="0"/>
                <w:sz w:val="24"/>
                <w:lang w:val="en-US" w:eastAsia="zh-CN"/>
              </w:rPr>
              <w:t>经过计量由称斗进入搅拌机；</w:t>
            </w:r>
            <w:r>
              <w:rPr>
                <w:rFonts w:ascii="Times New Roman" w:hAnsi="Times New Roman" w:eastAsia="宋体" w:cs="Times New Roman"/>
                <w:color w:val="auto"/>
                <w:kern w:val="0"/>
                <w:sz w:val="24"/>
              </w:rPr>
              <w:t>添加剂由泵从储罐泵</w:t>
            </w:r>
            <w:r>
              <w:rPr>
                <w:rFonts w:hint="eastAsia" w:cs="Times New Roman"/>
                <w:color w:val="auto"/>
                <w:kern w:val="0"/>
                <w:sz w:val="24"/>
                <w:lang w:val="en-US" w:eastAsia="zh-CN"/>
              </w:rPr>
              <w:t>入</w:t>
            </w:r>
            <w:r>
              <w:rPr>
                <w:rFonts w:ascii="Times New Roman" w:hAnsi="Times New Roman" w:eastAsia="宋体" w:cs="Times New Roman"/>
                <w:color w:val="auto"/>
                <w:kern w:val="0"/>
                <w:sz w:val="24"/>
              </w:rPr>
              <w:t>搅拌机</w:t>
            </w:r>
            <w:r>
              <w:rPr>
                <w:rFonts w:hint="eastAsia" w:cs="Times New Roman"/>
                <w:color w:val="auto"/>
                <w:kern w:val="0"/>
                <w:sz w:val="24"/>
                <w:lang w:eastAsia="zh-CN"/>
              </w:rPr>
              <w:t>；</w:t>
            </w:r>
            <w:r>
              <w:rPr>
                <w:rFonts w:ascii="Times New Roman" w:hAnsi="Times New Roman" w:eastAsia="宋体" w:cs="Times New Roman"/>
                <w:color w:val="auto"/>
                <w:kern w:val="0"/>
                <w:sz w:val="24"/>
              </w:rPr>
              <w:t>生产搅拌用水采用压力供水，搅拌用水由水秤斗计量后送入搅拌机。</w:t>
            </w:r>
          </w:p>
          <w:p w14:paraId="1270A4E3">
            <w:pPr>
              <w:pStyle w:val="39"/>
              <w:spacing w:after="0" w:line="360" w:lineRule="auto"/>
              <w:ind w:firstLine="480" w:firstLineChars="200"/>
              <w:rPr>
                <w:color w:val="auto"/>
                <w:sz w:val="24"/>
              </w:rPr>
            </w:pPr>
            <w:r>
              <w:rPr>
                <w:color w:val="auto"/>
                <w:sz w:val="24"/>
              </w:rPr>
              <w:t>（3）搅拌工序</w:t>
            </w:r>
          </w:p>
          <w:p w14:paraId="1AC7FE0B">
            <w:pPr>
              <w:pStyle w:val="39"/>
              <w:spacing w:after="0" w:line="360" w:lineRule="auto"/>
              <w:ind w:firstLine="480" w:firstLineChars="200"/>
              <w:rPr>
                <w:rFonts w:hint="default" w:eastAsia="宋体"/>
                <w:color w:val="auto"/>
                <w:sz w:val="24"/>
                <w:lang w:val="en-US" w:eastAsia="zh-CN"/>
              </w:rPr>
            </w:pPr>
            <w:r>
              <w:rPr>
                <w:rFonts w:hint="eastAsia"/>
                <w:color w:val="auto"/>
                <w:sz w:val="24"/>
                <w:lang w:val="en-US" w:eastAsia="zh-CN"/>
              </w:rPr>
              <w:t>经过计量后的各种原料进入搅拌机进行机械式搅拌，搅拌楼为密闭作业，搅拌机自带脉冲布袋除尘器，收集的除尘灰进入搅拌机回用，</w:t>
            </w:r>
            <w:r>
              <w:rPr>
                <w:rFonts w:ascii="Times New Roman" w:hAnsi="Times New Roman" w:eastAsia="宋体" w:cs="Times New Roman"/>
                <w:color w:val="auto"/>
                <w:kern w:val="0"/>
                <w:sz w:val="24"/>
                <w:szCs w:val="24"/>
                <w:lang w:val="en-US" w:eastAsia="zh-CN" w:bidi="ar-SA"/>
              </w:rPr>
              <w:t>本工序严格控制各原料配料量，以保证混凝土的</w:t>
            </w:r>
            <w:r>
              <w:rPr>
                <w:rFonts w:hint="eastAsia" w:cs="Times New Roman"/>
                <w:color w:val="auto"/>
                <w:kern w:val="0"/>
                <w:sz w:val="24"/>
                <w:szCs w:val="24"/>
                <w:lang w:val="en-US" w:eastAsia="zh-CN" w:bidi="ar-SA"/>
              </w:rPr>
              <w:t>规格</w:t>
            </w:r>
            <w:r>
              <w:rPr>
                <w:rFonts w:ascii="Times New Roman" w:hAnsi="Times New Roman" w:eastAsia="宋体" w:cs="Times New Roman"/>
                <w:color w:val="auto"/>
                <w:kern w:val="0"/>
                <w:sz w:val="24"/>
                <w:szCs w:val="24"/>
                <w:lang w:val="en-US" w:eastAsia="zh-CN" w:bidi="ar-SA"/>
              </w:rPr>
              <w:t>质量。</w:t>
            </w:r>
            <w:r>
              <w:rPr>
                <w:color w:val="auto"/>
                <w:sz w:val="24"/>
              </w:rPr>
              <w:t xml:space="preserve"> </w:t>
            </w:r>
          </w:p>
          <w:p w14:paraId="54C950C3">
            <w:pPr>
              <w:pStyle w:val="39"/>
              <w:spacing w:after="0" w:line="360" w:lineRule="auto"/>
              <w:ind w:firstLine="480" w:firstLineChars="200"/>
              <w:rPr>
                <w:color w:val="auto"/>
                <w:sz w:val="24"/>
              </w:rPr>
            </w:pPr>
            <w:r>
              <w:rPr>
                <w:color w:val="auto"/>
                <w:sz w:val="24"/>
              </w:rPr>
              <w:t>（4）外运</w:t>
            </w:r>
          </w:p>
          <w:p w14:paraId="785294FF">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 xml:space="preserve">搅拌均匀后的混凝土由搅拌机出料口卸入罐车直接运至施工现场。 </w:t>
            </w:r>
          </w:p>
          <w:p w14:paraId="09B4D886">
            <w:pPr>
              <w:pStyle w:val="39"/>
              <w:spacing w:after="0" w:line="360" w:lineRule="auto"/>
              <w:ind w:firstLine="480" w:firstLineChars="200"/>
              <w:rPr>
                <w:color w:val="auto"/>
                <w:sz w:val="24"/>
              </w:rPr>
            </w:pPr>
            <w:r>
              <w:rPr>
                <w:color w:val="auto"/>
                <w:sz w:val="24"/>
              </w:rPr>
              <w:t>（5）清洁</w:t>
            </w:r>
          </w:p>
          <w:p w14:paraId="2B1AC6C5">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ascii="Times New Roman" w:hAnsi="Times New Roman" w:eastAsia="宋体" w:cs="Times New Roman"/>
                <w:color w:val="auto"/>
                <w:kern w:val="0"/>
                <w:sz w:val="24"/>
              </w:rPr>
              <w:t>生产结束后，</w:t>
            </w:r>
            <w:r>
              <w:rPr>
                <w:rFonts w:hint="eastAsia" w:cs="Times New Roman"/>
                <w:color w:val="auto"/>
                <w:kern w:val="0"/>
                <w:sz w:val="24"/>
                <w:lang w:val="en-US" w:eastAsia="zh-CN"/>
              </w:rPr>
              <w:t>工作人员用水枪等冲洗设备冲洗搅拌设备和罐车，冲洗后的废水排入砂石分离机，经离心分离后排入沉淀池，分离后的砂石和沉淀池的沉渣均回用于生产。</w:t>
            </w:r>
          </w:p>
          <w:p w14:paraId="3553E119">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2.产排污情况</w:t>
            </w:r>
          </w:p>
          <w:p w14:paraId="7E775F11">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2.1废气</w:t>
            </w:r>
          </w:p>
          <w:p w14:paraId="4A7DB018">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本项目运营期间产生的废气包括筒仓产生的粉尘，搅拌机产生的粉尘，料场扬尘，装卸料产生的扬尘，车辆运输产生的扬尘，食堂产生的油烟。</w:t>
            </w:r>
          </w:p>
          <w:p w14:paraId="3A89A714">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2.2废水</w:t>
            </w:r>
          </w:p>
          <w:p w14:paraId="2EF94D83">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本项目产生的废水包括生产废水和生活污水。生产废水为冲洗搅拌设备和罐车产生，生活污水为工作人员日常生活产生。</w:t>
            </w:r>
          </w:p>
          <w:p w14:paraId="342171F2">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2.3噪声</w:t>
            </w:r>
          </w:p>
          <w:p w14:paraId="05B6CC20">
            <w:pPr>
              <w:pStyle w:val="55"/>
              <w:spacing w:line="360" w:lineRule="auto"/>
              <w:ind w:firstLine="480" w:firstLineChars="200"/>
              <w:rPr>
                <w:rFonts w:hint="default" w:eastAsia="宋体"/>
                <w:color w:val="auto"/>
                <w:szCs w:val="24"/>
                <w:lang w:val="en-US" w:eastAsia="zh-CN"/>
              </w:rPr>
            </w:pPr>
            <w:r>
              <w:rPr>
                <w:rFonts w:hint="eastAsia"/>
                <w:color w:val="auto"/>
                <w:szCs w:val="24"/>
                <w:lang w:val="en-US" w:eastAsia="zh-CN"/>
              </w:rPr>
              <w:t>本项目产生的噪声主要为搅拌机、装卸机等设备运行时产生，以及车辆鸣笛。</w:t>
            </w:r>
          </w:p>
          <w:p w14:paraId="155F3B6A">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2.4固废</w:t>
            </w:r>
          </w:p>
          <w:p w14:paraId="78325DEB">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本项目固废主要为生产车间产生的固体废弃物，沉淀池产生的沉渣，工作人员日常生活产生的生活垃圾。机械设备维修保养产生的废机油。</w:t>
            </w:r>
          </w:p>
          <w:p w14:paraId="11FBDCF8">
            <w:pPr>
              <w:keepNext w:val="0"/>
              <w:keepLines w:val="0"/>
              <w:pageBreakBefore w:val="0"/>
              <w:widowControl w:val="0"/>
              <w:kinsoku/>
              <w:wordWrap/>
              <w:overflowPunct/>
              <w:topLinePunct w:val="0"/>
              <w:autoSpaceDE w:val="0"/>
              <w:autoSpaceDN w:val="0"/>
              <w:bidi w:val="0"/>
              <w:adjustRightInd w:val="0"/>
              <w:snapToGrid w:val="0"/>
              <w:spacing w:after="937" w:afterLines="300" w:line="360" w:lineRule="auto"/>
              <w:ind w:firstLine="480" w:firstLineChars="200"/>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本项目产排污情况见表2-6。</w:t>
            </w:r>
          </w:p>
          <w:p w14:paraId="25CDE6D1">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表2-6    产排污环节一览表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579"/>
              <w:gridCol w:w="2079"/>
              <w:gridCol w:w="1573"/>
              <w:gridCol w:w="1632"/>
            </w:tblGrid>
            <w:tr w14:paraId="7C9519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1" w:type="pct"/>
                  <w:tcBorders>
                    <w:bottom w:val="single" w:color="auto" w:sz="12" w:space="0"/>
                  </w:tcBorders>
                  <w:vAlign w:val="center"/>
                </w:tcPr>
                <w:p w14:paraId="2F5BC4C9">
                  <w:pPr>
                    <w:pStyle w:val="55"/>
                    <w:jc w:val="center"/>
                    <w:rPr>
                      <w:b/>
                      <w:color w:val="auto"/>
                      <w:sz w:val="21"/>
                      <w:szCs w:val="21"/>
                      <w:highlight w:val="none"/>
                    </w:rPr>
                  </w:pPr>
                  <w:r>
                    <w:rPr>
                      <w:b/>
                      <w:color w:val="auto"/>
                      <w:sz w:val="21"/>
                      <w:szCs w:val="21"/>
                      <w:highlight w:val="none"/>
                    </w:rPr>
                    <w:t>序号</w:t>
                  </w:r>
                </w:p>
              </w:tc>
              <w:tc>
                <w:tcPr>
                  <w:tcW w:w="968" w:type="pct"/>
                  <w:tcBorders>
                    <w:bottom w:val="single" w:color="auto" w:sz="12" w:space="0"/>
                  </w:tcBorders>
                  <w:vAlign w:val="center"/>
                </w:tcPr>
                <w:p w14:paraId="15FB7469">
                  <w:pPr>
                    <w:pStyle w:val="55"/>
                    <w:jc w:val="center"/>
                    <w:rPr>
                      <w:b/>
                      <w:color w:val="auto"/>
                      <w:sz w:val="21"/>
                      <w:szCs w:val="21"/>
                      <w:highlight w:val="none"/>
                    </w:rPr>
                  </w:pPr>
                  <w:r>
                    <w:rPr>
                      <w:b/>
                      <w:color w:val="auto"/>
                      <w:sz w:val="21"/>
                      <w:szCs w:val="21"/>
                      <w:highlight w:val="none"/>
                    </w:rPr>
                    <w:t>污染物类别</w:t>
                  </w:r>
                </w:p>
              </w:tc>
              <w:tc>
                <w:tcPr>
                  <w:tcW w:w="1274" w:type="pct"/>
                  <w:tcBorders>
                    <w:bottom w:val="single" w:color="auto" w:sz="12" w:space="0"/>
                  </w:tcBorders>
                  <w:vAlign w:val="center"/>
                </w:tcPr>
                <w:p w14:paraId="4326AEB3">
                  <w:pPr>
                    <w:pStyle w:val="55"/>
                    <w:jc w:val="center"/>
                    <w:rPr>
                      <w:b/>
                      <w:color w:val="auto"/>
                      <w:sz w:val="21"/>
                      <w:szCs w:val="21"/>
                      <w:highlight w:val="none"/>
                    </w:rPr>
                  </w:pPr>
                  <w:r>
                    <w:rPr>
                      <w:b/>
                      <w:color w:val="auto"/>
                      <w:sz w:val="21"/>
                      <w:szCs w:val="21"/>
                      <w:highlight w:val="none"/>
                    </w:rPr>
                    <w:t>产排污环节</w:t>
                  </w:r>
                </w:p>
              </w:tc>
              <w:tc>
                <w:tcPr>
                  <w:tcW w:w="964" w:type="pct"/>
                  <w:tcBorders>
                    <w:bottom w:val="single" w:color="auto" w:sz="12" w:space="0"/>
                  </w:tcBorders>
                  <w:vAlign w:val="center"/>
                </w:tcPr>
                <w:p w14:paraId="7BF5194D">
                  <w:pPr>
                    <w:pStyle w:val="55"/>
                    <w:jc w:val="center"/>
                    <w:rPr>
                      <w:b/>
                      <w:color w:val="auto"/>
                      <w:sz w:val="21"/>
                      <w:szCs w:val="21"/>
                      <w:highlight w:val="none"/>
                    </w:rPr>
                  </w:pPr>
                  <w:r>
                    <w:rPr>
                      <w:b/>
                      <w:color w:val="auto"/>
                      <w:sz w:val="21"/>
                      <w:szCs w:val="21"/>
                      <w:highlight w:val="none"/>
                    </w:rPr>
                    <w:t>污染物名称</w:t>
                  </w:r>
                </w:p>
              </w:tc>
              <w:tc>
                <w:tcPr>
                  <w:tcW w:w="1000" w:type="pct"/>
                  <w:tcBorders>
                    <w:bottom w:val="single" w:color="auto" w:sz="12" w:space="0"/>
                  </w:tcBorders>
                  <w:vAlign w:val="center"/>
                </w:tcPr>
                <w:p w14:paraId="53480DB7">
                  <w:pPr>
                    <w:pStyle w:val="55"/>
                    <w:jc w:val="center"/>
                    <w:rPr>
                      <w:b/>
                      <w:color w:val="auto"/>
                      <w:sz w:val="21"/>
                      <w:szCs w:val="21"/>
                      <w:highlight w:val="none"/>
                    </w:rPr>
                  </w:pPr>
                  <w:r>
                    <w:rPr>
                      <w:b/>
                      <w:color w:val="auto"/>
                      <w:sz w:val="21"/>
                      <w:szCs w:val="21"/>
                      <w:highlight w:val="none"/>
                    </w:rPr>
                    <w:t>污染因子</w:t>
                  </w:r>
                </w:p>
              </w:tc>
            </w:tr>
            <w:tr w14:paraId="4BF092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1" w:type="pct"/>
                  <w:tcBorders>
                    <w:top w:val="single" w:color="auto" w:sz="12" w:space="0"/>
                    <w:tl2br w:val="nil"/>
                    <w:tr2bl w:val="nil"/>
                  </w:tcBorders>
                  <w:vAlign w:val="center"/>
                </w:tcPr>
                <w:p w14:paraId="07375F51">
                  <w:pPr>
                    <w:pStyle w:val="55"/>
                    <w:jc w:val="center"/>
                    <w:rPr>
                      <w:bCs/>
                      <w:color w:val="auto"/>
                      <w:sz w:val="21"/>
                      <w:szCs w:val="21"/>
                      <w:highlight w:val="none"/>
                    </w:rPr>
                  </w:pPr>
                  <w:r>
                    <w:rPr>
                      <w:bCs/>
                      <w:color w:val="auto"/>
                      <w:sz w:val="21"/>
                      <w:szCs w:val="21"/>
                      <w:highlight w:val="none"/>
                    </w:rPr>
                    <w:t>1</w:t>
                  </w:r>
                </w:p>
              </w:tc>
              <w:tc>
                <w:tcPr>
                  <w:tcW w:w="968" w:type="pct"/>
                  <w:vMerge w:val="restart"/>
                  <w:tcBorders>
                    <w:top w:val="single" w:color="auto" w:sz="12" w:space="0"/>
                    <w:tl2br w:val="nil"/>
                    <w:tr2bl w:val="nil"/>
                  </w:tcBorders>
                  <w:vAlign w:val="center"/>
                </w:tcPr>
                <w:p w14:paraId="29026701">
                  <w:pPr>
                    <w:pStyle w:val="55"/>
                    <w:jc w:val="center"/>
                    <w:rPr>
                      <w:bCs/>
                      <w:color w:val="auto"/>
                      <w:sz w:val="21"/>
                      <w:szCs w:val="21"/>
                      <w:highlight w:val="none"/>
                    </w:rPr>
                  </w:pPr>
                  <w:r>
                    <w:rPr>
                      <w:bCs/>
                      <w:color w:val="auto"/>
                      <w:sz w:val="21"/>
                      <w:szCs w:val="21"/>
                      <w:highlight w:val="none"/>
                    </w:rPr>
                    <w:t>废气污染物</w:t>
                  </w:r>
                </w:p>
              </w:tc>
              <w:tc>
                <w:tcPr>
                  <w:tcW w:w="1274" w:type="pct"/>
                  <w:tcBorders>
                    <w:top w:val="single" w:color="auto" w:sz="12" w:space="0"/>
                    <w:tl2br w:val="nil"/>
                    <w:tr2bl w:val="nil"/>
                  </w:tcBorders>
                  <w:vAlign w:val="center"/>
                </w:tcPr>
                <w:p w14:paraId="49B842C3">
                  <w:pPr>
                    <w:jc w:val="center"/>
                    <w:rPr>
                      <w:bCs/>
                      <w:color w:val="auto"/>
                      <w:sz w:val="21"/>
                      <w:szCs w:val="21"/>
                      <w:highlight w:val="none"/>
                    </w:rPr>
                  </w:pPr>
                  <w:r>
                    <w:rPr>
                      <w:rFonts w:hint="eastAsia"/>
                      <w:color w:val="auto"/>
                      <w:sz w:val="21"/>
                      <w:szCs w:val="21"/>
                      <w:highlight w:val="none"/>
                      <w:lang w:val="en-US" w:eastAsia="zh-CN"/>
                    </w:rPr>
                    <w:t>G1、G2：</w:t>
                  </w:r>
                  <w:r>
                    <w:rPr>
                      <w:color w:val="auto"/>
                      <w:sz w:val="21"/>
                      <w:szCs w:val="21"/>
                      <w:highlight w:val="none"/>
                    </w:rPr>
                    <w:t>筒仓储存</w:t>
                  </w:r>
                </w:p>
              </w:tc>
              <w:tc>
                <w:tcPr>
                  <w:tcW w:w="964" w:type="pct"/>
                  <w:vMerge w:val="restart"/>
                  <w:tcBorders>
                    <w:top w:val="single" w:color="auto" w:sz="12" w:space="0"/>
                    <w:tl2br w:val="nil"/>
                    <w:tr2bl w:val="nil"/>
                  </w:tcBorders>
                  <w:vAlign w:val="center"/>
                </w:tcPr>
                <w:p w14:paraId="020E329A">
                  <w:pPr>
                    <w:pStyle w:val="55"/>
                    <w:jc w:val="center"/>
                    <w:rPr>
                      <w:bCs/>
                      <w:color w:val="auto"/>
                      <w:sz w:val="21"/>
                      <w:szCs w:val="21"/>
                      <w:highlight w:val="none"/>
                    </w:rPr>
                  </w:pPr>
                  <w:r>
                    <w:rPr>
                      <w:bCs/>
                      <w:color w:val="auto"/>
                      <w:sz w:val="21"/>
                      <w:szCs w:val="21"/>
                      <w:highlight w:val="none"/>
                    </w:rPr>
                    <w:t>粉尘</w:t>
                  </w:r>
                </w:p>
              </w:tc>
              <w:tc>
                <w:tcPr>
                  <w:tcW w:w="1000" w:type="pct"/>
                  <w:vMerge w:val="restart"/>
                  <w:tcBorders>
                    <w:top w:val="single" w:color="auto" w:sz="12" w:space="0"/>
                    <w:tl2br w:val="nil"/>
                    <w:tr2bl w:val="nil"/>
                  </w:tcBorders>
                  <w:vAlign w:val="center"/>
                </w:tcPr>
                <w:p w14:paraId="19127280">
                  <w:pPr>
                    <w:pStyle w:val="55"/>
                    <w:jc w:val="center"/>
                    <w:rPr>
                      <w:bCs/>
                      <w:color w:val="auto"/>
                      <w:sz w:val="21"/>
                      <w:szCs w:val="21"/>
                      <w:highlight w:val="none"/>
                    </w:rPr>
                  </w:pPr>
                  <w:r>
                    <w:rPr>
                      <w:bCs/>
                      <w:color w:val="auto"/>
                      <w:sz w:val="21"/>
                      <w:szCs w:val="21"/>
                      <w:highlight w:val="none"/>
                    </w:rPr>
                    <w:t>颗粒物</w:t>
                  </w:r>
                </w:p>
              </w:tc>
            </w:tr>
            <w:tr w14:paraId="650E8B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1" w:type="pct"/>
                  <w:tcBorders>
                    <w:tl2br w:val="nil"/>
                    <w:tr2bl w:val="nil"/>
                  </w:tcBorders>
                  <w:vAlign w:val="center"/>
                </w:tcPr>
                <w:p w14:paraId="01359C58">
                  <w:pPr>
                    <w:pStyle w:val="55"/>
                    <w:jc w:val="center"/>
                    <w:rPr>
                      <w:bCs/>
                      <w:color w:val="auto"/>
                      <w:sz w:val="21"/>
                      <w:szCs w:val="21"/>
                      <w:highlight w:val="none"/>
                    </w:rPr>
                  </w:pPr>
                  <w:r>
                    <w:rPr>
                      <w:bCs/>
                      <w:color w:val="auto"/>
                      <w:sz w:val="21"/>
                      <w:szCs w:val="21"/>
                      <w:highlight w:val="none"/>
                    </w:rPr>
                    <w:t>2</w:t>
                  </w:r>
                </w:p>
              </w:tc>
              <w:tc>
                <w:tcPr>
                  <w:tcW w:w="968" w:type="pct"/>
                  <w:vMerge w:val="continue"/>
                  <w:tcBorders>
                    <w:tl2br w:val="nil"/>
                    <w:tr2bl w:val="nil"/>
                  </w:tcBorders>
                  <w:vAlign w:val="center"/>
                </w:tcPr>
                <w:p w14:paraId="3AEB2667">
                  <w:pPr>
                    <w:pStyle w:val="55"/>
                    <w:jc w:val="center"/>
                    <w:rPr>
                      <w:bCs/>
                      <w:color w:val="auto"/>
                      <w:sz w:val="21"/>
                      <w:szCs w:val="21"/>
                      <w:highlight w:val="none"/>
                    </w:rPr>
                  </w:pPr>
                </w:p>
              </w:tc>
              <w:tc>
                <w:tcPr>
                  <w:tcW w:w="1274" w:type="pct"/>
                  <w:tcBorders>
                    <w:tl2br w:val="nil"/>
                    <w:tr2bl w:val="nil"/>
                  </w:tcBorders>
                  <w:vAlign w:val="center"/>
                </w:tcPr>
                <w:p w14:paraId="1BE0B76C">
                  <w:pPr>
                    <w:jc w:val="center"/>
                    <w:rPr>
                      <w:bCs/>
                      <w:color w:val="auto"/>
                      <w:sz w:val="21"/>
                      <w:szCs w:val="21"/>
                      <w:highlight w:val="none"/>
                    </w:rPr>
                  </w:pPr>
                  <w:r>
                    <w:rPr>
                      <w:rFonts w:hint="eastAsia"/>
                      <w:color w:val="auto"/>
                      <w:sz w:val="21"/>
                      <w:szCs w:val="21"/>
                      <w:highlight w:val="none"/>
                      <w:lang w:val="en-US" w:eastAsia="zh-CN"/>
                    </w:rPr>
                    <w:t>G3：</w:t>
                  </w:r>
                  <w:r>
                    <w:rPr>
                      <w:color w:val="auto"/>
                      <w:sz w:val="21"/>
                      <w:szCs w:val="21"/>
                      <w:highlight w:val="none"/>
                    </w:rPr>
                    <w:t>卸料</w:t>
                  </w:r>
                </w:p>
              </w:tc>
              <w:tc>
                <w:tcPr>
                  <w:tcW w:w="964" w:type="pct"/>
                  <w:vMerge w:val="continue"/>
                  <w:tcBorders>
                    <w:tl2br w:val="nil"/>
                    <w:tr2bl w:val="nil"/>
                  </w:tcBorders>
                  <w:vAlign w:val="center"/>
                </w:tcPr>
                <w:p w14:paraId="46EF5A3C">
                  <w:pPr>
                    <w:pStyle w:val="55"/>
                    <w:jc w:val="center"/>
                    <w:rPr>
                      <w:bCs/>
                      <w:color w:val="auto"/>
                      <w:sz w:val="21"/>
                      <w:szCs w:val="21"/>
                      <w:highlight w:val="none"/>
                    </w:rPr>
                  </w:pPr>
                </w:p>
              </w:tc>
              <w:tc>
                <w:tcPr>
                  <w:tcW w:w="1000" w:type="pct"/>
                  <w:vMerge w:val="continue"/>
                  <w:tcBorders>
                    <w:tl2br w:val="nil"/>
                    <w:tr2bl w:val="nil"/>
                  </w:tcBorders>
                  <w:vAlign w:val="center"/>
                </w:tcPr>
                <w:p w14:paraId="5D245CCA">
                  <w:pPr>
                    <w:pStyle w:val="55"/>
                    <w:jc w:val="center"/>
                    <w:rPr>
                      <w:bCs/>
                      <w:color w:val="auto"/>
                      <w:sz w:val="21"/>
                      <w:szCs w:val="21"/>
                      <w:highlight w:val="none"/>
                    </w:rPr>
                  </w:pPr>
                </w:p>
              </w:tc>
            </w:tr>
            <w:tr w14:paraId="534B99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1" w:type="pct"/>
                  <w:tcBorders>
                    <w:tl2br w:val="nil"/>
                    <w:tr2bl w:val="nil"/>
                  </w:tcBorders>
                  <w:vAlign w:val="center"/>
                </w:tcPr>
                <w:p w14:paraId="3E2F9B19">
                  <w:pPr>
                    <w:pStyle w:val="55"/>
                    <w:jc w:val="center"/>
                    <w:rPr>
                      <w:bCs/>
                      <w:color w:val="auto"/>
                      <w:sz w:val="21"/>
                      <w:szCs w:val="21"/>
                      <w:highlight w:val="none"/>
                    </w:rPr>
                  </w:pPr>
                  <w:r>
                    <w:rPr>
                      <w:bCs/>
                      <w:color w:val="auto"/>
                      <w:sz w:val="21"/>
                      <w:szCs w:val="21"/>
                      <w:highlight w:val="none"/>
                    </w:rPr>
                    <w:t>3</w:t>
                  </w:r>
                </w:p>
              </w:tc>
              <w:tc>
                <w:tcPr>
                  <w:tcW w:w="968" w:type="pct"/>
                  <w:vMerge w:val="continue"/>
                  <w:tcBorders>
                    <w:tl2br w:val="nil"/>
                    <w:tr2bl w:val="nil"/>
                  </w:tcBorders>
                  <w:vAlign w:val="center"/>
                </w:tcPr>
                <w:p w14:paraId="73E31599">
                  <w:pPr>
                    <w:pStyle w:val="55"/>
                    <w:jc w:val="center"/>
                    <w:rPr>
                      <w:bCs/>
                      <w:color w:val="auto"/>
                      <w:sz w:val="21"/>
                      <w:szCs w:val="21"/>
                      <w:highlight w:val="none"/>
                    </w:rPr>
                  </w:pPr>
                </w:p>
              </w:tc>
              <w:tc>
                <w:tcPr>
                  <w:tcW w:w="1274" w:type="pct"/>
                  <w:tcBorders>
                    <w:tl2br w:val="nil"/>
                    <w:tr2bl w:val="nil"/>
                  </w:tcBorders>
                  <w:vAlign w:val="center"/>
                </w:tcPr>
                <w:p w14:paraId="731A4DBF">
                  <w:pPr>
                    <w:adjustRightInd w:val="0"/>
                    <w:snapToGrid w:val="0"/>
                    <w:jc w:val="center"/>
                    <w:rPr>
                      <w:bCs/>
                      <w:color w:val="auto"/>
                      <w:sz w:val="21"/>
                      <w:szCs w:val="21"/>
                      <w:highlight w:val="none"/>
                    </w:rPr>
                  </w:pPr>
                  <w:r>
                    <w:rPr>
                      <w:rFonts w:hint="eastAsia"/>
                      <w:color w:val="auto"/>
                      <w:sz w:val="21"/>
                      <w:szCs w:val="21"/>
                      <w:highlight w:val="none"/>
                      <w:lang w:val="en-US" w:eastAsia="zh-CN"/>
                    </w:rPr>
                    <w:t>G4：</w:t>
                  </w:r>
                  <w:r>
                    <w:rPr>
                      <w:color w:val="auto"/>
                      <w:sz w:val="21"/>
                      <w:szCs w:val="21"/>
                      <w:highlight w:val="none"/>
                    </w:rPr>
                    <w:t>廊道运输</w:t>
                  </w:r>
                </w:p>
              </w:tc>
              <w:tc>
                <w:tcPr>
                  <w:tcW w:w="964" w:type="pct"/>
                  <w:vMerge w:val="continue"/>
                  <w:tcBorders>
                    <w:tl2br w:val="nil"/>
                    <w:tr2bl w:val="nil"/>
                  </w:tcBorders>
                  <w:vAlign w:val="center"/>
                </w:tcPr>
                <w:p w14:paraId="19664FF7">
                  <w:pPr>
                    <w:pStyle w:val="55"/>
                    <w:jc w:val="center"/>
                    <w:rPr>
                      <w:bCs/>
                      <w:color w:val="auto"/>
                      <w:sz w:val="21"/>
                      <w:szCs w:val="21"/>
                      <w:highlight w:val="none"/>
                    </w:rPr>
                  </w:pPr>
                </w:p>
              </w:tc>
              <w:tc>
                <w:tcPr>
                  <w:tcW w:w="1000" w:type="pct"/>
                  <w:vMerge w:val="continue"/>
                  <w:tcBorders>
                    <w:tl2br w:val="nil"/>
                    <w:tr2bl w:val="nil"/>
                  </w:tcBorders>
                  <w:vAlign w:val="center"/>
                </w:tcPr>
                <w:p w14:paraId="3A2A7E45">
                  <w:pPr>
                    <w:pStyle w:val="55"/>
                    <w:jc w:val="center"/>
                    <w:rPr>
                      <w:bCs/>
                      <w:color w:val="auto"/>
                      <w:sz w:val="21"/>
                      <w:szCs w:val="21"/>
                      <w:highlight w:val="none"/>
                    </w:rPr>
                  </w:pPr>
                </w:p>
              </w:tc>
            </w:tr>
            <w:tr w14:paraId="052C17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1" w:type="pct"/>
                  <w:tcBorders>
                    <w:tl2br w:val="nil"/>
                    <w:tr2bl w:val="nil"/>
                  </w:tcBorders>
                  <w:vAlign w:val="center"/>
                </w:tcPr>
                <w:p w14:paraId="30892E02">
                  <w:pPr>
                    <w:pStyle w:val="55"/>
                    <w:jc w:val="center"/>
                    <w:rPr>
                      <w:bCs/>
                      <w:color w:val="auto"/>
                      <w:sz w:val="21"/>
                      <w:szCs w:val="21"/>
                      <w:highlight w:val="none"/>
                    </w:rPr>
                  </w:pPr>
                  <w:r>
                    <w:rPr>
                      <w:bCs/>
                      <w:color w:val="auto"/>
                      <w:sz w:val="21"/>
                      <w:szCs w:val="21"/>
                      <w:highlight w:val="none"/>
                    </w:rPr>
                    <w:t>4</w:t>
                  </w:r>
                </w:p>
              </w:tc>
              <w:tc>
                <w:tcPr>
                  <w:tcW w:w="968" w:type="pct"/>
                  <w:vMerge w:val="continue"/>
                  <w:tcBorders>
                    <w:tl2br w:val="nil"/>
                    <w:tr2bl w:val="nil"/>
                  </w:tcBorders>
                  <w:vAlign w:val="center"/>
                </w:tcPr>
                <w:p w14:paraId="34DC89F0">
                  <w:pPr>
                    <w:pStyle w:val="55"/>
                    <w:jc w:val="center"/>
                    <w:rPr>
                      <w:bCs/>
                      <w:color w:val="auto"/>
                      <w:sz w:val="21"/>
                      <w:szCs w:val="21"/>
                      <w:highlight w:val="none"/>
                    </w:rPr>
                  </w:pPr>
                </w:p>
              </w:tc>
              <w:tc>
                <w:tcPr>
                  <w:tcW w:w="1274" w:type="pct"/>
                  <w:tcBorders>
                    <w:tl2br w:val="nil"/>
                    <w:tr2bl w:val="nil"/>
                  </w:tcBorders>
                  <w:vAlign w:val="center"/>
                </w:tcPr>
                <w:p w14:paraId="226CEB2F">
                  <w:pPr>
                    <w:adjustRightInd w:val="0"/>
                    <w:snapToGrid w:val="0"/>
                    <w:jc w:val="center"/>
                    <w:rPr>
                      <w:bCs/>
                      <w:color w:val="auto"/>
                      <w:sz w:val="21"/>
                      <w:szCs w:val="21"/>
                      <w:highlight w:val="none"/>
                    </w:rPr>
                  </w:pPr>
                  <w:r>
                    <w:rPr>
                      <w:rFonts w:hint="eastAsia"/>
                      <w:color w:val="auto"/>
                      <w:sz w:val="21"/>
                      <w:szCs w:val="21"/>
                      <w:highlight w:val="none"/>
                      <w:lang w:val="en-US" w:eastAsia="zh-CN"/>
                    </w:rPr>
                    <w:t>G5：</w:t>
                  </w:r>
                  <w:r>
                    <w:rPr>
                      <w:color w:val="auto"/>
                      <w:sz w:val="21"/>
                      <w:szCs w:val="21"/>
                      <w:highlight w:val="none"/>
                    </w:rPr>
                    <w:t>搅拌工序</w:t>
                  </w:r>
                </w:p>
              </w:tc>
              <w:tc>
                <w:tcPr>
                  <w:tcW w:w="964" w:type="pct"/>
                  <w:vMerge w:val="continue"/>
                  <w:tcBorders>
                    <w:tl2br w:val="nil"/>
                    <w:tr2bl w:val="nil"/>
                  </w:tcBorders>
                  <w:vAlign w:val="center"/>
                </w:tcPr>
                <w:p w14:paraId="3F1C4635">
                  <w:pPr>
                    <w:pStyle w:val="55"/>
                    <w:jc w:val="center"/>
                    <w:rPr>
                      <w:bCs/>
                      <w:color w:val="auto"/>
                      <w:sz w:val="21"/>
                      <w:szCs w:val="21"/>
                      <w:highlight w:val="none"/>
                    </w:rPr>
                  </w:pPr>
                </w:p>
              </w:tc>
              <w:tc>
                <w:tcPr>
                  <w:tcW w:w="1000" w:type="pct"/>
                  <w:vMerge w:val="continue"/>
                  <w:tcBorders>
                    <w:tl2br w:val="nil"/>
                    <w:tr2bl w:val="nil"/>
                  </w:tcBorders>
                  <w:vAlign w:val="center"/>
                </w:tcPr>
                <w:p w14:paraId="417A0F09">
                  <w:pPr>
                    <w:pStyle w:val="55"/>
                    <w:jc w:val="center"/>
                    <w:rPr>
                      <w:bCs/>
                      <w:color w:val="auto"/>
                      <w:sz w:val="21"/>
                      <w:szCs w:val="21"/>
                      <w:highlight w:val="none"/>
                    </w:rPr>
                  </w:pPr>
                </w:p>
              </w:tc>
            </w:tr>
            <w:tr w14:paraId="54B626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1" w:type="pct"/>
                  <w:tcBorders>
                    <w:tl2br w:val="nil"/>
                    <w:tr2bl w:val="nil"/>
                  </w:tcBorders>
                  <w:vAlign w:val="center"/>
                </w:tcPr>
                <w:p w14:paraId="669A2392">
                  <w:pPr>
                    <w:pStyle w:val="55"/>
                    <w:jc w:val="center"/>
                    <w:rPr>
                      <w:bCs/>
                      <w:color w:val="auto"/>
                      <w:sz w:val="21"/>
                      <w:szCs w:val="21"/>
                      <w:highlight w:val="none"/>
                    </w:rPr>
                  </w:pPr>
                  <w:r>
                    <w:rPr>
                      <w:bCs/>
                      <w:color w:val="auto"/>
                      <w:sz w:val="21"/>
                      <w:szCs w:val="21"/>
                      <w:highlight w:val="none"/>
                    </w:rPr>
                    <w:t>5</w:t>
                  </w:r>
                </w:p>
              </w:tc>
              <w:tc>
                <w:tcPr>
                  <w:tcW w:w="968" w:type="pct"/>
                  <w:vMerge w:val="continue"/>
                  <w:tcBorders>
                    <w:tl2br w:val="nil"/>
                    <w:tr2bl w:val="nil"/>
                  </w:tcBorders>
                  <w:vAlign w:val="center"/>
                </w:tcPr>
                <w:p w14:paraId="62EE63A6">
                  <w:pPr>
                    <w:pStyle w:val="55"/>
                    <w:jc w:val="center"/>
                    <w:rPr>
                      <w:bCs/>
                      <w:color w:val="auto"/>
                      <w:sz w:val="21"/>
                      <w:szCs w:val="21"/>
                      <w:highlight w:val="none"/>
                    </w:rPr>
                  </w:pPr>
                </w:p>
              </w:tc>
              <w:tc>
                <w:tcPr>
                  <w:tcW w:w="1274" w:type="pct"/>
                  <w:tcBorders>
                    <w:tl2br w:val="nil"/>
                    <w:tr2bl w:val="nil"/>
                  </w:tcBorders>
                  <w:vAlign w:val="center"/>
                </w:tcPr>
                <w:p w14:paraId="0F8D40C7">
                  <w:pPr>
                    <w:adjustRightInd w:val="0"/>
                    <w:snapToGrid w:val="0"/>
                    <w:jc w:val="center"/>
                    <w:rPr>
                      <w:bCs/>
                      <w:color w:val="auto"/>
                      <w:sz w:val="21"/>
                      <w:szCs w:val="21"/>
                      <w:highlight w:val="none"/>
                    </w:rPr>
                  </w:pPr>
                  <w:r>
                    <w:rPr>
                      <w:rFonts w:hint="eastAsia"/>
                      <w:color w:val="auto"/>
                      <w:sz w:val="21"/>
                      <w:szCs w:val="21"/>
                      <w:highlight w:val="none"/>
                      <w:lang w:val="en-US" w:eastAsia="zh-CN"/>
                    </w:rPr>
                    <w:t>G6：</w:t>
                  </w:r>
                  <w:r>
                    <w:rPr>
                      <w:color w:val="auto"/>
                      <w:sz w:val="21"/>
                      <w:szCs w:val="21"/>
                      <w:highlight w:val="none"/>
                    </w:rPr>
                    <w:t>运输</w:t>
                  </w:r>
                </w:p>
              </w:tc>
              <w:tc>
                <w:tcPr>
                  <w:tcW w:w="964" w:type="pct"/>
                  <w:vMerge w:val="continue"/>
                  <w:tcBorders>
                    <w:tl2br w:val="nil"/>
                    <w:tr2bl w:val="nil"/>
                  </w:tcBorders>
                  <w:vAlign w:val="center"/>
                </w:tcPr>
                <w:p w14:paraId="345DA7A5">
                  <w:pPr>
                    <w:pStyle w:val="55"/>
                    <w:jc w:val="center"/>
                    <w:rPr>
                      <w:bCs/>
                      <w:color w:val="auto"/>
                      <w:sz w:val="21"/>
                      <w:szCs w:val="21"/>
                      <w:highlight w:val="none"/>
                    </w:rPr>
                  </w:pPr>
                </w:p>
              </w:tc>
              <w:tc>
                <w:tcPr>
                  <w:tcW w:w="1000" w:type="pct"/>
                  <w:vMerge w:val="continue"/>
                  <w:tcBorders>
                    <w:tl2br w:val="nil"/>
                    <w:tr2bl w:val="nil"/>
                  </w:tcBorders>
                  <w:vAlign w:val="center"/>
                </w:tcPr>
                <w:p w14:paraId="184EC975">
                  <w:pPr>
                    <w:pStyle w:val="55"/>
                    <w:jc w:val="center"/>
                    <w:rPr>
                      <w:bCs/>
                      <w:color w:val="auto"/>
                      <w:sz w:val="21"/>
                      <w:szCs w:val="21"/>
                      <w:highlight w:val="none"/>
                    </w:rPr>
                  </w:pPr>
                </w:p>
              </w:tc>
            </w:tr>
            <w:tr w14:paraId="07DD0E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1" w:type="pct"/>
                  <w:tcBorders>
                    <w:tl2br w:val="nil"/>
                    <w:tr2bl w:val="nil"/>
                  </w:tcBorders>
                  <w:vAlign w:val="center"/>
                </w:tcPr>
                <w:p w14:paraId="1AD451D5">
                  <w:pPr>
                    <w:pStyle w:val="55"/>
                    <w:jc w:val="center"/>
                    <w:rPr>
                      <w:bCs/>
                      <w:color w:val="auto"/>
                      <w:sz w:val="21"/>
                      <w:szCs w:val="21"/>
                      <w:highlight w:val="none"/>
                    </w:rPr>
                  </w:pPr>
                  <w:r>
                    <w:rPr>
                      <w:bCs/>
                      <w:color w:val="auto"/>
                      <w:sz w:val="21"/>
                      <w:szCs w:val="21"/>
                      <w:highlight w:val="none"/>
                    </w:rPr>
                    <w:t>6</w:t>
                  </w:r>
                </w:p>
              </w:tc>
              <w:tc>
                <w:tcPr>
                  <w:tcW w:w="968" w:type="pct"/>
                  <w:vMerge w:val="continue"/>
                  <w:tcBorders>
                    <w:tl2br w:val="nil"/>
                    <w:tr2bl w:val="nil"/>
                  </w:tcBorders>
                  <w:vAlign w:val="center"/>
                </w:tcPr>
                <w:p w14:paraId="77C50E8D">
                  <w:pPr>
                    <w:pStyle w:val="55"/>
                    <w:jc w:val="center"/>
                    <w:rPr>
                      <w:bCs/>
                      <w:color w:val="auto"/>
                      <w:sz w:val="21"/>
                      <w:szCs w:val="21"/>
                      <w:highlight w:val="none"/>
                    </w:rPr>
                  </w:pPr>
                </w:p>
              </w:tc>
              <w:tc>
                <w:tcPr>
                  <w:tcW w:w="1274" w:type="pct"/>
                  <w:tcBorders>
                    <w:tl2br w:val="nil"/>
                    <w:tr2bl w:val="nil"/>
                  </w:tcBorders>
                  <w:vAlign w:val="center"/>
                </w:tcPr>
                <w:p w14:paraId="70EEC55A">
                  <w:pPr>
                    <w:adjustRightInd w:val="0"/>
                    <w:snapToGrid w:val="0"/>
                    <w:jc w:val="center"/>
                    <w:rPr>
                      <w:bCs/>
                      <w:color w:val="auto"/>
                      <w:sz w:val="21"/>
                      <w:szCs w:val="21"/>
                      <w:highlight w:val="none"/>
                    </w:rPr>
                  </w:pPr>
                  <w:r>
                    <w:rPr>
                      <w:rFonts w:hint="eastAsia"/>
                      <w:color w:val="auto"/>
                      <w:sz w:val="21"/>
                      <w:szCs w:val="21"/>
                      <w:highlight w:val="none"/>
                      <w:lang w:val="en-US" w:eastAsia="zh-CN"/>
                    </w:rPr>
                    <w:t>G7：</w:t>
                  </w:r>
                  <w:r>
                    <w:rPr>
                      <w:color w:val="auto"/>
                      <w:sz w:val="21"/>
                      <w:szCs w:val="21"/>
                      <w:highlight w:val="none"/>
                    </w:rPr>
                    <w:t>食堂</w:t>
                  </w:r>
                </w:p>
              </w:tc>
              <w:tc>
                <w:tcPr>
                  <w:tcW w:w="964" w:type="pct"/>
                  <w:tcBorders>
                    <w:tl2br w:val="nil"/>
                    <w:tr2bl w:val="nil"/>
                  </w:tcBorders>
                  <w:vAlign w:val="center"/>
                </w:tcPr>
                <w:p w14:paraId="1A48CE7A">
                  <w:pPr>
                    <w:pStyle w:val="55"/>
                    <w:jc w:val="center"/>
                    <w:rPr>
                      <w:bCs/>
                      <w:color w:val="auto"/>
                      <w:sz w:val="21"/>
                      <w:szCs w:val="21"/>
                      <w:highlight w:val="none"/>
                    </w:rPr>
                  </w:pPr>
                  <w:r>
                    <w:rPr>
                      <w:bCs/>
                      <w:color w:val="auto"/>
                      <w:sz w:val="21"/>
                      <w:szCs w:val="21"/>
                      <w:highlight w:val="none"/>
                    </w:rPr>
                    <w:t>油烟</w:t>
                  </w:r>
                </w:p>
              </w:tc>
              <w:tc>
                <w:tcPr>
                  <w:tcW w:w="1000" w:type="pct"/>
                  <w:tcBorders>
                    <w:tl2br w:val="nil"/>
                    <w:tr2bl w:val="nil"/>
                  </w:tcBorders>
                  <w:vAlign w:val="center"/>
                </w:tcPr>
                <w:p w14:paraId="1C28D64D">
                  <w:pPr>
                    <w:pStyle w:val="55"/>
                    <w:jc w:val="center"/>
                    <w:rPr>
                      <w:bCs/>
                      <w:color w:val="auto"/>
                      <w:sz w:val="21"/>
                      <w:szCs w:val="21"/>
                      <w:highlight w:val="none"/>
                    </w:rPr>
                  </w:pPr>
                  <w:r>
                    <w:rPr>
                      <w:bCs/>
                      <w:color w:val="auto"/>
                      <w:sz w:val="21"/>
                      <w:szCs w:val="21"/>
                      <w:highlight w:val="none"/>
                    </w:rPr>
                    <w:t>油烟</w:t>
                  </w:r>
                </w:p>
              </w:tc>
            </w:tr>
            <w:tr w14:paraId="4FF057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1" w:type="pct"/>
                  <w:tcBorders>
                    <w:tl2br w:val="nil"/>
                    <w:tr2bl w:val="nil"/>
                  </w:tcBorders>
                  <w:vAlign w:val="center"/>
                </w:tcPr>
                <w:p w14:paraId="6CB05726">
                  <w:pPr>
                    <w:pStyle w:val="55"/>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7</w:t>
                  </w:r>
                </w:p>
              </w:tc>
              <w:tc>
                <w:tcPr>
                  <w:tcW w:w="968" w:type="pct"/>
                  <w:vMerge w:val="restart"/>
                  <w:tcBorders>
                    <w:tl2br w:val="nil"/>
                    <w:tr2bl w:val="nil"/>
                  </w:tcBorders>
                  <w:vAlign w:val="center"/>
                </w:tcPr>
                <w:p w14:paraId="0E2D00F5">
                  <w:pPr>
                    <w:pStyle w:val="55"/>
                    <w:jc w:val="center"/>
                    <w:rPr>
                      <w:bCs/>
                      <w:color w:val="auto"/>
                      <w:sz w:val="21"/>
                      <w:szCs w:val="21"/>
                      <w:highlight w:val="none"/>
                    </w:rPr>
                  </w:pPr>
                  <w:r>
                    <w:rPr>
                      <w:bCs/>
                      <w:color w:val="auto"/>
                      <w:sz w:val="21"/>
                      <w:szCs w:val="21"/>
                      <w:highlight w:val="none"/>
                    </w:rPr>
                    <w:t>废水污染物</w:t>
                  </w:r>
                </w:p>
              </w:tc>
              <w:tc>
                <w:tcPr>
                  <w:tcW w:w="1274" w:type="pct"/>
                  <w:tcBorders>
                    <w:tl2br w:val="nil"/>
                    <w:tr2bl w:val="nil"/>
                  </w:tcBorders>
                  <w:vAlign w:val="center"/>
                </w:tcPr>
                <w:p w14:paraId="443B77E5">
                  <w:pPr>
                    <w:pStyle w:val="55"/>
                    <w:jc w:val="center"/>
                    <w:rPr>
                      <w:rFonts w:hint="default"/>
                      <w:bCs/>
                      <w:color w:val="auto"/>
                      <w:sz w:val="21"/>
                      <w:szCs w:val="21"/>
                      <w:highlight w:val="none"/>
                      <w:lang w:val="en-US"/>
                    </w:rPr>
                  </w:pPr>
                  <w:r>
                    <w:rPr>
                      <w:rFonts w:hint="eastAsia"/>
                      <w:bCs/>
                      <w:color w:val="auto"/>
                      <w:sz w:val="21"/>
                      <w:szCs w:val="21"/>
                      <w:highlight w:val="none"/>
                      <w:lang w:val="en-US" w:eastAsia="zh-CN"/>
                    </w:rPr>
                    <w:t>W1：清洗设备罐车</w:t>
                  </w:r>
                </w:p>
              </w:tc>
              <w:tc>
                <w:tcPr>
                  <w:tcW w:w="964" w:type="pct"/>
                  <w:tcBorders>
                    <w:tl2br w:val="nil"/>
                    <w:tr2bl w:val="nil"/>
                  </w:tcBorders>
                  <w:vAlign w:val="center"/>
                </w:tcPr>
                <w:p w14:paraId="0A8DCE07">
                  <w:pPr>
                    <w:pStyle w:val="55"/>
                    <w:jc w:val="center"/>
                    <w:rPr>
                      <w:bCs/>
                      <w:color w:val="auto"/>
                      <w:sz w:val="21"/>
                      <w:szCs w:val="21"/>
                      <w:highlight w:val="none"/>
                    </w:rPr>
                  </w:pPr>
                  <w:r>
                    <w:rPr>
                      <w:rFonts w:hint="eastAsia"/>
                      <w:bCs/>
                      <w:color w:val="auto"/>
                      <w:sz w:val="21"/>
                      <w:szCs w:val="21"/>
                      <w:highlight w:val="none"/>
                      <w:lang w:val="en-US" w:eastAsia="zh-CN"/>
                    </w:rPr>
                    <w:t>生产废水</w:t>
                  </w:r>
                </w:p>
              </w:tc>
              <w:tc>
                <w:tcPr>
                  <w:tcW w:w="1000" w:type="pct"/>
                  <w:tcBorders>
                    <w:tl2br w:val="nil"/>
                    <w:tr2bl w:val="nil"/>
                  </w:tcBorders>
                  <w:vAlign w:val="center"/>
                </w:tcPr>
                <w:p w14:paraId="0F603208">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悬浮物、泥沙</w:t>
                  </w:r>
                </w:p>
              </w:tc>
            </w:tr>
            <w:tr w14:paraId="1AB994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91" w:type="pct"/>
                  <w:tcBorders>
                    <w:tl2br w:val="nil"/>
                    <w:tr2bl w:val="nil"/>
                  </w:tcBorders>
                  <w:vAlign w:val="center"/>
                </w:tcPr>
                <w:p w14:paraId="3A82ED7D">
                  <w:pPr>
                    <w:pStyle w:val="55"/>
                    <w:jc w:val="center"/>
                    <w:rPr>
                      <w:rFonts w:hint="default"/>
                      <w:bCs/>
                      <w:color w:val="auto"/>
                      <w:sz w:val="21"/>
                      <w:szCs w:val="21"/>
                      <w:highlight w:val="none"/>
                      <w:lang w:val="en-US" w:eastAsia="zh-CN"/>
                    </w:rPr>
                  </w:pPr>
                  <w:r>
                    <w:rPr>
                      <w:rFonts w:hint="eastAsia"/>
                      <w:bCs/>
                      <w:color w:val="auto"/>
                      <w:sz w:val="21"/>
                      <w:szCs w:val="21"/>
                      <w:highlight w:val="none"/>
                      <w:lang w:val="en-US" w:eastAsia="zh-CN"/>
                    </w:rPr>
                    <w:t>8</w:t>
                  </w:r>
                </w:p>
              </w:tc>
              <w:tc>
                <w:tcPr>
                  <w:tcW w:w="968" w:type="pct"/>
                  <w:vMerge w:val="continue"/>
                  <w:tcBorders>
                    <w:tl2br w:val="nil"/>
                    <w:tr2bl w:val="nil"/>
                  </w:tcBorders>
                  <w:vAlign w:val="center"/>
                </w:tcPr>
                <w:p w14:paraId="7D6E4D64">
                  <w:pPr>
                    <w:pStyle w:val="55"/>
                    <w:jc w:val="center"/>
                    <w:rPr>
                      <w:bCs/>
                      <w:color w:val="auto"/>
                      <w:sz w:val="21"/>
                      <w:szCs w:val="21"/>
                      <w:highlight w:val="none"/>
                    </w:rPr>
                  </w:pPr>
                </w:p>
              </w:tc>
              <w:tc>
                <w:tcPr>
                  <w:tcW w:w="1274" w:type="pct"/>
                  <w:tcBorders>
                    <w:tl2br w:val="nil"/>
                    <w:tr2bl w:val="nil"/>
                  </w:tcBorders>
                  <w:vAlign w:val="center"/>
                </w:tcPr>
                <w:p w14:paraId="181CF6E3">
                  <w:pPr>
                    <w:pStyle w:val="55"/>
                    <w:jc w:val="center"/>
                    <w:rPr>
                      <w:rFonts w:hint="eastAsia" w:ascii="Times New Roman" w:hAnsi="Times New Roman" w:eastAsia="宋体" w:cs="Times New Roman"/>
                      <w:bCs/>
                      <w:color w:val="auto"/>
                      <w:sz w:val="21"/>
                      <w:szCs w:val="21"/>
                      <w:highlight w:val="none"/>
                      <w:lang w:val="en-US" w:eastAsia="zh-CN" w:bidi="ar-SA"/>
                    </w:rPr>
                  </w:pPr>
                  <w:r>
                    <w:rPr>
                      <w:rFonts w:hint="eastAsia"/>
                      <w:bCs/>
                      <w:color w:val="auto"/>
                      <w:sz w:val="21"/>
                      <w:szCs w:val="21"/>
                      <w:highlight w:val="none"/>
                      <w:lang w:val="en-US" w:eastAsia="zh-CN"/>
                    </w:rPr>
                    <w:t>W2：</w:t>
                  </w:r>
                  <w:r>
                    <w:rPr>
                      <w:bCs/>
                      <w:color w:val="auto"/>
                      <w:sz w:val="21"/>
                      <w:szCs w:val="21"/>
                      <w:highlight w:val="none"/>
                    </w:rPr>
                    <w:t>生活污水</w:t>
                  </w:r>
                </w:p>
              </w:tc>
              <w:tc>
                <w:tcPr>
                  <w:tcW w:w="964" w:type="pct"/>
                  <w:tcBorders>
                    <w:tl2br w:val="nil"/>
                    <w:tr2bl w:val="nil"/>
                  </w:tcBorders>
                  <w:vAlign w:val="center"/>
                </w:tcPr>
                <w:p w14:paraId="468C8159">
                  <w:pPr>
                    <w:pStyle w:val="55"/>
                    <w:jc w:val="center"/>
                    <w:rPr>
                      <w:rFonts w:ascii="Times New Roman" w:hAnsi="Times New Roman" w:eastAsia="宋体" w:cs="Times New Roman"/>
                      <w:bCs/>
                      <w:color w:val="auto"/>
                      <w:sz w:val="21"/>
                      <w:szCs w:val="21"/>
                      <w:highlight w:val="none"/>
                      <w:lang w:val="en-US" w:eastAsia="zh-CN" w:bidi="ar-SA"/>
                    </w:rPr>
                  </w:pPr>
                  <w:r>
                    <w:rPr>
                      <w:bCs/>
                      <w:color w:val="auto"/>
                      <w:sz w:val="21"/>
                      <w:szCs w:val="21"/>
                      <w:highlight w:val="none"/>
                    </w:rPr>
                    <w:t>生活污水</w:t>
                  </w:r>
                </w:p>
              </w:tc>
              <w:tc>
                <w:tcPr>
                  <w:tcW w:w="1000" w:type="pct"/>
                  <w:tcBorders>
                    <w:tl2br w:val="nil"/>
                    <w:tr2bl w:val="nil"/>
                  </w:tcBorders>
                  <w:vAlign w:val="center"/>
                </w:tcPr>
                <w:p w14:paraId="0028F33D">
                  <w:pPr>
                    <w:pStyle w:val="8"/>
                    <w:spacing w:before="0" w:after="0" w:line="240" w:lineRule="auto"/>
                    <w:ind w:right="0" w:rightChars="0"/>
                    <w:jc w:val="center"/>
                    <w:rPr>
                      <w:rFonts w:ascii="Times New Roman" w:hAnsi="Times New Roman" w:eastAsia="宋体" w:cs="Times New Roman"/>
                      <w:color w:val="auto"/>
                      <w:kern w:val="0"/>
                      <w:sz w:val="21"/>
                      <w:szCs w:val="21"/>
                      <w:highlight w:val="none"/>
                      <w:lang w:val="en-US" w:eastAsia="zh-CN" w:bidi="ar-SA"/>
                    </w:rPr>
                  </w:pPr>
                  <w:r>
                    <w:rPr>
                      <w:color w:val="auto"/>
                      <w:sz w:val="21"/>
                      <w:szCs w:val="21"/>
                      <w:highlight w:val="none"/>
                    </w:rPr>
                    <w:t>COD、BOD</w:t>
                  </w:r>
                  <w:r>
                    <w:rPr>
                      <w:color w:val="auto"/>
                      <w:sz w:val="21"/>
                      <w:szCs w:val="21"/>
                      <w:highlight w:val="none"/>
                      <w:vertAlign w:val="subscript"/>
                    </w:rPr>
                    <w:t>5</w:t>
                  </w:r>
                  <w:r>
                    <w:rPr>
                      <w:color w:val="auto"/>
                      <w:sz w:val="21"/>
                      <w:szCs w:val="21"/>
                      <w:highlight w:val="none"/>
                    </w:rPr>
                    <w:t>、NH</w:t>
                  </w:r>
                  <w:r>
                    <w:rPr>
                      <w:color w:val="auto"/>
                      <w:sz w:val="21"/>
                      <w:szCs w:val="21"/>
                      <w:highlight w:val="none"/>
                      <w:vertAlign w:val="subscript"/>
                    </w:rPr>
                    <w:t>3</w:t>
                  </w:r>
                  <w:r>
                    <w:rPr>
                      <w:color w:val="auto"/>
                      <w:sz w:val="21"/>
                      <w:szCs w:val="21"/>
                      <w:highlight w:val="none"/>
                    </w:rPr>
                    <w:t>-N、SS</w:t>
                  </w:r>
                </w:p>
              </w:tc>
            </w:tr>
            <w:tr w14:paraId="4166E6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1" w:type="pct"/>
                  <w:tcBorders>
                    <w:tl2br w:val="nil"/>
                    <w:tr2bl w:val="nil"/>
                  </w:tcBorders>
                  <w:vAlign w:val="center"/>
                </w:tcPr>
                <w:p w14:paraId="47655FAE">
                  <w:pPr>
                    <w:pStyle w:val="55"/>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9</w:t>
                  </w:r>
                </w:p>
              </w:tc>
              <w:tc>
                <w:tcPr>
                  <w:tcW w:w="968" w:type="pct"/>
                  <w:vMerge w:val="restart"/>
                  <w:tcBorders>
                    <w:tl2br w:val="nil"/>
                    <w:tr2bl w:val="nil"/>
                  </w:tcBorders>
                  <w:vAlign w:val="center"/>
                </w:tcPr>
                <w:p w14:paraId="681DED3A">
                  <w:pPr>
                    <w:pStyle w:val="55"/>
                    <w:jc w:val="center"/>
                    <w:rPr>
                      <w:bCs/>
                      <w:color w:val="auto"/>
                      <w:sz w:val="21"/>
                      <w:szCs w:val="21"/>
                      <w:highlight w:val="none"/>
                    </w:rPr>
                  </w:pPr>
                  <w:r>
                    <w:rPr>
                      <w:bCs/>
                      <w:color w:val="auto"/>
                      <w:sz w:val="21"/>
                      <w:szCs w:val="21"/>
                      <w:highlight w:val="none"/>
                    </w:rPr>
                    <w:t>固废</w:t>
                  </w:r>
                </w:p>
              </w:tc>
              <w:tc>
                <w:tcPr>
                  <w:tcW w:w="1274" w:type="pct"/>
                  <w:tcBorders>
                    <w:tl2br w:val="nil"/>
                    <w:tr2bl w:val="nil"/>
                  </w:tcBorders>
                  <w:vAlign w:val="center"/>
                </w:tcPr>
                <w:p w14:paraId="785F5D82">
                  <w:pPr>
                    <w:pStyle w:val="55"/>
                    <w:jc w:val="center"/>
                    <w:rPr>
                      <w:bCs/>
                      <w:color w:val="auto"/>
                      <w:sz w:val="21"/>
                      <w:szCs w:val="21"/>
                      <w:highlight w:val="none"/>
                    </w:rPr>
                  </w:pPr>
                  <w:r>
                    <w:rPr>
                      <w:bCs/>
                      <w:color w:val="auto"/>
                      <w:sz w:val="21"/>
                      <w:szCs w:val="21"/>
                      <w:highlight w:val="none"/>
                    </w:rPr>
                    <w:t>不合格混凝土</w:t>
                  </w:r>
                </w:p>
              </w:tc>
              <w:tc>
                <w:tcPr>
                  <w:tcW w:w="964" w:type="pct"/>
                  <w:tcBorders>
                    <w:tl2br w:val="nil"/>
                    <w:tr2bl w:val="nil"/>
                  </w:tcBorders>
                  <w:vAlign w:val="center"/>
                </w:tcPr>
                <w:p w14:paraId="6ED9398F">
                  <w:pPr>
                    <w:pStyle w:val="55"/>
                    <w:jc w:val="center"/>
                    <w:rPr>
                      <w:bCs/>
                      <w:color w:val="auto"/>
                      <w:sz w:val="21"/>
                      <w:szCs w:val="21"/>
                      <w:highlight w:val="none"/>
                    </w:rPr>
                  </w:pPr>
                  <w:r>
                    <w:rPr>
                      <w:bCs/>
                      <w:color w:val="auto"/>
                      <w:sz w:val="21"/>
                      <w:szCs w:val="21"/>
                      <w:highlight w:val="none"/>
                    </w:rPr>
                    <w:t>不合格混凝土</w:t>
                  </w:r>
                </w:p>
              </w:tc>
              <w:tc>
                <w:tcPr>
                  <w:tcW w:w="1000" w:type="pct"/>
                  <w:tcBorders>
                    <w:tl2br w:val="nil"/>
                    <w:tr2bl w:val="nil"/>
                  </w:tcBorders>
                  <w:vAlign w:val="center"/>
                </w:tcPr>
                <w:p w14:paraId="78049EE8">
                  <w:pPr>
                    <w:pStyle w:val="8"/>
                    <w:spacing w:before="0" w:after="0" w:line="240" w:lineRule="auto"/>
                    <w:ind w:right="0"/>
                    <w:jc w:val="center"/>
                    <w:rPr>
                      <w:color w:val="auto"/>
                      <w:sz w:val="21"/>
                      <w:szCs w:val="21"/>
                      <w:highlight w:val="none"/>
                    </w:rPr>
                  </w:pPr>
                  <w:r>
                    <w:rPr>
                      <w:color w:val="auto"/>
                      <w:sz w:val="21"/>
                      <w:szCs w:val="21"/>
                      <w:highlight w:val="none"/>
                    </w:rPr>
                    <w:t>/</w:t>
                  </w:r>
                </w:p>
              </w:tc>
            </w:tr>
            <w:tr w14:paraId="4E905E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1" w:type="pct"/>
                  <w:tcBorders>
                    <w:tl2br w:val="nil"/>
                    <w:tr2bl w:val="nil"/>
                  </w:tcBorders>
                  <w:vAlign w:val="center"/>
                </w:tcPr>
                <w:p w14:paraId="607F63FF">
                  <w:pPr>
                    <w:pStyle w:val="55"/>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10</w:t>
                  </w:r>
                </w:p>
              </w:tc>
              <w:tc>
                <w:tcPr>
                  <w:tcW w:w="968" w:type="pct"/>
                  <w:vMerge w:val="continue"/>
                  <w:tcBorders>
                    <w:tl2br w:val="nil"/>
                    <w:tr2bl w:val="nil"/>
                  </w:tcBorders>
                  <w:vAlign w:val="center"/>
                </w:tcPr>
                <w:p w14:paraId="5C75FF52">
                  <w:pPr>
                    <w:pStyle w:val="55"/>
                    <w:jc w:val="center"/>
                    <w:rPr>
                      <w:bCs/>
                      <w:color w:val="auto"/>
                      <w:sz w:val="21"/>
                      <w:szCs w:val="21"/>
                      <w:highlight w:val="none"/>
                    </w:rPr>
                  </w:pPr>
                </w:p>
              </w:tc>
              <w:tc>
                <w:tcPr>
                  <w:tcW w:w="1274" w:type="pct"/>
                  <w:tcBorders>
                    <w:tl2br w:val="nil"/>
                    <w:tr2bl w:val="nil"/>
                  </w:tcBorders>
                  <w:vAlign w:val="center"/>
                </w:tcPr>
                <w:p w14:paraId="7C88BF6C">
                  <w:pPr>
                    <w:pStyle w:val="55"/>
                    <w:jc w:val="center"/>
                    <w:rPr>
                      <w:bCs/>
                      <w:color w:val="auto"/>
                      <w:sz w:val="21"/>
                      <w:szCs w:val="21"/>
                      <w:highlight w:val="none"/>
                    </w:rPr>
                  </w:pPr>
                  <w:r>
                    <w:rPr>
                      <w:bCs/>
                      <w:color w:val="auto"/>
                      <w:sz w:val="21"/>
                      <w:szCs w:val="21"/>
                      <w:highlight w:val="none"/>
                    </w:rPr>
                    <w:t>除尘灰</w:t>
                  </w:r>
                </w:p>
              </w:tc>
              <w:tc>
                <w:tcPr>
                  <w:tcW w:w="964" w:type="pct"/>
                  <w:tcBorders>
                    <w:tl2br w:val="nil"/>
                    <w:tr2bl w:val="nil"/>
                  </w:tcBorders>
                  <w:vAlign w:val="center"/>
                </w:tcPr>
                <w:p w14:paraId="0ECFB6F3">
                  <w:pPr>
                    <w:pStyle w:val="55"/>
                    <w:jc w:val="center"/>
                    <w:rPr>
                      <w:bCs/>
                      <w:color w:val="auto"/>
                      <w:sz w:val="21"/>
                      <w:szCs w:val="21"/>
                      <w:highlight w:val="none"/>
                    </w:rPr>
                  </w:pPr>
                  <w:r>
                    <w:rPr>
                      <w:bCs/>
                      <w:color w:val="auto"/>
                      <w:sz w:val="21"/>
                      <w:szCs w:val="21"/>
                      <w:highlight w:val="none"/>
                    </w:rPr>
                    <w:t>除尘灰</w:t>
                  </w:r>
                </w:p>
              </w:tc>
              <w:tc>
                <w:tcPr>
                  <w:tcW w:w="1000" w:type="pct"/>
                  <w:tcBorders>
                    <w:tl2br w:val="nil"/>
                    <w:tr2bl w:val="nil"/>
                  </w:tcBorders>
                  <w:vAlign w:val="center"/>
                </w:tcPr>
                <w:p w14:paraId="2595E00A">
                  <w:pPr>
                    <w:pStyle w:val="8"/>
                    <w:spacing w:before="0" w:after="0" w:line="240" w:lineRule="auto"/>
                    <w:ind w:right="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r>
            <w:tr w14:paraId="62386A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1" w:type="pct"/>
                  <w:tcBorders>
                    <w:tl2br w:val="nil"/>
                    <w:tr2bl w:val="nil"/>
                  </w:tcBorders>
                  <w:vAlign w:val="center"/>
                </w:tcPr>
                <w:p w14:paraId="617B3A7F">
                  <w:pPr>
                    <w:pStyle w:val="55"/>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11</w:t>
                  </w:r>
                </w:p>
              </w:tc>
              <w:tc>
                <w:tcPr>
                  <w:tcW w:w="968" w:type="pct"/>
                  <w:vMerge w:val="continue"/>
                  <w:tcBorders>
                    <w:tl2br w:val="nil"/>
                    <w:tr2bl w:val="nil"/>
                  </w:tcBorders>
                  <w:vAlign w:val="center"/>
                </w:tcPr>
                <w:p w14:paraId="5790D1E4">
                  <w:pPr>
                    <w:pStyle w:val="55"/>
                    <w:jc w:val="center"/>
                    <w:rPr>
                      <w:bCs/>
                      <w:color w:val="auto"/>
                      <w:sz w:val="21"/>
                      <w:szCs w:val="21"/>
                      <w:highlight w:val="none"/>
                    </w:rPr>
                  </w:pPr>
                </w:p>
              </w:tc>
              <w:tc>
                <w:tcPr>
                  <w:tcW w:w="1274" w:type="pct"/>
                  <w:tcBorders>
                    <w:tl2br w:val="nil"/>
                    <w:tr2bl w:val="nil"/>
                  </w:tcBorders>
                  <w:vAlign w:val="center"/>
                </w:tcPr>
                <w:p w14:paraId="3B823CFB">
                  <w:pPr>
                    <w:pStyle w:val="55"/>
                    <w:jc w:val="center"/>
                    <w:rPr>
                      <w:bCs/>
                      <w:color w:val="auto"/>
                      <w:sz w:val="21"/>
                      <w:szCs w:val="21"/>
                      <w:highlight w:val="none"/>
                    </w:rPr>
                  </w:pPr>
                  <w:r>
                    <w:rPr>
                      <w:bCs/>
                      <w:color w:val="auto"/>
                      <w:sz w:val="21"/>
                      <w:szCs w:val="21"/>
                      <w:highlight w:val="none"/>
                    </w:rPr>
                    <w:t>沉淀池</w:t>
                  </w:r>
                </w:p>
              </w:tc>
              <w:tc>
                <w:tcPr>
                  <w:tcW w:w="964" w:type="pct"/>
                  <w:tcBorders>
                    <w:tl2br w:val="nil"/>
                    <w:tr2bl w:val="nil"/>
                  </w:tcBorders>
                  <w:vAlign w:val="center"/>
                </w:tcPr>
                <w:p w14:paraId="1C7AEDB0">
                  <w:pPr>
                    <w:pStyle w:val="55"/>
                    <w:jc w:val="center"/>
                    <w:rPr>
                      <w:bCs/>
                      <w:color w:val="auto"/>
                      <w:sz w:val="21"/>
                      <w:szCs w:val="21"/>
                      <w:highlight w:val="none"/>
                    </w:rPr>
                  </w:pPr>
                  <w:r>
                    <w:rPr>
                      <w:bCs/>
                      <w:color w:val="auto"/>
                      <w:sz w:val="21"/>
                      <w:szCs w:val="21"/>
                      <w:highlight w:val="none"/>
                    </w:rPr>
                    <w:t>沉淀池沉渣</w:t>
                  </w:r>
                </w:p>
              </w:tc>
              <w:tc>
                <w:tcPr>
                  <w:tcW w:w="1000" w:type="pct"/>
                  <w:tcBorders>
                    <w:tl2br w:val="nil"/>
                    <w:tr2bl w:val="nil"/>
                  </w:tcBorders>
                  <w:vAlign w:val="center"/>
                </w:tcPr>
                <w:p w14:paraId="6FFD8E69">
                  <w:pPr>
                    <w:pStyle w:val="8"/>
                    <w:spacing w:before="0" w:after="0" w:line="240" w:lineRule="auto"/>
                    <w:ind w:right="0"/>
                    <w:jc w:val="center"/>
                    <w:rPr>
                      <w:color w:val="auto"/>
                      <w:sz w:val="21"/>
                      <w:szCs w:val="21"/>
                      <w:highlight w:val="none"/>
                    </w:rPr>
                  </w:pPr>
                  <w:r>
                    <w:rPr>
                      <w:color w:val="auto"/>
                      <w:sz w:val="21"/>
                      <w:szCs w:val="21"/>
                      <w:highlight w:val="none"/>
                    </w:rPr>
                    <w:t>/</w:t>
                  </w:r>
                </w:p>
              </w:tc>
            </w:tr>
            <w:tr w14:paraId="34C991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1" w:type="pct"/>
                  <w:tcBorders>
                    <w:tl2br w:val="nil"/>
                    <w:tr2bl w:val="nil"/>
                  </w:tcBorders>
                  <w:vAlign w:val="center"/>
                </w:tcPr>
                <w:p w14:paraId="3D23DB7A">
                  <w:pPr>
                    <w:pStyle w:val="55"/>
                    <w:jc w:val="center"/>
                    <w:rPr>
                      <w:rFonts w:hint="default"/>
                      <w:bCs/>
                      <w:color w:val="auto"/>
                      <w:sz w:val="21"/>
                      <w:szCs w:val="21"/>
                      <w:highlight w:val="none"/>
                      <w:lang w:val="en-US" w:eastAsia="zh-CN"/>
                    </w:rPr>
                  </w:pPr>
                  <w:r>
                    <w:rPr>
                      <w:rFonts w:hint="eastAsia"/>
                      <w:bCs/>
                      <w:color w:val="auto"/>
                      <w:sz w:val="21"/>
                      <w:szCs w:val="21"/>
                      <w:highlight w:val="none"/>
                      <w:lang w:val="en-US" w:eastAsia="zh-CN"/>
                    </w:rPr>
                    <w:t>12</w:t>
                  </w:r>
                </w:p>
              </w:tc>
              <w:tc>
                <w:tcPr>
                  <w:tcW w:w="968" w:type="pct"/>
                  <w:vMerge w:val="continue"/>
                  <w:tcBorders>
                    <w:tl2br w:val="nil"/>
                    <w:tr2bl w:val="nil"/>
                  </w:tcBorders>
                  <w:vAlign w:val="center"/>
                </w:tcPr>
                <w:p w14:paraId="18D6F317">
                  <w:pPr>
                    <w:pStyle w:val="55"/>
                    <w:jc w:val="center"/>
                    <w:rPr>
                      <w:bCs/>
                      <w:color w:val="auto"/>
                      <w:sz w:val="21"/>
                      <w:szCs w:val="21"/>
                      <w:highlight w:val="none"/>
                    </w:rPr>
                  </w:pPr>
                </w:p>
              </w:tc>
              <w:tc>
                <w:tcPr>
                  <w:tcW w:w="1274" w:type="pct"/>
                  <w:tcBorders>
                    <w:tl2br w:val="nil"/>
                    <w:tr2bl w:val="nil"/>
                  </w:tcBorders>
                  <w:vAlign w:val="center"/>
                </w:tcPr>
                <w:p w14:paraId="668539D7">
                  <w:pPr>
                    <w:pStyle w:val="55"/>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实验室</w:t>
                  </w:r>
                </w:p>
              </w:tc>
              <w:tc>
                <w:tcPr>
                  <w:tcW w:w="964" w:type="pct"/>
                  <w:tcBorders>
                    <w:tl2br w:val="nil"/>
                    <w:tr2bl w:val="nil"/>
                  </w:tcBorders>
                  <w:vAlign w:val="center"/>
                </w:tcPr>
                <w:p w14:paraId="0ABECD6F">
                  <w:pPr>
                    <w:pStyle w:val="55"/>
                    <w:jc w:val="center"/>
                    <w:rPr>
                      <w:bCs/>
                      <w:color w:val="auto"/>
                      <w:sz w:val="21"/>
                      <w:szCs w:val="21"/>
                      <w:highlight w:val="none"/>
                    </w:rPr>
                  </w:pPr>
                  <w:r>
                    <w:rPr>
                      <w:rFonts w:hint="eastAsia"/>
                      <w:bCs/>
                      <w:color w:val="auto"/>
                      <w:sz w:val="21"/>
                      <w:szCs w:val="21"/>
                      <w:highlight w:val="none"/>
                      <w:lang w:val="en-US" w:eastAsia="zh-CN"/>
                    </w:rPr>
                    <w:t>实验室废料</w:t>
                  </w:r>
                </w:p>
              </w:tc>
              <w:tc>
                <w:tcPr>
                  <w:tcW w:w="1000" w:type="pct"/>
                  <w:tcBorders>
                    <w:tl2br w:val="nil"/>
                    <w:tr2bl w:val="nil"/>
                  </w:tcBorders>
                  <w:vAlign w:val="center"/>
                </w:tcPr>
                <w:p w14:paraId="0729FD4E">
                  <w:pPr>
                    <w:pStyle w:val="8"/>
                    <w:spacing w:before="0" w:after="0" w:line="240" w:lineRule="auto"/>
                    <w:ind w:right="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r>
            <w:tr w14:paraId="1BED7C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91" w:type="pct"/>
                  <w:tcBorders>
                    <w:tl2br w:val="nil"/>
                    <w:tr2bl w:val="nil"/>
                  </w:tcBorders>
                  <w:vAlign w:val="center"/>
                </w:tcPr>
                <w:p w14:paraId="2BDBAB1E">
                  <w:pPr>
                    <w:pStyle w:val="55"/>
                    <w:jc w:val="center"/>
                    <w:rPr>
                      <w:rFonts w:hint="eastAsia" w:eastAsia="宋体"/>
                      <w:bCs/>
                      <w:color w:val="auto"/>
                      <w:sz w:val="21"/>
                      <w:szCs w:val="21"/>
                      <w:highlight w:val="none"/>
                      <w:lang w:val="en-US" w:eastAsia="zh-CN"/>
                    </w:rPr>
                  </w:pPr>
                  <w:r>
                    <w:rPr>
                      <w:bCs/>
                      <w:color w:val="auto"/>
                      <w:sz w:val="21"/>
                      <w:szCs w:val="21"/>
                      <w:highlight w:val="none"/>
                    </w:rPr>
                    <w:t>1</w:t>
                  </w:r>
                  <w:r>
                    <w:rPr>
                      <w:rFonts w:hint="eastAsia"/>
                      <w:bCs/>
                      <w:color w:val="auto"/>
                      <w:sz w:val="21"/>
                      <w:szCs w:val="21"/>
                      <w:highlight w:val="none"/>
                      <w:lang w:val="en-US" w:eastAsia="zh-CN"/>
                    </w:rPr>
                    <w:t>3</w:t>
                  </w:r>
                </w:p>
              </w:tc>
              <w:tc>
                <w:tcPr>
                  <w:tcW w:w="968" w:type="pct"/>
                  <w:vMerge w:val="continue"/>
                  <w:tcBorders>
                    <w:tl2br w:val="nil"/>
                    <w:tr2bl w:val="nil"/>
                  </w:tcBorders>
                  <w:vAlign w:val="center"/>
                </w:tcPr>
                <w:p w14:paraId="18D6EACF">
                  <w:pPr>
                    <w:pStyle w:val="55"/>
                    <w:jc w:val="center"/>
                    <w:rPr>
                      <w:bCs/>
                      <w:color w:val="auto"/>
                      <w:sz w:val="21"/>
                      <w:szCs w:val="21"/>
                      <w:highlight w:val="none"/>
                    </w:rPr>
                  </w:pPr>
                </w:p>
              </w:tc>
              <w:tc>
                <w:tcPr>
                  <w:tcW w:w="1274" w:type="pct"/>
                  <w:tcBorders>
                    <w:tl2br w:val="nil"/>
                    <w:tr2bl w:val="nil"/>
                  </w:tcBorders>
                  <w:vAlign w:val="center"/>
                </w:tcPr>
                <w:p w14:paraId="6E01BB51">
                  <w:pPr>
                    <w:pStyle w:val="55"/>
                    <w:jc w:val="center"/>
                    <w:rPr>
                      <w:bCs/>
                      <w:color w:val="auto"/>
                      <w:sz w:val="21"/>
                      <w:szCs w:val="21"/>
                      <w:highlight w:val="none"/>
                    </w:rPr>
                  </w:pPr>
                  <w:r>
                    <w:rPr>
                      <w:bCs/>
                      <w:color w:val="auto"/>
                      <w:sz w:val="21"/>
                      <w:szCs w:val="21"/>
                      <w:highlight w:val="none"/>
                    </w:rPr>
                    <w:t>生活垃圾</w:t>
                  </w:r>
                </w:p>
              </w:tc>
              <w:tc>
                <w:tcPr>
                  <w:tcW w:w="964" w:type="pct"/>
                  <w:tcBorders>
                    <w:tl2br w:val="nil"/>
                    <w:tr2bl w:val="nil"/>
                  </w:tcBorders>
                  <w:vAlign w:val="center"/>
                </w:tcPr>
                <w:p w14:paraId="641521D4">
                  <w:pPr>
                    <w:pStyle w:val="55"/>
                    <w:jc w:val="center"/>
                    <w:rPr>
                      <w:bCs/>
                      <w:color w:val="auto"/>
                      <w:sz w:val="21"/>
                      <w:szCs w:val="21"/>
                      <w:highlight w:val="none"/>
                    </w:rPr>
                  </w:pPr>
                  <w:r>
                    <w:rPr>
                      <w:bCs/>
                      <w:color w:val="auto"/>
                      <w:sz w:val="21"/>
                      <w:szCs w:val="21"/>
                      <w:highlight w:val="none"/>
                    </w:rPr>
                    <w:t>生活垃圾</w:t>
                  </w:r>
                </w:p>
              </w:tc>
              <w:tc>
                <w:tcPr>
                  <w:tcW w:w="1000" w:type="pct"/>
                  <w:tcBorders>
                    <w:tl2br w:val="nil"/>
                    <w:tr2bl w:val="nil"/>
                  </w:tcBorders>
                  <w:vAlign w:val="center"/>
                </w:tcPr>
                <w:p w14:paraId="723B5B11">
                  <w:pPr>
                    <w:pStyle w:val="8"/>
                    <w:spacing w:before="0" w:after="0" w:line="240" w:lineRule="auto"/>
                    <w:ind w:right="0"/>
                    <w:jc w:val="center"/>
                    <w:rPr>
                      <w:color w:val="auto"/>
                      <w:sz w:val="21"/>
                      <w:szCs w:val="21"/>
                      <w:highlight w:val="none"/>
                    </w:rPr>
                  </w:pPr>
                  <w:r>
                    <w:rPr>
                      <w:color w:val="auto"/>
                      <w:sz w:val="21"/>
                      <w:szCs w:val="21"/>
                      <w:highlight w:val="none"/>
                    </w:rPr>
                    <w:t>/</w:t>
                  </w:r>
                </w:p>
              </w:tc>
            </w:tr>
            <w:tr w14:paraId="2F283F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91" w:type="pct"/>
                  <w:tcBorders>
                    <w:tl2br w:val="nil"/>
                    <w:tr2bl w:val="nil"/>
                  </w:tcBorders>
                  <w:vAlign w:val="center"/>
                </w:tcPr>
                <w:p w14:paraId="34B35342">
                  <w:pPr>
                    <w:pStyle w:val="55"/>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14</w:t>
                  </w:r>
                </w:p>
              </w:tc>
              <w:tc>
                <w:tcPr>
                  <w:tcW w:w="968" w:type="pct"/>
                  <w:vMerge w:val="continue"/>
                  <w:tcBorders>
                    <w:tl2br w:val="nil"/>
                    <w:tr2bl w:val="nil"/>
                  </w:tcBorders>
                  <w:vAlign w:val="center"/>
                </w:tcPr>
                <w:p w14:paraId="505A2194">
                  <w:pPr>
                    <w:pStyle w:val="55"/>
                    <w:jc w:val="center"/>
                    <w:rPr>
                      <w:bCs/>
                      <w:color w:val="auto"/>
                      <w:sz w:val="21"/>
                      <w:szCs w:val="21"/>
                      <w:highlight w:val="none"/>
                    </w:rPr>
                  </w:pPr>
                </w:p>
              </w:tc>
              <w:tc>
                <w:tcPr>
                  <w:tcW w:w="1274" w:type="pct"/>
                  <w:tcBorders>
                    <w:tl2br w:val="nil"/>
                    <w:tr2bl w:val="nil"/>
                  </w:tcBorders>
                  <w:vAlign w:val="center"/>
                </w:tcPr>
                <w:p w14:paraId="37964E9F">
                  <w:pPr>
                    <w:pStyle w:val="55"/>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废包装桶</w:t>
                  </w:r>
                </w:p>
              </w:tc>
              <w:tc>
                <w:tcPr>
                  <w:tcW w:w="964" w:type="pct"/>
                  <w:tcBorders>
                    <w:tl2br w:val="nil"/>
                    <w:tr2bl w:val="nil"/>
                  </w:tcBorders>
                  <w:vAlign w:val="center"/>
                </w:tcPr>
                <w:p w14:paraId="46B499A0">
                  <w:pPr>
                    <w:pStyle w:val="55"/>
                    <w:jc w:val="center"/>
                    <w:rPr>
                      <w:bCs/>
                      <w:color w:val="auto"/>
                      <w:sz w:val="21"/>
                      <w:szCs w:val="21"/>
                      <w:highlight w:val="none"/>
                    </w:rPr>
                  </w:pPr>
                  <w:r>
                    <w:rPr>
                      <w:rFonts w:hint="eastAsia"/>
                      <w:bCs/>
                      <w:color w:val="auto"/>
                      <w:sz w:val="21"/>
                      <w:szCs w:val="21"/>
                      <w:highlight w:val="none"/>
                      <w:lang w:val="en-US" w:eastAsia="zh-CN"/>
                    </w:rPr>
                    <w:t>废包装桶</w:t>
                  </w:r>
                </w:p>
              </w:tc>
              <w:tc>
                <w:tcPr>
                  <w:tcW w:w="1000" w:type="pct"/>
                  <w:tcBorders>
                    <w:tl2br w:val="nil"/>
                    <w:tr2bl w:val="nil"/>
                  </w:tcBorders>
                  <w:vAlign w:val="center"/>
                </w:tcPr>
                <w:p w14:paraId="64A4A9ED">
                  <w:pPr>
                    <w:pStyle w:val="8"/>
                    <w:spacing w:before="0" w:after="0" w:line="240" w:lineRule="auto"/>
                    <w:ind w:right="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r>
            <w:tr w14:paraId="4BBE8E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91" w:type="pct"/>
                  <w:tcBorders>
                    <w:tl2br w:val="nil"/>
                    <w:tr2bl w:val="nil"/>
                  </w:tcBorders>
                  <w:vAlign w:val="center"/>
                </w:tcPr>
                <w:p w14:paraId="3F5B4EC2">
                  <w:pPr>
                    <w:pStyle w:val="55"/>
                    <w:jc w:val="center"/>
                    <w:rPr>
                      <w:rFonts w:hint="eastAsia" w:eastAsia="宋体"/>
                      <w:bCs/>
                      <w:color w:val="auto"/>
                      <w:sz w:val="21"/>
                      <w:szCs w:val="21"/>
                      <w:highlight w:val="none"/>
                      <w:lang w:val="en-US" w:eastAsia="zh-CN"/>
                    </w:rPr>
                  </w:pPr>
                  <w:r>
                    <w:rPr>
                      <w:bCs/>
                      <w:color w:val="auto"/>
                      <w:sz w:val="21"/>
                      <w:szCs w:val="21"/>
                      <w:highlight w:val="none"/>
                    </w:rPr>
                    <w:t>1</w:t>
                  </w:r>
                  <w:r>
                    <w:rPr>
                      <w:rFonts w:hint="eastAsia"/>
                      <w:bCs/>
                      <w:color w:val="auto"/>
                      <w:sz w:val="21"/>
                      <w:szCs w:val="21"/>
                      <w:highlight w:val="none"/>
                      <w:lang w:val="en-US" w:eastAsia="zh-CN"/>
                    </w:rPr>
                    <w:t>5</w:t>
                  </w:r>
                </w:p>
              </w:tc>
              <w:tc>
                <w:tcPr>
                  <w:tcW w:w="968" w:type="pct"/>
                  <w:vMerge w:val="continue"/>
                  <w:tcBorders>
                    <w:tl2br w:val="nil"/>
                    <w:tr2bl w:val="nil"/>
                  </w:tcBorders>
                  <w:vAlign w:val="center"/>
                </w:tcPr>
                <w:p w14:paraId="4F7BBCBF">
                  <w:pPr>
                    <w:pStyle w:val="55"/>
                    <w:jc w:val="center"/>
                    <w:rPr>
                      <w:bCs/>
                      <w:color w:val="auto"/>
                      <w:sz w:val="21"/>
                      <w:szCs w:val="21"/>
                      <w:highlight w:val="none"/>
                    </w:rPr>
                  </w:pPr>
                </w:p>
              </w:tc>
              <w:tc>
                <w:tcPr>
                  <w:tcW w:w="1274" w:type="pct"/>
                  <w:tcBorders>
                    <w:tl2br w:val="nil"/>
                    <w:tr2bl w:val="nil"/>
                  </w:tcBorders>
                  <w:vAlign w:val="center"/>
                </w:tcPr>
                <w:p w14:paraId="12D7ED5D">
                  <w:pPr>
                    <w:pStyle w:val="55"/>
                    <w:jc w:val="center"/>
                    <w:rPr>
                      <w:bCs/>
                      <w:color w:val="auto"/>
                      <w:sz w:val="21"/>
                      <w:szCs w:val="21"/>
                      <w:highlight w:val="none"/>
                    </w:rPr>
                  </w:pPr>
                  <w:r>
                    <w:rPr>
                      <w:bCs/>
                      <w:color w:val="auto"/>
                      <w:sz w:val="21"/>
                      <w:szCs w:val="21"/>
                      <w:highlight w:val="none"/>
                    </w:rPr>
                    <w:t>废机油</w:t>
                  </w:r>
                </w:p>
              </w:tc>
              <w:tc>
                <w:tcPr>
                  <w:tcW w:w="964" w:type="pct"/>
                  <w:tcBorders>
                    <w:tl2br w:val="nil"/>
                    <w:tr2bl w:val="nil"/>
                  </w:tcBorders>
                  <w:vAlign w:val="center"/>
                </w:tcPr>
                <w:p w14:paraId="40A6E599">
                  <w:pPr>
                    <w:pStyle w:val="55"/>
                    <w:jc w:val="center"/>
                    <w:rPr>
                      <w:bCs/>
                      <w:color w:val="auto"/>
                      <w:sz w:val="21"/>
                      <w:szCs w:val="21"/>
                      <w:highlight w:val="none"/>
                    </w:rPr>
                  </w:pPr>
                  <w:r>
                    <w:rPr>
                      <w:bCs/>
                      <w:color w:val="auto"/>
                      <w:sz w:val="21"/>
                      <w:szCs w:val="21"/>
                      <w:highlight w:val="none"/>
                    </w:rPr>
                    <w:t>废机油</w:t>
                  </w:r>
                </w:p>
              </w:tc>
              <w:tc>
                <w:tcPr>
                  <w:tcW w:w="1000" w:type="pct"/>
                  <w:tcBorders>
                    <w:tl2br w:val="nil"/>
                    <w:tr2bl w:val="nil"/>
                  </w:tcBorders>
                  <w:vAlign w:val="center"/>
                </w:tcPr>
                <w:p w14:paraId="3890AF57">
                  <w:pPr>
                    <w:pStyle w:val="8"/>
                    <w:spacing w:before="0" w:after="0" w:line="240" w:lineRule="auto"/>
                    <w:ind w:right="0"/>
                    <w:jc w:val="center"/>
                    <w:rPr>
                      <w:color w:val="auto"/>
                      <w:sz w:val="21"/>
                      <w:szCs w:val="21"/>
                      <w:highlight w:val="none"/>
                    </w:rPr>
                  </w:pPr>
                  <w:r>
                    <w:rPr>
                      <w:color w:val="auto"/>
                      <w:sz w:val="21"/>
                      <w:szCs w:val="21"/>
                      <w:highlight w:val="none"/>
                    </w:rPr>
                    <w:t>/</w:t>
                  </w:r>
                </w:p>
              </w:tc>
            </w:tr>
            <w:tr w14:paraId="39B459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91" w:type="pct"/>
                  <w:tcBorders>
                    <w:tl2br w:val="nil"/>
                    <w:tr2bl w:val="nil"/>
                  </w:tcBorders>
                  <w:vAlign w:val="center"/>
                </w:tcPr>
                <w:p w14:paraId="327E7F95">
                  <w:pPr>
                    <w:pStyle w:val="55"/>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16</w:t>
                  </w:r>
                </w:p>
              </w:tc>
              <w:tc>
                <w:tcPr>
                  <w:tcW w:w="968" w:type="pct"/>
                  <w:vMerge w:val="continue"/>
                  <w:tcBorders>
                    <w:tl2br w:val="nil"/>
                    <w:tr2bl w:val="nil"/>
                  </w:tcBorders>
                  <w:vAlign w:val="center"/>
                </w:tcPr>
                <w:p w14:paraId="111A0B83">
                  <w:pPr>
                    <w:pStyle w:val="55"/>
                    <w:jc w:val="center"/>
                    <w:rPr>
                      <w:bCs/>
                      <w:color w:val="auto"/>
                      <w:sz w:val="21"/>
                      <w:szCs w:val="21"/>
                      <w:highlight w:val="none"/>
                    </w:rPr>
                  </w:pPr>
                </w:p>
              </w:tc>
              <w:tc>
                <w:tcPr>
                  <w:tcW w:w="1274" w:type="pct"/>
                  <w:tcBorders>
                    <w:tl2br w:val="nil"/>
                    <w:tr2bl w:val="nil"/>
                  </w:tcBorders>
                  <w:vAlign w:val="center"/>
                </w:tcPr>
                <w:p w14:paraId="672768CD">
                  <w:pPr>
                    <w:pStyle w:val="55"/>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污泥</w:t>
                  </w:r>
                </w:p>
              </w:tc>
              <w:tc>
                <w:tcPr>
                  <w:tcW w:w="964" w:type="pct"/>
                  <w:tcBorders>
                    <w:tl2br w:val="nil"/>
                    <w:tr2bl w:val="nil"/>
                  </w:tcBorders>
                  <w:vAlign w:val="center"/>
                </w:tcPr>
                <w:p w14:paraId="1BFC50DE">
                  <w:pPr>
                    <w:pStyle w:val="55"/>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污泥</w:t>
                  </w:r>
                </w:p>
              </w:tc>
              <w:tc>
                <w:tcPr>
                  <w:tcW w:w="1000" w:type="pct"/>
                  <w:tcBorders>
                    <w:tl2br w:val="nil"/>
                    <w:tr2bl w:val="nil"/>
                  </w:tcBorders>
                  <w:vAlign w:val="center"/>
                </w:tcPr>
                <w:p w14:paraId="1BB7C209">
                  <w:pPr>
                    <w:pStyle w:val="8"/>
                    <w:spacing w:before="0" w:after="0" w:line="240" w:lineRule="auto"/>
                    <w:ind w:right="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r>
          </w:tbl>
          <w:p w14:paraId="19ECA321">
            <w:pPr>
              <w:adjustRightInd w:val="0"/>
              <w:snapToGrid w:val="0"/>
              <w:rPr>
                <w:bCs/>
                <w:color w:val="auto"/>
                <w:sz w:val="24"/>
              </w:rPr>
            </w:pPr>
          </w:p>
        </w:tc>
      </w:tr>
      <w:tr w14:paraId="4FBDF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5" w:hRule="atLeast"/>
          <w:jc w:val="center"/>
        </w:trPr>
        <w:tc>
          <w:tcPr>
            <w:tcW w:w="823" w:type="dxa"/>
            <w:vAlign w:val="center"/>
          </w:tcPr>
          <w:p w14:paraId="4D68FD78">
            <w:pPr>
              <w:pStyle w:val="24"/>
              <w:adjustRightInd w:val="0"/>
              <w:snapToGrid w:val="0"/>
              <w:spacing w:before="0" w:beforeAutospacing="0" w:after="0" w:afterAutospacing="0"/>
              <w:jc w:val="center"/>
              <w:rPr>
                <w:rFonts w:ascii="Times New Roman" w:hAnsi="Times New Roman"/>
                <w:color w:val="auto"/>
                <w:szCs w:val="24"/>
              </w:rPr>
            </w:pPr>
            <w:r>
              <w:rPr>
                <w:rFonts w:ascii="Times New Roman" w:hAnsi="Times New Roman"/>
                <w:bCs/>
                <w:color w:val="auto"/>
                <w:kern w:val="2"/>
                <w:szCs w:val="24"/>
              </w:rPr>
              <w:t>与项目有关的原有环境污染问题</w:t>
            </w:r>
          </w:p>
        </w:tc>
        <w:tc>
          <w:tcPr>
            <w:tcW w:w="8161" w:type="dxa"/>
          </w:tcPr>
          <w:p w14:paraId="34F94B24">
            <w:pPr>
              <w:pStyle w:val="39"/>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bCs/>
                <w:color w:val="auto"/>
                <w:sz w:val="24"/>
              </w:rPr>
            </w:pPr>
            <w:r>
              <w:rPr>
                <w:rFonts w:ascii="Times New Roman" w:hAnsi="Times New Roman" w:eastAsia="宋体" w:cs="Times New Roman"/>
                <w:color w:val="auto"/>
                <w:kern w:val="0"/>
                <w:sz w:val="24"/>
                <w:szCs w:val="24"/>
                <w:highlight w:val="none"/>
                <w:lang w:val="en-US" w:eastAsia="zh-CN" w:bidi="ar-SA"/>
              </w:rPr>
              <w:t>本项目为新建项目，</w:t>
            </w:r>
            <w:r>
              <w:rPr>
                <w:rFonts w:hint="eastAsia" w:ascii="Times New Roman" w:hAnsi="Times New Roman" w:eastAsia="宋体" w:cs="Times New Roman"/>
                <w:color w:val="auto"/>
                <w:kern w:val="0"/>
                <w:sz w:val="24"/>
                <w:szCs w:val="24"/>
                <w:highlight w:val="none"/>
                <w:lang w:val="en-US" w:eastAsia="zh-CN" w:bidi="ar-SA"/>
              </w:rPr>
              <w:t>不存在原有环境污染问题。</w:t>
            </w:r>
          </w:p>
        </w:tc>
      </w:tr>
    </w:tbl>
    <w:p w14:paraId="11FC10F3">
      <w:pPr>
        <w:pStyle w:val="24"/>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2A3BCFE2">
      <w:pPr>
        <w:pStyle w:val="24"/>
        <w:adjustRightInd w:val="0"/>
        <w:snapToGrid w:val="0"/>
        <w:spacing w:before="0" w:beforeAutospacing="0" w:after="0" w:afterAutospacing="0" w:line="14" w:lineRule="auto"/>
        <w:jc w:val="center"/>
        <w:outlineLvl w:val="0"/>
        <w:rPr>
          <w:rFonts w:ascii="黑体" w:hAnsi="黑体" w:eastAsia="黑体"/>
          <w:snapToGrid w:val="0"/>
          <w:color w:val="auto"/>
          <w:sz w:val="30"/>
          <w:szCs w:val="30"/>
        </w:rPr>
      </w:pPr>
    </w:p>
    <w:p w14:paraId="2A4056B2">
      <w:pPr>
        <w:pStyle w:val="24"/>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8266"/>
      </w:tblGrid>
      <w:tr w14:paraId="74474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00" w:type="dxa"/>
            <w:vAlign w:val="center"/>
          </w:tcPr>
          <w:p w14:paraId="47565FC3">
            <w:pPr>
              <w:adjustRightInd w:val="0"/>
              <w:snapToGrid w:val="0"/>
              <w:jc w:val="center"/>
              <w:rPr>
                <w:rFonts w:ascii="宋体" w:hAnsi="宋体" w:cs="宋体"/>
                <w:color w:val="auto"/>
                <w:kern w:val="0"/>
                <w:szCs w:val="21"/>
              </w:rPr>
            </w:pPr>
            <w:r>
              <w:rPr>
                <w:rFonts w:hint="eastAsia" w:ascii="宋体" w:hAnsi="宋体" w:cs="宋体"/>
                <w:color w:val="auto"/>
                <w:kern w:val="0"/>
                <w:szCs w:val="21"/>
              </w:rPr>
              <w:t>区域</w:t>
            </w:r>
          </w:p>
          <w:p w14:paraId="008A6D6F">
            <w:pPr>
              <w:adjustRightInd w:val="0"/>
              <w:snapToGrid w:val="0"/>
              <w:jc w:val="center"/>
              <w:rPr>
                <w:rFonts w:ascii="宋体" w:hAnsi="宋体" w:cs="宋体"/>
                <w:color w:val="auto"/>
                <w:kern w:val="0"/>
                <w:szCs w:val="21"/>
              </w:rPr>
            </w:pPr>
            <w:r>
              <w:rPr>
                <w:rFonts w:hint="eastAsia" w:ascii="宋体" w:hAnsi="宋体" w:cs="宋体"/>
                <w:color w:val="auto"/>
                <w:kern w:val="0"/>
                <w:szCs w:val="21"/>
              </w:rPr>
              <w:t>环境</w:t>
            </w:r>
          </w:p>
          <w:p w14:paraId="61BC5846">
            <w:pPr>
              <w:adjustRightInd w:val="0"/>
              <w:snapToGrid w:val="0"/>
              <w:jc w:val="center"/>
              <w:rPr>
                <w:rFonts w:ascii="宋体" w:hAnsi="宋体" w:cs="宋体"/>
                <w:color w:val="auto"/>
                <w:kern w:val="0"/>
                <w:szCs w:val="21"/>
              </w:rPr>
            </w:pPr>
            <w:r>
              <w:rPr>
                <w:rFonts w:hint="eastAsia" w:ascii="宋体" w:hAnsi="宋体" w:cs="宋体"/>
                <w:color w:val="auto"/>
                <w:kern w:val="0"/>
                <w:szCs w:val="21"/>
              </w:rPr>
              <w:t>质量</w:t>
            </w:r>
          </w:p>
          <w:p w14:paraId="58370568">
            <w:pPr>
              <w:adjustRightInd w:val="0"/>
              <w:snapToGrid w:val="0"/>
              <w:jc w:val="center"/>
              <w:rPr>
                <w:rFonts w:ascii="宋体" w:hAnsi="宋体" w:cs="宋体"/>
                <w:color w:val="auto"/>
                <w:kern w:val="0"/>
                <w:szCs w:val="21"/>
              </w:rPr>
            </w:pPr>
            <w:r>
              <w:rPr>
                <w:rFonts w:hint="eastAsia" w:ascii="宋体" w:hAnsi="宋体" w:cs="宋体"/>
                <w:color w:val="auto"/>
                <w:kern w:val="0"/>
                <w:szCs w:val="21"/>
              </w:rPr>
              <w:t>现状</w:t>
            </w:r>
          </w:p>
        </w:tc>
        <w:tc>
          <w:tcPr>
            <w:tcW w:w="8190" w:type="dxa"/>
            <w:vAlign w:val="center"/>
          </w:tcPr>
          <w:p w14:paraId="1CF6383E">
            <w:pPr>
              <w:pStyle w:val="56"/>
              <w:spacing w:line="360" w:lineRule="auto"/>
              <w:rPr>
                <w:color w:val="auto"/>
              </w:rPr>
            </w:pPr>
            <w:r>
              <w:rPr>
                <w:rFonts w:hint="eastAsia"/>
                <w:color w:val="auto"/>
              </w:rPr>
              <w:t>1</w:t>
            </w:r>
            <w:r>
              <w:rPr>
                <w:color w:val="auto"/>
              </w:rPr>
              <w:t>.</w:t>
            </w:r>
            <w:r>
              <w:rPr>
                <w:rFonts w:hint="eastAsia" w:ascii="Times New Roman" w:hAnsi="Times New Roman" w:eastAsia="宋体" w:cs="Times New Roman"/>
                <w:b/>
                <w:bCs/>
                <w:color w:val="auto"/>
                <w:kern w:val="2"/>
                <w:sz w:val="24"/>
                <w:szCs w:val="24"/>
                <w:lang w:val="en-US" w:eastAsia="zh-CN" w:bidi="ar-SA"/>
              </w:rPr>
              <w:t>大气环境</w:t>
            </w:r>
          </w:p>
          <w:p w14:paraId="0EAF5CF3">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ascii="Times New Roman" w:hAnsi="Times New Roman" w:eastAsia="宋体" w:cs="Times New Roman"/>
                <w:b/>
                <w:bCs/>
                <w:color w:val="auto"/>
                <w:sz w:val="24"/>
              </w:rPr>
              <w:t>.1</w:t>
            </w:r>
            <w:r>
              <w:rPr>
                <w:rFonts w:hint="eastAsia" w:ascii="Times New Roman" w:hAnsi="Times New Roman" w:eastAsia="宋体" w:cs="Times New Roman"/>
                <w:b/>
                <w:bCs/>
                <w:color w:val="auto"/>
                <w:sz w:val="24"/>
              </w:rPr>
              <w:t>环境空气质量功能区划</w:t>
            </w:r>
          </w:p>
          <w:p w14:paraId="6DD1D56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本项目位于新</w:t>
            </w:r>
            <w:r>
              <w:rPr>
                <w:rFonts w:hint="eastAsia" w:ascii="Times New Roman" w:hAnsi="Times New Roman" w:eastAsia="宋体" w:cs="Times New Roman"/>
                <w:color w:val="auto"/>
                <w:kern w:val="0"/>
                <w:sz w:val="24"/>
                <w:highlight w:val="none"/>
              </w:rPr>
              <w:t>疆维吾尔自治区</w:t>
            </w:r>
            <w:r>
              <w:rPr>
                <w:rFonts w:hint="eastAsia" w:cs="Times New Roman"/>
                <w:color w:val="auto"/>
                <w:kern w:val="0"/>
                <w:sz w:val="24"/>
                <w:highlight w:val="none"/>
                <w:lang w:val="en-US" w:eastAsia="zh-CN"/>
              </w:rPr>
              <w:t>昌吉州</w:t>
            </w:r>
            <w:r>
              <w:rPr>
                <w:rFonts w:hint="eastAsia" w:ascii="Times New Roman" w:hAnsi="Times New Roman" w:eastAsia="宋体" w:cs="Times New Roman"/>
                <w:color w:val="auto"/>
                <w:kern w:val="0"/>
                <w:sz w:val="24"/>
                <w:highlight w:val="none"/>
              </w:rPr>
              <w:t>木垒县</w:t>
            </w:r>
            <w:r>
              <w:rPr>
                <w:rFonts w:hint="eastAsia" w:cs="Times New Roman"/>
                <w:color w:val="auto"/>
                <w:kern w:val="0"/>
                <w:sz w:val="24"/>
                <w:highlight w:val="none"/>
                <w:lang w:val="en-US" w:eastAsia="zh-CN"/>
              </w:rPr>
              <w:t>大石头</w:t>
            </w:r>
            <w:r>
              <w:rPr>
                <w:rFonts w:hint="eastAsia" w:ascii="Times New Roman" w:hAnsi="Times New Roman" w:eastAsia="宋体" w:cs="Times New Roman"/>
                <w:color w:val="auto"/>
                <w:kern w:val="0"/>
                <w:sz w:val="24"/>
                <w:highlight w:val="none"/>
                <w:lang w:eastAsia="zh-CN"/>
              </w:rPr>
              <w:t>风电</w:t>
            </w:r>
            <w:r>
              <w:rPr>
                <w:rFonts w:hint="eastAsia" w:cs="Times New Roman"/>
                <w:color w:val="auto"/>
                <w:kern w:val="0"/>
                <w:sz w:val="24"/>
                <w:highlight w:val="none"/>
                <w:lang w:val="en-US" w:eastAsia="zh-CN"/>
              </w:rPr>
              <w:t>场</w:t>
            </w:r>
            <w:r>
              <w:rPr>
                <w:rFonts w:hint="eastAsia" w:ascii="Times New Roman" w:hAnsi="Times New Roman" w:eastAsia="宋体" w:cs="Times New Roman"/>
                <w:color w:val="auto"/>
                <w:kern w:val="0"/>
                <w:sz w:val="24"/>
              </w:rPr>
              <w:t>，参照《环境空气质量功能区划分原则与技术方法》（HJ14-1996），项目所在地</w:t>
            </w:r>
            <w:r>
              <w:rPr>
                <w:rFonts w:hint="eastAsia" w:ascii="Times New Roman" w:hAnsi="Times New Roman" w:eastAsia="宋体" w:cs="Times New Roman"/>
                <w:color w:val="auto"/>
                <w:kern w:val="0"/>
                <w:sz w:val="24"/>
                <w:highlight w:val="none"/>
              </w:rPr>
              <w:t>环境空气质量功能区属二类区，执行《环境空气质量标准》（GB3095-2012）二级标准。</w:t>
            </w:r>
          </w:p>
          <w:p w14:paraId="60D4E5BB">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ascii="Times New Roman" w:hAnsi="Times New Roman" w:eastAsia="宋体" w:cs="Times New Roman"/>
                <w:b/>
                <w:bCs/>
                <w:color w:val="auto"/>
                <w:sz w:val="24"/>
              </w:rPr>
              <w:t>.2</w:t>
            </w:r>
            <w:r>
              <w:rPr>
                <w:rFonts w:hint="eastAsia" w:ascii="Times New Roman" w:hAnsi="Times New Roman" w:eastAsia="宋体" w:cs="Times New Roman"/>
                <w:b/>
                <w:bCs/>
                <w:color w:val="auto"/>
                <w:sz w:val="24"/>
              </w:rPr>
              <w:t>评价标准</w:t>
            </w:r>
          </w:p>
          <w:p w14:paraId="6B1CF52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根据本项目所在区域的环境功能区划，基本污染物SO</w:t>
            </w:r>
            <w:r>
              <w:rPr>
                <w:rFonts w:ascii="Times New Roman" w:hAnsi="Times New Roman" w:eastAsia="宋体" w:cs="Times New Roman"/>
                <w:color w:val="auto"/>
                <w:kern w:val="0"/>
                <w:sz w:val="24"/>
                <w:vertAlign w:val="subscript"/>
              </w:rPr>
              <w:t>2</w:t>
            </w:r>
            <w:r>
              <w:rPr>
                <w:rFonts w:ascii="Times New Roman" w:hAnsi="Times New Roman" w:eastAsia="宋体" w:cs="Times New Roman"/>
                <w:color w:val="auto"/>
                <w:kern w:val="0"/>
                <w:sz w:val="24"/>
              </w:rPr>
              <w:t>、NO</w:t>
            </w:r>
            <w:r>
              <w:rPr>
                <w:rFonts w:ascii="Times New Roman" w:hAnsi="Times New Roman" w:eastAsia="宋体" w:cs="Times New Roman"/>
                <w:color w:val="auto"/>
                <w:kern w:val="0"/>
                <w:sz w:val="24"/>
                <w:vertAlign w:val="subscript"/>
              </w:rPr>
              <w:t>2</w:t>
            </w:r>
            <w:r>
              <w:rPr>
                <w:rFonts w:ascii="Times New Roman" w:hAnsi="Times New Roman" w:eastAsia="宋体" w:cs="Times New Roman"/>
                <w:color w:val="auto"/>
                <w:kern w:val="0"/>
                <w:sz w:val="24"/>
              </w:rPr>
              <w:t>、PM</w:t>
            </w:r>
            <w:r>
              <w:rPr>
                <w:rFonts w:ascii="Times New Roman" w:hAnsi="Times New Roman" w:eastAsia="宋体" w:cs="Times New Roman"/>
                <w:color w:val="auto"/>
                <w:kern w:val="0"/>
                <w:sz w:val="24"/>
                <w:vertAlign w:val="subscript"/>
              </w:rPr>
              <w:t>10</w:t>
            </w:r>
            <w:r>
              <w:rPr>
                <w:rFonts w:ascii="Times New Roman" w:hAnsi="Times New Roman" w:eastAsia="宋体" w:cs="Times New Roman"/>
                <w:color w:val="auto"/>
                <w:kern w:val="0"/>
                <w:sz w:val="24"/>
              </w:rPr>
              <w:t>、PM</w:t>
            </w:r>
            <w:r>
              <w:rPr>
                <w:rFonts w:ascii="Times New Roman" w:hAnsi="Times New Roman" w:eastAsia="宋体" w:cs="Times New Roman"/>
                <w:color w:val="auto"/>
                <w:kern w:val="0"/>
                <w:sz w:val="24"/>
                <w:vertAlign w:val="subscript"/>
              </w:rPr>
              <w:t>2.5</w:t>
            </w:r>
            <w:r>
              <w:rPr>
                <w:rFonts w:ascii="Times New Roman" w:hAnsi="Times New Roman" w:eastAsia="宋体" w:cs="Times New Roman"/>
                <w:color w:val="auto"/>
                <w:kern w:val="0"/>
                <w:sz w:val="24"/>
              </w:rPr>
              <w:t>、CO、O</w:t>
            </w:r>
            <w:r>
              <w:rPr>
                <w:rFonts w:ascii="Times New Roman" w:hAnsi="Times New Roman" w:eastAsia="宋体" w:cs="Times New Roman"/>
                <w:color w:val="auto"/>
                <w:kern w:val="0"/>
                <w:sz w:val="24"/>
                <w:vertAlign w:val="subscript"/>
              </w:rPr>
              <w:t>3</w:t>
            </w:r>
            <w:r>
              <w:rPr>
                <w:rFonts w:ascii="Times New Roman" w:hAnsi="Times New Roman" w:eastAsia="宋体" w:cs="Times New Roman"/>
                <w:color w:val="auto"/>
                <w:kern w:val="0"/>
                <w:sz w:val="24"/>
              </w:rPr>
              <w:t>执行《环境空气质量标准》（GB3095</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2012）中的</w:t>
            </w:r>
            <w:r>
              <w:rPr>
                <w:rFonts w:ascii="Times New Roman" w:hAnsi="Times New Roman" w:eastAsia="宋体" w:cs="Times New Roman"/>
                <w:color w:val="auto"/>
                <w:kern w:val="0"/>
                <w:sz w:val="24"/>
                <w:highlight w:val="none"/>
              </w:rPr>
              <w:t>二级标准</w:t>
            </w:r>
            <w:r>
              <w:rPr>
                <w:rFonts w:ascii="Times New Roman" w:hAnsi="Times New Roman" w:eastAsia="宋体" w:cs="Times New Roman"/>
                <w:color w:val="auto"/>
                <w:kern w:val="0"/>
                <w:sz w:val="24"/>
              </w:rPr>
              <w:t>。</w:t>
            </w:r>
          </w:p>
          <w:p w14:paraId="12391364">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ascii="Times New Roman" w:hAnsi="Times New Roman" w:eastAsia="宋体" w:cs="Times New Roman"/>
                <w:b/>
                <w:bCs/>
                <w:color w:val="auto"/>
                <w:sz w:val="24"/>
              </w:rPr>
              <w:t>.3</w:t>
            </w:r>
            <w:r>
              <w:rPr>
                <w:rFonts w:hint="eastAsia" w:ascii="Times New Roman" w:hAnsi="Times New Roman" w:eastAsia="宋体" w:cs="Times New Roman"/>
                <w:b/>
                <w:bCs/>
                <w:color w:val="auto"/>
                <w:sz w:val="24"/>
              </w:rPr>
              <w:t>评价方法</w:t>
            </w:r>
          </w:p>
          <w:p w14:paraId="16AEDF5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基本污染物按照《环境空气质量评价技术规范（试行）》（HJ663-2013）中各评价项目的年评价指标进行判定。年评价指标中的年均浓度和相应百分位数24h平均或8h平均质量浓度满足GB3095中浓度限值要求的即为达标。对于超标的污染物，计算其超标倍数和超标率。</w:t>
            </w:r>
          </w:p>
          <w:p w14:paraId="0345934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计算公式</w:t>
            </w:r>
            <w:r>
              <w:rPr>
                <w:rFonts w:ascii="Times New Roman" w:hAnsi="Times New Roman" w:eastAsia="宋体" w:cs="Times New Roman"/>
                <w:color w:val="auto"/>
                <w:kern w:val="0"/>
                <w:sz w:val="24"/>
              </w:rPr>
              <w:t>：</w:t>
            </w:r>
          </w:p>
          <w:p w14:paraId="2D3B8B0A">
            <w:pPr>
              <w:pStyle w:val="63"/>
              <w:ind w:firstLine="480"/>
              <w:jc w:val="center"/>
              <w:rPr>
                <w:rFonts w:cs="Times New Roman"/>
                <w:color w:val="auto"/>
                <w:kern w:val="0"/>
              </w:rPr>
            </w:pPr>
            <w:r>
              <w:rPr>
                <w:rFonts w:cs="Times New Roman"/>
                <w:color w:val="auto"/>
                <w:kern w:val="0"/>
              </w:rPr>
              <w:t>P</w:t>
            </w:r>
            <w:r>
              <w:rPr>
                <w:rFonts w:cs="Times New Roman"/>
                <w:color w:val="auto"/>
                <w:kern w:val="0"/>
                <w:vertAlign w:val="subscript"/>
              </w:rPr>
              <w:t>i</w:t>
            </w:r>
            <w:r>
              <w:rPr>
                <w:rFonts w:cs="Times New Roman"/>
                <w:color w:val="auto"/>
                <w:kern w:val="0"/>
              </w:rPr>
              <w:t>=C</w:t>
            </w:r>
            <w:r>
              <w:rPr>
                <w:rFonts w:cs="Times New Roman"/>
                <w:color w:val="auto"/>
                <w:kern w:val="0"/>
                <w:vertAlign w:val="subscript"/>
              </w:rPr>
              <w:t>i</w:t>
            </w:r>
            <w:r>
              <w:rPr>
                <w:rFonts w:cs="Times New Roman"/>
                <w:color w:val="auto"/>
                <w:kern w:val="0"/>
              </w:rPr>
              <w:t>/C</w:t>
            </w:r>
            <w:r>
              <w:rPr>
                <w:rFonts w:cs="Times New Roman"/>
                <w:color w:val="auto"/>
                <w:kern w:val="0"/>
                <w:vertAlign w:val="subscript"/>
              </w:rPr>
              <w:t>oi</w:t>
            </w:r>
            <w:r>
              <w:rPr>
                <w:rFonts w:cs="Times New Roman"/>
                <w:color w:val="auto"/>
                <w:kern w:val="0"/>
              </w:rPr>
              <w:t>×100%</w:t>
            </w:r>
          </w:p>
          <w:p w14:paraId="4960B726">
            <w:pPr>
              <w:pStyle w:val="63"/>
              <w:ind w:firstLine="720" w:firstLineChars="300"/>
              <w:rPr>
                <w:rFonts w:cs="Times New Roman"/>
                <w:color w:val="auto"/>
                <w:kern w:val="0"/>
              </w:rPr>
            </w:pPr>
            <w:r>
              <w:rPr>
                <w:rFonts w:ascii="Times New Roman" w:hAnsi="Times New Roman" w:eastAsia="宋体" w:cs="Times New Roman"/>
                <w:color w:val="auto"/>
                <w:kern w:val="0"/>
                <w:sz w:val="24"/>
                <w:szCs w:val="24"/>
                <w:lang w:val="en-US" w:eastAsia="zh-CN" w:bidi="ar-SA"/>
              </w:rPr>
              <w:t>其中：</w:t>
            </w:r>
            <w:r>
              <w:rPr>
                <w:rFonts w:cs="Times New Roman"/>
                <w:color w:val="auto"/>
                <w:kern w:val="0"/>
              </w:rPr>
              <w:t>P</w:t>
            </w:r>
            <w:r>
              <w:rPr>
                <w:rFonts w:cs="Times New Roman"/>
                <w:color w:val="auto"/>
                <w:kern w:val="0"/>
                <w:vertAlign w:val="subscript"/>
              </w:rPr>
              <w:t>i</w:t>
            </w:r>
            <w:r>
              <w:rPr>
                <w:rFonts w:hint="eastAsia" w:cs="Times New Roman"/>
                <w:color w:val="auto"/>
                <w:kern w:val="0"/>
              </w:rPr>
              <w:t>-</w:t>
            </w:r>
            <w:r>
              <w:rPr>
                <w:rFonts w:hint="eastAsia" w:cs="Times New Roman"/>
                <w:color w:val="auto"/>
                <w:kern w:val="0"/>
                <w:lang w:eastAsia="zh-CN"/>
              </w:rPr>
              <w:t>－</w:t>
            </w:r>
            <w:r>
              <w:rPr>
                <w:rFonts w:cs="Times New Roman"/>
                <w:color w:val="auto"/>
                <w:kern w:val="0"/>
              </w:rPr>
              <w:t>污染物i的地面空气质量浓度占标率，%；</w:t>
            </w:r>
          </w:p>
          <w:p w14:paraId="15E2DD1D">
            <w:pPr>
              <w:pStyle w:val="63"/>
              <w:ind w:firstLine="1440" w:firstLineChars="600"/>
              <w:rPr>
                <w:rFonts w:cs="Times New Roman"/>
                <w:color w:val="auto"/>
                <w:kern w:val="0"/>
              </w:rPr>
            </w:pPr>
            <w:r>
              <w:rPr>
                <w:rFonts w:cs="Times New Roman"/>
                <w:color w:val="auto"/>
                <w:kern w:val="0"/>
              </w:rPr>
              <w:t>C</w:t>
            </w:r>
            <w:r>
              <w:rPr>
                <w:rFonts w:cs="Times New Roman"/>
                <w:color w:val="auto"/>
                <w:kern w:val="0"/>
                <w:vertAlign w:val="subscript"/>
              </w:rPr>
              <w:t>i</w:t>
            </w:r>
            <w:r>
              <w:rPr>
                <w:rFonts w:hint="eastAsia" w:cs="Times New Roman"/>
                <w:color w:val="auto"/>
                <w:kern w:val="0"/>
              </w:rPr>
              <w:t>-</w:t>
            </w:r>
            <w:r>
              <w:rPr>
                <w:rFonts w:hint="eastAsia" w:cs="Times New Roman"/>
                <w:color w:val="auto"/>
                <w:kern w:val="0"/>
                <w:lang w:eastAsia="zh-CN"/>
              </w:rPr>
              <w:t>－</w:t>
            </w:r>
            <w:r>
              <w:rPr>
                <w:rFonts w:cs="Times New Roman"/>
                <w:color w:val="auto"/>
                <w:kern w:val="0"/>
              </w:rPr>
              <w:t>基本污染物i的地面空气质量浓度，μg/m</w:t>
            </w:r>
            <w:r>
              <w:rPr>
                <w:rFonts w:cs="Times New Roman"/>
                <w:color w:val="auto"/>
                <w:kern w:val="0"/>
                <w:vertAlign w:val="superscript"/>
              </w:rPr>
              <w:t>3</w:t>
            </w:r>
            <w:r>
              <w:rPr>
                <w:rFonts w:cs="Times New Roman"/>
                <w:color w:val="auto"/>
                <w:kern w:val="0"/>
              </w:rPr>
              <w:t xml:space="preserve">； </w:t>
            </w:r>
          </w:p>
          <w:p w14:paraId="044BA4BC">
            <w:pPr>
              <w:pStyle w:val="63"/>
              <w:ind w:firstLine="1440" w:firstLineChars="600"/>
              <w:rPr>
                <w:color w:val="auto"/>
                <w:szCs w:val="32"/>
              </w:rPr>
            </w:pPr>
            <w:r>
              <w:rPr>
                <w:rFonts w:cs="Times New Roman"/>
                <w:color w:val="auto"/>
                <w:kern w:val="0"/>
              </w:rPr>
              <w:t>C</w:t>
            </w:r>
            <w:r>
              <w:rPr>
                <w:rFonts w:hint="eastAsia" w:cs="Times New Roman"/>
                <w:color w:val="auto"/>
                <w:kern w:val="0"/>
                <w:vertAlign w:val="subscript"/>
              </w:rPr>
              <w:t>o</w:t>
            </w:r>
            <w:r>
              <w:rPr>
                <w:rFonts w:cs="Times New Roman"/>
                <w:color w:val="auto"/>
                <w:kern w:val="0"/>
                <w:vertAlign w:val="subscript"/>
              </w:rPr>
              <w:t>i</w:t>
            </w:r>
            <w:r>
              <w:rPr>
                <w:rFonts w:hint="eastAsia" w:cs="Times New Roman"/>
                <w:color w:val="auto"/>
                <w:kern w:val="0"/>
              </w:rPr>
              <w:t>-</w:t>
            </w:r>
            <w:r>
              <w:rPr>
                <w:rFonts w:hint="eastAsia" w:cs="Times New Roman"/>
                <w:color w:val="auto"/>
                <w:kern w:val="0"/>
                <w:lang w:eastAsia="zh-CN"/>
              </w:rPr>
              <w:t>－</w:t>
            </w:r>
            <w:r>
              <w:rPr>
                <w:rFonts w:cs="Times New Roman"/>
                <w:color w:val="auto"/>
                <w:kern w:val="0"/>
              </w:rPr>
              <w:t>基本污染物i的环境空气质量浓度标准，μg/m</w:t>
            </w:r>
            <w:r>
              <w:rPr>
                <w:rFonts w:cs="Times New Roman"/>
                <w:color w:val="auto"/>
                <w:kern w:val="0"/>
                <w:vertAlign w:val="superscript"/>
              </w:rPr>
              <w:t>3</w:t>
            </w:r>
            <w:r>
              <w:rPr>
                <w:rFonts w:cs="Times New Roman"/>
                <w:color w:val="auto"/>
                <w:kern w:val="0"/>
              </w:rPr>
              <w:t>。</w:t>
            </w:r>
          </w:p>
          <w:p w14:paraId="7EC804A1">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ascii="Times New Roman" w:hAnsi="Times New Roman" w:eastAsia="宋体" w:cs="Times New Roman"/>
                <w:b/>
                <w:bCs/>
                <w:color w:val="auto"/>
                <w:sz w:val="24"/>
              </w:rPr>
              <w:t>.4</w:t>
            </w:r>
            <w:r>
              <w:rPr>
                <w:rFonts w:hint="eastAsia" w:ascii="Times New Roman" w:hAnsi="Times New Roman" w:eastAsia="宋体" w:cs="Times New Roman"/>
                <w:b/>
                <w:bCs/>
                <w:color w:val="auto"/>
                <w:sz w:val="24"/>
              </w:rPr>
              <w:t>区域大气环境质量现状</w:t>
            </w:r>
          </w:p>
          <w:p w14:paraId="4CBF32B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rPr>
              <w:t>根据《环境影响评价技术导则 大气环境》（HJ2.2-2018）要求，</w:t>
            </w:r>
            <w:r>
              <w:rPr>
                <w:rFonts w:hint="eastAsia" w:ascii="Times New Roman" w:hAnsi="Times New Roman" w:eastAsia="宋体" w:cs="Times New Roman"/>
                <w:color w:val="auto"/>
                <w:kern w:val="0"/>
                <w:sz w:val="24"/>
                <w:highlight w:val="none"/>
              </w:rPr>
              <w:t>基本污染物按照木垒县监测站202</w:t>
            </w:r>
            <w:r>
              <w:rPr>
                <w:rFonts w:hint="eastAsia" w:cs="Times New Roman"/>
                <w:color w:val="auto"/>
                <w:kern w:val="0"/>
                <w:sz w:val="24"/>
                <w:highlight w:val="none"/>
                <w:lang w:val="en-US" w:eastAsia="zh-CN"/>
              </w:rPr>
              <w:t>3</w:t>
            </w:r>
            <w:r>
              <w:rPr>
                <w:rFonts w:hint="eastAsia" w:ascii="Times New Roman" w:hAnsi="Times New Roman" w:eastAsia="宋体" w:cs="Times New Roman"/>
                <w:color w:val="auto"/>
                <w:kern w:val="0"/>
                <w:sz w:val="24"/>
                <w:highlight w:val="none"/>
              </w:rPr>
              <w:t>年基准年连续1年的监测数据进行判定，基本污染物包括SO</w:t>
            </w:r>
            <w:r>
              <w:rPr>
                <w:rFonts w:hint="eastAsia" w:ascii="Times New Roman" w:hAnsi="Times New Roman" w:eastAsia="宋体" w:cs="Times New Roman"/>
                <w:color w:val="auto"/>
                <w:kern w:val="0"/>
                <w:sz w:val="24"/>
                <w:highlight w:val="none"/>
                <w:vertAlign w:val="subscript"/>
              </w:rPr>
              <w:t>2</w:t>
            </w:r>
            <w:r>
              <w:rPr>
                <w:rFonts w:hint="eastAsia" w:ascii="Times New Roman" w:hAnsi="Times New Roman" w:eastAsia="宋体" w:cs="Times New Roman"/>
                <w:color w:val="auto"/>
                <w:kern w:val="0"/>
                <w:sz w:val="24"/>
                <w:highlight w:val="none"/>
              </w:rPr>
              <w:t>、NO</w:t>
            </w:r>
            <w:r>
              <w:rPr>
                <w:rFonts w:hint="eastAsia" w:ascii="Times New Roman" w:hAnsi="Times New Roman" w:eastAsia="宋体" w:cs="Times New Roman"/>
                <w:color w:val="auto"/>
                <w:kern w:val="0"/>
                <w:sz w:val="24"/>
                <w:highlight w:val="none"/>
                <w:vertAlign w:val="subscript"/>
              </w:rPr>
              <w:t>2</w:t>
            </w:r>
            <w:r>
              <w:rPr>
                <w:rFonts w:hint="eastAsia" w:ascii="Times New Roman" w:hAnsi="Times New Roman" w:eastAsia="宋体" w:cs="Times New Roman"/>
                <w:color w:val="auto"/>
                <w:kern w:val="0"/>
                <w:sz w:val="24"/>
                <w:highlight w:val="none"/>
              </w:rPr>
              <w:t>、PM</w:t>
            </w:r>
            <w:r>
              <w:rPr>
                <w:rFonts w:hint="eastAsia" w:ascii="Times New Roman" w:hAnsi="Times New Roman" w:eastAsia="宋体" w:cs="Times New Roman"/>
                <w:color w:val="auto"/>
                <w:kern w:val="0"/>
                <w:sz w:val="24"/>
                <w:highlight w:val="none"/>
                <w:vertAlign w:val="subscript"/>
              </w:rPr>
              <w:t>10</w:t>
            </w:r>
            <w:r>
              <w:rPr>
                <w:rFonts w:hint="eastAsia" w:ascii="Times New Roman" w:hAnsi="Times New Roman" w:eastAsia="宋体" w:cs="Times New Roman"/>
                <w:color w:val="auto"/>
                <w:kern w:val="0"/>
                <w:sz w:val="24"/>
                <w:highlight w:val="none"/>
              </w:rPr>
              <w:t>、PM</w:t>
            </w:r>
            <w:r>
              <w:rPr>
                <w:rFonts w:hint="eastAsia" w:ascii="Times New Roman" w:hAnsi="Times New Roman" w:eastAsia="宋体" w:cs="Times New Roman"/>
                <w:color w:val="auto"/>
                <w:kern w:val="0"/>
                <w:sz w:val="24"/>
                <w:highlight w:val="none"/>
                <w:vertAlign w:val="subscript"/>
              </w:rPr>
              <w:t>2.5</w:t>
            </w:r>
            <w:r>
              <w:rPr>
                <w:rFonts w:hint="eastAsia" w:ascii="Times New Roman" w:hAnsi="Times New Roman" w:eastAsia="宋体" w:cs="Times New Roman"/>
                <w:color w:val="auto"/>
                <w:kern w:val="0"/>
                <w:sz w:val="24"/>
                <w:highlight w:val="none"/>
              </w:rPr>
              <w:t>、CO和O</w:t>
            </w:r>
            <w:r>
              <w:rPr>
                <w:rFonts w:hint="eastAsia" w:ascii="Times New Roman" w:hAnsi="Times New Roman" w:eastAsia="宋体" w:cs="Times New Roman"/>
                <w:color w:val="auto"/>
                <w:kern w:val="0"/>
                <w:sz w:val="24"/>
                <w:highlight w:val="none"/>
                <w:vertAlign w:val="subscript"/>
              </w:rPr>
              <w:t>3</w:t>
            </w:r>
            <w:r>
              <w:rPr>
                <w:rFonts w:hint="eastAsia" w:ascii="Times New Roman" w:hAnsi="Times New Roman" w:eastAsia="宋体" w:cs="Times New Roman"/>
                <w:color w:val="auto"/>
                <w:kern w:val="0"/>
                <w:sz w:val="24"/>
                <w:highlight w:val="none"/>
              </w:rPr>
              <w:t>，进行项目所在区域环境空气达标判定和区域各污染物的环境质量现状评价。</w:t>
            </w:r>
          </w:p>
          <w:p w14:paraId="5541DA0E">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表3-1    区域空气质量现状评价表  单位：</w:t>
            </w:r>
            <w:r>
              <w:rPr>
                <w:rFonts w:hint="default" w:ascii="Times New Roman" w:hAnsi="Times New Roman" w:eastAsia="宋体" w:cs="Times New Roman"/>
                <w:color w:val="auto"/>
              </w:rPr>
              <w:t>μg/m</w:t>
            </w:r>
            <w:r>
              <w:rPr>
                <w:rFonts w:hint="default" w:ascii="Times New Roman" w:hAnsi="Times New Roman" w:eastAsia="宋体" w:cs="Times New Roman"/>
                <w:color w:val="auto"/>
                <w:vertAlign w:val="superscript"/>
              </w:rPr>
              <w:t>3</w:t>
            </w:r>
            <w:r>
              <w:rPr>
                <w:rFonts w:hint="eastAsia" w:ascii="Times New Roman" w:hAnsi="Times New Roman" w:eastAsia="宋体" w:cs="Times New Roman"/>
                <w:color w:val="auto"/>
              </w:rPr>
              <w:t>（CO：</w:t>
            </w:r>
            <w:r>
              <w:rPr>
                <w:rFonts w:hint="default" w:ascii="Times New Roman" w:hAnsi="Times New Roman" w:eastAsia="宋体" w:cs="Times New Roman"/>
                <w:color w:val="auto"/>
              </w:rPr>
              <w:t>mg/m</w:t>
            </w:r>
            <w:r>
              <w:rPr>
                <w:rFonts w:hint="default" w:ascii="Times New Roman" w:hAnsi="Times New Roman" w:eastAsia="宋体" w:cs="Times New Roman"/>
                <w:color w:val="auto"/>
                <w:vertAlign w:val="superscript"/>
              </w:rPr>
              <w:t>3</w:t>
            </w:r>
            <w:r>
              <w:rPr>
                <w:rFonts w:hint="eastAsia" w:ascii="Times New Roman" w:hAnsi="Times New Roman" w:eastAsia="宋体" w:cs="Times New Roman"/>
                <w:color w:val="auto"/>
              </w:rPr>
              <w:t>）</w:t>
            </w:r>
          </w:p>
          <w:tbl>
            <w:tblPr>
              <w:tblStyle w:val="27"/>
              <w:tblW w:w="805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831"/>
              <w:gridCol w:w="2149"/>
              <w:gridCol w:w="1475"/>
              <w:gridCol w:w="1475"/>
              <w:gridCol w:w="1073"/>
              <w:gridCol w:w="1047"/>
            </w:tblGrid>
            <w:tr w14:paraId="193CAF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624" w:hRule="atLeast"/>
                <w:jc w:val="center"/>
              </w:trPr>
              <w:tc>
                <w:tcPr>
                  <w:tcW w:w="831" w:type="dxa"/>
                  <w:tcBorders>
                    <w:bottom w:val="single" w:color="auto" w:sz="12" w:space="0"/>
                  </w:tcBorders>
                  <w:vAlign w:val="center"/>
                </w:tcPr>
                <w:p w14:paraId="6B554FE0">
                  <w:pPr>
                    <w:pStyle w:val="59"/>
                    <w:rPr>
                      <w:b/>
                      <w:bCs w:val="0"/>
                      <w:color w:val="auto"/>
                      <w:sz w:val="21"/>
                      <w:szCs w:val="21"/>
                    </w:rPr>
                  </w:pPr>
                  <w:r>
                    <w:rPr>
                      <w:b/>
                      <w:bCs w:val="0"/>
                      <w:color w:val="auto"/>
                      <w:sz w:val="21"/>
                      <w:szCs w:val="21"/>
                    </w:rPr>
                    <w:t>污染物</w:t>
                  </w:r>
                </w:p>
              </w:tc>
              <w:tc>
                <w:tcPr>
                  <w:tcW w:w="2149" w:type="dxa"/>
                  <w:tcBorders>
                    <w:bottom w:val="single" w:color="auto" w:sz="12" w:space="0"/>
                  </w:tcBorders>
                  <w:vAlign w:val="center"/>
                </w:tcPr>
                <w:p w14:paraId="1E11F9A0">
                  <w:pPr>
                    <w:pStyle w:val="59"/>
                    <w:rPr>
                      <w:b/>
                      <w:bCs w:val="0"/>
                      <w:color w:val="auto"/>
                      <w:sz w:val="21"/>
                      <w:szCs w:val="21"/>
                    </w:rPr>
                  </w:pPr>
                  <w:r>
                    <w:rPr>
                      <w:b/>
                      <w:bCs w:val="0"/>
                      <w:color w:val="auto"/>
                      <w:sz w:val="21"/>
                      <w:szCs w:val="21"/>
                    </w:rPr>
                    <w:t>年评价指标</w:t>
                  </w:r>
                </w:p>
              </w:tc>
              <w:tc>
                <w:tcPr>
                  <w:tcW w:w="1475" w:type="dxa"/>
                  <w:tcBorders>
                    <w:bottom w:val="single" w:color="auto" w:sz="12" w:space="0"/>
                  </w:tcBorders>
                  <w:vAlign w:val="center"/>
                </w:tcPr>
                <w:p w14:paraId="15EB1477">
                  <w:pPr>
                    <w:pStyle w:val="59"/>
                    <w:rPr>
                      <w:b/>
                      <w:bCs w:val="0"/>
                      <w:color w:val="auto"/>
                      <w:sz w:val="21"/>
                      <w:szCs w:val="21"/>
                      <w:highlight w:val="none"/>
                    </w:rPr>
                  </w:pPr>
                  <w:r>
                    <w:rPr>
                      <w:b/>
                      <w:bCs w:val="0"/>
                      <w:color w:val="auto"/>
                      <w:sz w:val="21"/>
                      <w:szCs w:val="21"/>
                      <w:highlight w:val="none"/>
                    </w:rPr>
                    <w:t>现状浓度</w:t>
                  </w:r>
                </w:p>
              </w:tc>
              <w:tc>
                <w:tcPr>
                  <w:tcW w:w="1475" w:type="dxa"/>
                  <w:tcBorders>
                    <w:bottom w:val="single" w:color="auto" w:sz="12" w:space="0"/>
                  </w:tcBorders>
                  <w:vAlign w:val="center"/>
                </w:tcPr>
                <w:p w14:paraId="7F7335B1">
                  <w:pPr>
                    <w:pStyle w:val="59"/>
                    <w:rPr>
                      <w:b/>
                      <w:bCs w:val="0"/>
                      <w:color w:val="auto"/>
                      <w:sz w:val="21"/>
                      <w:szCs w:val="21"/>
                    </w:rPr>
                  </w:pPr>
                  <w:r>
                    <w:rPr>
                      <w:b/>
                      <w:bCs w:val="0"/>
                      <w:color w:val="auto"/>
                      <w:sz w:val="21"/>
                      <w:szCs w:val="21"/>
                    </w:rPr>
                    <w:t>标准值</w:t>
                  </w:r>
                </w:p>
              </w:tc>
              <w:tc>
                <w:tcPr>
                  <w:tcW w:w="1073" w:type="dxa"/>
                  <w:tcBorders>
                    <w:bottom w:val="single" w:color="auto" w:sz="12" w:space="0"/>
                  </w:tcBorders>
                  <w:vAlign w:val="center"/>
                </w:tcPr>
                <w:p w14:paraId="6C02B8EE">
                  <w:pPr>
                    <w:pStyle w:val="59"/>
                    <w:rPr>
                      <w:b/>
                      <w:bCs w:val="0"/>
                      <w:color w:val="auto"/>
                      <w:sz w:val="21"/>
                      <w:szCs w:val="21"/>
                      <w:highlight w:val="none"/>
                    </w:rPr>
                  </w:pPr>
                  <w:r>
                    <w:rPr>
                      <w:b/>
                      <w:bCs w:val="0"/>
                      <w:color w:val="auto"/>
                      <w:sz w:val="21"/>
                      <w:szCs w:val="21"/>
                      <w:highlight w:val="none"/>
                    </w:rPr>
                    <w:t>占标率%</w:t>
                  </w:r>
                </w:p>
              </w:tc>
              <w:tc>
                <w:tcPr>
                  <w:tcW w:w="1047" w:type="dxa"/>
                  <w:tcBorders>
                    <w:bottom w:val="single" w:color="auto" w:sz="12" w:space="0"/>
                  </w:tcBorders>
                  <w:vAlign w:val="center"/>
                </w:tcPr>
                <w:p w14:paraId="07505F49">
                  <w:pPr>
                    <w:pStyle w:val="59"/>
                    <w:rPr>
                      <w:b/>
                      <w:bCs w:val="0"/>
                      <w:color w:val="auto"/>
                      <w:sz w:val="21"/>
                      <w:szCs w:val="21"/>
                    </w:rPr>
                  </w:pPr>
                  <w:r>
                    <w:rPr>
                      <w:b/>
                      <w:bCs w:val="0"/>
                      <w:color w:val="auto"/>
                      <w:sz w:val="21"/>
                      <w:szCs w:val="21"/>
                    </w:rPr>
                    <w:t>达标情况</w:t>
                  </w:r>
                </w:p>
              </w:tc>
            </w:tr>
            <w:tr w14:paraId="08D4F4F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1" w:hRule="atLeast"/>
                <w:jc w:val="center"/>
              </w:trPr>
              <w:tc>
                <w:tcPr>
                  <w:tcW w:w="831" w:type="dxa"/>
                  <w:tcBorders>
                    <w:top w:val="single" w:color="auto" w:sz="12" w:space="0"/>
                    <w:tl2br w:val="nil"/>
                    <w:tr2bl w:val="nil"/>
                  </w:tcBorders>
                  <w:vAlign w:val="center"/>
                </w:tcPr>
                <w:p w14:paraId="63C52A67">
                  <w:pPr>
                    <w:pStyle w:val="59"/>
                    <w:rPr>
                      <w:color w:val="auto"/>
                      <w:sz w:val="21"/>
                      <w:szCs w:val="21"/>
                    </w:rPr>
                  </w:pPr>
                  <w:r>
                    <w:rPr>
                      <w:color w:val="auto"/>
                      <w:sz w:val="21"/>
                      <w:szCs w:val="21"/>
                    </w:rPr>
                    <w:t>SO</w:t>
                  </w:r>
                  <w:r>
                    <w:rPr>
                      <w:color w:val="auto"/>
                      <w:sz w:val="21"/>
                      <w:szCs w:val="21"/>
                      <w:vertAlign w:val="subscript"/>
                    </w:rPr>
                    <w:t>2</w:t>
                  </w:r>
                </w:p>
              </w:tc>
              <w:tc>
                <w:tcPr>
                  <w:tcW w:w="2149" w:type="dxa"/>
                  <w:tcBorders>
                    <w:top w:val="single" w:color="auto" w:sz="12" w:space="0"/>
                    <w:tl2br w:val="nil"/>
                    <w:tr2bl w:val="nil"/>
                  </w:tcBorders>
                  <w:vAlign w:val="center"/>
                </w:tcPr>
                <w:p w14:paraId="2B8DFE6B">
                  <w:pPr>
                    <w:pStyle w:val="59"/>
                    <w:rPr>
                      <w:color w:val="auto"/>
                      <w:sz w:val="21"/>
                      <w:szCs w:val="21"/>
                    </w:rPr>
                  </w:pPr>
                  <w:r>
                    <w:rPr>
                      <w:color w:val="auto"/>
                      <w:sz w:val="21"/>
                      <w:szCs w:val="21"/>
                    </w:rPr>
                    <w:t>年平均质量浓度</w:t>
                  </w:r>
                </w:p>
              </w:tc>
              <w:tc>
                <w:tcPr>
                  <w:tcW w:w="1475" w:type="dxa"/>
                  <w:tcBorders>
                    <w:top w:val="single" w:color="auto" w:sz="12" w:space="0"/>
                    <w:tl2br w:val="nil"/>
                    <w:tr2bl w:val="nil"/>
                  </w:tcBorders>
                  <w:vAlign w:val="center"/>
                </w:tcPr>
                <w:p w14:paraId="48E0BCAD">
                  <w:pPr>
                    <w:pStyle w:val="59"/>
                    <w:rPr>
                      <w:rFonts w:hint="eastAsia" w:eastAsia="宋体"/>
                      <w:color w:val="auto"/>
                      <w:sz w:val="21"/>
                      <w:szCs w:val="21"/>
                      <w:highlight w:val="none"/>
                      <w:lang w:eastAsia="zh-CN"/>
                    </w:rPr>
                  </w:pPr>
                  <w:r>
                    <w:rPr>
                      <w:rFonts w:hint="eastAsia"/>
                      <w:color w:val="auto"/>
                      <w:sz w:val="21"/>
                      <w:szCs w:val="21"/>
                      <w:highlight w:val="none"/>
                      <w:lang w:val="en-US" w:eastAsia="zh-CN"/>
                    </w:rPr>
                    <w:t>7</w:t>
                  </w:r>
                </w:p>
              </w:tc>
              <w:tc>
                <w:tcPr>
                  <w:tcW w:w="1475" w:type="dxa"/>
                  <w:tcBorders>
                    <w:top w:val="single" w:color="auto" w:sz="12" w:space="0"/>
                    <w:tl2br w:val="nil"/>
                    <w:tr2bl w:val="nil"/>
                  </w:tcBorders>
                  <w:vAlign w:val="center"/>
                </w:tcPr>
                <w:p w14:paraId="18F9435A">
                  <w:pPr>
                    <w:pStyle w:val="59"/>
                    <w:rPr>
                      <w:color w:val="auto"/>
                      <w:sz w:val="21"/>
                      <w:szCs w:val="21"/>
                    </w:rPr>
                  </w:pPr>
                  <w:r>
                    <w:rPr>
                      <w:color w:val="auto"/>
                      <w:sz w:val="21"/>
                      <w:szCs w:val="21"/>
                    </w:rPr>
                    <w:t>60</w:t>
                  </w:r>
                </w:p>
              </w:tc>
              <w:tc>
                <w:tcPr>
                  <w:tcW w:w="1073" w:type="dxa"/>
                  <w:tcBorders>
                    <w:top w:val="single" w:color="auto" w:sz="12" w:space="0"/>
                    <w:tl2br w:val="nil"/>
                    <w:tr2bl w:val="nil"/>
                  </w:tcBorders>
                  <w:vAlign w:val="center"/>
                </w:tcPr>
                <w:p w14:paraId="15B00406">
                  <w:pPr>
                    <w:pStyle w:val="59"/>
                    <w:rPr>
                      <w:rFonts w:hint="default" w:eastAsia="宋体"/>
                      <w:color w:val="auto"/>
                      <w:sz w:val="21"/>
                      <w:szCs w:val="21"/>
                      <w:highlight w:val="none"/>
                      <w:lang w:val="en-US" w:eastAsia="zh-CN"/>
                    </w:rPr>
                  </w:pPr>
                  <w:r>
                    <w:rPr>
                      <w:rFonts w:hint="eastAsia"/>
                      <w:color w:val="auto"/>
                      <w:sz w:val="21"/>
                      <w:szCs w:val="21"/>
                      <w:highlight w:val="none"/>
                      <w:lang w:val="en-US" w:eastAsia="zh-CN"/>
                    </w:rPr>
                    <w:t>11.67</w:t>
                  </w:r>
                </w:p>
              </w:tc>
              <w:tc>
                <w:tcPr>
                  <w:tcW w:w="1047" w:type="dxa"/>
                  <w:tcBorders>
                    <w:top w:val="single" w:color="auto" w:sz="12" w:space="0"/>
                    <w:tl2br w:val="nil"/>
                    <w:tr2bl w:val="nil"/>
                  </w:tcBorders>
                  <w:vAlign w:val="center"/>
                </w:tcPr>
                <w:p w14:paraId="030FBBA7">
                  <w:pPr>
                    <w:pStyle w:val="59"/>
                    <w:rPr>
                      <w:color w:val="auto"/>
                      <w:sz w:val="21"/>
                      <w:szCs w:val="21"/>
                    </w:rPr>
                  </w:pPr>
                  <w:r>
                    <w:rPr>
                      <w:color w:val="auto"/>
                      <w:sz w:val="21"/>
                      <w:szCs w:val="21"/>
                    </w:rPr>
                    <w:t>达标</w:t>
                  </w:r>
                </w:p>
              </w:tc>
            </w:tr>
            <w:tr w14:paraId="067C4A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831" w:type="dxa"/>
                  <w:tcBorders>
                    <w:tl2br w:val="nil"/>
                    <w:tr2bl w:val="nil"/>
                  </w:tcBorders>
                  <w:vAlign w:val="center"/>
                </w:tcPr>
                <w:p w14:paraId="680D580E">
                  <w:pPr>
                    <w:pStyle w:val="59"/>
                    <w:rPr>
                      <w:color w:val="auto"/>
                      <w:sz w:val="21"/>
                      <w:szCs w:val="21"/>
                    </w:rPr>
                  </w:pPr>
                  <w:r>
                    <w:rPr>
                      <w:color w:val="auto"/>
                      <w:sz w:val="21"/>
                      <w:szCs w:val="21"/>
                    </w:rPr>
                    <w:t>NO</w:t>
                  </w:r>
                  <w:r>
                    <w:rPr>
                      <w:color w:val="auto"/>
                      <w:sz w:val="21"/>
                      <w:szCs w:val="21"/>
                      <w:vertAlign w:val="subscript"/>
                    </w:rPr>
                    <w:t>2</w:t>
                  </w:r>
                </w:p>
              </w:tc>
              <w:tc>
                <w:tcPr>
                  <w:tcW w:w="2149" w:type="dxa"/>
                  <w:tcBorders>
                    <w:tl2br w:val="nil"/>
                    <w:tr2bl w:val="nil"/>
                  </w:tcBorders>
                  <w:vAlign w:val="center"/>
                </w:tcPr>
                <w:p w14:paraId="76B61A9B">
                  <w:pPr>
                    <w:pStyle w:val="59"/>
                    <w:rPr>
                      <w:color w:val="auto"/>
                      <w:sz w:val="21"/>
                      <w:szCs w:val="21"/>
                    </w:rPr>
                  </w:pPr>
                  <w:r>
                    <w:rPr>
                      <w:color w:val="auto"/>
                      <w:sz w:val="21"/>
                      <w:szCs w:val="21"/>
                    </w:rPr>
                    <w:t>年平均质量浓度</w:t>
                  </w:r>
                </w:p>
              </w:tc>
              <w:tc>
                <w:tcPr>
                  <w:tcW w:w="1475" w:type="dxa"/>
                  <w:tcBorders>
                    <w:tl2br w:val="nil"/>
                    <w:tr2bl w:val="nil"/>
                  </w:tcBorders>
                  <w:vAlign w:val="center"/>
                </w:tcPr>
                <w:p w14:paraId="25E31CC9">
                  <w:pPr>
                    <w:pStyle w:val="59"/>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1475" w:type="dxa"/>
                  <w:tcBorders>
                    <w:tl2br w:val="nil"/>
                    <w:tr2bl w:val="nil"/>
                  </w:tcBorders>
                  <w:vAlign w:val="center"/>
                </w:tcPr>
                <w:p w14:paraId="6A183A3C">
                  <w:pPr>
                    <w:pStyle w:val="59"/>
                    <w:rPr>
                      <w:color w:val="auto"/>
                      <w:sz w:val="21"/>
                      <w:szCs w:val="21"/>
                    </w:rPr>
                  </w:pPr>
                  <w:r>
                    <w:rPr>
                      <w:color w:val="auto"/>
                      <w:sz w:val="21"/>
                      <w:szCs w:val="21"/>
                    </w:rPr>
                    <w:t>40</w:t>
                  </w:r>
                </w:p>
              </w:tc>
              <w:tc>
                <w:tcPr>
                  <w:tcW w:w="1073" w:type="dxa"/>
                  <w:tcBorders>
                    <w:tl2br w:val="nil"/>
                    <w:tr2bl w:val="nil"/>
                  </w:tcBorders>
                  <w:vAlign w:val="center"/>
                </w:tcPr>
                <w:p w14:paraId="1581FE27">
                  <w:pPr>
                    <w:pStyle w:val="59"/>
                    <w:rPr>
                      <w:rFonts w:hint="default" w:eastAsia="宋体"/>
                      <w:color w:val="auto"/>
                      <w:sz w:val="21"/>
                      <w:szCs w:val="21"/>
                      <w:highlight w:val="none"/>
                      <w:lang w:val="en-US" w:eastAsia="zh-CN"/>
                    </w:rPr>
                  </w:pPr>
                  <w:r>
                    <w:rPr>
                      <w:rFonts w:hint="eastAsia"/>
                      <w:color w:val="auto"/>
                      <w:sz w:val="21"/>
                      <w:szCs w:val="21"/>
                      <w:highlight w:val="none"/>
                      <w:lang w:val="en-US" w:eastAsia="zh-CN"/>
                    </w:rPr>
                    <w:t>25</w:t>
                  </w:r>
                </w:p>
              </w:tc>
              <w:tc>
                <w:tcPr>
                  <w:tcW w:w="1047" w:type="dxa"/>
                  <w:tcBorders>
                    <w:tl2br w:val="nil"/>
                    <w:tr2bl w:val="nil"/>
                  </w:tcBorders>
                  <w:vAlign w:val="center"/>
                </w:tcPr>
                <w:p w14:paraId="4ECA69A1">
                  <w:pPr>
                    <w:pStyle w:val="59"/>
                    <w:rPr>
                      <w:color w:val="auto"/>
                      <w:sz w:val="21"/>
                      <w:szCs w:val="21"/>
                    </w:rPr>
                  </w:pPr>
                  <w:r>
                    <w:rPr>
                      <w:color w:val="auto"/>
                      <w:sz w:val="21"/>
                      <w:szCs w:val="21"/>
                    </w:rPr>
                    <w:t>达标</w:t>
                  </w:r>
                </w:p>
              </w:tc>
            </w:tr>
            <w:tr w14:paraId="089FF11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831" w:type="dxa"/>
                  <w:tcBorders>
                    <w:tl2br w:val="nil"/>
                    <w:tr2bl w:val="nil"/>
                  </w:tcBorders>
                  <w:vAlign w:val="center"/>
                </w:tcPr>
                <w:p w14:paraId="234436EC">
                  <w:pPr>
                    <w:pStyle w:val="59"/>
                    <w:rPr>
                      <w:color w:val="auto"/>
                      <w:sz w:val="21"/>
                      <w:szCs w:val="21"/>
                    </w:rPr>
                  </w:pPr>
                  <w:r>
                    <w:rPr>
                      <w:color w:val="auto"/>
                      <w:sz w:val="21"/>
                      <w:szCs w:val="21"/>
                    </w:rPr>
                    <w:t>PM</w:t>
                  </w:r>
                  <w:r>
                    <w:rPr>
                      <w:color w:val="auto"/>
                      <w:sz w:val="21"/>
                      <w:szCs w:val="21"/>
                      <w:vertAlign w:val="subscript"/>
                    </w:rPr>
                    <w:t>10</w:t>
                  </w:r>
                </w:p>
              </w:tc>
              <w:tc>
                <w:tcPr>
                  <w:tcW w:w="2149" w:type="dxa"/>
                  <w:tcBorders>
                    <w:tl2br w:val="nil"/>
                    <w:tr2bl w:val="nil"/>
                  </w:tcBorders>
                  <w:vAlign w:val="center"/>
                </w:tcPr>
                <w:p w14:paraId="65718E1A">
                  <w:pPr>
                    <w:pStyle w:val="59"/>
                    <w:rPr>
                      <w:color w:val="auto"/>
                      <w:sz w:val="21"/>
                      <w:szCs w:val="21"/>
                    </w:rPr>
                  </w:pPr>
                  <w:r>
                    <w:rPr>
                      <w:color w:val="auto"/>
                      <w:sz w:val="21"/>
                      <w:szCs w:val="21"/>
                    </w:rPr>
                    <w:t>年平均质量浓度</w:t>
                  </w:r>
                </w:p>
              </w:tc>
              <w:tc>
                <w:tcPr>
                  <w:tcW w:w="1475" w:type="dxa"/>
                  <w:tcBorders>
                    <w:tl2br w:val="nil"/>
                    <w:tr2bl w:val="nil"/>
                  </w:tcBorders>
                  <w:vAlign w:val="center"/>
                </w:tcPr>
                <w:p w14:paraId="052A6210">
                  <w:pPr>
                    <w:pStyle w:val="59"/>
                    <w:rPr>
                      <w:rFonts w:hint="default" w:eastAsia="宋体"/>
                      <w:color w:val="auto"/>
                      <w:sz w:val="21"/>
                      <w:szCs w:val="21"/>
                      <w:highlight w:val="none"/>
                      <w:lang w:val="en-US" w:eastAsia="zh-CN"/>
                    </w:rPr>
                  </w:pPr>
                  <w:r>
                    <w:rPr>
                      <w:rFonts w:hint="eastAsia"/>
                      <w:color w:val="auto"/>
                      <w:sz w:val="21"/>
                      <w:szCs w:val="21"/>
                      <w:highlight w:val="none"/>
                      <w:lang w:val="en-US" w:eastAsia="zh-CN"/>
                    </w:rPr>
                    <w:t>29</w:t>
                  </w:r>
                </w:p>
              </w:tc>
              <w:tc>
                <w:tcPr>
                  <w:tcW w:w="1475" w:type="dxa"/>
                  <w:tcBorders>
                    <w:tl2br w:val="nil"/>
                    <w:tr2bl w:val="nil"/>
                  </w:tcBorders>
                  <w:vAlign w:val="center"/>
                </w:tcPr>
                <w:p w14:paraId="22F1A5DD">
                  <w:pPr>
                    <w:pStyle w:val="59"/>
                    <w:rPr>
                      <w:color w:val="auto"/>
                      <w:sz w:val="21"/>
                      <w:szCs w:val="21"/>
                    </w:rPr>
                  </w:pPr>
                  <w:r>
                    <w:rPr>
                      <w:rFonts w:hint="eastAsia"/>
                      <w:color w:val="auto"/>
                      <w:sz w:val="21"/>
                      <w:szCs w:val="21"/>
                    </w:rPr>
                    <w:t>70</w:t>
                  </w:r>
                </w:p>
              </w:tc>
              <w:tc>
                <w:tcPr>
                  <w:tcW w:w="1073" w:type="dxa"/>
                  <w:tcBorders>
                    <w:tl2br w:val="nil"/>
                    <w:tr2bl w:val="nil"/>
                  </w:tcBorders>
                  <w:vAlign w:val="center"/>
                </w:tcPr>
                <w:p w14:paraId="2A0E1D76">
                  <w:pPr>
                    <w:pStyle w:val="59"/>
                    <w:rPr>
                      <w:rFonts w:hint="default" w:eastAsia="宋体"/>
                      <w:color w:val="auto"/>
                      <w:sz w:val="21"/>
                      <w:szCs w:val="21"/>
                      <w:highlight w:val="none"/>
                      <w:lang w:val="en-US" w:eastAsia="zh-CN"/>
                    </w:rPr>
                  </w:pPr>
                  <w:r>
                    <w:rPr>
                      <w:rFonts w:hint="eastAsia"/>
                      <w:color w:val="auto"/>
                      <w:sz w:val="21"/>
                      <w:szCs w:val="21"/>
                      <w:highlight w:val="none"/>
                      <w:lang w:val="en-US" w:eastAsia="zh-CN"/>
                    </w:rPr>
                    <w:t>41.43</w:t>
                  </w:r>
                </w:p>
              </w:tc>
              <w:tc>
                <w:tcPr>
                  <w:tcW w:w="1047" w:type="dxa"/>
                  <w:tcBorders>
                    <w:tl2br w:val="nil"/>
                    <w:tr2bl w:val="nil"/>
                  </w:tcBorders>
                  <w:vAlign w:val="center"/>
                </w:tcPr>
                <w:p w14:paraId="3359DF13">
                  <w:pPr>
                    <w:pStyle w:val="59"/>
                    <w:rPr>
                      <w:color w:val="auto"/>
                      <w:sz w:val="21"/>
                      <w:szCs w:val="21"/>
                    </w:rPr>
                  </w:pPr>
                  <w:r>
                    <w:rPr>
                      <w:color w:val="auto"/>
                      <w:sz w:val="21"/>
                      <w:szCs w:val="21"/>
                    </w:rPr>
                    <w:t>达标</w:t>
                  </w:r>
                </w:p>
              </w:tc>
            </w:tr>
            <w:tr w14:paraId="7314CC0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36" w:hRule="atLeast"/>
                <w:jc w:val="center"/>
              </w:trPr>
              <w:tc>
                <w:tcPr>
                  <w:tcW w:w="831" w:type="dxa"/>
                  <w:tcBorders>
                    <w:tl2br w:val="nil"/>
                    <w:tr2bl w:val="nil"/>
                  </w:tcBorders>
                  <w:vAlign w:val="center"/>
                </w:tcPr>
                <w:p w14:paraId="5C696C5C">
                  <w:pPr>
                    <w:pStyle w:val="59"/>
                    <w:rPr>
                      <w:color w:val="auto"/>
                      <w:sz w:val="21"/>
                      <w:szCs w:val="21"/>
                    </w:rPr>
                  </w:pPr>
                  <w:r>
                    <w:rPr>
                      <w:color w:val="auto"/>
                      <w:sz w:val="21"/>
                      <w:szCs w:val="21"/>
                    </w:rPr>
                    <w:t>PM</w:t>
                  </w:r>
                  <w:r>
                    <w:rPr>
                      <w:color w:val="auto"/>
                      <w:sz w:val="21"/>
                      <w:szCs w:val="21"/>
                      <w:vertAlign w:val="subscript"/>
                    </w:rPr>
                    <w:t>2.5</w:t>
                  </w:r>
                </w:p>
              </w:tc>
              <w:tc>
                <w:tcPr>
                  <w:tcW w:w="2149" w:type="dxa"/>
                  <w:tcBorders>
                    <w:tl2br w:val="nil"/>
                    <w:tr2bl w:val="nil"/>
                  </w:tcBorders>
                  <w:vAlign w:val="center"/>
                </w:tcPr>
                <w:p w14:paraId="4CCFC438">
                  <w:pPr>
                    <w:pStyle w:val="59"/>
                    <w:rPr>
                      <w:color w:val="auto"/>
                      <w:sz w:val="21"/>
                      <w:szCs w:val="21"/>
                    </w:rPr>
                  </w:pPr>
                  <w:r>
                    <w:rPr>
                      <w:color w:val="auto"/>
                      <w:sz w:val="21"/>
                      <w:szCs w:val="21"/>
                    </w:rPr>
                    <w:t>年平均质量浓度</w:t>
                  </w:r>
                </w:p>
              </w:tc>
              <w:tc>
                <w:tcPr>
                  <w:tcW w:w="1475" w:type="dxa"/>
                  <w:tcBorders>
                    <w:tl2br w:val="nil"/>
                    <w:tr2bl w:val="nil"/>
                  </w:tcBorders>
                  <w:vAlign w:val="center"/>
                </w:tcPr>
                <w:p w14:paraId="114C2F07">
                  <w:pPr>
                    <w:pStyle w:val="59"/>
                    <w:rPr>
                      <w:rFonts w:hint="eastAsia" w:eastAsia="宋体"/>
                      <w:color w:val="auto"/>
                      <w:sz w:val="21"/>
                      <w:szCs w:val="21"/>
                      <w:highlight w:val="none"/>
                      <w:lang w:eastAsia="zh-CN"/>
                    </w:rPr>
                  </w:pPr>
                  <w:r>
                    <w:rPr>
                      <w:rFonts w:hint="eastAsia"/>
                      <w:color w:val="auto"/>
                      <w:sz w:val="21"/>
                      <w:szCs w:val="21"/>
                      <w:highlight w:val="none"/>
                      <w:lang w:val="en-US" w:eastAsia="zh-CN"/>
                    </w:rPr>
                    <w:t>9</w:t>
                  </w:r>
                </w:p>
              </w:tc>
              <w:tc>
                <w:tcPr>
                  <w:tcW w:w="1475" w:type="dxa"/>
                  <w:tcBorders>
                    <w:tl2br w:val="nil"/>
                    <w:tr2bl w:val="nil"/>
                  </w:tcBorders>
                  <w:vAlign w:val="center"/>
                </w:tcPr>
                <w:p w14:paraId="59625DC6">
                  <w:pPr>
                    <w:pStyle w:val="59"/>
                    <w:rPr>
                      <w:color w:val="auto"/>
                      <w:sz w:val="21"/>
                      <w:szCs w:val="21"/>
                    </w:rPr>
                  </w:pPr>
                  <w:r>
                    <w:rPr>
                      <w:color w:val="auto"/>
                      <w:sz w:val="21"/>
                      <w:szCs w:val="21"/>
                    </w:rPr>
                    <w:t>35</w:t>
                  </w:r>
                </w:p>
              </w:tc>
              <w:tc>
                <w:tcPr>
                  <w:tcW w:w="1073" w:type="dxa"/>
                  <w:tcBorders>
                    <w:tl2br w:val="nil"/>
                    <w:tr2bl w:val="nil"/>
                  </w:tcBorders>
                  <w:vAlign w:val="center"/>
                </w:tcPr>
                <w:p w14:paraId="089CA157">
                  <w:pPr>
                    <w:pStyle w:val="59"/>
                    <w:rPr>
                      <w:rFonts w:hint="default" w:eastAsia="宋体"/>
                      <w:color w:val="auto"/>
                      <w:sz w:val="21"/>
                      <w:szCs w:val="21"/>
                      <w:highlight w:val="none"/>
                      <w:lang w:val="en-US" w:eastAsia="zh-CN"/>
                    </w:rPr>
                  </w:pPr>
                  <w:r>
                    <w:rPr>
                      <w:rFonts w:hint="eastAsia"/>
                      <w:color w:val="auto"/>
                      <w:sz w:val="21"/>
                      <w:szCs w:val="21"/>
                      <w:highlight w:val="none"/>
                      <w:lang w:val="en-US" w:eastAsia="zh-CN"/>
                    </w:rPr>
                    <w:t>25.71</w:t>
                  </w:r>
                </w:p>
              </w:tc>
              <w:tc>
                <w:tcPr>
                  <w:tcW w:w="1047" w:type="dxa"/>
                  <w:tcBorders>
                    <w:tl2br w:val="nil"/>
                    <w:tr2bl w:val="nil"/>
                  </w:tcBorders>
                  <w:vAlign w:val="center"/>
                </w:tcPr>
                <w:p w14:paraId="47182CFF">
                  <w:pPr>
                    <w:pStyle w:val="59"/>
                    <w:rPr>
                      <w:color w:val="auto"/>
                      <w:sz w:val="21"/>
                      <w:szCs w:val="21"/>
                    </w:rPr>
                  </w:pPr>
                  <w:r>
                    <w:rPr>
                      <w:color w:val="auto"/>
                      <w:sz w:val="21"/>
                      <w:szCs w:val="21"/>
                    </w:rPr>
                    <w:t>达标</w:t>
                  </w:r>
                </w:p>
              </w:tc>
            </w:tr>
            <w:tr w14:paraId="33BD522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831" w:type="dxa"/>
                  <w:tcBorders>
                    <w:tl2br w:val="nil"/>
                    <w:tr2bl w:val="nil"/>
                  </w:tcBorders>
                  <w:vAlign w:val="center"/>
                </w:tcPr>
                <w:p w14:paraId="2B0ABDA6">
                  <w:pPr>
                    <w:pStyle w:val="59"/>
                    <w:rPr>
                      <w:color w:val="auto"/>
                      <w:sz w:val="21"/>
                      <w:szCs w:val="21"/>
                    </w:rPr>
                  </w:pPr>
                  <w:r>
                    <w:rPr>
                      <w:rFonts w:hint="eastAsia"/>
                      <w:color w:val="auto"/>
                      <w:sz w:val="21"/>
                      <w:szCs w:val="21"/>
                    </w:rPr>
                    <w:t>CO</w:t>
                  </w:r>
                </w:p>
              </w:tc>
              <w:tc>
                <w:tcPr>
                  <w:tcW w:w="2149" w:type="dxa"/>
                  <w:tcBorders>
                    <w:tl2br w:val="nil"/>
                    <w:tr2bl w:val="nil"/>
                  </w:tcBorders>
                  <w:vAlign w:val="center"/>
                </w:tcPr>
                <w:p w14:paraId="4217001F">
                  <w:pPr>
                    <w:pStyle w:val="59"/>
                    <w:rPr>
                      <w:color w:val="auto"/>
                      <w:sz w:val="21"/>
                      <w:szCs w:val="21"/>
                    </w:rPr>
                  </w:pPr>
                  <w:r>
                    <w:rPr>
                      <w:color w:val="auto"/>
                      <w:sz w:val="21"/>
                      <w:szCs w:val="21"/>
                    </w:rPr>
                    <w:t>百分位上日平均质量浓度</w:t>
                  </w:r>
                </w:p>
              </w:tc>
              <w:tc>
                <w:tcPr>
                  <w:tcW w:w="1475" w:type="dxa"/>
                  <w:tcBorders>
                    <w:tl2br w:val="nil"/>
                    <w:tr2bl w:val="nil"/>
                  </w:tcBorders>
                  <w:vAlign w:val="center"/>
                </w:tcPr>
                <w:p w14:paraId="780D4270">
                  <w:pPr>
                    <w:pStyle w:val="59"/>
                    <w:rPr>
                      <w:rFonts w:hint="default" w:eastAsia="宋体"/>
                      <w:color w:val="auto"/>
                      <w:sz w:val="21"/>
                      <w:szCs w:val="21"/>
                      <w:highlight w:val="none"/>
                      <w:lang w:val="en-US" w:eastAsia="zh-CN"/>
                    </w:rPr>
                  </w:pPr>
                  <w:r>
                    <w:rPr>
                      <w:rFonts w:hint="eastAsia"/>
                      <w:color w:val="auto"/>
                      <w:sz w:val="21"/>
                      <w:szCs w:val="21"/>
                      <w:highlight w:val="none"/>
                      <w:lang w:val="en-US" w:eastAsia="zh-CN"/>
                    </w:rPr>
                    <w:t>600</w:t>
                  </w:r>
                </w:p>
              </w:tc>
              <w:tc>
                <w:tcPr>
                  <w:tcW w:w="1475" w:type="dxa"/>
                  <w:tcBorders>
                    <w:tl2br w:val="nil"/>
                    <w:tr2bl w:val="nil"/>
                  </w:tcBorders>
                  <w:vAlign w:val="center"/>
                </w:tcPr>
                <w:p w14:paraId="4850AC90">
                  <w:pPr>
                    <w:pStyle w:val="59"/>
                    <w:rPr>
                      <w:color w:val="auto"/>
                      <w:sz w:val="21"/>
                      <w:szCs w:val="21"/>
                    </w:rPr>
                  </w:pPr>
                  <w:r>
                    <w:rPr>
                      <w:rFonts w:hint="eastAsia"/>
                      <w:color w:val="auto"/>
                      <w:sz w:val="21"/>
                      <w:szCs w:val="21"/>
                    </w:rPr>
                    <w:t>4000</w:t>
                  </w:r>
                </w:p>
              </w:tc>
              <w:tc>
                <w:tcPr>
                  <w:tcW w:w="1073" w:type="dxa"/>
                  <w:tcBorders>
                    <w:tl2br w:val="nil"/>
                    <w:tr2bl w:val="nil"/>
                  </w:tcBorders>
                  <w:vAlign w:val="center"/>
                </w:tcPr>
                <w:p w14:paraId="0ECF70C8">
                  <w:pPr>
                    <w:pStyle w:val="59"/>
                    <w:rPr>
                      <w:rFonts w:hint="default" w:eastAsia="宋体"/>
                      <w:color w:val="auto"/>
                      <w:sz w:val="21"/>
                      <w:szCs w:val="21"/>
                      <w:highlight w:val="none"/>
                      <w:lang w:val="en-US" w:eastAsia="zh-CN"/>
                    </w:rPr>
                  </w:pPr>
                  <w:r>
                    <w:rPr>
                      <w:rFonts w:hint="eastAsia"/>
                      <w:color w:val="auto"/>
                      <w:sz w:val="21"/>
                      <w:szCs w:val="21"/>
                      <w:highlight w:val="none"/>
                      <w:lang w:val="en-US" w:eastAsia="zh-CN"/>
                    </w:rPr>
                    <w:t>15</w:t>
                  </w:r>
                </w:p>
              </w:tc>
              <w:tc>
                <w:tcPr>
                  <w:tcW w:w="1047" w:type="dxa"/>
                  <w:tcBorders>
                    <w:tl2br w:val="nil"/>
                    <w:tr2bl w:val="nil"/>
                  </w:tcBorders>
                  <w:vAlign w:val="center"/>
                </w:tcPr>
                <w:p w14:paraId="2F14CB9E">
                  <w:pPr>
                    <w:pStyle w:val="59"/>
                    <w:rPr>
                      <w:color w:val="auto"/>
                      <w:sz w:val="21"/>
                      <w:szCs w:val="21"/>
                    </w:rPr>
                  </w:pPr>
                  <w:r>
                    <w:rPr>
                      <w:color w:val="auto"/>
                      <w:sz w:val="21"/>
                      <w:szCs w:val="21"/>
                    </w:rPr>
                    <w:t>达标</w:t>
                  </w:r>
                </w:p>
              </w:tc>
            </w:tr>
            <w:tr w14:paraId="36AC7AC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1" w:hRule="atLeast"/>
                <w:jc w:val="center"/>
              </w:trPr>
              <w:tc>
                <w:tcPr>
                  <w:tcW w:w="831" w:type="dxa"/>
                  <w:tcBorders>
                    <w:tl2br w:val="nil"/>
                    <w:tr2bl w:val="nil"/>
                  </w:tcBorders>
                  <w:vAlign w:val="center"/>
                </w:tcPr>
                <w:p w14:paraId="5F76A713">
                  <w:pPr>
                    <w:pStyle w:val="59"/>
                    <w:rPr>
                      <w:color w:val="auto"/>
                      <w:sz w:val="21"/>
                      <w:szCs w:val="21"/>
                    </w:rPr>
                  </w:pPr>
                  <w:r>
                    <w:rPr>
                      <w:color w:val="auto"/>
                      <w:sz w:val="21"/>
                      <w:szCs w:val="21"/>
                    </w:rPr>
                    <w:t>O</w:t>
                  </w:r>
                  <w:r>
                    <w:rPr>
                      <w:color w:val="auto"/>
                      <w:sz w:val="21"/>
                      <w:szCs w:val="21"/>
                      <w:vertAlign w:val="subscript"/>
                    </w:rPr>
                    <w:t>3</w:t>
                  </w:r>
                </w:p>
              </w:tc>
              <w:tc>
                <w:tcPr>
                  <w:tcW w:w="2149" w:type="dxa"/>
                  <w:tcBorders>
                    <w:tl2br w:val="nil"/>
                    <w:tr2bl w:val="nil"/>
                  </w:tcBorders>
                  <w:vAlign w:val="center"/>
                </w:tcPr>
                <w:p w14:paraId="310DC3F0">
                  <w:pPr>
                    <w:pStyle w:val="59"/>
                    <w:rPr>
                      <w:color w:val="auto"/>
                      <w:sz w:val="21"/>
                      <w:szCs w:val="21"/>
                    </w:rPr>
                  </w:pPr>
                  <w:r>
                    <w:rPr>
                      <w:color w:val="auto"/>
                      <w:sz w:val="21"/>
                      <w:szCs w:val="21"/>
                    </w:rPr>
                    <w:t>百分位 8h平均质量浓度</w:t>
                  </w:r>
                </w:p>
              </w:tc>
              <w:tc>
                <w:tcPr>
                  <w:tcW w:w="1475" w:type="dxa"/>
                  <w:tcBorders>
                    <w:tl2br w:val="nil"/>
                    <w:tr2bl w:val="nil"/>
                  </w:tcBorders>
                  <w:vAlign w:val="center"/>
                </w:tcPr>
                <w:p w14:paraId="26BE6EEC">
                  <w:pPr>
                    <w:pStyle w:val="59"/>
                    <w:rPr>
                      <w:rFonts w:hint="default" w:eastAsia="宋体"/>
                      <w:color w:val="auto"/>
                      <w:sz w:val="21"/>
                      <w:szCs w:val="21"/>
                      <w:highlight w:val="none"/>
                      <w:lang w:val="en-US" w:eastAsia="zh-CN"/>
                    </w:rPr>
                  </w:pPr>
                  <w:r>
                    <w:rPr>
                      <w:rFonts w:hint="eastAsia"/>
                      <w:color w:val="auto"/>
                      <w:sz w:val="21"/>
                      <w:szCs w:val="21"/>
                      <w:highlight w:val="none"/>
                      <w:lang w:val="en-US" w:eastAsia="zh-CN"/>
                    </w:rPr>
                    <w:t>88</w:t>
                  </w:r>
                </w:p>
              </w:tc>
              <w:tc>
                <w:tcPr>
                  <w:tcW w:w="1475" w:type="dxa"/>
                  <w:tcBorders>
                    <w:tl2br w:val="nil"/>
                    <w:tr2bl w:val="nil"/>
                  </w:tcBorders>
                  <w:vAlign w:val="center"/>
                </w:tcPr>
                <w:p w14:paraId="02845189">
                  <w:pPr>
                    <w:pStyle w:val="59"/>
                    <w:rPr>
                      <w:color w:val="auto"/>
                      <w:sz w:val="21"/>
                      <w:szCs w:val="21"/>
                    </w:rPr>
                  </w:pPr>
                  <w:r>
                    <w:rPr>
                      <w:color w:val="auto"/>
                      <w:sz w:val="21"/>
                      <w:szCs w:val="21"/>
                    </w:rPr>
                    <w:t>160</w:t>
                  </w:r>
                </w:p>
              </w:tc>
              <w:tc>
                <w:tcPr>
                  <w:tcW w:w="1073" w:type="dxa"/>
                  <w:tcBorders>
                    <w:tl2br w:val="nil"/>
                    <w:tr2bl w:val="nil"/>
                  </w:tcBorders>
                  <w:vAlign w:val="center"/>
                </w:tcPr>
                <w:p w14:paraId="751DD186">
                  <w:pPr>
                    <w:pStyle w:val="59"/>
                    <w:rPr>
                      <w:rFonts w:hint="default" w:eastAsia="宋体"/>
                      <w:color w:val="auto"/>
                      <w:sz w:val="21"/>
                      <w:szCs w:val="21"/>
                      <w:highlight w:val="none"/>
                      <w:lang w:val="en-US" w:eastAsia="zh-CN"/>
                    </w:rPr>
                  </w:pPr>
                  <w:r>
                    <w:rPr>
                      <w:rFonts w:hint="eastAsia"/>
                      <w:color w:val="auto"/>
                      <w:sz w:val="21"/>
                      <w:szCs w:val="21"/>
                      <w:highlight w:val="none"/>
                      <w:lang w:val="en-US" w:eastAsia="zh-CN"/>
                    </w:rPr>
                    <w:t>55</w:t>
                  </w:r>
                </w:p>
              </w:tc>
              <w:tc>
                <w:tcPr>
                  <w:tcW w:w="1047" w:type="dxa"/>
                  <w:tcBorders>
                    <w:tl2br w:val="nil"/>
                    <w:tr2bl w:val="nil"/>
                  </w:tcBorders>
                  <w:vAlign w:val="center"/>
                </w:tcPr>
                <w:p w14:paraId="6C72FC5A">
                  <w:pPr>
                    <w:pStyle w:val="59"/>
                    <w:rPr>
                      <w:color w:val="auto"/>
                      <w:sz w:val="21"/>
                      <w:szCs w:val="21"/>
                    </w:rPr>
                  </w:pPr>
                  <w:r>
                    <w:rPr>
                      <w:color w:val="auto"/>
                      <w:sz w:val="21"/>
                      <w:szCs w:val="21"/>
                    </w:rPr>
                    <w:t>达标</w:t>
                  </w:r>
                </w:p>
              </w:tc>
            </w:tr>
          </w:tbl>
          <w:p w14:paraId="0655A620">
            <w:pPr>
              <w:pStyle w:val="55"/>
              <w:spacing w:line="360" w:lineRule="auto"/>
              <w:ind w:firstLine="48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项目所在区域木垒县</w:t>
            </w:r>
            <w:r>
              <w:rPr>
                <w:rFonts w:hint="eastAsia" w:ascii="Times New Roman" w:hAnsi="Times New Roman" w:eastAsia="宋体" w:cs="Times New Roman"/>
                <w:color w:val="auto"/>
                <w:kern w:val="0"/>
                <w:sz w:val="24"/>
                <w:szCs w:val="24"/>
                <w:highlight w:val="none"/>
                <w:lang w:val="en-US" w:eastAsia="zh-CN" w:bidi="ar-SA"/>
              </w:rPr>
              <w:t>202</w:t>
            </w:r>
            <w:r>
              <w:rPr>
                <w:rFonts w:hint="eastAsia" w:cs="Times New Roman"/>
                <w:color w:val="auto"/>
                <w:kern w:val="0"/>
                <w:sz w:val="24"/>
                <w:szCs w:val="24"/>
                <w:highlight w:val="none"/>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年SO</w:t>
            </w:r>
            <w:r>
              <w:rPr>
                <w:rFonts w:hint="eastAsia" w:ascii="Times New Roman" w:hAnsi="Times New Roman" w:eastAsia="宋体" w:cs="Times New Roman"/>
                <w:color w:val="auto"/>
                <w:kern w:val="0"/>
                <w:sz w:val="24"/>
                <w:szCs w:val="24"/>
                <w:highlight w:val="none"/>
                <w:vertAlign w:val="subscript"/>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、NO</w:t>
            </w:r>
            <w:r>
              <w:rPr>
                <w:rFonts w:hint="eastAsia" w:ascii="Times New Roman" w:hAnsi="Times New Roman" w:eastAsia="宋体" w:cs="Times New Roman"/>
                <w:color w:val="auto"/>
                <w:kern w:val="0"/>
                <w:sz w:val="24"/>
                <w:szCs w:val="24"/>
                <w:highlight w:val="none"/>
                <w:vertAlign w:val="subscript"/>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、PM</w:t>
            </w:r>
            <w:r>
              <w:rPr>
                <w:rFonts w:hint="eastAsia" w:ascii="Times New Roman" w:hAnsi="Times New Roman" w:eastAsia="宋体" w:cs="Times New Roman"/>
                <w:color w:val="auto"/>
                <w:kern w:val="0"/>
                <w:sz w:val="24"/>
                <w:szCs w:val="24"/>
                <w:highlight w:val="none"/>
                <w:vertAlign w:val="subscript"/>
                <w:lang w:val="en-US" w:eastAsia="zh-CN" w:bidi="ar-SA"/>
              </w:rPr>
              <w:t>2.5</w:t>
            </w:r>
            <w:r>
              <w:rPr>
                <w:rFonts w:hint="eastAsia" w:ascii="Times New Roman" w:hAnsi="Times New Roman" w:eastAsia="宋体" w:cs="Times New Roman"/>
                <w:color w:val="auto"/>
                <w:kern w:val="0"/>
                <w:sz w:val="24"/>
                <w:szCs w:val="24"/>
                <w:highlight w:val="none"/>
                <w:lang w:val="en-US" w:eastAsia="zh-CN" w:bidi="ar-SA"/>
              </w:rPr>
              <w:t>、PM</w:t>
            </w:r>
            <w:r>
              <w:rPr>
                <w:rFonts w:hint="eastAsia" w:ascii="Times New Roman" w:hAnsi="Times New Roman" w:eastAsia="宋体" w:cs="Times New Roman"/>
                <w:color w:val="auto"/>
                <w:kern w:val="0"/>
                <w:sz w:val="24"/>
                <w:szCs w:val="24"/>
                <w:highlight w:val="none"/>
                <w:vertAlign w:val="subscript"/>
                <w:lang w:val="en-US" w:eastAsia="zh-CN" w:bidi="ar-SA"/>
              </w:rPr>
              <w:t>10</w:t>
            </w:r>
            <w:r>
              <w:rPr>
                <w:rFonts w:hint="eastAsia" w:ascii="Times New Roman" w:hAnsi="Times New Roman" w:eastAsia="宋体" w:cs="Times New Roman"/>
                <w:color w:val="auto"/>
                <w:kern w:val="0"/>
                <w:sz w:val="24"/>
                <w:szCs w:val="24"/>
                <w:highlight w:val="none"/>
                <w:lang w:val="en-US" w:eastAsia="zh-CN" w:bidi="ar-SA"/>
              </w:rPr>
              <w:t>年均浓度分别为</w:t>
            </w:r>
            <w:r>
              <w:rPr>
                <w:rFonts w:hint="eastAsia" w:cs="Times New Roman"/>
                <w:color w:val="auto"/>
                <w:kern w:val="0"/>
                <w:sz w:val="24"/>
                <w:szCs w:val="24"/>
                <w:highlight w:val="none"/>
                <w:lang w:val="en-US" w:eastAsia="zh-CN" w:bidi="ar-SA"/>
              </w:rPr>
              <w:t>7</w:t>
            </w:r>
            <w:r>
              <w:rPr>
                <w:rFonts w:hint="eastAsia" w:ascii="Times New Roman" w:hAnsi="Times New Roman" w:eastAsia="宋体" w:cs="Times New Roman"/>
                <w:color w:val="auto"/>
                <w:kern w:val="0"/>
                <w:sz w:val="24"/>
                <w:szCs w:val="24"/>
                <w:highlight w:val="none"/>
                <w:lang w:val="en-US" w:eastAsia="zh-CN" w:bidi="ar-SA"/>
              </w:rPr>
              <w:t>µg/m</w:t>
            </w:r>
            <w:r>
              <w:rPr>
                <w:rFonts w:hint="eastAsia" w:ascii="Times New Roman" w:hAnsi="Times New Roman" w:eastAsia="宋体" w:cs="Times New Roman"/>
                <w:color w:val="auto"/>
                <w:kern w:val="0"/>
                <w:sz w:val="24"/>
                <w:szCs w:val="24"/>
                <w:highlight w:val="none"/>
                <w:vertAlign w:val="superscript"/>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10</w:t>
            </w:r>
            <w:r>
              <w:rPr>
                <w:rFonts w:hint="eastAsia" w:ascii="Times New Roman" w:hAnsi="Times New Roman" w:eastAsia="宋体" w:cs="Times New Roman"/>
                <w:color w:val="auto"/>
                <w:kern w:val="0"/>
                <w:sz w:val="24"/>
                <w:szCs w:val="24"/>
                <w:highlight w:val="none"/>
                <w:lang w:val="en-US" w:eastAsia="zh-CN" w:bidi="ar-SA"/>
              </w:rPr>
              <w:t>µg/m</w:t>
            </w:r>
            <w:r>
              <w:rPr>
                <w:rFonts w:hint="eastAsia" w:ascii="Times New Roman" w:hAnsi="Times New Roman" w:eastAsia="宋体" w:cs="Times New Roman"/>
                <w:color w:val="auto"/>
                <w:kern w:val="0"/>
                <w:sz w:val="24"/>
                <w:szCs w:val="24"/>
                <w:highlight w:val="none"/>
                <w:vertAlign w:val="superscript"/>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9</w:t>
            </w:r>
            <w:r>
              <w:rPr>
                <w:rFonts w:hint="eastAsia" w:ascii="Times New Roman" w:hAnsi="Times New Roman" w:eastAsia="宋体" w:cs="Times New Roman"/>
                <w:color w:val="auto"/>
                <w:kern w:val="0"/>
                <w:sz w:val="24"/>
                <w:szCs w:val="24"/>
                <w:highlight w:val="none"/>
                <w:lang w:val="en-US" w:eastAsia="zh-CN" w:bidi="ar-SA"/>
              </w:rPr>
              <w:t>µg/m</w:t>
            </w:r>
            <w:r>
              <w:rPr>
                <w:rFonts w:hint="eastAsia" w:ascii="Times New Roman" w:hAnsi="Times New Roman" w:eastAsia="宋体" w:cs="Times New Roman"/>
                <w:color w:val="auto"/>
                <w:kern w:val="0"/>
                <w:sz w:val="24"/>
                <w:szCs w:val="24"/>
                <w:highlight w:val="none"/>
                <w:vertAlign w:val="superscript"/>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29</w:t>
            </w:r>
            <w:r>
              <w:rPr>
                <w:rFonts w:hint="eastAsia" w:ascii="Times New Roman" w:hAnsi="Times New Roman" w:eastAsia="宋体" w:cs="Times New Roman"/>
                <w:color w:val="auto"/>
                <w:kern w:val="0"/>
                <w:sz w:val="24"/>
                <w:szCs w:val="24"/>
                <w:highlight w:val="none"/>
                <w:lang w:val="en-US" w:eastAsia="zh-CN" w:bidi="ar-SA"/>
              </w:rPr>
              <w:t>µg/m</w:t>
            </w:r>
            <w:r>
              <w:rPr>
                <w:rFonts w:hint="eastAsia" w:ascii="Times New Roman" w:hAnsi="Times New Roman" w:eastAsia="宋体" w:cs="Times New Roman"/>
                <w:color w:val="auto"/>
                <w:kern w:val="0"/>
                <w:sz w:val="24"/>
                <w:szCs w:val="24"/>
                <w:highlight w:val="none"/>
                <w:vertAlign w:val="superscript"/>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；CO</w:t>
            </w:r>
            <w:r>
              <w:rPr>
                <w:rFonts w:hint="eastAsia" w:cs="Times New Roman"/>
                <w:color w:val="auto"/>
                <w:kern w:val="0"/>
                <w:sz w:val="24"/>
                <w:szCs w:val="24"/>
                <w:highlight w:val="none"/>
                <w:lang w:val="en-US" w:eastAsia="zh-CN" w:bidi="ar-SA"/>
              </w:rPr>
              <w:t>的</w:t>
            </w:r>
            <w:r>
              <w:rPr>
                <w:rFonts w:hint="eastAsia" w:ascii="Times New Roman" w:hAnsi="Times New Roman" w:eastAsia="宋体" w:cs="Times New Roman"/>
                <w:color w:val="auto"/>
                <w:kern w:val="0"/>
                <w:sz w:val="24"/>
                <w:szCs w:val="24"/>
                <w:highlight w:val="none"/>
                <w:lang w:val="en-US" w:eastAsia="zh-CN" w:bidi="ar-SA"/>
              </w:rPr>
              <w:t>24小时平均第95百分位数为</w:t>
            </w:r>
            <w:r>
              <w:rPr>
                <w:rFonts w:hint="eastAsia" w:cs="Times New Roman"/>
                <w:color w:val="auto"/>
                <w:kern w:val="0"/>
                <w:sz w:val="24"/>
                <w:szCs w:val="24"/>
                <w:highlight w:val="none"/>
                <w:lang w:val="en-US" w:eastAsia="zh-CN" w:bidi="ar-SA"/>
              </w:rPr>
              <w:t>0.6</w:t>
            </w:r>
            <w:r>
              <w:rPr>
                <w:rFonts w:hint="eastAsia" w:ascii="Times New Roman" w:hAnsi="Times New Roman" w:eastAsia="宋体" w:cs="Times New Roman"/>
                <w:color w:val="auto"/>
                <w:kern w:val="0"/>
                <w:sz w:val="24"/>
                <w:szCs w:val="24"/>
                <w:highlight w:val="none"/>
                <w:lang w:val="en-US" w:eastAsia="zh-CN" w:bidi="ar-SA"/>
              </w:rPr>
              <w:t>mg/m</w:t>
            </w:r>
            <w:r>
              <w:rPr>
                <w:rFonts w:hint="eastAsia" w:ascii="Times New Roman" w:hAnsi="Times New Roman" w:eastAsia="宋体" w:cs="Times New Roman"/>
                <w:color w:val="auto"/>
                <w:kern w:val="0"/>
                <w:sz w:val="24"/>
                <w:szCs w:val="24"/>
                <w:highlight w:val="none"/>
                <w:vertAlign w:val="superscript"/>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，O</w:t>
            </w:r>
            <w:r>
              <w:rPr>
                <w:rFonts w:hint="eastAsia" w:ascii="Times New Roman" w:hAnsi="Times New Roman" w:eastAsia="宋体" w:cs="Times New Roman"/>
                <w:color w:val="auto"/>
                <w:kern w:val="0"/>
                <w:sz w:val="24"/>
                <w:szCs w:val="24"/>
                <w:highlight w:val="none"/>
                <w:vertAlign w:val="subscript"/>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日最大8小时平均第90百分位数为</w:t>
            </w:r>
            <w:r>
              <w:rPr>
                <w:rFonts w:hint="eastAsia" w:cs="Times New Roman"/>
                <w:color w:val="auto"/>
                <w:kern w:val="0"/>
                <w:sz w:val="24"/>
                <w:szCs w:val="24"/>
                <w:highlight w:val="none"/>
                <w:lang w:val="en-US" w:eastAsia="zh-CN" w:bidi="ar-SA"/>
              </w:rPr>
              <w:t>88</w:t>
            </w:r>
            <w:r>
              <w:rPr>
                <w:rFonts w:hint="eastAsia" w:ascii="Times New Roman" w:hAnsi="Times New Roman" w:eastAsia="宋体" w:cs="Times New Roman"/>
                <w:color w:val="auto"/>
                <w:kern w:val="0"/>
                <w:sz w:val="24"/>
                <w:szCs w:val="24"/>
                <w:highlight w:val="none"/>
                <w:lang w:val="en-US" w:eastAsia="zh-CN" w:bidi="ar-SA"/>
              </w:rPr>
              <w:t>µg/m</w:t>
            </w:r>
            <w:r>
              <w:rPr>
                <w:rFonts w:hint="eastAsia" w:ascii="Times New Roman" w:hAnsi="Times New Roman" w:eastAsia="宋体" w:cs="Times New Roman"/>
                <w:color w:val="auto"/>
                <w:kern w:val="0"/>
                <w:sz w:val="24"/>
                <w:szCs w:val="24"/>
                <w:highlight w:val="none"/>
                <w:vertAlign w:val="superscript"/>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，各污染物平均浓度均满足《环境空气质量标准》(GB3095-2012</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及修改单中的二级标准</w:t>
            </w:r>
            <w:r>
              <w:rPr>
                <w:rFonts w:hint="eastAsia" w:ascii="Times New Roman" w:hAnsi="Times New Roman" w:eastAsia="宋体" w:cs="Times New Roman"/>
                <w:color w:val="auto"/>
                <w:kern w:val="0"/>
                <w:sz w:val="24"/>
                <w:szCs w:val="24"/>
                <w:lang w:val="en-US" w:eastAsia="zh-CN" w:bidi="ar-SA"/>
              </w:rPr>
              <w:t>。综上，本项目所在区域为达标区，区域环境空气质量良好。</w:t>
            </w:r>
          </w:p>
          <w:p w14:paraId="0888404B">
            <w:pPr>
              <w:pStyle w:val="55"/>
              <w:keepNext w:val="0"/>
              <w:keepLines w:val="0"/>
              <w:pageBreakBefore w:val="0"/>
              <w:widowControl/>
              <w:kinsoku/>
              <w:wordWrap/>
              <w:overflowPunct/>
              <w:topLinePunct w:val="0"/>
              <w:autoSpaceDE/>
              <w:autoSpaceDN/>
              <w:bidi w:val="0"/>
              <w:adjustRightInd/>
              <w:snapToGrid/>
              <w:spacing w:line="360" w:lineRule="auto"/>
              <w:textAlignment w:val="auto"/>
              <w:rPr>
                <w:rFonts w:hint="eastAsia" w:cs="Times New Roman"/>
                <w:b/>
                <w:bCs/>
                <w:color w:val="auto"/>
                <w:kern w:val="0"/>
                <w:sz w:val="24"/>
                <w:szCs w:val="24"/>
                <w:lang w:val="en-US" w:eastAsia="zh-CN" w:bidi="ar-SA"/>
              </w:rPr>
            </w:pPr>
            <w:r>
              <w:rPr>
                <w:rFonts w:hint="eastAsia" w:cs="Times New Roman"/>
                <w:b/>
                <w:bCs/>
                <w:color w:val="auto"/>
                <w:kern w:val="0"/>
                <w:sz w:val="24"/>
                <w:szCs w:val="24"/>
                <w:lang w:val="en-US" w:eastAsia="zh-CN" w:bidi="ar-SA"/>
              </w:rPr>
              <w:t>1.5 其他污染物环境质量现状</w:t>
            </w:r>
          </w:p>
          <w:p w14:paraId="36464928">
            <w:pPr>
              <w:pStyle w:val="5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rPr>
              <w:t>根据《建设项目环境影响报告表编制技术指南（污染影响类）》（试行），本项目环境空气污染物其他项目选取《环境空气质量标准》（GB3095-2012）表2中的TSP作为特征污染物来评价项目区域环境空气质量现状，</w:t>
            </w:r>
            <w:r>
              <w:rPr>
                <w:rFonts w:hint="default" w:ascii="Times New Roman" w:hAnsi="Times New Roman" w:eastAsia="宋体" w:cs="Times New Roman"/>
                <w:color w:val="auto"/>
                <w:kern w:val="2"/>
                <w:sz w:val="24"/>
                <w:szCs w:val="24"/>
                <w:highlight w:val="none"/>
                <w:lang w:val="en-US" w:eastAsia="zh-CN"/>
              </w:rPr>
              <w:t>本次评价委托</w:t>
            </w:r>
            <w:r>
              <w:rPr>
                <w:rFonts w:hint="eastAsia" w:ascii="Times New Roman" w:hAnsi="Times New Roman" w:eastAsia="宋体" w:cs="Times New Roman"/>
                <w:color w:val="auto"/>
                <w:kern w:val="0"/>
                <w:sz w:val="24"/>
                <w:szCs w:val="24"/>
                <w:highlight w:val="none"/>
                <w:lang w:val="en-US" w:eastAsia="zh-CN" w:bidi="ar-SA"/>
              </w:rPr>
              <w:t>新疆锡水金山环境科技有限公司</w:t>
            </w:r>
            <w:r>
              <w:rPr>
                <w:rFonts w:hint="default" w:ascii="Times New Roman" w:hAnsi="Times New Roman" w:eastAsia="宋体" w:cs="Times New Roman"/>
                <w:color w:val="auto"/>
                <w:kern w:val="0"/>
                <w:sz w:val="24"/>
                <w:szCs w:val="24"/>
                <w:highlight w:val="none"/>
                <w:lang w:val="en-US" w:eastAsia="zh-CN" w:bidi="ar-SA"/>
              </w:rPr>
              <w:t>进</w:t>
            </w:r>
            <w:r>
              <w:rPr>
                <w:rFonts w:hint="default" w:ascii="Times New Roman" w:hAnsi="Times New Roman" w:eastAsia="宋体" w:cs="Times New Roman"/>
                <w:color w:val="auto"/>
                <w:kern w:val="2"/>
                <w:sz w:val="24"/>
                <w:szCs w:val="24"/>
                <w:highlight w:val="none"/>
                <w:lang w:val="en-US" w:eastAsia="zh-CN"/>
              </w:rPr>
              <w:t>行现状监测，监测时间为202</w:t>
            </w:r>
            <w:r>
              <w:rPr>
                <w:rFonts w:hint="eastAsia" w:cs="Times New Roman"/>
                <w:color w:val="auto"/>
                <w:kern w:val="2"/>
                <w:sz w:val="24"/>
                <w:szCs w:val="24"/>
                <w:highlight w:val="none"/>
                <w:lang w:val="en-US" w:eastAsia="zh-CN"/>
              </w:rPr>
              <w:t>4年6</w:t>
            </w:r>
            <w:r>
              <w:rPr>
                <w:rFonts w:hint="default" w:ascii="Times New Roman" w:hAnsi="Times New Roman" w:eastAsia="宋体" w:cs="Times New Roman"/>
                <w:color w:val="auto"/>
                <w:kern w:val="2"/>
                <w:sz w:val="24"/>
                <w:szCs w:val="24"/>
                <w:highlight w:val="none"/>
                <w:lang w:val="en-US" w:eastAsia="zh-CN"/>
              </w:rPr>
              <w:t>月</w:t>
            </w:r>
            <w:r>
              <w:rPr>
                <w:rFonts w:hint="eastAsia" w:cs="Times New Roman"/>
                <w:color w:val="auto"/>
                <w:kern w:val="2"/>
                <w:sz w:val="24"/>
                <w:szCs w:val="24"/>
                <w:highlight w:val="none"/>
                <w:lang w:val="en-US" w:eastAsia="zh-CN"/>
              </w:rPr>
              <w:t>12</w:t>
            </w:r>
            <w:r>
              <w:rPr>
                <w:rFonts w:hint="default" w:ascii="Times New Roman" w:hAnsi="Times New Roman" w:eastAsia="宋体" w:cs="Times New Roman"/>
                <w:color w:val="auto"/>
                <w:kern w:val="2"/>
                <w:sz w:val="24"/>
                <w:szCs w:val="24"/>
                <w:highlight w:val="none"/>
                <w:lang w:val="en-US" w:eastAsia="zh-CN"/>
              </w:rPr>
              <w:t>日</w:t>
            </w:r>
            <w:r>
              <w:rPr>
                <w:rFonts w:hint="eastAsia" w:cs="Times New Roman"/>
                <w:color w:val="auto"/>
                <w:kern w:val="2"/>
                <w:sz w:val="24"/>
                <w:szCs w:val="24"/>
                <w:highlight w:val="none"/>
                <w:lang w:val="en-US" w:eastAsia="zh-CN"/>
              </w:rPr>
              <w:t>～</w:t>
            </w:r>
            <w:r>
              <w:rPr>
                <w:rFonts w:hint="default" w:ascii="Times New Roman" w:hAnsi="Times New Roman" w:eastAsia="宋体" w:cs="Times New Roman"/>
                <w:color w:val="auto"/>
                <w:kern w:val="2"/>
                <w:sz w:val="24"/>
                <w:szCs w:val="24"/>
                <w:highlight w:val="none"/>
                <w:lang w:val="en-US" w:eastAsia="zh-CN"/>
              </w:rPr>
              <w:t>202</w:t>
            </w:r>
            <w:r>
              <w:rPr>
                <w:rFonts w:hint="eastAsia" w:cs="Times New Roman"/>
                <w:color w:val="auto"/>
                <w:kern w:val="2"/>
                <w:sz w:val="24"/>
                <w:szCs w:val="24"/>
                <w:highlight w:val="none"/>
                <w:lang w:val="en-US" w:eastAsia="zh-CN"/>
              </w:rPr>
              <w:t>4</w:t>
            </w:r>
            <w:r>
              <w:rPr>
                <w:rFonts w:hint="default" w:ascii="Times New Roman" w:hAnsi="Times New Roman" w:eastAsia="宋体" w:cs="Times New Roman"/>
                <w:color w:val="auto"/>
                <w:kern w:val="2"/>
                <w:sz w:val="24"/>
                <w:szCs w:val="24"/>
                <w:highlight w:val="none"/>
                <w:lang w:val="en-US" w:eastAsia="zh-CN"/>
              </w:rPr>
              <w:t>年</w:t>
            </w:r>
            <w:r>
              <w:rPr>
                <w:rFonts w:hint="eastAsia" w:cs="Times New Roman"/>
                <w:color w:val="auto"/>
                <w:kern w:val="2"/>
                <w:sz w:val="24"/>
                <w:szCs w:val="24"/>
                <w:highlight w:val="none"/>
                <w:lang w:val="en-US" w:eastAsia="zh-CN"/>
              </w:rPr>
              <w:t>6</w:t>
            </w:r>
            <w:r>
              <w:rPr>
                <w:rFonts w:hint="default" w:ascii="Times New Roman" w:hAnsi="Times New Roman" w:eastAsia="宋体" w:cs="Times New Roman"/>
                <w:color w:val="auto"/>
                <w:kern w:val="2"/>
                <w:sz w:val="24"/>
                <w:szCs w:val="24"/>
                <w:highlight w:val="none"/>
                <w:lang w:val="en-US" w:eastAsia="zh-CN"/>
              </w:rPr>
              <w:t>月</w:t>
            </w:r>
            <w:r>
              <w:rPr>
                <w:rFonts w:hint="eastAsia" w:cs="Times New Roman"/>
                <w:color w:val="auto"/>
                <w:kern w:val="2"/>
                <w:sz w:val="24"/>
                <w:szCs w:val="24"/>
                <w:highlight w:val="none"/>
                <w:lang w:val="en-US" w:eastAsia="zh-CN"/>
              </w:rPr>
              <w:t>14</w:t>
            </w:r>
            <w:r>
              <w:rPr>
                <w:rFonts w:hint="default" w:ascii="Times New Roman" w:hAnsi="Times New Roman" w:eastAsia="宋体" w:cs="Times New Roman"/>
                <w:color w:val="auto"/>
                <w:kern w:val="2"/>
                <w:sz w:val="24"/>
                <w:szCs w:val="24"/>
                <w:highlight w:val="none"/>
                <w:lang w:val="en-US" w:eastAsia="zh-CN"/>
              </w:rPr>
              <w:t>日，监测点位位于厂界下风向。</w:t>
            </w:r>
          </w:p>
          <w:p w14:paraId="300ADE2E">
            <w:pPr>
              <w:pStyle w:val="5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rPr>
            </w:pPr>
            <w:r>
              <w:rPr>
                <w:rFonts w:hint="eastAsia" w:cs="Times New Roman"/>
                <w:color w:val="auto"/>
                <w:kern w:val="2"/>
                <w:sz w:val="24"/>
                <w:szCs w:val="24"/>
                <w:lang w:val="en-US" w:eastAsia="zh-CN"/>
              </w:rPr>
              <w:t>（1）</w:t>
            </w:r>
            <w:r>
              <w:rPr>
                <w:rFonts w:hint="default" w:ascii="Times New Roman" w:hAnsi="Times New Roman" w:eastAsia="宋体" w:cs="Times New Roman"/>
                <w:color w:val="auto"/>
                <w:kern w:val="2"/>
                <w:sz w:val="24"/>
                <w:szCs w:val="24"/>
                <w:lang w:val="en-US" w:eastAsia="zh-CN"/>
              </w:rPr>
              <w:t>监测项目及频率</w:t>
            </w:r>
          </w:p>
          <w:p w14:paraId="73BC9CDD">
            <w:pPr>
              <w:pStyle w:val="5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监测项目：TSP</w:t>
            </w:r>
          </w:p>
          <w:p w14:paraId="1401A49E">
            <w:pPr>
              <w:pStyle w:val="5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监测频率：连续3天监测</w:t>
            </w:r>
          </w:p>
          <w:p w14:paraId="3A7F2E8B">
            <w:pPr>
              <w:pStyle w:val="5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rPr>
            </w:pPr>
            <w:r>
              <w:rPr>
                <w:rFonts w:hint="eastAsia" w:cs="Times New Roman"/>
                <w:color w:val="auto"/>
                <w:kern w:val="2"/>
                <w:sz w:val="24"/>
                <w:szCs w:val="24"/>
                <w:lang w:val="en-US" w:eastAsia="zh-CN"/>
              </w:rPr>
              <w:t>（2）</w:t>
            </w:r>
            <w:r>
              <w:rPr>
                <w:rFonts w:hint="default" w:ascii="Times New Roman" w:hAnsi="Times New Roman" w:eastAsia="宋体" w:cs="Times New Roman"/>
                <w:color w:val="auto"/>
                <w:kern w:val="2"/>
                <w:sz w:val="24"/>
                <w:szCs w:val="24"/>
                <w:lang w:val="en-US" w:eastAsia="zh-CN"/>
              </w:rPr>
              <w:t>监测分析方法</w:t>
            </w:r>
          </w:p>
          <w:p w14:paraId="0C841508">
            <w:pPr>
              <w:pStyle w:val="15"/>
              <w:keepNext w:val="0"/>
              <w:keepLines w:val="0"/>
              <w:pageBreakBefore w:val="0"/>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分析方法按照《环境空气质量手工监测技术规范》</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000000"/>
                <w:sz w:val="21"/>
                <w:szCs w:val="21"/>
                <w:highlight w:val="none"/>
              </w:rPr>
              <w:t>HJ 194-2017</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和《空气和废气监测分析方法》中有关规定进行监测。</w:t>
            </w:r>
          </w:p>
          <w:p w14:paraId="2C50466F">
            <w:pPr>
              <w:pStyle w:val="16"/>
              <w:keepNext w:val="0"/>
              <w:keepLines w:val="0"/>
              <w:pageBreakBefore w:val="0"/>
              <w:numPr>
                <w:ilvl w:val="0"/>
                <w:numId w:val="0"/>
              </w:numPr>
              <w:kinsoku/>
              <w:wordWrap/>
              <w:overflowPunct/>
              <w:autoSpaceDE/>
              <w:autoSpaceDN/>
              <w:bidi w:val="0"/>
              <w:adjustRightInd/>
              <w:snapToGrid/>
              <w:spacing w:line="360" w:lineRule="auto"/>
              <w:ind w:left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评价标准</w:t>
            </w:r>
          </w:p>
          <w:p w14:paraId="3DF03BD3">
            <w:pPr>
              <w:pStyle w:val="15"/>
              <w:keepNext w:val="0"/>
              <w:keepLines w:val="0"/>
              <w:pageBreakBefore w:val="0"/>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本次评价执行《环境空气质量标准》（GB3095-2012）二级标准，标准值为详见表3-2。</w:t>
            </w:r>
          </w:p>
          <w:p w14:paraId="003704C7">
            <w:pPr>
              <w:adjustRightInd w:val="0"/>
              <w:snapToGrid w:val="0"/>
              <w:jc w:val="center"/>
              <w:rPr>
                <w:color w:val="auto"/>
              </w:rPr>
            </w:pPr>
            <w:r>
              <w:rPr>
                <w:b/>
                <w:snapToGrid w:val="0"/>
                <w:color w:val="auto"/>
              </w:rPr>
              <w:t>表3-2      环境空气质量标准</w:t>
            </w:r>
          </w:p>
          <w:tbl>
            <w:tblPr>
              <w:tblStyle w:val="27"/>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008"/>
              <w:gridCol w:w="1207"/>
              <w:gridCol w:w="1747"/>
              <w:gridCol w:w="4088"/>
            </w:tblGrid>
            <w:tr w14:paraId="3BD45EC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23" w:hRule="atLeast"/>
                <w:jc w:val="center"/>
              </w:trPr>
              <w:tc>
                <w:tcPr>
                  <w:tcW w:w="1017" w:type="dxa"/>
                  <w:tcBorders>
                    <w:top w:val="single" w:color="000000" w:sz="12" w:space="0"/>
                    <w:bottom w:val="single" w:color="000000" w:sz="12" w:space="0"/>
                  </w:tcBorders>
                  <w:vAlign w:val="center"/>
                </w:tcPr>
                <w:p w14:paraId="09DBACEF">
                  <w:pPr>
                    <w:adjustRightInd w:val="0"/>
                    <w:snapToGrid w:val="0"/>
                    <w:jc w:val="center"/>
                    <w:rPr>
                      <w:b/>
                      <w:bCs/>
                      <w:color w:val="auto"/>
                    </w:rPr>
                  </w:pPr>
                  <w:r>
                    <w:rPr>
                      <w:b/>
                      <w:bCs/>
                      <w:color w:val="auto"/>
                    </w:rPr>
                    <w:t>污染物</w:t>
                  </w:r>
                </w:p>
              </w:tc>
              <w:tc>
                <w:tcPr>
                  <w:tcW w:w="1210" w:type="dxa"/>
                  <w:tcBorders>
                    <w:top w:val="single" w:color="000000" w:sz="12" w:space="0"/>
                    <w:bottom w:val="single" w:color="000000" w:sz="12" w:space="0"/>
                  </w:tcBorders>
                  <w:vAlign w:val="center"/>
                </w:tcPr>
                <w:p w14:paraId="7EC64511">
                  <w:pPr>
                    <w:adjustRightInd w:val="0"/>
                    <w:snapToGrid w:val="0"/>
                    <w:jc w:val="center"/>
                    <w:rPr>
                      <w:b/>
                      <w:bCs/>
                      <w:color w:val="auto"/>
                    </w:rPr>
                  </w:pPr>
                  <w:r>
                    <w:rPr>
                      <w:b/>
                      <w:bCs/>
                      <w:color w:val="auto"/>
                    </w:rPr>
                    <w:t>年平均</w:t>
                  </w:r>
                </w:p>
              </w:tc>
              <w:tc>
                <w:tcPr>
                  <w:tcW w:w="1760" w:type="dxa"/>
                  <w:tcBorders>
                    <w:top w:val="single" w:color="000000" w:sz="12" w:space="0"/>
                    <w:bottom w:val="single" w:color="000000" w:sz="12" w:space="0"/>
                  </w:tcBorders>
                  <w:vAlign w:val="center"/>
                </w:tcPr>
                <w:p w14:paraId="55DA3FFA">
                  <w:pPr>
                    <w:adjustRightInd w:val="0"/>
                    <w:snapToGrid w:val="0"/>
                    <w:jc w:val="center"/>
                    <w:rPr>
                      <w:b/>
                      <w:bCs/>
                      <w:color w:val="auto"/>
                    </w:rPr>
                  </w:pPr>
                  <w:r>
                    <w:rPr>
                      <w:b/>
                      <w:bCs/>
                      <w:color w:val="auto"/>
                    </w:rPr>
                    <w:t>24小时平均</w:t>
                  </w:r>
                </w:p>
              </w:tc>
              <w:tc>
                <w:tcPr>
                  <w:tcW w:w="4130" w:type="dxa"/>
                  <w:tcBorders>
                    <w:top w:val="single" w:color="000000" w:sz="12" w:space="0"/>
                    <w:bottom w:val="single" w:color="000000" w:sz="12" w:space="0"/>
                  </w:tcBorders>
                  <w:vAlign w:val="center"/>
                </w:tcPr>
                <w:p w14:paraId="6145A413">
                  <w:pPr>
                    <w:adjustRightInd w:val="0"/>
                    <w:snapToGrid w:val="0"/>
                    <w:jc w:val="center"/>
                    <w:rPr>
                      <w:b/>
                      <w:bCs/>
                      <w:color w:val="auto"/>
                    </w:rPr>
                  </w:pPr>
                  <w:r>
                    <w:rPr>
                      <w:b/>
                      <w:bCs/>
                      <w:color w:val="auto"/>
                    </w:rPr>
                    <w:t>标准来源</w:t>
                  </w:r>
                </w:p>
              </w:tc>
            </w:tr>
            <w:tr w14:paraId="0F121F9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17" w:type="dxa"/>
                  <w:tcBorders>
                    <w:top w:val="single" w:color="000000" w:sz="12" w:space="0"/>
                    <w:bottom w:val="single" w:color="000000" w:sz="12" w:space="0"/>
                  </w:tcBorders>
                  <w:vAlign w:val="center"/>
                </w:tcPr>
                <w:p w14:paraId="4BDA8D5D">
                  <w:pPr>
                    <w:adjustRightInd w:val="0"/>
                    <w:snapToGrid w:val="0"/>
                    <w:jc w:val="center"/>
                    <w:rPr>
                      <w:color w:val="auto"/>
                    </w:rPr>
                  </w:pPr>
                  <w:r>
                    <w:rPr>
                      <w:color w:val="auto"/>
                      <w:szCs w:val="21"/>
                    </w:rPr>
                    <w:t>TSP</w:t>
                  </w:r>
                </w:p>
              </w:tc>
              <w:tc>
                <w:tcPr>
                  <w:tcW w:w="1210" w:type="dxa"/>
                  <w:tcBorders>
                    <w:top w:val="single" w:color="000000" w:sz="12" w:space="0"/>
                    <w:bottom w:val="single" w:color="000000" w:sz="12" w:space="0"/>
                  </w:tcBorders>
                  <w:vAlign w:val="center"/>
                </w:tcPr>
                <w:p w14:paraId="105B7C74">
                  <w:pPr>
                    <w:adjustRightInd w:val="0"/>
                    <w:snapToGrid w:val="0"/>
                    <w:jc w:val="center"/>
                    <w:rPr>
                      <w:color w:val="auto"/>
                    </w:rPr>
                  </w:pPr>
                  <w:r>
                    <w:rPr>
                      <w:color w:val="auto"/>
                      <w:szCs w:val="21"/>
                    </w:rPr>
                    <w:t>0.2mg/m</w:t>
                  </w:r>
                  <w:r>
                    <w:rPr>
                      <w:color w:val="auto"/>
                      <w:szCs w:val="21"/>
                      <w:vertAlign w:val="superscript"/>
                    </w:rPr>
                    <w:t>3</w:t>
                  </w:r>
                </w:p>
              </w:tc>
              <w:tc>
                <w:tcPr>
                  <w:tcW w:w="1760" w:type="dxa"/>
                  <w:tcBorders>
                    <w:top w:val="single" w:color="000000" w:sz="12" w:space="0"/>
                    <w:bottom w:val="single" w:color="000000" w:sz="12" w:space="0"/>
                  </w:tcBorders>
                  <w:vAlign w:val="center"/>
                </w:tcPr>
                <w:p w14:paraId="593FBB90">
                  <w:pPr>
                    <w:adjustRightInd w:val="0"/>
                    <w:snapToGrid w:val="0"/>
                    <w:jc w:val="center"/>
                    <w:rPr>
                      <w:color w:val="auto"/>
                    </w:rPr>
                  </w:pPr>
                  <w:r>
                    <w:rPr>
                      <w:color w:val="auto"/>
                      <w:szCs w:val="21"/>
                    </w:rPr>
                    <w:t>0.3mg/m</w:t>
                  </w:r>
                  <w:r>
                    <w:rPr>
                      <w:color w:val="auto"/>
                      <w:szCs w:val="21"/>
                      <w:vertAlign w:val="superscript"/>
                    </w:rPr>
                    <w:t>3</w:t>
                  </w:r>
                </w:p>
              </w:tc>
              <w:tc>
                <w:tcPr>
                  <w:tcW w:w="4130" w:type="dxa"/>
                  <w:tcBorders>
                    <w:top w:val="single" w:color="000000" w:sz="12" w:space="0"/>
                    <w:bottom w:val="single" w:color="000000" w:sz="12" w:space="0"/>
                  </w:tcBorders>
                  <w:vAlign w:val="center"/>
                </w:tcPr>
                <w:p w14:paraId="570DB4FC">
                  <w:pPr>
                    <w:adjustRightInd w:val="0"/>
                    <w:snapToGrid w:val="0"/>
                    <w:jc w:val="center"/>
                    <w:rPr>
                      <w:color w:val="auto"/>
                    </w:rPr>
                  </w:pPr>
                  <w:r>
                    <w:rPr>
                      <w:color w:val="auto"/>
                    </w:rPr>
                    <w:t>《环境空气质量标准》（GB3095-2012）</w:t>
                  </w:r>
                </w:p>
              </w:tc>
            </w:tr>
          </w:tbl>
          <w:p w14:paraId="577389D1">
            <w:pPr>
              <w:pStyle w:val="15"/>
              <w:topLinePunct/>
              <w:spacing w:line="360" w:lineRule="auto"/>
              <w:ind w:firstLine="480"/>
              <w:rPr>
                <w:rFonts w:ascii="Times New Roman" w:hAnsi="Times New Roman" w:eastAsia="宋体"/>
                <w:color w:val="auto"/>
                <w:sz w:val="24"/>
              </w:rPr>
            </w:pPr>
            <w:r>
              <w:rPr>
                <w:rFonts w:ascii="Times New Roman" w:hAnsi="Times New Roman" w:eastAsia="宋体"/>
                <w:color w:val="auto"/>
                <w:sz w:val="24"/>
              </w:rPr>
              <w:t>（4</w:t>
            </w:r>
            <w:r>
              <w:rPr>
                <w:rFonts w:hint="default" w:ascii="Times New Roman" w:hAnsi="Times New Roman" w:eastAsia="宋体" w:cs="Times New Roman"/>
                <w:color w:val="auto"/>
                <w:kern w:val="2"/>
                <w:sz w:val="24"/>
                <w:szCs w:val="24"/>
                <w:lang w:val="en-US" w:eastAsia="zh-CN" w:bidi="ar-SA"/>
              </w:rPr>
              <w:t>）评价结果</w:t>
            </w:r>
          </w:p>
          <w:p w14:paraId="1553F5BD">
            <w:pPr>
              <w:pStyle w:val="15"/>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ascii="Times New Roman" w:hAnsi="Times New Roman" w:eastAsia="宋体"/>
                <w:color w:val="auto"/>
                <w:sz w:val="24"/>
              </w:rPr>
            </w:pPr>
            <w:r>
              <w:rPr>
                <w:rFonts w:ascii="Times New Roman" w:hAnsi="Times New Roman" w:eastAsia="宋体"/>
                <w:color w:val="auto"/>
                <w:sz w:val="24"/>
              </w:rPr>
              <w:t>监测及评价结果统计，详见表3-3。</w:t>
            </w:r>
          </w:p>
          <w:p w14:paraId="01ED0789">
            <w:pPr>
              <w:jc w:val="center"/>
              <w:rPr>
                <w:b/>
                <w:bCs/>
                <w:color w:val="auto"/>
                <w:szCs w:val="21"/>
              </w:rPr>
            </w:pPr>
            <w:r>
              <w:rPr>
                <w:b/>
                <w:bCs/>
                <w:color w:val="auto"/>
                <w:szCs w:val="21"/>
              </w:rPr>
              <w:t>表3-3   环境空气质量结果汇总表（TSP，日均值）单位：mg/m</w:t>
            </w:r>
            <w:r>
              <w:rPr>
                <w:b/>
                <w:bCs/>
                <w:color w:val="auto"/>
                <w:szCs w:val="21"/>
                <w:vertAlign w:val="superscript"/>
              </w:rPr>
              <w:t>3</w:t>
            </w:r>
          </w:p>
          <w:tbl>
            <w:tblPr>
              <w:tblStyle w:val="27"/>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260"/>
              <w:gridCol w:w="2377"/>
              <w:gridCol w:w="1716"/>
              <w:gridCol w:w="1346"/>
              <w:gridCol w:w="1351"/>
            </w:tblGrid>
            <w:tr w14:paraId="4F1C4DF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271" w:type="dxa"/>
                  <w:vMerge w:val="restart"/>
                  <w:tcBorders>
                    <w:top w:val="single" w:color="000000" w:sz="12" w:space="0"/>
                  </w:tcBorders>
                  <w:vAlign w:val="center"/>
                </w:tcPr>
                <w:p w14:paraId="3EC617FB">
                  <w:pPr>
                    <w:pStyle w:val="8"/>
                    <w:spacing w:after="0" w:line="240" w:lineRule="auto"/>
                    <w:jc w:val="center"/>
                    <w:rPr>
                      <w:b/>
                      <w:bCs/>
                      <w:color w:val="auto"/>
                      <w:sz w:val="21"/>
                      <w:szCs w:val="21"/>
                      <w:highlight w:val="none"/>
                    </w:rPr>
                  </w:pPr>
                  <w:r>
                    <w:rPr>
                      <w:rFonts w:hint="eastAsia"/>
                      <w:b/>
                      <w:bCs/>
                      <w:color w:val="auto"/>
                      <w:sz w:val="21"/>
                      <w:szCs w:val="21"/>
                      <w:highlight w:val="none"/>
                      <w:lang w:eastAsia="zh-CN"/>
                    </w:rPr>
                    <w:t>监测点位</w:t>
                  </w:r>
                </w:p>
              </w:tc>
              <w:tc>
                <w:tcPr>
                  <w:tcW w:w="2398" w:type="dxa"/>
                  <w:vMerge w:val="restart"/>
                  <w:tcBorders>
                    <w:top w:val="single" w:color="000000" w:sz="12" w:space="0"/>
                  </w:tcBorders>
                  <w:vAlign w:val="center"/>
                </w:tcPr>
                <w:p w14:paraId="48AEBE20">
                  <w:pPr>
                    <w:pStyle w:val="8"/>
                    <w:spacing w:after="0" w:line="240" w:lineRule="auto"/>
                    <w:jc w:val="center"/>
                    <w:rPr>
                      <w:b/>
                      <w:bCs/>
                      <w:color w:val="auto"/>
                      <w:sz w:val="21"/>
                      <w:szCs w:val="21"/>
                      <w:highlight w:val="none"/>
                    </w:rPr>
                  </w:pPr>
                  <w:r>
                    <w:rPr>
                      <w:b/>
                      <w:bCs/>
                      <w:color w:val="auto"/>
                      <w:sz w:val="21"/>
                      <w:szCs w:val="21"/>
                      <w:highlight w:val="none"/>
                    </w:rPr>
                    <w:t>采样时间</w:t>
                  </w:r>
                </w:p>
              </w:tc>
              <w:tc>
                <w:tcPr>
                  <w:tcW w:w="1732" w:type="dxa"/>
                  <w:tcBorders>
                    <w:top w:val="single" w:color="000000" w:sz="12" w:space="0"/>
                  </w:tcBorders>
                </w:tcPr>
                <w:p w14:paraId="29BFC00E">
                  <w:pPr>
                    <w:pStyle w:val="8"/>
                    <w:spacing w:after="0" w:line="240" w:lineRule="auto"/>
                    <w:jc w:val="center"/>
                    <w:rPr>
                      <w:b/>
                      <w:bCs/>
                      <w:color w:val="auto"/>
                      <w:sz w:val="21"/>
                      <w:szCs w:val="21"/>
                      <w:highlight w:val="none"/>
                    </w:rPr>
                  </w:pPr>
                  <w:r>
                    <w:rPr>
                      <w:b/>
                      <w:bCs/>
                      <w:color w:val="auto"/>
                      <w:sz w:val="21"/>
                      <w:szCs w:val="21"/>
                      <w:highlight w:val="none"/>
                    </w:rPr>
                    <w:t>检测结果</w:t>
                  </w:r>
                </w:p>
              </w:tc>
              <w:tc>
                <w:tcPr>
                  <w:tcW w:w="1359" w:type="dxa"/>
                  <w:tcBorders>
                    <w:top w:val="single" w:color="000000" w:sz="12" w:space="0"/>
                  </w:tcBorders>
                </w:tcPr>
                <w:p w14:paraId="6438826B">
                  <w:pPr>
                    <w:pStyle w:val="8"/>
                    <w:spacing w:after="0" w:line="240" w:lineRule="auto"/>
                    <w:jc w:val="center"/>
                    <w:rPr>
                      <w:b/>
                      <w:bCs/>
                      <w:color w:val="auto"/>
                      <w:sz w:val="21"/>
                      <w:szCs w:val="21"/>
                      <w:highlight w:val="none"/>
                    </w:rPr>
                  </w:pPr>
                  <w:r>
                    <w:rPr>
                      <w:b/>
                      <w:bCs/>
                      <w:color w:val="auto"/>
                      <w:sz w:val="21"/>
                      <w:szCs w:val="21"/>
                      <w:highlight w:val="none"/>
                    </w:rPr>
                    <w:t>标准值</w:t>
                  </w:r>
                </w:p>
              </w:tc>
              <w:tc>
                <w:tcPr>
                  <w:tcW w:w="1359" w:type="dxa"/>
                  <w:tcBorders>
                    <w:top w:val="single" w:color="000000" w:sz="12" w:space="0"/>
                  </w:tcBorders>
                </w:tcPr>
                <w:p w14:paraId="4D50CF99">
                  <w:pPr>
                    <w:pStyle w:val="8"/>
                    <w:spacing w:after="0" w:line="240" w:lineRule="auto"/>
                    <w:jc w:val="center"/>
                    <w:rPr>
                      <w:b/>
                      <w:bCs/>
                      <w:color w:val="auto"/>
                      <w:sz w:val="21"/>
                      <w:szCs w:val="21"/>
                      <w:highlight w:val="none"/>
                    </w:rPr>
                  </w:pPr>
                  <w:r>
                    <w:rPr>
                      <w:b/>
                      <w:bCs/>
                      <w:color w:val="auto"/>
                      <w:sz w:val="21"/>
                      <w:szCs w:val="21"/>
                      <w:highlight w:val="none"/>
                    </w:rPr>
                    <w:t>占标率</w:t>
                  </w:r>
                </w:p>
              </w:tc>
            </w:tr>
            <w:tr w14:paraId="0CB580D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271" w:type="dxa"/>
                  <w:vMerge w:val="continue"/>
                  <w:tcBorders>
                    <w:bottom w:val="single" w:color="000000" w:sz="12" w:space="0"/>
                  </w:tcBorders>
                </w:tcPr>
                <w:p w14:paraId="389DE134">
                  <w:pPr>
                    <w:pStyle w:val="8"/>
                    <w:spacing w:after="0" w:line="240" w:lineRule="auto"/>
                    <w:jc w:val="center"/>
                    <w:rPr>
                      <w:b/>
                      <w:bCs/>
                      <w:color w:val="auto"/>
                      <w:sz w:val="21"/>
                      <w:szCs w:val="21"/>
                      <w:highlight w:val="none"/>
                    </w:rPr>
                  </w:pPr>
                </w:p>
              </w:tc>
              <w:tc>
                <w:tcPr>
                  <w:tcW w:w="2398" w:type="dxa"/>
                  <w:vMerge w:val="continue"/>
                  <w:tcBorders>
                    <w:bottom w:val="single" w:color="000000" w:sz="12" w:space="0"/>
                  </w:tcBorders>
                </w:tcPr>
                <w:p w14:paraId="08594E89">
                  <w:pPr>
                    <w:pStyle w:val="8"/>
                    <w:spacing w:after="0" w:line="240" w:lineRule="auto"/>
                    <w:jc w:val="center"/>
                    <w:rPr>
                      <w:b/>
                      <w:bCs/>
                      <w:color w:val="auto"/>
                      <w:sz w:val="21"/>
                      <w:szCs w:val="21"/>
                      <w:highlight w:val="none"/>
                    </w:rPr>
                  </w:pPr>
                </w:p>
              </w:tc>
              <w:tc>
                <w:tcPr>
                  <w:tcW w:w="4450" w:type="dxa"/>
                  <w:gridSpan w:val="3"/>
                  <w:tcBorders>
                    <w:bottom w:val="single" w:color="000000" w:sz="12" w:space="0"/>
                  </w:tcBorders>
                </w:tcPr>
                <w:p w14:paraId="620677C9">
                  <w:pPr>
                    <w:pStyle w:val="8"/>
                    <w:spacing w:after="0" w:line="240" w:lineRule="auto"/>
                    <w:jc w:val="center"/>
                    <w:rPr>
                      <w:b/>
                      <w:bCs/>
                      <w:color w:val="auto"/>
                      <w:sz w:val="21"/>
                      <w:szCs w:val="21"/>
                      <w:highlight w:val="none"/>
                    </w:rPr>
                  </w:pPr>
                  <w:r>
                    <w:rPr>
                      <w:b/>
                      <w:bCs/>
                      <w:color w:val="auto"/>
                      <w:sz w:val="21"/>
                      <w:szCs w:val="21"/>
                      <w:highlight w:val="none"/>
                    </w:rPr>
                    <w:t>TSP</w:t>
                  </w:r>
                </w:p>
              </w:tc>
            </w:tr>
            <w:tr w14:paraId="78A4914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271" w:type="dxa"/>
                  <w:vMerge w:val="restart"/>
                  <w:tcBorders>
                    <w:top w:val="single" w:color="000000" w:sz="12" w:space="0"/>
                  </w:tcBorders>
                  <w:vAlign w:val="center"/>
                </w:tcPr>
                <w:p w14:paraId="70EF76D7">
                  <w:pPr>
                    <w:pStyle w:val="8"/>
                    <w:spacing w:after="0" w:line="240" w:lineRule="auto"/>
                    <w:jc w:val="center"/>
                    <w:rPr>
                      <w:color w:val="auto"/>
                      <w:sz w:val="21"/>
                      <w:szCs w:val="21"/>
                      <w:highlight w:val="none"/>
                    </w:rPr>
                  </w:pPr>
                  <w:r>
                    <w:rPr>
                      <w:color w:val="auto"/>
                      <w:sz w:val="21"/>
                      <w:szCs w:val="21"/>
                      <w:highlight w:val="none"/>
                    </w:rPr>
                    <w:t>项目区下风向</w:t>
                  </w:r>
                </w:p>
              </w:tc>
              <w:tc>
                <w:tcPr>
                  <w:tcW w:w="2398" w:type="dxa"/>
                  <w:tcBorders>
                    <w:top w:val="single" w:color="000000" w:sz="12" w:space="0"/>
                  </w:tcBorders>
                  <w:vAlign w:val="center"/>
                </w:tcPr>
                <w:p w14:paraId="34816BB8">
                  <w:pPr>
                    <w:jc w:val="center"/>
                    <w:rPr>
                      <w:rFonts w:hint="default" w:eastAsia="宋体"/>
                      <w:color w:val="auto"/>
                      <w:szCs w:val="21"/>
                      <w:highlight w:val="none"/>
                      <w:lang w:val="en-US" w:eastAsia="zh-CN"/>
                    </w:rPr>
                  </w:pPr>
                  <w:r>
                    <w:rPr>
                      <w:rFonts w:hint="eastAsia"/>
                      <w:bCs/>
                      <w:color w:val="auto"/>
                      <w:szCs w:val="21"/>
                      <w:highlight w:val="none"/>
                      <w:lang w:val="en-US" w:eastAsia="zh-CN"/>
                    </w:rPr>
                    <w:t>2024.4.9</w:t>
                  </w:r>
                </w:p>
              </w:tc>
              <w:tc>
                <w:tcPr>
                  <w:tcW w:w="1732" w:type="dxa"/>
                  <w:tcBorders>
                    <w:top w:val="single" w:color="000000" w:sz="12" w:space="0"/>
                  </w:tcBorders>
                  <w:vAlign w:val="center"/>
                </w:tcPr>
                <w:p w14:paraId="63256B3B">
                  <w:pPr>
                    <w:jc w:val="center"/>
                    <w:rPr>
                      <w:rFonts w:hint="default" w:eastAsia="宋体"/>
                      <w:bCs/>
                      <w:color w:val="auto"/>
                      <w:szCs w:val="21"/>
                      <w:highlight w:val="none"/>
                      <w:lang w:val="en-US" w:eastAsia="zh-CN"/>
                    </w:rPr>
                  </w:pPr>
                  <w:r>
                    <w:rPr>
                      <w:rFonts w:hint="eastAsia"/>
                      <w:bCs/>
                      <w:color w:val="auto"/>
                      <w:szCs w:val="21"/>
                      <w:highlight w:val="none"/>
                      <w:lang w:val="en-US" w:eastAsia="zh-CN"/>
                    </w:rPr>
                    <w:t>0.161</w:t>
                  </w:r>
                </w:p>
              </w:tc>
              <w:tc>
                <w:tcPr>
                  <w:tcW w:w="1359" w:type="dxa"/>
                  <w:tcBorders>
                    <w:top w:val="single" w:color="000000" w:sz="12" w:space="0"/>
                  </w:tcBorders>
                  <w:vAlign w:val="center"/>
                </w:tcPr>
                <w:p w14:paraId="37B51AD3">
                  <w:pPr>
                    <w:jc w:val="center"/>
                    <w:rPr>
                      <w:bCs/>
                      <w:color w:val="auto"/>
                      <w:szCs w:val="21"/>
                      <w:highlight w:val="none"/>
                    </w:rPr>
                  </w:pPr>
                  <w:r>
                    <w:rPr>
                      <w:bCs/>
                      <w:color w:val="auto"/>
                      <w:szCs w:val="21"/>
                      <w:highlight w:val="none"/>
                    </w:rPr>
                    <w:t>0.3</w:t>
                  </w:r>
                </w:p>
              </w:tc>
              <w:tc>
                <w:tcPr>
                  <w:tcW w:w="1359" w:type="dxa"/>
                  <w:tcBorders>
                    <w:top w:val="single" w:color="000000" w:sz="12" w:space="0"/>
                  </w:tcBorders>
                  <w:vAlign w:val="center"/>
                </w:tcPr>
                <w:p w14:paraId="10D5E72C">
                  <w:pPr>
                    <w:jc w:val="center"/>
                    <w:rPr>
                      <w:bCs/>
                      <w:color w:val="auto"/>
                      <w:szCs w:val="21"/>
                      <w:highlight w:val="none"/>
                    </w:rPr>
                  </w:pPr>
                  <w:r>
                    <w:rPr>
                      <w:rFonts w:hint="eastAsia"/>
                      <w:bCs/>
                      <w:color w:val="auto"/>
                      <w:szCs w:val="21"/>
                      <w:highlight w:val="none"/>
                      <w:lang w:val="en-US" w:eastAsia="zh-CN"/>
                    </w:rPr>
                    <w:t>53.67</w:t>
                  </w:r>
                  <w:r>
                    <w:rPr>
                      <w:bCs/>
                      <w:color w:val="auto"/>
                      <w:szCs w:val="21"/>
                      <w:highlight w:val="none"/>
                    </w:rPr>
                    <w:t>%</w:t>
                  </w:r>
                </w:p>
              </w:tc>
            </w:tr>
            <w:tr w14:paraId="258DDF9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271" w:type="dxa"/>
                  <w:vMerge w:val="continue"/>
                </w:tcPr>
                <w:p w14:paraId="2AC64439">
                  <w:pPr>
                    <w:pStyle w:val="8"/>
                    <w:spacing w:after="0" w:line="240" w:lineRule="auto"/>
                    <w:jc w:val="center"/>
                    <w:rPr>
                      <w:color w:val="auto"/>
                      <w:sz w:val="21"/>
                      <w:szCs w:val="21"/>
                      <w:highlight w:val="none"/>
                    </w:rPr>
                  </w:pPr>
                </w:p>
              </w:tc>
              <w:tc>
                <w:tcPr>
                  <w:tcW w:w="2398" w:type="dxa"/>
                  <w:vAlign w:val="center"/>
                </w:tcPr>
                <w:p w14:paraId="3F836515">
                  <w:pPr>
                    <w:jc w:val="center"/>
                    <w:rPr>
                      <w:rFonts w:hint="default" w:eastAsia="宋体"/>
                      <w:color w:val="auto"/>
                      <w:szCs w:val="21"/>
                      <w:highlight w:val="none"/>
                      <w:lang w:val="en-US" w:eastAsia="zh-CN"/>
                    </w:rPr>
                  </w:pPr>
                  <w:r>
                    <w:rPr>
                      <w:rFonts w:hint="eastAsia"/>
                      <w:bCs/>
                      <w:color w:val="auto"/>
                      <w:szCs w:val="21"/>
                      <w:highlight w:val="none"/>
                      <w:lang w:val="en-US" w:eastAsia="zh-CN"/>
                    </w:rPr>
                    <w:t>2024.4.10</w:t>
                  </w:r>
                </w:p>
              </w:tc>
              <w:tc>
                <w:tcPr>
                  <w:tcW w:w="1732" w:type="dxa"/>
                  <w:vAlign w:val="center"/>
                </w:tcPr>
                <w:p w14:paraId="645AD032">
                  <w:pPr>
                    <w:jc w:val="center"/>
                    <w:rPr>
                      <w:rFonts w:hint="default" w:eastAsia="宋体"/>
                      <w:bCs/>
                      <w:color w:val="auto"/>
                      <w:szCs w:val="21"/>
                      <w:highlight w:val="none"/>
                      <w:lang w:val="en-US" w:eastAsia="zh-CN"/>
                    </w:rPr>
                  </w:pPr>
                  <w:r>
                    <w:rPr>
                      <w:rFonts w:hint="eastAsia"/>
                      <w:bCs/>
                      <w:color w:val="auto"/>
                      <w:szCs w:val="21"/>
                      <w:highlight w:val="none"/>
                      <w:lang w:val="en-US" w:eastAsia="zh-CN"/>
                    </w:rPr>
                    <w:t>0.155</w:t>
                  </w:r>
                </w:p>
              </w:tc>
              <w:tc>
                <w:tcPr>
                  <w:tcW w:w="1359" w:type="dxa"/>
                  <w:vAlign w:val="center"/>
                </w:tcPr>
                <w:p w14:paraId="205BEF03">
                  <w:pPr>
                    <w:jc w:val="center"/>
                    <w:rPr>
                      <w:bCs/>
                      <w:color w:val="auto"/>
                      <w:szCs w:val="21"/>
                      <w:highlight w:val="none"/>
                    </w:rPr>
                  </w:pPr>
                  <w:r>
                    <w:rPr>
                      <w:bCs/>
                      <w:color w:val="auto"/>
                      <w:szCs w:val="21"/>
                      <w:highlight w:val="none"/>
                    </w:rPr>
                    <w:t>0.3</w:t>
                  </w:r>
                </w:p>
              </w:tc>
              <w:tc>
                <w:tcPr>
                  <w:tcW w:w="1359" w:type="dxa"/>
                  <w:vAlign w:val="center"/>
                </w:tcPr>
                <w:p w14:paraId="3CA46EF2">
                  <w:pPr>
                    <w:jc w:val="center"/>
                    <w:rPr>
                      <w:bCs/>
                      <w:color w:val="auto"/>
                      <w:szCs w:val="21"/>
                      <w:highlight w:val="none"/>
                    </w:rPr>
                  </w:pPr>
                  <w:r>
                    <w:rPr>
                      <w:rFonts w:hint="eastAsia"/>
                      <w:bCs/>
                      <w:color w:val="auto"/>
                      <w:szCs w:val="21"/>
                      <w:highlight w:val="none"/>
                      <w:lang w:val="en-US" w:eastAsia="zh-CN"/>
                    </w:rPr>
                    <w:t>51.67</w:t>
                  </w:r>
                  <w:r>
                    <w:rPr>
                      <w:bCs/>
                      <w:color w:val="auto"/>
                      <w:szCs w:val="21"/>
                      <w:highlight w:val="none"/>
                    </w:rPr>
                    <w:t>%</w:t>
                  </w:r>
                </w:p>
              </w:tc>
            </w:tr>
            <w:tr w14:paraId="79868DD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1271" w:type="dxa"/>
                  <w:vMerge w:val="continue"/>
                  <w:tcBorders>
                    <w:bottom w:val="single" w:color="000000" w:sz="12" w:space="0"/>
                  </w:tcBorders>
                </w:tcPr>
                <w:p w14:paraId="57EC64F8">
                  <w:pPr>
                    <w:pStyle w:val="8"/>
                    <w:spacing w:after="0" w:line="240" w:lineRule="auto"/>
                    <w:jc w:val="center"/>
                    <w:rPr>
                      <w:color w:val="auto"/>
                      <w:sz w:val="21"/>
                      <w:szCs w:val="21"/>
                      <w:highlight w:val="none"/>
                    </w:rPr>
                  </w:pPr>
                </w:p>
              </w:tc>
              <w:tc>
                <w:tcPr>
                  <w:tcW w:w="2398" w:type="dxa"/>
                  <w:tcBorders>
                    <w:bottom w:val="single" w:color="000000" w:sz="12" w:space="0"/>
                  </w:tcBorders>
                  <w:vAlign w:val="center"/>
                </w:tcPr>
                <w:p w14:paraId="6A7AC0ED">
                  <w:pPr>
                    <w:jc w:val="center"/>
                    <w:rPr>
                      <w:rFonts w:hint="default" w:eastAsia="宋体"/>
                      <w:color w:val="auto"/>
                      <w:szCs w:val="21"/>
                      <w:highlight w:val="none"/>
                      <w:lang w:val="en-US" w:eastAsia="zh-CN"/>
                    </w:rPr>
                  </w:pPr>
                  <w:r>
                    <w:rPr>
                      <w:rFonts w:hint="eastAsia"/>
                      <w:bCs/>
                      <w:color w:val="auto"/>
                      <w:szCs w:val="21"/>
                      <w:highlight w:val="none"/>
                      <w:lang w:val="en-US" w:eastAsia="zh-CN"/>
                    </w:rPr>
                    <w:t>2024.4.11</w:t>
                  </w:r>
                </w:p>
              </w:tc>
              <w:tc>
                <w:tcPr>
                  <w:tcW w:w="1732" w:type="dxa"/>
                  <w:tcBorders>
                    <w:bottom w:val="single" w:color="000000" w:sz="12" w:space="0"/>
                  </w:tcBorders>
                  <w:vAlign w:val="center"/>
                </w:tcPr>
                <w:p w14:paraId="2A89DDF3">
                  <w:pPr>
                    <w:jc w:val="center"/>
                    <w:rPr>
                      <w:rFonts w:hint="default" w:eastAsia="宋体"/>
                      <w:bCs/>
                      <w:color w:val="auto"/>
                      <w:szCs w:val="21"/>
                      <w:highlight w:val="none"/>
                      <w:lang w:val="en-US" w:eastAsia="zh-CN"/>
                    </w:rPr>
                  </w:pPr>
                  <w:r>
                    <w:rPr>
                      <w:rFonts w:hint="eastAsia"/>
                      <w:bCs/>
                      <w:color w:val="auto"/>
                      <w:szCs w:val="21"/>
                      <w:highlight w:val="none"/>
                      <w:lang w:val="en-US" w:eastAsia="zh-CN"/>
                    </w:rPr>
                    <w:t>0.163</w:t>
                  </w:r>
                </w:p>
              </w:tc>
              <w:tc>
                <w:tcPr>
                  <w:tcW w:w="1359" w:type="dxa"/>
                  <w:tcBorders>
                    <w:bottom w:val="single" w:color="000000" w:sz="12" w:space="0"/>
                  </w:tcBorders>
                  <w:vAlign w:val="center"/>
                </w:tcPr>
                <w:p w14:paraId="5373497B">
                  <w:pPr>
                    <w:jc w:val="center"/>
                    <w:rPr>
                      <w:bCs/>
                      <w:color w:val="auto"/>
                      <w:szCs w:val="21"/>
                      <w:highlight w:val="none"/>
                    </w:rPr>
                  </w:pPr>
                  <w:r>
                    <w:rPr>
                      <w:bCs/>
                      <w:color w:val="auto"/>
                      <w:szCs w:val="21"/>
                      <w:highlight w:val="none"/>
                    </w:rPr>
                    <w:t>0.3</w:t>
                  </w:r>
                </w:p>
              </w:tc>
              <w:tc>
                <w:tcPr>
                  <w:tcW w:w="1359" w:type="dxa"/>
                  <w:tcBorders>
                    <w:bottom w:val="single" w:color="000000" w:sz="12" w:space="0"/>
                  </w:tcBorders>
                  <w:vAlign w:val="center"/>
                </w:tcPr>
                <w:p w14:paraId="1280A80D">
                  <w:pPr>
                    <w:jc w:val="center"/>
                    <w:rPr>
                      <w:bCs/>
                      <w:color w:val="auto"/>
                      <w:szCs w:val="21"/>
                      <w:highlight w:val="none"/>
                    </w:rPr>
                  </w:pPr>
                  <w:r>
                    <w:rPr>
                      <w:rFonts w:hint="eastAsia"/>
                      <w:bCs/>
                      <w:color w:val="auto"/>
                      <w:szCs w:val="21"/>
                      <w:highlight w:val="none"/>
                      <w:lang w:val="en-US" w:eastAsia="zh-CN"/>
                    </w:rPr>
                    <w:t>54.33</w:t>
                  </w:r>
                  <w:r>
                    <w:rPr>
                      <w:bCs/>
                      <w:color w:val="auto"/>
                      <w:szCs w:val="21"/>
                      <w:highlight w:val="none"/>
                    </w:rPr>
                    <w:t>%</w:t>
                  </w:r>
                </w:p>
              </w:tc>
            </w:tr>
          </w:tbl>
          <w:p w14:paraId="29D52242">
            <w:pPr>
              <w:pStyle w:val="15"/>
              <w:topLinePunct/>
              <w:spacing w:line="360" w:lineRule="auto"/>
              <w:ind w:firstLine="480"/>
              <w:rPr>
                <w:rFonts w:hint="default" w:ascii="Times New Roman" w:hAnsi="Times New Roman" w:cs="Times New Roman"/>
                <w:color w:val="auto"/>
                <w:kern w:val="2"/>
                <w:sz w:val="24"/>
                <w:szCs w:val="24"/>
                <w:lang w:val="en-US" w:eastAsia="zh-CN"/>
              </w:rPr>
            </w:pPr>
            <w:r>
              <w:rPr>
                <w:rFonts w:ascii="Times New Roman" w:hAnsi="Times New Roman" w:eastAsia="宋体"/>
                <w:color w:val="auto"/>
                <w:sz w:val="24"/>
              </w:rPr>
              <w:t>由上述列表可知，项目区TSP满足《环境空气质量标准》（GB3095-2012）</w:t>
            </w:r>
            <w:r>
              <w:rPr>
                <w:rFonts w:ascii="Times New Roman" w:hAnsi="Times New Roman" w:eastAsia="宋体"/>
                <w:color w:val="auto"/>
                <w:sz w:val="24"/>
                <w:highlight w:val="none"/>
              </w:rPr>
              <w:t>二级标准</w:t>
            </w:r>
            <w:r>
              <w:rPr>
                <w:rFonts w:ascii="Times New Roman" w:hAnsi="Times New Roman" w:eastAsia="宋体"/>
                <w:color w:val="auto"/>
                <w:sz w:val="24"/>
              </w:rPr>
              <w:t>，项目所在区域监测期间大气环境空气质量达标。</w:t>
            </w:r>
          </w:p>
          <w:p w14:paraId="7F32BCCE">
            <w:pPr>
              <w:pStyle w:val="55"/>
              <w:numPr>
                <w:ilvl w:val="0"/>
                <w:numId w:val="0"/>
              </w:numPr>
              <w:spacing w:line="360" w:lineRule="auto"/>
              <w:rPr>
                <w:b/>
                <w:bCs/>
                <w:color w:val="auto"/>
                <w:lang w:bidi="ar"/>
              </w:rPr>
            </w:pPr>
            <w:r>
              <w:rPr>
                <w:rFonts w:ascii="Times New Roman" w:hAnsi="Times New Roman" w:eastAsia="宋体" w:cs="Times New Roman"/>
                <w:b/>
                <w:bCs/>
                <w:color w:val="auto"/>
                <w:sz w:val="24"/>
                <w:lang w:val="en-US" w:eastAsia="zh-CN" w:bidi="ar"/>
              </w:rPr>
              <w:t>2.</w:t>
            </w:r>
            <w:r>
              <w:rPr>
                <w:rFonts w:hint="eastAsia"/>
                <w:b/>
                <w:bCs/>
                <w:color w:val="auto"/>
                <w:lang w:bidi="ar"/>
              </w:rPr>
              <w:t>水环境</w:t>
            </w:r>
          </w:p>
          <w:p w14:paraId="2AF1FE50">
            <w:pPr>
              <w:pStyle w:val="55"/>
              <w:spacing w:line="360" w:lineRule="auto"/>
              <w:rPr>
                <w:b/>
                <w:bCs/>
                <w:color w:val="auto"/>
                <w:lang w:bidi="ar"/>
              </w:rPr>
            </w:pPr>
            <w:r>
              <w:rPr>
                <w:rFonts w:hint="eastAsia"/>
                <w:b/>
                <w:bCs/>
                <w:color w:val="auto"/>
                <w:lang w:bidi="ar"/>
              </w:rPr>
              <w:t>2.1</w:t>
            </w:r>
            <w:r>
              <w:rPr>
                <w:rFonts w:hint="eastAsia"/>
                <w:b/>
                <w:bCs/>
                <w:color w:val="auto"/>
                <w:lang w:val="en-US" w:eastAsia="zh-CN" w:bidi="ar"/>
              </w:rPr>
              <w:t xml:space="preserve"> </w:t>
            </w:r>
            <w:r>
              <w:rPr>
                <w:rFonts w:hint="eastAsia"/>
                <w:b/>
                <w:bCs/>
                <w:color w:val="auto"/>
                <w:lang w:bidi="ar"/>
              </w:rPr>
              <w:t>地表水环境</w:t>
            </w:r>
          </w:p>
          <w:p w14:paraId="71ACA105">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本项目产生的生产废水</w:t>
            </w:r>
            <w:r>
              <w:rPr>
                <w:rFonts w:hint="eastAsia" w:cs="Times New Roman"/>
                <w:color w:val="auto"/>
                <w:kern w:val="0"/>
                <w:sz w:val="24"/>
                <w:highlight w:val="none"/>
                <w:lang w:val="en-US" w:eastAsia="zh-CN"/>
              </w:rPr>
              <w:t>经处理之后回用于生产，不外排</w:t>
            </w:r>
            <w:r>
              <w:rPr>
                <w:rFonts w:hint="eastAsia" w:ascii="Times New Roman" w:hAnsi="Times New Roman" w:eastAsia="宋体" w:cs="Times New Roman"/>
                <w:color w:val="auto"/>
                <w:kern w:val="0"/>
                <w:sz w:val="24"/>
              </w:rPr>
              <w:t>；项目产生的生活污水</w:t>
            </w:r>
            <w:r>
              <w:rPr>
                <w:rFonts w:hint="eastAsia" w:cs="Times New Roman"/>
                <w:color w:val="auto"/>
                <w:kern w:val="0"/>
                <w:sz w:val="24"/>
                <w:lang w:val="en-US" w:eastAsia="zh-CN"/>
              </w:rPr>
              <w:t>经一体化污水处理系统处理达标后用于料场洒水降尘</w:t>
            </w:r>
            <w:r>
              <w:rPr>
                <w:rFonts w:hint="eastAsia" w:ascii="Times New Roman" w:hAnsi="Times New Roman" w:eastAsia="宋体" w:cs="Times New Roman"/>
                <w:color w:val="auto"/>
                <w:kern w:val="0"/>
                <w:sz w:val="24"/>
              </w:rPr>
              <w:t>。本项目周边</w:t>
            </w:r>
            <w:r>
              <w:rPr>
                <w:rFonts w:hint="eastAsia" w:ascii="Times New Roman" w:hAnsi="Times New Roman" w:eastAsia="宋体" w:cs="Times New Roman"/>
                <w:color w:val="auto"/>
                <w:kern w:val="0"/>
                <w:sz w:val="24"/>
                <w:highlight w:val="none"/>
              </w:rPr>
              <w:t>无地表水，产生的废水与地表水系无水力联系，</w:t>
            </w:r>
            <w:r>
              <w:rPr>
                <w:rFonts w:hint="eastAsia" w:ascii="Times New Roman" w:hAnsi="Times New Roman" w:eastAsia="宋体" w:cs="Times New Roman"/>
                <w:color w:val="auto"/>
                <w:kern w:val="0"/>
                <w:sz w:val="24"/>
              </w:rPr>
              <w:t>根据《环境影响评价技术导则 地表水环境》（HJ2.3-2018），</w:t>
            </w:r>
            <w:r>
              <w:rPr>
                <w:rFonts w:hint="eastAsia" w:ascii="Times New Roman" w:hAnsi="Times New Roman" w:eastAsia="宋体" w:cs="Times New Roman"/>
                <w:color w:val="auto"/>
                <w:kern w:val="0"/>
                <w:sz w:val="24"/>
                <w:highlight w:val="none"/>
              </w:rPr>
              <w:t>本项目不需要进行地表水评价</w:t>
            </w:r>
            <w:r>
              <w:rPr>
                <w:rFonts w:hint="eastAsia" w:ascii="Times New Roman" w:hAnsi="Times New Roman" w:eastAsia="宋体" w:cs="Times New Roman"/>
                <w:color w:val="auto"/>
                <w:kern w:val="0"/>
                <w:sz w:val="24"/>
              </w:rPr>
              <w:t>。</w:t>
            </w:r>
          </w:p>
          <w:p w14:paraId="59CDFF96">
            <w:pPr>
              <w:pStyle w:val="55"/>
              <w:spacing w:line="360" w:lineRule="auto"/>
              <w:rPr>
                <w:b/>
                <w:bCs/>
                <w:color w:val="auto"/>
                <w:szCs w:val="24"/>
              </w:rPr>
            </w:pPr>
            <w:r>
              <w:rPr>
                <w:rFonts w:hint="eastAsia"/>
                <w:b/>
                <w:bCs/>
                <w:color w:val="auto"/>
                <w:szCs w:val="24"/>
              </w:rPr>
              <w:t>2.2</w:t>
            </w:r>
            <w:r>
              <w:rPr>
                <w:rFonts w:hint="eastAsia"/>
                <w:b/>
                <w:bCs/>
                <w:color w:val="auto"/>
                <w:szCs w:val="24"/>
                <w:lang w:val="en-US" w:eastAsia="zh-CN"/>
              </w:rPr>
              <w:t xml:space="preserve"> </w:t>
            </w:r>
            <w:r>
              <w:rPr>
                <w:rFonts w:hint="eastAsia"/>
                <w:b/>
                <w:bCs/>
                <w:color w:val="auto"/>
                <w:szCs w:val="24"/>
              </w:rPr>
              <w:t>地下水环境</w:t>
            </w:r>
          </w:p>
          <w:p w14:paraId="2AC9439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根据《环境影响评价技术导则</w:t>
            </w:r>
            <w:r>
              <w:rPr>
                <w:rFonts w:hint="eastAsia" w:ascii="Times New Roman" w:hAnsi="Times New Roman" w:eastAsia="宋体" w:cs="Times New Roman"/>
                <w:color w:val="auto"/>
                <w:kern w:val="0"/>
                <w:sz w:val="24"/>
              </w:rPr>
              <w:t xml:space="preserve"> </w:t>
            </w:r>
            <w:r>
              <w:rPr>
                <w:rFonts w:ascii="Times New Roman" w:hAnsi="Times New Roman" w:eastAsia="宋体" w:cs="Times New Roman"/>
                <w:color w:val="auto"/>
                <w:kern w:val="0"/>
                <w:sz w:val="24"/>
              </w:rPr>
              <w:t>地下水环境》（HJ</w:t>
            </w:r>
            <w:r>
              <w:rPr>
                <w:rFonts w:hint="eastAsia" w:ascii="Times New Roman" w:hAnsi="Times New Roman" w:eastAsia="宋体" w:cs="Times New Roman"/>
                <w:color w:val="auto"/>
                <w:kern w:val="0"/>
                <w:sz w:val="24"/>
              </w:rPr>
              <w:t xml:space="preserve"> 6</w:t>
            </w:r>
            <w:r>
              <w:rPr>
                <w:rFonts w:ascii="Times New Roman" w:hAnsi="Times New Roman" w:eastAsia="宋体" w:cs="Times New Roman"/>
                <w:color w:val="auto"/>
                <w:kern w:val="0"/>
                <w:sz w:val="24"/>
              </w:rPr>
              <w:t>10-2016）中附录 A 地下水环境影响评价行业分类表，</w:t>
            </w:r>
            <w:r>
              <w:rPr>
                <w:rFonts w:hint="eastAsia" w:ascii="Times New Roman" w:hAnsi="Times New Roman" w:eastAsia="宋体" w:cs="Times New Roman"/>
                <w:color w:val="auto"/>
                <w:kern w:val="0"/>
                <w:sz w:val="24"/>
              </w:rPr>
              <w:t>本项目为“J非金属采选及制品制造”中“60、砼结构构件制造、商品混凝土加工”的“全部”报告表项目，为</w:t>
            </w:r>
            <w:r>
              <w:rPr>
                <w:rFonts w:ascii="Times New Roman" w:hAnsi="Times New Roman" w:eastAsia="宋体" w:cs="Times New Roman"/>
                <w:color w:val="auto"/>
                <w:kern w:val="0"/>
                <w:sz w:val="24"/>
              </w:rPr>
              <w:t>Ⅳ</w:t>
            </w:r>
            <w:r>
              <w:rPr>
                <w:rFonts w:hint="eastAsia" w:ascii="Times New Roman" w:hAnsi="Times New Roman" w:eastAsia="宋体" w:cs="Times New Roman"/>
                <w:color w:val="auto"/>
                <w:kern w:val="0"/>
                <w:sz w:val="24"/>
              </w:rPr>
              <w:t>类项目，项目所在地属于不敏感区，</w:t>
            </w:r>
            <w:r>
              <w:rPr>
                <w:rFonts w:ascii="Times New Roman" w:hAnsi="Times New Roman" w:eastAsia="宋体" w:cs="Times New Roman"/>
                <w:color w:val="auto"/>
                <w:kern w:val="0"/>
                <w:sz w:val="24"/>
              </w:rPr>
              <w:t>本项目可不开展地下水环境影响评价。</w:t>
            </w:r>
          </w:p>
          <w:p w14:paraId="1606D3CA">
            <w:pPr>
              <w:numPr>
                <w:ilvl w:val="0"/>
                <w:numId w:val="0"/>
              </w:numPr>
              <w:adjustRightInd w:val="0"/>
              <w:snapToGrid w:val="0"/>
              <w:spacing w:line="360" w:lineRule="auto"/>
              <w:ind w:left="0" w:leftChars="0" w:firstLine="0" w:firstLineChars="0"/>
              <w:rPr>
                <w:b/>
                <w:bCs/>
                <w:color w:val="auto"/>
                <w:sz w:val="24"/>
              </w:rPr>
            </w:pPr>
            <w:r>
              <w:rPr>
                <w:rFonts w:ascii="Times New Roman" w:hAnsi="Times New Roman" w:eastAsia="宋体" w:cs="Times New Roman"/>
                <w:b/>
                <w:bCs/>
                <w:color w:val="auto"/>
                <w:kern w:val="2"/>
                <w:sz w:val="24"/>
                <w:szCs w:val="24"/>
                <w:lang w:val="en-US" w:eastAsia="zh-CN" w:bidi="ar-SA"/>
              </w:rPr>
              <w:t>3.</w:t>
            </w:r>
            <w:r>
              <w:rPr>
                <w:rFonts w:hint="eastAsia"/>
                <w:b/>
                <w:bCs/>
                <w:color w:val="auto"/>
                <w:sz w:val="24"/>
              </w:rPr>
              <w:t>声环境</w:t>
            </w:r>
          </w:p>
          <w:p w14:paraId="4163FF46">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ascii="Times New Roman" w:hAnsi="Times New Roman" w:eastAsia="宋体" w:cs="Times New Roman"/>
                <w:color w:val="000000" w:themeColor="text1"/>
                <w:kern w:val="0"/>
                <w:sz w:val="24"/>
                <w14:textFill>
                  <w14:solidFill>
                    <w14:schemeClr w14:val="tx1"/>
                  </w14:solidFill>
                </w14:textFill>
              </w:rPr>
              <w:t>本项目厂界周边50米范围内不存在声环境保护目标。</w:t>
            </w:r>
          </w:p>
          <w:p w14:paraId="1A9D9196">
            <w:pPr>
              <w:numPr>
                <w:ilvl w:val="0"/>
                <w:numId w:val="0"/>
              </w:numPr>
              <w:adjustRightInd w:val="0"/>
              <w:snapToGrid w:val="0"/>
              <w:spacing w:line="360" w:lineRule="auto"/>
              <w:ind w:left="0" w:leftChars="0" w:firstLine="0" w:firstLineChars="0"/>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4.</w:t>
            </w:r>
            <w:r>
              <w:rPr>
                <w:rFonts w:hint="eastAsia" w:ascii="Times New Roman" w:hAnsi="Times New Roman" w:eastAsia="宋体" w:cs="Times New Roman"/>
                <w:b/>
                <w:bCs/>
                <w:color w:val="000000" w:themeColor="text1"/>
                <w:sz w:val="24"/>
                <w14:textFill>
                  <w14:solidFill>
                    <w14:schemeClr w14:val="tx1"/>
                  </w14:solidFill>
                </w14:textFill>
              </w:rPr>
              <w:t>生态环境</w:t>
            </w:r>
          </w:p>
          <w:p w14:paraId="349240C6">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14:textFill>
                  <w14:solidFill>
                    <w14:schemeClr w14:val="tx1"/>
                  </w14:solidFill>
                </w14:textFill>
              </w:rPr>
              <w:t>本项目位于新疆维吾尔自治区木垒县</w:t>
            </w:r>
            <w:r>
              <w:rPr>
                <w:rFonts w:hint="eastAsia" w:cs="Times New Roman"/>
                <w:color w:val="000000" w:themeColor="text1"/>
                <w:kern w:val="0"/>
                <w:sz w:val="24"/>
                <w:highlight w:val="none"/>
                <w:lang w:val="en-US" w:eastAsia="zh-CN"/>
                <w14:textFill>
                  <w14:solidFill>
                    <w14:schemeClr w14:val="tx1"/>
                  </w14:solidFill>
                </w14:textFill>
              </w:rPr>
              <w:t>大石头</w:t>
            </w:r>
            <w:r>
              <w:rPr>
                <w:rFonts w:hint="eastAsia" w:ascii="Times New Roman" w:hAnsi="Times New Roman" w:eastAsia="宋体" w:cs="Times New Roman"/>
                <w:color w:val="000000" w:themeColor="text1"/>
                <w:kern w:val="0"/>
                <w:sz w:val="24"/>
                <w:highlight w:val="none"/>
                <w:lang w:eastAsia="zh-CN"/>
                <w14:textFill>
                  <w14:solidFill>
                    <w14:schemeClr w14:val="tx1"/>
                  </w14:solidFill>
                </w14:textFill>
              </w:rPr>
              <w:t>风电</w:t>
            </w:r>
            <w:r>
              <w:rPr>
                <w:rFonts w:hint="eastAsia" w:cs="Times New Roman"/>
                <w:color w:val="000000" w:themeColor="text1"/>
                <w:kern w:val="0"/>
                <w:sz w:val="24"/>
                <w:highlight w:val="none"/>
                <w:lang w:val="en-US" w:eastAsia="zh-CN"/>
                <w14:textFill>
                  <w14:solidFill>
                    <w14:schemeClr w14:val="tx1"/>
                  </w14:solidFill>
                </w14:textFill>
              </w:rPr>
              <w:t>场</w:t>
            </w:r>
            <w:r>
              <w:rPr>
                <w:rFonts w:hint="eastAsia" w:ascii="Times New Roman" w:hAnsi="Times New Roman" w:eastAsia="宋体" w:cs="Times New Roman"/>
                <w:color w:val="000000" w:themeColor="text1"/>
                <w:kern w:val="0"/>
                <w:sz w:val="24"/>
                <w:highlight w:val="none"/>
                <w14:textFill>
                  <w14:solidFill>
                    <w14:schemeClr w14:val="tx1"/>
                  </w14:solidFill>
                </w14:textFill>
              </w:rPr>
              <w:t>，项目所在地不涉及环境生态保护目标，</w:t>
            </w:r>
            <w:r>
              <w:rPr>
                <w:rFonts w:hint="eastAsia" w:cs="Times New Roman"/>
                <w:color w:val="000000" w:themeColor="text1"/>
                <w:kern w:val="0"/>
                <w:sz w:val="24"/>
                <w:highlight w:val="none"/>
                <w:lang w:val="en-US" w:eastAsia="zh-CN"/>
                <w14:textFill>
                  <w14:solidFill>
                    <w14:schemeClr w14:val="tx1"/>
                  </w14:solidFill>
                </w14:textFill>
              </w:rPr>
              <w:t>项目用地为临时用地，因此待临时用地年限2年结束后需拆除并进行土地复垦</w:t>
            </w:r>
            <w:r>
              <w:rPr>
                <w:rFonts w:hint="eastAsia" w:ascii="Times New Roman" w:hAnsi="Times New Roman" w:eastAsia="宋体" w:cs="Times New Roman"/>
                <w:color w:val="000000" w:themeColor="text1"/>
                <w:kern w:val="0"/>
                <w:sz w:val="24"/>
                <w:highlight w:val="none"/>
                <w14:textFill>
                  <w14:solidFill>
                    <w14:schemeClr w14:val="tx1"/>
                  </w14:solidFill>
                </w14:textFill>
              </w:rPr>
              <w:t>。</w:t>
            </w:r>
          </w:p>
          <w:p w14:paraId="6A5108CB">
            <w:pPr>
              <w:numPr>
                <w:ilvl w:val="0"/>
                <w:numId w:val="0"/>
              </w:numPr>
              <w:adjustRightInd w:val="0"/>
              <w:snapToGrid w:val="0"/>
              <w:spacing w:line="360" w:lineRule="auto"/>
              <w:ind w:left="0" w:leftChars="0" w:firstLine="0" w:firstLineChars="0"/>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kern w:val="2"/>
                <w:sz w:val="24"/>
                <w:szCs w:val="24"/>
                <w:lang w:val="en-US" w:eastAsia="zh-CN" w:bidi="ar-SA"/>
              </w:rPr>
              <w:t>5.</w:t>
            </w:r>
            <w:r>
              <w:rPr>
                <w:rFonts w:hint="eastAsia" w:ascii="Times New Roman" w:hAnsi="Times New Roman" w:eastAsia="宋体" w:cs="Times New Roman"/>
                <w:b/>
                <w:bCs/>
                <w:color w:val="auto"/>
                <w:sz w:val="24"/>
              </w:rPr>
              <w:t>土壤环境</w:t>
            </w:r>
          </w:p>
          <w:p w14:paraId="40540FA9">
            <w:pPr>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1"/>
                <w:lang w:val="en-US" w:eastAsia="zh-CN"/>
              </w:rPr>
            </w:pPr>
            <w:r>
              <w:rPr>
                <w:rFonts w:ascii="Times New Roman" w:hAnsi="Times New Roman" w:eastAsia="宋体" w:cs="Times New Roman"/>
                <w:color w:val="auto"/>
                <w:kern w:val="0"/>
                <w:sz w:val="24"/>
              </w:rPr>
              <w:t>本项目污染影响型项目，</w:t>
            </w:r>
            <w:r>
              <w:rPr>
                <w:rFonts w:hint="eastAsia" w:ascii="Times New Roman" w:hAnsi="Times New Roman" w:eastAsia="宋体" w:cs="Times New Roman"/>
                <w:color w:val="auto"/>
                <w:kern w:val="0"/>
                <w:sz w:val="24"/>
              </w:rPr>
              <w:t>根据《建设项目环境影响报告表编制技术指南（污染影响类）》，本项目不存在土壤污染途径，本项目</w:t>
            </w:r>
            <w:r>
              <w:rPr>
                <w:rFonts w:ascii="Times New Roman" w:hAnsi="Times New Roman" w:eastAsia="宋体" w:cs="Times New Roman"/>
                <w:color w:val="auto"/>
                <w:kern w:val="0"/>
                <w:sz w:val="24"/>
              </w:rPr>
              <w:t>占地规模</w:t>
            </w:r>
            <w:r>
              <w:rPr>
                <w:rFonts w:hint="eastAsia" w:cs="Times New Roman"/>
                <w:color w:val="auto"/>
                <w:kern w:val="0"/>
                <w:sz w:val="24"/>
                <w:lang w:eastAsia="zh-CN"/>
              </w:rPr>
              <w:t>&lt;</w:t>
            </w:r>
            <w:r>
              <w:rPr>
                <w:rFonts w:ascii="Times New Roman" w:hAnsi="Times New Roman" w:eastAsia="宋体" w:cs="Times New Roman"/>
                <w:color w:val="auto"/>
                <w:kern w:val="0"/>
                <w:sz w:val="24"/>
              </w:rPr>
              <w:t>5hm</w:t>
            </w:r>
            <w:r>
              <w:rPr>
                <w:rFonts w:ascii="Times New Roman" w:hAnsi="Times New Roman" w:eastAsia="宋体" w:cs="Times New Roman"/>
                <w:color w:val="auto"/>
                <w:kern w:val="0"/>
                <w:sz w:val="24"/>
                <w:vertAlign w:val="superscript"/>
              </w:rPr>
              <w:t>2</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为小型建设项目，且本项目属于不敏感区。根据</w:t>
            </w:r>
            <w:r>
              <w:rPr>
                <w:rFonts w:hint="eastAsia" w:ascii="Times New Roman" w:hAnsi="Times New Roman" w:eastAsia="宋体" w:cs="Times New Roman"/>
                <w:color w:val="auto"/>
                <w:kern w:val="0"/>
                <w:sz w:val="24"/>
              </w:rPr>
              <w:t>《环境影响评价技术导则 土壤环境（试行）》（HJ964-2018）</w:t>
            </w:r>
            <w:r>
              <w:rPr>
                <w:rFonts w:ascii="Times New Roman" w:hAnsi="Times New Roman" w:eastAsia="宋体" w:cs="Times New Roman"/>
                <w:color w:val="auto"/>
                <w:kern w:val="0"/>
                <w:sz w:val="24"/>
              </w:rPr>
              <w:t>，本项目可不展开土壤环境影响评价</w:t>
            </w:r>
            <w:r>
              <w:rPr>
                <w:rFonts w:hint="eastAsia" w:cs="Times New Roman"/>
                <w:color w:val="auto"/>
                <w:kern w:val="0"/>
                <w:sz w:val="24"/>
                <w:lang w:eastAsia="zh-CN"/>
              </w:rPr>
              <w:t>。</w:t>
            </w:r>
          </w:p>
        </w:tc>
      </w:tr>
      <w:tr w14:paraId="4AF33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14:paraId="7429F43B">
            <w:pPr>
              <w:adjustRightInd w:val="0"/>
              <w:snapToGrid w:val="0"/>
              <w:jc w:val="center"/>
              <w:rPr>
                <w:rFonts w:ascii="宋体" w:hAnsi="宋体" w:cs="宋体"/>
                <w:color w:val="auto"/>
                <w:kern w:val="0"/>
                <w:szCs w:val="21"/>
              </w:rPr>
            </w:pPr>
            <w:r>
              <w:rPr>
                <w:rFonts w:hint="eastAsia" w:ascii="宋体" w:hAnsi="宋体" w:cs="宋体"/>
                <w:color w:val="auto"/>
                <w:kern w:val="0"/>
                <w:szCs w:val="21"/>
              </w:rPr>
              <w:t>环境</w:t>
            </w:r>
          </w:p>
          <w:p w14:paraId="511EFAD7">
            <w:pPr>
              <w:adjustRightInd w:val="0"/>
              <w:snapToGrid w:val="0"/>
              <w:jc w:val="center"/>
              <w:rPr>
                <w:rFonts w:ascii="宋体" w:hAnsi="宋体" w:cs="宋体"/>
                <w:color w:val="auto"/>
                <w:kern w:val="0"/>
                <w:szCs w:val="21"/>
              </w:rPr>
            </w:pPr>
            <w:r>
              <w:rPr>
                <w:rFonts w:hint="eastAsia" w:ascii="宋体" w:hAnsi="宋体" w:cs="宋体"/>
                <w:color w:val="auto"/>
                <w:kern w:val="0"/>
                <w:szCs w:val="21"/>
              </w:rPr>
              <w:t>保护</w:t>
            </w:r>
          </w:p>
          <w:p w14:paraId="7B2DBA23">
            <w:pPr>
              <w:adjustRightInd w:val="0"/>
              <w:snapToGrid w:val="0"/>
              <w:jc w:val="center"/>
              <w:rPr>
                <w:rFonts w:ascii="宋体" w:hAnsi="宋体" w:cs="宋体"/>
                <w:color w:val="auto"/>
                <w:kern w:val="0"/>
                <w:szCs w:val="21"/>
              </w:rPr>
            </w:pPr>
            <w:r>
              <w:rPr>
                <w:rFonts w:hint="eastAsia" w:ascii="宋体" w:hAnsi="宋体" w:cs="宋体"/>
                <w:color w:val="auto"/>
                <w:kern w:val="0"/>
                <w:szCs w:val="21"/>
              </w:rPr>
              <w:t>目标</w:t>
            </w:r>
          </w:p>
        </w:tc>
        <w:tc>
          <w:tcPr>
            <w:tcW w:w="8190" w:type="dxa"/>
            <w:vAlign w:val="center"/>
          </w:tcPr>
          <w:p w14:paraId="1F354C7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w:t>
            </w:r>
            <w:r>
              <w:rPr>
                <w:rFonts w:ascii="Times New Roman" w:hAnsi="Times New Roman" w:eastAsia="宋体" w:cs="Times New Roman"/>
                <w:color w:val="auto"/>
                <w:kern w:val="0"/>
                <w:sz w:val="24"/>
              </w:rPr>
              <w:t>项目位于</w:t>
            </w:r>
            <w:r>
              <w:rPr>
                <w:rFonts w:hint="eastAsia" w:cs="Times New Roman"/>
                <w:color w:val="auto"/>
                <w:kern w:val="0"/>
                <w:sz w:val="24"/>
                <w:highlight w:val="none"/>
                <w:lang w:val="en-US" w:eastAsia="zh-CN"/>
              </w:rPr>
              <w:t>昌吉州</w:t>
            </w:r>
            <w:r>
              <w:rPr>
                <w:rFonts w:hint="eastAsia" w:ascii="Times New Roman" w:hAnsi="Times New Roman" w:eastAsia="宋体" w:cs="Times New Roman"/>
                <w:color w:val="auto"/>
                <w:kern w:val="0"/>
                <w:sz w:val="24"/>
                <w:highlight w:val="none"/>
              </w:rPr>
              <w:t>木垒县</w:t>
            </w:r>
            <w:r>
              <w:rPr>
                <w:rFonts w:hint="eastAsia" w:cs="Times New Roman"/>
                <w:color w:val="auto"/>
                <w:kern w:val="0"/>
                <w:sz w:val="24"/>
                <w:highlight w:val="none"/>
                <w:lang w:val="en-US" w:eastAsia="zh-CN"/>
              </w:rPr>
              <w:t>大石头</w:t>
            </w:r>
            <w:r>
              <w:rPr>
                <w:rFonts w:hint="eastAsia" w:ascii="Times New Roman" w:hAnsi="Times New Roman" w:eastAsia="宋体" w:cs="Times New Roman"/>
                <w:color w:val="auto"/>
                <w:kern w:val="0"/>
                <w:sz w:val="24"/>
                <w:highlight w:val="none"/>
                <w:lang w:eastAsia="zh-CN"/>
              </w:rPr>
              <w:t>风电</w:t>
            </w:r>
            <w:r>
              <w:rPr>
                <w:rFonts w:hint="eastAsia" w:cs="Times New Roman"/>
                <w:color w:val="auto"/>
                <w:kern w:val="0"/>
                <w:sz w:val="24"/>
                <w:highlight w:val="none"/>
                <w:lang w:val="en-US" w:eastAsia="zh-CN"/>
              </w:rPr>
              <w:t>场</w:t>
            </w:r>
            <w:r>
              <w:rPr>
                <w:rFonts w:ascii="Times New Roman" w:hAnsi="Times New Roman" w:eastAsia="宋体" w:cs="Times New Roman"/>
                <w:color w:val="auto"/>
                <w:kern w:val="0"/>
                <w:sz w:val="24"/>
              </w:rPr>
              <w:t>，主要环境保护目标调查如下：</w:t>
            </w:r>
          </w:p>
          <w:p w14:paraId="03593908">
            <w:pPr>
              <w:pStyle w:val="26"/>
              <w:numPr>
                <w:ilvl w:val="0"/>
                <w:numId w:val="3"/>
              </w:numPr>
              <w:spacing w:after="0" w:line="360" w:lineRule="auto"/>
              <w:ind w:left="0" w:leftChars="0" w:firstLine="0" w:firstLineChars="0"/>
              <w:rPr>
                <w:b/>
                <w:bCs/>
                <w:color w:val="auto"/>
                <w:szCs w:val="24"/>
              </w:rPr>
            </w:pPr>
            <w:r>
              <w:rPr>
                <w:b/>
                <w:bCs/>
                <w:color w:val="auto"/>
                <w:szCs w:val="24"/>
              </w:rPr>
              <w:t>大气环境</w:t>
            </w:r>
          </w:p>
          <w:p w14:paraId="3AB9B16B">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color w:val="auto"/>
                <w:szCs w:val="24"/>
              </w:rPr>
            </w:pPr>
            <w:r>
              <w:rPr>
                <w:rFonts w:ascii="Times New Roman" w:hAnsi="Times New Roman" w:eastAsia="宋体" w:cs="Times New Roman"/>
                <w:color w:val="auto"/>
                <w:kern w:val="0"/>
                <w:sz w:val="24"/>
                <w:szCs w:val="24"/>
                <w:lang w:val="en-US" w:eastAsia="zh-CN" w:bidi="ar-SA"/>
              </w:rPr>
              <w:t>厂界外500米范围内无自然保护区、风景名胜区、居住区、文化区和农村地区中人群较集中的区域。</w:t>
            </w:r>
          </w:p>
          <w:p w14:paraId="036A6095">
            <w:pPr>
              <w:pStyle w:val="26"/>
              <w:numPr>
                <w:ilvl w:val="0"/>
                <w:numId w:val="3"/>
              </w:numPr>
              <w:spacing w:after="0" w:line="360" w:lineRule="auto"/>
              <w:ind w:left="0" w:leftChars="0" w:firstLine="0" w:firstLineChars="0"/>
              <w:rPr>
                <w:rFonts w:ascii="Times New Roman" w:hAnsi="Times New Roman" w:eastAsia="宋体" w:cs="Times New Roman"/>
                <w:b/>
                <w:bCs/>
                <w:color w:val="auto"/>
                <w:kern w:val="0"/>
                <w:sz w:val="24"/>
                <w:szCs w:val="24"/>
                <w:lang w:val="en-US" w:eastAsia="zh-CN" w:bidi="ar-SA"/>
              </w:rPr>
            </w:pPr>
            <w:r>
              <w:rPr>
                <w:b/>
                <w:bCs/>
                <w:color w:val="auto"/>
                <w:szCs w:val="21"/>
              </w:rPr>
              <w:t>水环境</w:t>
            </w:r>
          </w:p>
          <w:p w14:paraId="3BDE5F50">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厂界外500米范围内无地下水集中式饮用水水源和热水、矿泉水、温泉等特殊地下水资源</w:t>
            </w:r>
            <w:r>
              <w:rPr>
                <w:rFonts w:hint="eastAsia" w:ascii="Times New Roman" w:hAnsi="Times New Roman" w:eastAsia="宋体" w:cs="Times New Roman"/>
                <w:color w:val="auto"/>
                <w:kern w:val="0"/>
                <w:sz w:val="24"/>
                <w:szCs w:val="24"/>
                <w:lang w:val="en-US" w:eastAsia="zh-CN" w:bidi="ar-SA"/>
              </w:rPr>
              <w:t>。</w:t>
            </w:r>
          </w:p>
          <w:p w14:paraId="1090FE62">
            <w:pPr>
              <w:pStyle w:val="26"/>
              <w:numPr>
                <w:ilvl w:val="0"/>
                <w:numId w:val="3"/>
              </w:numPr>
              <w:spacing w:after="0" w:line="360" w:lineRule="auto"/>
              <w:ind w:left="0" w:leftChars="0" w:firstLine="0" w:firstLineChars="0"/>
              <w:rPr>
                <w:b/>
                <w:bCs/>
                <w:color w:val="auto"/>
                <w:szCs w:val="21"/>
              </w:rPr>
            </w:pPr>
            <w:r>
              <w:rPr>
                <w:b/>
                <w:bCs/>
                <w:color w:val="auto"/>
                <w:szCs w:val="21"/>
              </w:rPr>
              <w:t>声环境</w:t>
            </w:r>
          </w:p>
          <w:p w14:paraId="5EE19065">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厂界内</w:t>
            </w:r>
            <w:r>
              <w:rPr>
                <w:rFonts w:hint="eastAsia" w:cs="Times New Roman"/>
                <w:color w:val="auto"/>
                <w:kern w:val="0"/>
                <w:sz w:val="24"/>
                <w:szCs w:val="24"/>
                <w:lang w:val="en-US" w:eastAsia="zh-CN" w:bidi="ar-SA"/>
              </w:rPr>
              <w:t>50米范围内无声环境保护目标。</w:t>
            </w:r>
          </w:p>
          <w:p w14:paraId="79F1DB40">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ascii="Times New Roman" w:hAnsi="Times New Roman" w:eastAsia="宋体" w:cs="Times New Roman"/>
                <w:b/>
                <w:bCs/>
                <w:color w:val="auto"/>
                <w:kern w:val="0"/>
                <w:sz w:val="24"/>
              </w:rPr>
            </w:pPr>
            <w:r>
              <w:rPr>
                <w:b/>
                <w:bCs/>
                <w:color w:val="auto"/>
                <w:sz w:val="24"/>
                <w:szCs w:val="21"/>
              </w:rPr>
              <w:t>生态环境</w:t>
            </w:r>
          </w:p>
          <w:p w14:paraId="33668F27">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宋体" w:hAnsi="宋体" w:cs="宋体"/>
                <w:color w:val="auto"/>
                <w:kern w:val="0"/>
                <w:szCs w:val="21"/>
              </w:rPr>
            </w:pPr>
            <w:r>
              <w:rPr>
                <w:rFonts w:ascii="Times New Roman" w:hAnsi="Times New Roman" w:eastAsia="宋体" w:cs="Times New Roman"/>
                <w:color w:val="auto"/>
                <w:kern w:val="0"/>
                <w:sz w:val="24"/>
                <w:szCs w:val="24"/>
                <w:lang w:val="en-US" w:eastAsia="zh-CN" w:bidi="ar-SA"/>
              </w:rPr>
              <w:t>项目位于</w:t>
            </w:r>
            <w:r>
              <w:rPr>
                <w:rFonts w:hint="eastAsia" w:ascii="Times New Roman" w:hAnsi="Times New Roman" w:eastAsia="宋体" w:cs="Times New Roman"/>
                <w:color w:val="auto"/>
                <w:kern w:val="0"/>
                <w:sz w:val="24"/>
                <w:szCs w:val="24"/>
                <w:lang w:val="en-US" w:eastAsia="zh-CN" w:bidi="ar-SA"/>
              </w:rPr>
              <w:t>昌吉州木垒县</w:t>
            </w:r>
            <w:r>
              <w:rPr>
                <w:rFonts w:hint="eastAsia" w:cs="Times New Roman"/>
                <w:color w:val="auto"/>
                <w:kern w:val="0"/>
                <w:sz w:val="24"/>
                <w:szCs w:val="24"/>
                <w:lang w:val="en-US" w:eastAsia="zh-CN" w:bidi="ar-SA"/>
              </w:rPr>
              <w:t>大石头</w:t>
            </w:r>
            <w:r>
              <w:rPr>
                <w:rFonts w:hint="eastAsia" w:ascii="Times New Roman" w:hAnsi="Times New Roman" w:eastAsia="宋体" w:cs="Times New Roman"/>
                <w:color w:val="auto"/>
                <w:kern w:val="0"/>
                <w:sz w:val="24"/>
                <w:szCs w:val="24"/>
                <w:lang w:val="en-US" w:eastAsia="zh-CN" w:bidi="ar-SA"/>
              </w:rPr>
              <w:t>风电</w:t>
            </w:r>
            <w:r>
              <w:rPr>
                <w:rFonts w:hint="eastAsia" w:cs="Times New Roman"/>
                <w:color w:val="auto"/>
                <w:kern w:val="0"/>
                <w:sz w:val="24"/>
                <w:szCs w:val="24"/>
                <w:lang w:val="en-US" w:eastAsia="zh-CN" w:bidi="ar-SA"/>
              </w:rPr>
              <w:t>场</w:t>
            </w:r>
            <w:r>
              <w:rPr>
                <w:rFonts w:ascii="Times New Roman" w:hAnsi="Times New Roman" w:eastAsia="宋体"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项目</w:t>
            </w:r>
            <w:r>
              <w:rPr>
                <w:rFonts w:hint="eastAsia" w:cs="Times New Roman"/>
                <w:color w:val="auto"/>
                <w:kern w:val="0"/>
                <w:sz w:val="24"/>
                <w:szCs w:val="24"/>
                <w:highlight w:val="none"/>
                <w:lang w:val="en-US" w:eastAsia="zh-CN" w:bidi="ar-SA"/>
              </w:rPr>
              <w:t>四周均为空地</w:t>
            </w: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选址</w:t>
            </w:r>
            <w:r>
              <w:rPr>
                <w:rFonts w:hint="eastAsia" w:ascii="Times New Roman" w:hAnsi="Times New Roman" w:eastAsia="宋体" w:cs="Times New Roman"/>
                <w:color w:val="auto"/>
                <w:kern w:val="0"/>
                <w:sz w:val="24"/>
                <w:szCs w:val="24"/>
                <w:highlight w:val="none"/>
                <w:lang w:val="en-US" w:eastAsia="zh-CN" w:bidi="ar-SA"/>
              </w:rPr>
              <w:t>所在区域</w:t>
            </w:r>
            <w:r>
              <w:rPr>
                <w:rFonts w:hint="eastAsia" w:cs="Times New Roman"/>
                <w:color w:val="auto"/>
                <w:kern w:val="0"/>
                <w:sz w:val="24"/>
                <w:szCs w:val="24"/>
                <w:highlight w:val="none"/>
                <w:lang w:val="en-US" w:eastAsia="zh-CN" w:bidi="ar-SA"/>
              </w:rPr>
              <w:t>没有</w:t>
            </w:r>
            <w:r>
              <w:rPr>
                <w:rFonts w:hint="eastAsia" w:ascii="Times New Roman" w:hAnsi="Times New Roman" w:eastAsia="宋体" w:cs="Times New Roman"/>
                <w:color w:val="auto"/>
                <w:kern w:val="0"/>
                <w:sz w:val="24"/>
                <w:szCs w:val="24"/>
                <w:highlight w:val="none"/>
                <w:lang w:val="en-US" w:eastAsia="zh-CN" w:bidi="ar-SA"/>
              </w:rPr>
              <w:t>居民区</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保护地</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水源</w:t>
            </w:r>
            <w:r>
              <w:rPr>
                <w:rFonts w:hint="eastAsia" w:cs="Times New Roman"/>
                <w:color w:val="auto"/>
                <w:kern w:val="0"/>
                <w:sz w:val="24"/>
                <w:szCs w:val="24"/>
                <w:highlight w:val="none"/>
                <w:lang w:val="en-US" w:eastAsia="zh-CN" w:bidi="ar-SA"/>
              </w:rPr>
              <w:t>、野生动物、草场</w:t>
            </w:r>
            <w:r>
              <w:rPr>
                <w:rFonts w:hint="eastAsia" w:ascii="Times New Roman" w:hAnsi="Times New Roman" w:eastAsia="宋体" w:cs="Times New Roman"/>
                <w:color w:val="auto"/>
                <w:kern w:val="0"/>
                <w:sz w:val="24"/>
                <w:szCs w:val="24"/>
                <w:highlight w:val="none"/>
                <w:lang w:val="en-US" w:eastAsia="zh-CN" w:bidi="ar-SA"/>
              </w:rPr>
              <w:t>等敏感目标，本项目用地范围内无生态环境保护目标</w:t>
            </w:r>
            <w:r>
              <w:rPr>
                <w:rFonts w:ascii="Times New Roman" w:hAnsi="Times New Roman" w:eastAsia="宋体" w:cs="Times New Roman"/>
                <w:color w:val="auto"/>
                <w:kern w:val="0"/>
                <w:sz w:val="24"/>
                <w:szCs w:val="24"/>
                <w:highlight w:val="none"/>
                <w:lang w:val="en-US" w:eastAsia="zh-CN" w:bidi="ar-SA"/>
              </w:rPr>
              <w:t>。</w:t>
            </w:r>
          </w:p>
        </w:tc>
      </w:tr>
      <w:tr w14:paraId="13631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14:paraId="2E578007">
            <w:pPr>
              <w:adjustRightInd w:val="0"/>
              <w:snapToGrid w:val="0"/>
              <w:jc w:val="center"/>
              <w:rPr>
                <w:rFonts w:ascii="宋体" w:hAnsi="宋体" w:cs="宋体"/>
                <w:color w:val="auto"/>
                <w:kern w:val="0"/>
                <w:szCs w:val="21"/>
              </w:rPr>
            </w:pPr>
            <w:r>
              <w:rPr>
                <w:rFonts w:hint="eastAsia" w:ascii="宋体" w:hAnsi="宋体" w:cs="宋体"/>
                <w:color w:val="auto"/>
                <w:kern w:val="0"/>
                <w:szCs w:val="21"/>
              </w:rPr>
              <w:t>污染</w:t>
            </w:r>
          </w:p>
          <w:p w14:paraId="61F802A6">
            <w:pPr>
              <w:adjustRightInd w:val="0"/>
              <w:snapToGrid w:val="0"/>
              <w:jc w:val="center"/>
              <w:rPr>
                <w:rFonts w:ascii="宋体" w:hAnsi="宋体" w:cs="宋体"/>
                <w:color w:val="auto"/>
                <w:kern w:val="0"/>
                <w:szCs w:val="21"/>
              </w:rPr>
            </w:pPr>
            <w:r>
              <w:rPr>
                <w:rFonts w:hint="eastAsia" w:ascii="宋体" w:hAnsi="宋体" w:cs="宋体"/>
                <w:color w:val="auto"/>
                <w:kern w:val="0"/>
                <w:szCs w:val="21"/>
              </w:rPr>
              <w:t>物排</w:t>
            </w:r>
          </w:p>
          <w:p w14:paraId="168DB123">
            <w:pPr>
              <w:adjustRightInd w:val="0"/>
              <w:snapToGrid w:val="0"/>
              <w:jc w:val="center"/>
              <w:rPr>
                <w:rFonts w:ascii="宋体" w:hAnsi="宋体" w:cs="宋体"/>
                <w:color w:val="auto"/>
                <w:kern w:val="0"/>
                <w:szCs w:val="21"/>
              </w:rPr>
            </w:pPr>
            <w:r>
              <w:rPr>
                <w:rFonts w:hint="eastAsia" w:ascii="宋体" w:hAnsi="宋体" w:cs="宋体"/>
                <w:color w:val="auto"/>
                <w:kern w:val="0"/>
                <w:szCs w:val="21"/>
              </w:rPr>
              <w:t>放控</w:t>
            </w:r>
          </w:p>
          <w:p w14:paraId="6A492E32">
            <w:pPr>
              <w:adjustRightInd w:val="0"/>
              <w:snapToGrid w:val="0"/>
              <w:jc w:val="center"/>
              <w:rPr>
                <w:rFonts w:ascii="宋体" w:hAnsi="宋体" w:cs="宋体"/>
                <w:color w:val="auto"/>
                <w:kern w:val="0"/>
                <w:szCs w:val="21"/>
              </w:rPr>
            </w:pPr>
            <w:r>
              <w:rPr>
                <w:rFonts w:hint="eastAsia" w:ascii="宋体" w:hAnsi="宋体" w:cs="宋体"/>
                <w:color w:val="auto"/>
                <w:kern w:val="0"/>
                <w:szCs w:val="21"/>
              </w:rPr>
              <w:t>制标</w:t>
            </w:r>
          </w:p>
          <w:p w14:paraId="374546DB">
            <w:pPr>
              <w:adjustRightInd w:val="0"/>
              <w:snapToGrid w:val="0"/>
              <w:jc w:val="center"/>
              <w:rPr>
                <w:rFonts w:ascii="宋体" w:hAnsi="宋体" w:cs="宋体"/>
                <w:color w:val="auto"/>
                <w:kern w:val="0"/>
                <w:szCs w:val="21"/>
              </w:rPr>
            </w:pPr>
            <w:r>
              <w:rPr>
                <w:rFonts w:hint="eastAsia" w:ascii="宋体" w:hAnsi="宋体" w:cs="宋体"/>
                <w:color w:val="auto"/>
                <w:kern w:val="0"/>
                <w:szCs w:val="21"/>
              </w:rPr>
              <w:t>准</w:t>
            </w:r>
          </w:p>
        </w:tc>
        <w:tc>
          <w:tcPr>
            <w:tcW w:w="8190" w:type="dxa"/>
            <w:vAlign w:val="center"/>
          </w:tcPr>
          <w:p w14:paraId="39AD7A08">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b/>
                <w:bCs/>
                <w:color w:val="auto"/>
                <w:sz w:val="24"/>
                <w:szCs w:val="24"/>
              </w:rPr>
            </w:pPr>
            <w:r>
              <w:rPr>
                <w:rFonts w:ascii="Times New Roman" w:hAnsi="Times New Roman" w:eastAsia="宋体" w:cs="Times New Roman"/>
                <w:b/>
                <w:bCs/>
                <w:color w:val="auto"/>
                <w:kern w:val="2"/>
                <w:sz w:val="24"/>
                <w:szCs w:val="24"/>
                <w:lang w:val="en-US" w:eastAsia="zh-CN" w:bidi="ar-SA"/>
              </w:rPr>
              <w:t>1.</w:t>
            </w:r>
            <w:r>
              <w:rPr>
                <w:rFonts w:hint="eastAsia"/>
                <w:b/>
                <w:bCs/>
                <w:color w:val="auto"/>
                <w:sz w:val="24"/>
                <w:szCs w:val="24"/>
              </w:rPr>
              <w:t>大气污染物排放标准</w:t>
            </w:r>
          </w:p>
          <w:p w14:paraId="3833B56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本项目运营期大气污染排放标准见表3-</w:t>
            </w:r>
            <w:r>
              <w:rPr>
                <w:rFonts w:hint="eastAsia" w:cs="Times New Roman"/>
                <w:color w:val="auto"/>
                <w:kern w:val="0"/>
                <w:sz w:val="24"/>
                <w:lang w:val="en-US" w:eastAsia="zh-CN"/>
              </w:rPr>
              <w:t>4</w:t>
            </w:r>
            <w:r>
              <w:rPr>
                <w:rFonts w:hint="eastAsia" w:ascii="Times New Roman" w:hAnsi="Times New Roman" w:eastAsia="宋体" w:cs="Times New Roman"/>
                <w:color w:val="auto"/>
                <w:kern w:val="0"/>
                <w:sz w:val="24"/>
              </w:rPr>
              <w:t>。</w:t>
            </w:r>
          </w:p>
          <w:p w14:paraId="03185F9F">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表3-</w:t>
            </w:r>
            <w:r>
              <w:rPr>
                <w:rFonts w:hint="eastAsia" w:cs="Times New Roman"/>
                <w:color w:val="auto"/>
                <w:lang w:val="en-US" w:eastAsia="zh-CN"/>
              </w:rPr>
              <w:t>4</w:t>
            </w:r>
            <w:r>
              <w:rPr>
                <w:rFonts w:hint="eastAsia" w:ascii="Times New Roman" w:hAnsi="Times New Roman" w:eastAsia="宋体" w:cs="Times New Roman"/>
                <w:color w:val="auto"/>
              </w:rPr>
              <w:t xml:space="preserve">    大气污染物排放标准</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1145"/>
              <w:gridCol w:w="1222"/>
              <w:gridCol w:w="3280"/>
              <w:gridCol w:w="1254"/>
            </w:tblGrid>
            <w:tr w14:paraId="5EBD5CD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2" w:type="pct"/>
                  <w:tcBorders>
                    <w:bottom w:val="single" w:color="auto" w:sz="12" w:space="0"/>
                  </w:tcBorders>
                  <w:vAlign w:val="center"/>
                </w:tcPr>
                <w:p w14:paraId="0BAA2B5F">
                  <w:pPr>
                    <w:jc w:val="center"/>
                    <w:rPr>
                      <w:b/>
                      <w:bCs/>
                      <w:color w:val="auto"/>
                      <w:sz w:val="21"/>
                      <w:szCs w:val="21"/>
                    </w:rPr>
                  </w:pPr>
                  <w:r>
                    <w:rPr>
                      <w:rFonts w:hint="eastAsia"/>
                      <w:b/>
                      <w:bCs/>
                      <w:color w:val="auto"/>
                      <w:sz w:val="21"/>
                      <w:szCs w:val="21"/>
                    </w:rPr>
                    <w:t>污染物</w:t>
                  </w:r>
                </w:p>
              </w:tc>
              <w:tc>
                <w:tcPr>
                  <w:tcW w:w="711" w:type="pct"/>
                  <w:tcBorders>
                    <w:bottom w:val="single" w:color="auto" w:sz="12" w:space="0"/>
                  </w:tcBorders>
                  <w:vAlign w:val="center"/>
                </w:tcPr>
                <w:p w14:paraId="04727E87">
                  <w:pPr>
                    <w:jc w:val="center"/>
                    <w:rPr>
                      <w:b/>
                      <w:bCs/>
                      <w:color w:val="auto"/>
                      <w:sz w:val="21"/>
                      <w:szCs w:val="21"/>
                    </w:rPr>
                  </w:pPr>
                  <w:r>
                    <w:rPr>
                      <w:rFonts w:hint="eastAsia"/>
                      <w:b/>
                      <w:bCs/>
                      <w:color w:val="auto"/>
                      <w:sz w:val="21"/>
                      <w:szCs w:val="21"/>
                    </w:rPr>
                    <w:t>排放形式</w:t>
                  </w:r>
                </w:p>
              </w:tc>
              <w:tc>
                <w:tcPr>
                  <w:tcW w:w="759" w:type="pct"/>
                  <w:tcBorders>
                    <w:bottom w:val="single" w:color="auto" w:sz="12" w:space="0"/>
                  </w:tcBorders>
                  <w:vAlign w:val="center"/>
                </w:tcPr>
                <w:p w14:paraId="2C56BDEF">
                  <w:pPr>
                    <w:jc w:val="center"/>
                    <w:rPr>
                      <w:b/>
                      <w:bCs/>
                      <w:color w:val="auto"/>
                      <w:sz w:val="21"/>
                      <w:szCs w:val="21"/>
                    </w:rPr>
                  </w:pPr>
                  <w:r>
                    <w:rPr>
                      <w:rFonts w:hint="eastAsia"/>
                      <w:b/>
                      <w:bCs/>
                      <w:color w:val="auto"/>
                      <w:sz w:val="21"/>
                      <w:szCs w:val="21"/>
                    </w:rPr>
                    <w:t>污染因子</w:t>
                  </w:r>
                </w:p>
              </w:tc>
              <w:tc>
                <w:tcPr>
                  <w:tcW w:w="2037" w:type="pct"/>
                  <w:tcBorders>
                    <w:bottom w:val="single" w:color="auto" w:sz="12" w:space="0"/>
                  </w:tcBorders>
                  <w:vAlign w:val="center"/>
                </w:tcPr>
                <w:p w14:paraId="6DD25FDF">
                  <w:pPr>
                    <w:jc w:val="center"/>
                    <w:rPr>
                      <w:b/>
                      <w:bCs/>
                      <w:color w:val="auto"/>
                      <w:sz w:val="21"/>
                      <w:szCs w:val="21"/>
                    </w:rPr>
                  </w:pPr>
                  <w:r>
                    <w:rPr>
                      <w:rFonts w:hint="eastAsia"/>
                      <w:b/>
                      <w:bCs/>
                      <w:color w:val="auto"/>
                      <w:sz w:val="21"/>
                      <w:szCs w:val="21"/>
                    </w:rPr>
                    <w:t>标准</w:t>
                  </w:r>
                </w:p>
              </w:tc>
              <w:tc>
                <w:tcPr>
                  <w:tcW w:w="779" w:type="pct"/>
                  <w:tcBorders>
                    <w:bottom w:val="single" w:color="auto" w:sz="12" w:space="0"/>
                  </w:tcBorders>
                  <w:vAlign w:val="center"/>
                </w:tcPr>
                <w:p w14:paraId="708378E6">
                  <w:pPr>
                    <w:jc w:val="center"/>
                    <w:rPr>
                      <w:b/>
                      <w:bCs/>
                      <w:color w:val="auto"/>
                      <w:sz w:val="21"/>
                      <w:szCs w:val="21"/>
                    </w:rPr>
                  </w:pPr>
                  <w:r>
                    <w:rPr>
                      <w:rFonts w:hint="eastAsia"/>
                      <w:b/>
                      <w:bCs/>
                      <w:color w:val="auto"/>
                      <w:sz w:val="21"/>
                      <w:szCs w:val="21"/>
                    </w:rPr>
                    <w:t>限值</w:t>
                  </w:r>
                </w:p>
              </w:tc>
            </w:tr>
            <w:tr w14:paraId="41FF055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2" w:type="pct"/>
                  <w:tcBorders>
                    <w:tl2br w:val="nil"/>
                    <w:tr2bl w:val="nil"/>
                  </w:tcBorders>
                  <w:vAlign w:val="center"/>
                </w:tcPr>
                <w:p w14:paraId="454E05DE">
                  <w:pPr>
                    <w:jc w:val="center"/>
                    <w:rPr>
                      <w:color w:val="auto"/>
                      <w:sz w:val="21"/>
                      <w:szCs w:val="21"/>
                    </w:rPr>
                  </w:pPr>
                  <w:r>
                    <w:rPr>
                      <w:rFonts w:hint="eastAsia"/>
                      <w:color w:val="auto"/>
                      <w:sz w:val="21"/>
                      <w:szCs w:val="21"/>
                    </w:rPr>
                    <w:t>食堂废气</w:t>
                  </w:r>
                </w:p>
              </w:tc>
              <w:tc>
                <w:tcPr>
                  <w:tcW w:w="711" w:type="pct"/>
                  <w:tcBorders>
                    <w:tl2br w:val="nil"/>
                    <w:tr2bl w:val="nil"/>
                  </w:tcBorders>
                  <w:vAlign w:val="center"/>
                </w:tcPr>
                <w:p w14:paraId="1B9A8094">
                  <w:pPr>
                    <w:jc w:val="center"/>
                    <w:rPr>
                      <w:color w:val="auto"/>
                      <w:sz w:val="21"/>
                      <w:szCs w:val="21"/>
                    </w:rPr>
                  </w:pPr>
                  <w:r>
                    <w:rPr>
                      <w:rFonts w:hint="eastAsia"/>
                      <w:color w:val="auto"/>
                      <w:sz w:val="21"/>
                      <w:szCs w:val="21"/>
                    </w:rPr>
                    <w:t>有组织</w:t>
                  </w:r>
                </w:p>
              </w:tc>
              <w:tc>
                <w:tcPr>
                  <w:tcW w:w="759" w:type="pct"/>
                  <w:tcBorders>
                    <w:tl2br w:val="nil"/>
                    <w:tr2bl w:val="nil"/>
                  </w:tcBorders>
                  <w:vAlign w:val="center"/>
                </w:tcPr>
                <w:p w14:paraId="2AFC5B54">
                  <w:pPr>
                    <w:jc w:val="center"/>
                    <w:rPr>
                      <w:color w:val="auto"/>
                      <w:sz w:val="21"/>
                      <w:szCs w:val="21"/>
                    </w:rPr>
                  </w:pPr>
                  <w:r>
                    <w:rPr>
                      <w:rFonts w:hint="eastAsia"/>
                      <w:color w:val="auto"/>
                      <w:sz w:val="21"/>
                      <w:szCs w:val="21"/>
                    </w:rPr>
                    <w:t>油烟</w:t>
                  </w:r>
                </w:p>
              </w:tc>
              <w:tc>
                <w:tcPr>
                  <w:tcW w:w="2037" w:type="pct"/>
                  <w:tcBorders>
                    <w:tl2br w:val="nil"/>
                    <w:tr2bl w:val="nil"/>
                  </w:tcBorders>
                </w:tcPr>
                <w:p w14:paraId="54E88C80">
                  <w:pPr>
                    <w:jc w:val="center"/>
                    <w:rPr>
                      <w:rFonts w:hint="eastAsia" w:eastAsia="宋体"/>
                      <w:color w:val="auto"/>
                      <w:sz w:val="21"/>
                      <w:szCs w:val="21"/>
                      <w:lang w:val="en-US" w:eastAsia="zh-CN"/>
                    </w:rPr>
                  </w:pPr>
                  <w:r>
                    <w:rPr>
                      <w:rFonts w:hint="eastAsia"/>
                      <w:color w:val="auto"/>
                      <w:sz w:val="21"/>
                      <w:szCs w:val="21"/>
                      <w:lang w:val="en-US" w:eastAsia="zh-CN"/>
                    </w:rPr>
                    <w:t>/</w:t>
                  </w:r>
                </w:p>
              </w:tc>
              <w:tc>
                <w:tcPr>
                  <w:tcW w:w="779" w:type="pct"/>
                  <w:tcBorders>
                    <w:tl2br w:val="nil"/>
                    <w:tr2bl w:val="nil"/>
                  </w:tcBorders>
                  <w:vAlign w:val="center"/>
                </w:tcPr>
                <w:p w14:paraId="0776B76B">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r>
            <w:tr w14:paraId="26DF02D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2" w:type="pct"/>
                  <w:vMerge w:val="restart"/>
                  <w:tcBorders>
                    <w:tl2br w:val="nil"/>
                    <w:tr2bl w:val="nil"/>
                  </w:tcBorders>
                  <w:vAlign w:val="center"/>
                </w:tcPr>
                <w:p w14:paraId="790A5965">
                  <w:pPr>
                    <w:jc w:val="center"/>
                    <w:rPr>
                      <w:rFonts w:hint="eastAsia" w:eastAsia="宋体"/>
                      <w:color w:val="auto"/>
                      <w:sz w:val="21"/>
                      <w:szCs w:val="21"/>
                      <w:lang w:val="en-US" w:eastAsia="zh-CN"/>
                    </w:rPr>
                  </w:pPr>
                  <w:r>
                    <w:rPr>
                      <w:rFonts w:hint="eastAsia"/>
                      <w:color w:val="auto"/>
                      <w:sz w:val="21"/>
                      <w:szCs w:val="21"/>
                      <w:lang w:val="en-US" w:eastAsia="zh-CN"/>
                    </w:rPr>
                    <w:t>粉尘</w:t>
                  </w:r>
                </w:p>
              </w:tc>
              <w:tc>
                <w:tcPr>
                  <w:tcW w:w="711" w:type="pct"/>
                  <w:tcBorders>
                    <w:tl2br w:val="nil"/>
                    <w:tr2bl w:val="nil"/>
                  </w:tcBorders>
                  <w:vAlign w:val="center"/>
                </w:tcPr>
                <w:p w14:paraId="7DBBC35E">
                  <w:pPr>
                    <w:jc w:val="center"/>
                    <w:rPr>
                      <w:rFonts w:hint="eastAsia" w:eastAsia="宋体"/>
                      <w:color w:val="auto"/>
                      <w:sz w:val="21"/>
                      <w:szCs w:val="21"/>
                      <w:lang w:val="en-US" w:eastAsia="zh-CN"/>
                    </w:rPr>
                  </w:pPr>
                  <w:r>
                    <w:rPr>
                      <w:rFonts w:hint="eastAsia"/>
                      <w:color w:val="auto"/>
                      <w:sz w:val="21"/>
                      <w:szCs w:val="21"/>
                      <w:lang w:val="en-US" w:eastAsia="zh-CN"/>
                    </w:rPr>
                    <w:t>有组织</w:t>
                  </w:r>
                </w:p>
              </w:tc>
              <w:tc>
                <w:tcPr>
                  <w:tcW w:w="759" w:type="pct"/>
                  <w:tcBorders>
                    <w:tl2br w:val="nil"/>
                    <w:tr2bl w:val="nil"/>
                  </w:tcBorders>
                  <w:vAlign w:val="center"/>
                </w:tcPr>
                <w:p w14:paraId="4BEBB314">
                  <w:pPr>
                    <w:jc w:val="center"/>
                    <w:rPr>
                      <w:rFonts w:hint="eastAsia" w:eastAsia="宋体"/>
                      <w:color w:val="auto"/>
                      <w:sz w:val="21"/>
                      <w:szCs w:val="21"/>
                      <w:lang w:val="en-US" w:eastAsia="zh-CN"/>
                    </w:rPr>
                  </w:pPr>
                  <w:r>
                    <w:rPr>
                      <w:rFonts w:hint="eastAsia"/>
                      <w:color w:val="auto"/>
                      <w:sz w:val="21"/>
                      <w:szCs w:val="21"/>
                      <w:lang w:val="en-US" w:eastAsia="zh-CN"/>
                    </w:rPr>
                    <w:t>颗粒物</w:t>
                  </w:r>
                </w:p>
              </w:tc>
              <w:tc>
                <w:tcPr>
                  <w:tcW w:w="2037" w:type="pct"/>
                  <w:tcBorders>
                    <w:tl2br w:val="nil"/>
                    <w:tr2bl w:val="nil"/>
                  </w:tcBorders>
                </w:tcPr>
                <w:p w14:paraId="0B4D18EE">
                  <w:pPr>
                    <w:rPr>
                      <w:rFonts w:hint="eastAsia"/>
                      <w:color w:val="auto"/>
                      <w:sz w:val="21"/>
                      <w:szCs w:val="21"/>
                    </w:rPr>
                  </w:pPr>
                  <w:r>
                    <w:rPr>
                      <w:rFonts w:hint="eastAsia"/>
                      <w:color w:val="auto"/>
                      <w:sz w:val="21"/>
                      <w:szCs w:val="21"/>
                    </w:rPr>
                    <w:t>《水泥工业大气污染物排放标准》（GB4915-2013）表</w:t>
                  </w:r>
                  <w:r>
                    <w:rPr>
                      <w:rFonts w:hint="eastAsia"/>
                      <w:color w:val="auto"/>
                      <w:sz w:val="21"/>
                      <w:szCs w:val="21"/>
                      <w:lang w:val="en-US" w:eastAsia="zh-CN"/>
                    </w:rPr>
                    <w:t>1现有与新建企业大气污染物排放限值</w:t>
                  </w:r>
                </w:p>
              </w:tc>
              <w:tc>
                <w:tcPr>
                  <w:tcW w:w="779" w:type="pct"/>
                  <w:tcBorders>
                    <w:tl2br w:val="nil"/>
                    <w:tr2bl w:val="nil"/>
                  </w:tcBorders>
                  <w:vAlign w:val="center"/>
                </w:tcPr>
                <w:p w14:paraId="51F2F7E1">
                  <w:pPr>
                    <w:jc w:val="center"/>
                    <w:rPr>
                      <w:rFonts w:hint="default" w:eastAsia="宋体"/>
                      <w:color w:val="auto"/>
                      <w:sz w:val="21"/>
                      <w:szCs w:val="21"/>
                      <w:highlight w:val="none"/>
                      <w:vertAlign w:val="superscript"/>
                      <w:lang w:val="en-US" w:eastAsia="zh-CN"/>
                    </w:rPr>
                  </w:pPr>
                  <w:r>
                    <w:rPr>
                      <w:rFonts w:hint="eastAsia"/>
                      <w:color w:val="auto"/>
                      <w:sz w:val="21"/>
                      <w:szCs w:val="21"/>
                      <w:highlight w:val="none"/>
                      <w:lang w:val="en-US" w:eastAsia="zh-CN"/>
                    </w:rPr>
                    <w:t>20mg/m</w:t>
                  </w:r>
                  <w:r>
                    <w:rPr>
                      <w:rFonts w:hint="eastAsia"/>
                      <w:color w:val="auto"/>
                      <w:sz w:val="21"/>
                      <w:szCs w:val="21"/>
                      <w:highlight w:val="none"/>
                      <w:vertAlign w:val="superscript"/>
                      <w:lang w:val="en-US" w:eastAsia="zh-CN"/>
                    </w:rPr>
                    <w:t>3</w:t>
                  </w:r>
                </w:p>
              </w:tc>
            </w:tr>
            <w:tr w14:paraId="55A79D1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2" w:type="pct"/>
                  <w:vMerge w:val="continue"/>
                  <w:tcBorders>
                    <w:tl2br w:val="nil"/>
                    <w:tr2bl w:val="nil"/>
                  </w:tcBorders>
                  <w:vAlign w:val="center"/>
                </w:tcPr>
                <w:p w14:paraId="3AA48DBE">
                  <w:pPr>
                    <w:jc w:val="center"/>
                    <w:rPr>
                      <w:rFonts w:hint="eastAsia" w:eastAsia="宋体"/>
                      <w:color w:val="auto"/>
                      <w:sz w:val="21"/>
                      <w:szCs w:val="21"/>
                      <w:lang w:val="en-US" w:eastAsia="zh-CN"/>
                    </w:rPr>
                  </w:pPr>
                </w:p>
              </w:tc>
              <w:tc>
                <w:tcPr>
                  <w:tcW w:w="711" w:type="pct"/>
                  <w:tcBorders>
                    <w:tl2br w:val="nil"/>
                    <w:tr2bl w:val="nil"/>
                  </w:tcBorders>
                  <w:vAlign w:val="center"/>
                </w:tcPr>
                <w:p w14:paraId="48EBFF49">
                  <w:pPr>
                    <w:jc w:val="center"/>
                    <w:rPr>
                      <w:rFonts w:hint="eastAsia" w:eastAsia="宋体"/>
                      <w:color w:val="auto"/>
                      <w:sz w:val="21"/>
                      <w:szCs w:val="21"/>
                      <w:lang w:val="en-US" w:eastAsia="zh-CN"/>
                    </w:rPr>
                  </w:pPr>
                  <w:r>
                    <w:rPr>
                      <w:rFonts w:hint="eastAsia"/>
                      <w:color w:val="auto"/>
                      <w:sz w:val="21"/>
                      <w:szCs w:val="21"/>
                      <w:lang w:val="en-US" w:eastAsia="zh-CN"/>
                    </w:rPr>
                    <w:t>无组织</w:t>
                  </w:r>
                </w:p>
              </w:tc>
              <w:tc>
                <w:tcPr>
                  <w:tcW w:w="759" w:type="pct"/>
                  <w:tcBorders>
                    <w:tl2br w:val="nil"/>
                    <w:tr2bl w:val="nil"/>
                  </w:tcBorders>
                  <w:vAlign w:val="center"/>
                </w:tcPr>
                <w:p w14:paraId="72626F14">
                  <w:pPr>
                    <w:jc w:val="center"/>
                    <w:rPr>
                      <w:rFonts w:hint="eastAsia" w:eastAsia="宋体"/>
                      <w:color w:val="auto"/>
                      <w:sz w:val="21"/>
                      <w:szCs w:val="21"/>
                      <w:lang w:val="en-US" w:eastAsia="zh-CN"/>
                    </w:rPr>
                  </w:pPr>
                  <w:r>
                    <w:rPr>
                      <w:rFonts w:hint="eastAsia"/>
                      <w:color w:val="auto"/>
                      <w:sz w:val="21"/>
                      <w:szCs w:val="21"/>
                      <w:lang w:val="en-US" w:eastAsia="zh-CN"/>
                    </w:rPr>
                    <w:t>颗粒物</w:t>
                  </w:r>
                </w:p>
              </w:tc>
              <w:tc>
                <w:tcPr>
                  <w:tcW w:w="2037" w:type="pct"/>
                  <w:tcBorders>
                    <w:tl2br w:val="nil"/>
                    <w:tr2bl w:val="nil"/>
                  </w:tcBorders>
                </w:tcPr>
                <w:p w14:paraId="1C34E764">
                  <w:pPr>
                    <w:rPr>
                      <w:rFonts w:hint="eastAsia"/>
                      <w:color w:val="auto"/>
                      <w:sz w:val="21"/>
                      <w:szCs w:val="21"/>
                    </w:rPr>
                  </w:pPr>
                  <w:r>
                    <w:rPr>
                      <w:rFonts w:hint="eastAsia"/>
                      <w:color w:val="auto"/>
                      <w:sz w:val="21"/>
                      <w:szCs w:val="21"/>
                    </w:rPr>
                    <w:t>《水泥工业大气污染物排放标准》（GB4915-2013）表</w:t>
                  </w:r>
                  <w:r>
                    <w:rPr>
                      <w:rFonts w:hint="eastAsia"/>
                      <w:color w:val="auto"/>
                      <w:sz w:val="21"/>
                      <w:szCs w:val="21"/>
                      <w:lang w:val="en-US" w:eastAsia="zh-CN"/>
                    </w:rPr>
                    <w:t>3</w:t>
                  </w:r>
                  <w:r>
                    <w:rPr>
                      <w:rFonts w:hint="eastAsia"/>
                      <w:color w:val="auto"/>
                      <w:sz w:val="21"/>
                      <w:szCs w:val="21"/>
                    </w:rPr>
                    <w:t>大气污染物</w:t>
                  </w:r>
                  <w:r>
                    <w:rPr>
                      <w:rFonts w:hint="eastAsia"/>
                      <w:color w:val="auto"/>
                      <w:sz w:val="21"/>
                      <w:szCs w:val="21"/>
                      <w:lang w:val="en-US" w:eastAsia="zh-CN"/>
                    </w:rPr>
                    <w:t>无组织</w:t>
                  </w:r>
                  <w:r>
                    <w:rPr>
                      <w:rFonts w:hint="eastAsia"/>
                      <w:color w:val="auto"/>
                      <w:sz w:val="21"/>
                      <w:szCs w:val="21"/>
                    </w:rPr>
                    <w:t>排放限值</w:t>
                  </w:r>
                </w:p>
              </w:tc>
              <w:tc>
                <w:tcPr>
                  <w:tcW w:w="779" w:type="pct"/>
                  <w:tcBorders>
                    <w:tl2br w:val="nil"/>
                    <w:tr2bl w:val="nil"/>
                  </w:tcBorders>
                  <w:vAlign w:val="center"/>
                </w:tcPr>
                <w:p w14:paraId="1E918B9B">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0.5mg/m³</w:t>
                  </w:r>
                </w:p>
              </w:tc>
            </w:tr>
          </w:tbl>
          <w:p w14:paraId="1D9A6957">
            <w:pPr>
              <w:pStyle w:val="26"/>
              <w:spacing w:line="360" w:lineRule="auto"/>
              <w:ind w:left="0" w:leftChars="0" w:firstLine="420" w:firstLineChars="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其</w:t>
            </w:r>
            <w:r>
              <w:rPr>
                <w:rFonts w:hint="eastAsia" w:ascii="Times New Roman" w:hAnsi="Times New Roman" w:eastAsia="宋体" w:cs="Times New Roman"/>
                <w:color w:val="auto"/>
                <w:sz w:val="24"/>
                <w:szCs w:val="24"/>
                <w:vertAlign w:val="baseline"/>
                <w:lang w:val="en-US" w:eastAsia="zh-CN"/>
              </w:rPr>
              <w:t>中《水泥工业大气污染物排放标准》（GB4915-2013）表3大气污染物无组织排放限值0.5mg/m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，限值含义：监控点与参照点总悬浮颗粒物（TSP）1小时浓度值的差值。无组织排放监控位置：厂界外20m处上风向设参照点，下风向设监控点。</w:t>
            </w:r>
          </w:p>
          <w:p w14:paraId="4B0FBCC1">
            <w:pPr>
              <w:pStyle w:val="55"/>
              <w:numPr>
                <w:ilvl w:val="0"/>
                <w:numId w:val="4"/>
              </w:numPr>
              <w:spacing w:line="360" w:lineRule="auto"/>
              <w:rPr>
                <w:b/>
                <w:bCs/>
                <w:color w:val="auto"/>
                <w:highlight w:val="none"/>
              </w:rPr>
            </w:pPr>
            <w:r>
              <w:rPr>
                <w:rFonts w:hint="eastAsia"/>
                <w:b/>
                <w:bCs/>
                <w:color w:val="auto"/>
                <w:highlight w:val="none"/>
              </w:rPr>
              <w:t>废水排放标准</w:t>
            </w:r>
          </w:p>
          <w:p w14:paraId="0344B8D6">
            <w:pPr>
              <w:pStyle w:val="5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本项目废水执行《</w:t>
            </w:r>
            <w:r>
              <w:rPr>
                <w:rFonts w:hint="eastAsia" w:cs="Times New Roman"/>
                <w:color w:val="auto"/>
                <w:kern w:val="0"/>
                <w:sz w:val="24"/>
                <w:szCs w:val="24"/>
                <w:highlight w:val="none"/>
                <w:lang w:val="en-US" w:eastAsia="zh-CN" w:bidi="ar-SA"/>
              </w:rPr>
              <w:t>农村生活污水处理排放标准</w:t>
            </w:r>
            <w:r>
              <w:rPr>
                <w:rFonts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DB65/4275-2019</w:t>
            </w:r>
            <w:r>
              <w:rPr>
                <w:rFonts w:ascii="Times New Roman" w:hAnsi="Times New Roman" w:eastAsia="宋体" w:cs="Times New Roman"/>
                <w:color w:val="auto"/>
                <w:kern w:val="0"/>
                <w:sz w:val="24"/>
                <w:szCs w:val="24"/>
                <w:highlight w:val="none"/>
                <w:lang w:val="en-US" w:eastAsia="zh-CN" w:bidi="ar-SA"/>
              </w:rPr>
              <w:t>）表</w:t>
            </w:r>
            <w:r>
              <w:rPr>
                <w:rFonts w:hint="eastAsia" w:cs="Times New Roman"/>
                <w:color w:val="auto"/>
                <w:kern w:val="0"/>
                <w:sz w:val="24"/>
                <w:szCs w:val="24"/>
                <w:highlight w:val="none"/>
                <w:lang w:val="en-US" w:eastAsia="zh-CN" w:bidi="ar-SA"/>
              </w:rPr>
              <w:t>2</w:t>
            </w:r>
            <w:r>
              <w:rPr>
                <w:rFonts w:ascii="Times New Roman" w:hAnsi="Times New Roman" w:eastAsia="宋体" w:cs="Times New Roman"/>
                <w:color w:val="auto"/>
                <w:kern w:val="0"/>
                <w:sz w:val="24"/>
                <w:szCs w:val="24"/>
                <w:highlight w:val="none"/>
                <w:lang w:val="en-US" w:eastAsia="zh-CN" w:bidi="ar-SA"/>
              </w:rPr>
              <w:t>中</w:t>
            </w:r>
            <w:r>
              <w:rPr>
                <w:rFonts w:hint="eastAsia" w:cs="Times New Roman"/>
                <w:color w:val="auto"/>
                <w:kern w:val="0"/>
                <w:sz w:val="24"/>
                <w:szCs w:val="24"/>
                <w:highlight w:val="none"/>
                <w:lang w:val="en-US" w:eastAsia="zh-CN" w:bidi="ar-SA"/>
              </w:rPr>
              <w:t>C级标准</w:t>
            </w:r>
            <w:r>
              <w:rPr>
                <w:rFonts w:hint="eastAsia" w:ascii="Times New Roman" w:hAnsi="Times New Roman" w:eastAsia="宋体" w:cs="Times New Roman"/>
                <w:color w:val="auto"/>
                <w:kern w:val="0"/>
                <w:sz w:val="24"/>
                <w:szCs w:val="24"/>
                <w:highlight w:val="none"/>
                <w:lang w:val="en-US" w:eastAsia="zh-CN" w:bidi="ar-SA"/>
              </w:rPr>
              <w:t>，具体标准见下表3-</w:t>
            </w:r>
            <w:r>
              <w:rPr>
                <w:rFonts w:hint="eastAsia" w:cs="Times New Roman"/>
                <w:color w:val="auto"/>
                <w:kern w:val="0"/>
                <w:sz w:val="24"/>
                <w:szCs w:val="24"/>
                <w:highlight w:val="none"/>
                <w:lang w:val="en-US" w:eastAsia="zh-CN" w:bidi="ar-SA"/>
              </w:rPr>
              <w:t>5</w:t>
            </w:r>
            <w:r>
              <w:rPr>
                <w:rFonts w:hint="eastAsia" w:ascii="Times New Roman" w:hAnsi="Times New Roman" w:eastAsia="宋体" w:cs="Times New Roman"/>
                <w:color w:val="auto"/>
                <w:kern w:val="0"/>
                <w:sz w:val="24"/>
                <w:szCs w:val="24"/>
                <w:highlight w:val="none"/>
                <w:lang w:val="en-US" w:eastAsia="zh-CN" w:bidi="ar-SA"/>
              </w:rPr>
              <w:t>。</w:t>
            </w:r>
          </w:p>
          <w:p w14:paraId="2BFDF7C7">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表3-</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rPr>
              <w:t xml:space="preserve">    </w:t>
            </w:r>
            <w:r>
              <w:rPr>
                <w:rFonts w:hint="eastAsia" w:cs="Times New Roman"/>
                <w:color w:val="auto"/>
                <w:highlight w:val="none"/>
                <w:lang w:val="en-US" w:eastAsia="zh-CN"/>
              </w:rPr>
              <w:t>农村生活污水处理设施出水用于生态恢复的污染物排放限值（日均值）</w:t>
            </w:r>
          </w:p>
          <w:tbl>
            <w:tblPr>
              <w:tblStyle w:val="28"/>
              <w:tblW w:w="4985"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437"/>
              <w:gridCol w:w="1444"/>
              <w:gridCol w:w="1534"/>
              <w:gridCol w:w="1611"/>
            </w:tblGrid>
            <w:tr w14:paraId="028A50F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141" w:type="pct"/>
                  <w:tcBorders>
                    <w:bottom w:val="single" w:color="auto" w:sz="12" w:space="0"/>
                  </w:tcBorders>
                  <w:vAlign w:val="center"/>
                </w:tcPr>
                <w:p w14:paraId="4AEFA01D">
                  <w:pPr>
                    <w:pStyle w:val="23"/>
                    <w:spacing w:line="240" w:lineRule="auto"/>
                    <w:jc w:val="center"/>
                    <w:rPr>
                      <w:b/>
                      <w:bCs/>
                      <w:color w:val="auto"/>
                      <w:sz w:val="21"/>
                      <w:szCs w:val="21"/>
                      <w:highlight w:val="none"/>
                    </w:rPr>
                  </w:pPr>
                  <w:r>
                    <w:rPr>
                      <w:b/>
                      <w:bCs/>
                      <w:color w:val="auto"/>
                      <w:sz w:val="21"/>
                      <w:szCs w:val="21"/>
                      <w:highlight w:val="none"/>
                    </w:rPr>
                    <w:t>标准来源</w:t>
                  </w:r>
                </w:p>
              </w:tc>
              <w:tc>
                <w:tcPr>
                  <w:tcW w:w="899" w:type="pct"/>
                  <w:tcBorders>
                    <w:bottom w:val="single" w:color="auto" w:sz="12" w:space="0"/>
                  </w:tcBorders>
                  <w:vAlign w:val="center"/>
                </w:tcPr>
                <w:p w14:paraId="6DEA3723">
                  <w:pPr>
                    <w:pStyle w:val="23"/>
                    <w:spacing w:line="240" w:lineRule="auto"/>
                    <w:jc w:val="center"/>
                    <w:rPr>
                      <w:b/>
                      <w:bCs/>
                      <w:color w:val="auto"/>
                      <w:sz w:val="21"/>
                      <w:szCs w:val="21"/>
                      <w:highlight w:val="none"/>
                    </w:rPr>
                  </w:pPr>
                  <w:r>
                    <w:rPr>
                      <w:b/>
                      <w:bCs/>
                      <w:color w:val="auto"/>
                      <w:sz w:val="21"/>
                      <w:szCs w:val="21"/>
                      <w:highlight w:val="none"/>
                    </w:rPr>
                    <w:t>pH</w:t>
                  </w:r>
                </w:p>
              </w:tc>
              <w:tc>
                <w:tcPr>
                  <w:tcW w:w="955" w:type="pct"/>
                  <w:tcBorders>
                    <w:bottom w:val="single" w:color="auto" w:sz="12" w:space="0"/>
                  </w:tcBorders>
                  <w:vAlign w:val="center"/>
                </w:tcPr>
                <w:p w14:paraId="6A1F2FFB">
                  <w:pPr>
                    <w:pStyle w:val="23"/>
                    <w:spacing w:line="240" w:lineRule="auto"/>
                    <w:jc w:val="center"/>
                    <w:rPr>
                      <w:rFonts w:hint="default" w:eastAsia="宋体"/>
                      <w:b/>
                      <w:bCs/>
                      <w:color w:val="auto"/>
                      <w:sz w:val="21"/>
                      <w:szCs w:val="21"/>
                      <w:highlight w:val="none"/>
                      <w:vertAlign w:val="baseline"/>
                      <w:lang w:val="en-US" w:eastAsia="zh-CN"/>
                    </w:rPr>
                  </w:pPr>
                  <w:r>
                    <w:rPr>
                      <w:rFonts w:hint="eastAsia"/>
                      <w:b/>
                      <w:bCs/>
                      <w:color w:val="auto"/>
                      <w:sz w:val="21"/>
                      <w:szCs w:val="21"/>
                      <w:highlight w:val="none"/>
                      <w:lang w:val="en-US" w:eastAsia="zh-CN"/>
                    </w:rPr>
                    <w:t>COD</w:t>
                  </w:r>
                  <w:r>
                    <w:rPr>
                      <w:rFonts w:hint="eastAsia"/>
                      <w:b/>
                      <w:bCs/>
                      <w:color w:val="auto"/>
                      <w:sz w:val="21"/>
                      <w:szCs w:val="21"/>
                      <w:highlight w:val="none"/>
                      <w:vertAlign w:val="subscript"/>
                      <w:lang w:val="en-US" w:eastAsia="zh-CN"/>
                    </w:rPr>
                    <w:t>Cr</w:t>
                  </w:r>
                </w:p>
              </w:tc>
              <w:tc>
                <w:tcPr>
                  <w:tcW w:w="1003" w:type="pct"/>
                  <w:tcBorders>
                    <w:bottom w:val="single" w:color="auto" w:sz="12" w:space="0"/>
                  </w:tcBorders>
                  <w:vAlign w:val="center"/>
                </w:tcPr>
                <w:p w14:paraId="28D9A11D">
                  <w:pPr>
                    <w:pStyle w:val="23"/>
                    <w:spacing w:line="240" w:lineRule="auto"/>
                    <w:jc w:val="center"/>
                    <w:rPr>
                      <w:b/>
                      <w:bCs/>
                      <w:color w:val="auto"/>
                      <w:sz w:val="21"/>
                      <w:szCs w:val="21"/>
                      <w:highlight w:val="none"/>
                    </w:rPr>
                  </w:pPr>
                  <w:r>
                    <w:rPr>
                      <w:b/>
                      <w:bCs/>
                      <w:color w:val="auto"/>
                      <w:sz w:val="21"/>
                      <w:szCs w:val="21"/>
                      <w:highlight w:val="none"/>
                    </w:rPr>
                    <w:t>SS</w:t>
                  </w:r>
                </w:p>
              </w:tc>
            </w:tr>
            <w:tr w14:paraId="52D54F8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141" w:type="pct"/>
                  <w:tcBorders>
                    <w:top w:val="single" w:color="auto" w:sz="12" w:space="0"/>
                    <w:tl2br w:val="nil"/>
                    <w:tr2bl w:val="nil"/>
                  </w:tcBorders>
                  <w:vAlign w:val="center"/>
                </w:tcPr>
                <w:p w14:paraId="0585374E">
                  <w:pPr>
                    <w:pStyle w:val="23"/>
                    <w:spacing w:line="240" w:lineRule="auto"/>
                    <w:jc w:val="center"/>
                    <w:rPr>
                      <w:color w:val="auto"/>
                      <w:sz w:val="21"/>
                      <w:szCs w:val="21"/>
                      <w:highlight w:val="none"/>
                    </w:rPr>
                  </w:pPr>
                  <w:r>
                    <w:rPr>
                      <w:rFonts w:hint="eastAsia"/>
                      <w:color w:val="auto"/>
                      <w:sz w:val="21"/>
                      <w:szCs w:val="21"/>
                      <w:highlight w:val="none"/>
                      <w:lang w:val="en-US" w:eastAsia="zh-CN"/>
                    </w:rPr>
                    <w:t>（DB65/4275-2019）</w:t>
                  </w:r>
                </w:p>
              </w:tc>
              <w:tc>
                <w:tcPr>
                  <w:tcW w:w="899" w:type="pct"/>
                  <w:tcBorders>
                    <w:top w:val="single" w:color="auto" w:sz="12" w:space="0"/>
                    <w:tl2br w:val="nil"/>
                    <w:tr2bl w:val="nil"/>
                  </w:tcBorders>
                  <w:vAlign w:val="center"/>
                </w:tcPr>
                <w:p w14:paraId="381A8EA4">
                  <w:pPr>
                    <w:pStyle w:val="23"/>
                    <w:spacing w:line="240" w:lineRule="auto"/>
                    <w:jc w:val="center"/>
                    <w:rPr>
                      <w:color w:val="auto"/>
                      <w:sz w:val="21"/>
                      <w:szCs w:val="21"/>
                      <w:highlight w:val="none"/>
                    </w:rPr>
                  </w:pPr>
                  <w:r>
                    <w:rPr>
                      <w:color w:val="auto"/>
                      <w:sz w:val="21"/>
                      <w:szCs w:val="21"/>
                      <w:highlight w:val="none"/>
                    </w:rPr>
                    <w:t>6～9</w:t>
                  </w:r>
                </w:p>
              </w:tc>
              <w:tc>
                <w:tcPr>
                  <w:tcW w:w="955" w:type="pct"/>
                  <w:tcBorders>
                    <w:top w:val="single" w:color="auto" w:sz="12" w:space="0"/>
                    <w:tl2br w:val="nil"/>
                    <w:tr2bl w:val="nil"/>
                  </w:tcBorders>
                  <w:vAlign w:val="center"/>
                </w:tcPr>
                <w:p w14:paraId="2ED6A88A">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200mg/L</w:t>
                  </w:r>
                </w:p>
              </w:tc>
              <w:tc>
                <w:tcPr>
                  <w:tcW w:w="1003" w:type="pct"/>
                  <w:tcBorders>
                    <w:top w:val="single" w:color="auto" w:sz="12" w:space="0"/>
                    <w:tl2br w:val="nil"/>
                    <w:tr2bl w:val="nil"/>
                  </w:tcBorders>
                  <w:vAlign w:val="center"/>
                </w:tcPr>
                <w:p w14:paraId="64DCCD04">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100mg/L</w:t>
                  </w:r>
                </w:p>
              </w:tc>
            </w:tr>
          </w:tbl>
          <w:p w14:paraId="3CF4BF11">
            <w:pPr>
              <w:pStyle w:val="23"/>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rPr>
                <w:b/>
                <w:bCs/>
                <w:color w:val="auto"/>
                <w:sz w:val="24"/>
              </w:rPr>
            </w:pPr>
            <w:r>
              <w:rPr>
                <w:rFonts w:hint="eastAsia"/>
                <w:b/>
                <w:bCs/>
                <w:color w:val="auto"/>
                <w:sz w:val="24"/>
              </w:rPr>
              <w:t>噪声排放标准</w:t>
            </w:r>
          </w:p>
          <w:p w14:paraId="79C34DF7">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highlight w:val="yellow"/>
              </w:rPr>
            </w:pPr>
            <w:r>
              <w:rPr>
                <w:rFonts w:hint="eastAsia" w:ascii="Times New Roman" w:hAnsi="Times New Roman" w:eastAsia="宋体" w:cs="Times New Roman"/>
                <w:color w:val="auto"/>
                <w:kern w:val="0"/>
                <w:sz w:val="24"/>
              </w:rPr>
              <w:t>本项目</w:t>
            </w:r>
            <w:r>
              <w:rPr>
                <w:rFonts w:ascii="Times New Roman" w:hAnsi="Times New Roman" w:eastAsia="宋体" w:cs="Times New Roman"/>
                <w:color w:val="auto"/>
                <w:kern w:val="0"/>
                <w:sz w:val="24"/>
              </w:rPr>
              <w:t>施工期</w:t>
            </w:r>
            <w:r>
              <w:rPr>
                <w:rFonts w:ascii="Times New Roman" w:hAnsi="Times New Roman" w:eastAsia="宋体" w:cs="Times New Roman"/>
                <w:color w:val="auto"/>
                <w:kern w:val="0"/>
                <w:sz w:val="24"/>
                <w:highlight w:val="none"/>
              </w:rPr>
              <w:t>执行《建筑施工场界环境噪声排放标准》（GB12523-2011）标准，</w:t>
            </w:r>
            <w:r>
              <w:rPr>
                <w:rFonts w:hint="eastAsia" w:ascii="Times New Roman" w:hAnsi="Times New Roman" w:eastAsia="宋体" w:cs="Times New Roman"/>
                <w:color w:val="auto"/>
                <w:kern w:val="0"/>
                <w:sz w:val="24"/>
                <w:highlight w:val="none"/>
              </w:rPr>
              <w:t>详见表3-</w:t>
            </w:r>
            <w:r>
              <w:rPr>
                <w:rFonts w:hint="eastAsia" w:cs="Times New Roman"/>
                <w:color w:val="auto"/>
                <w:kern w:val="0"/>
                <w:sz w:val="24"/>
                <w:highlight w:val="none"/>
                <w:lang w:val="en-US" w:eastAsia="zh-CN"/>
              </w:rPr>
              <w:t>6（1）</w:t>
            </w:r>
            <w:r>
              <w:rPr>
                <w:rFonts w:hint="eastAsia" w:ascii="Times New Roman" w:hAnsi="Times New Roman" w:eastAsia="宋体" w:cs="Times New Roman"/>
                <w:color w:val="auto"/>
                <w:kern w:val="0"/>
                <w:sz w:val="24"/>
                <w:highlight w:val="none"/>
              </w:rPr>
              <w:t>；</w:t>
            </w:r>
            <w:r>
              <w:rPr>
                <w:rFonts w:ascii="Times New Roman" w:hAnsi="Times New Roman" w:eastAsia="宋体" w:cs="Times New Roman"/>
                <w:color w:val="auto"/>
                <w:kern w:val="0"/>
                <w:sz w:val="24"/>
                <w:highlight w:val="none"/>
              </w:rPr>
              <w:t>运营期厂界噪声执行《工业企业厂界环境噪声排放标准</w:t>
            </w:r>
            <w:r>
              <w:rPr>
                <w:rFonts w:hint="eastAsia" w:ascii="Times New Roman" w:hAnsi="Times New Roman" w:eastAsia="宋体" w:cs="Times New Roman"/>
                <w:color w:val="auto"/>
                <w:kern w:val="0"/>
                <w:sz w:val="24"/>
                <w:highlight w:val="none"/>
              </w:rPr>
              <w:t>》</w:t>
            </w:r>
            <w:r>
              <w:rPr>
                <w:rFonts w:ascii="Times New Roman" w:hAnsi="Times New Roman" w:eastAsia="宋体" w:cs="Times New Roman"/>
                <w:color w:val="auto"/>
                <w:kern w:val="0"/>
                <w:sz w:val="24"/>
                <w:highlight w:val="none"/>
              </w:rPr>
              <w:t>（GB12348-2008）中</w:t>
            </w:r>
            <w:r>
              <w:rPr>
                <w:rFonts w:hint="eastAsia" w:cs="Times New Roman"/>
                <w:color w:val="auto"/>
                <w:kern w:val="0"/>
                <w:sz w:val="24"/>
                <w:highlight w:val="none"/>
                <w:lang w:val="en-US" w:eastAsia="zh-CN"/>
              </w:rPr>
              <w:t>2</w:t>
            </w:r>
            <w:r>
              <w:rPr>
                <w:rFonts w:ascii="Times New Roman" w:hAnsi="Times New Roman" w:eastAsia="宋体" w:cs="Times New Roman"/>
                <w:color w:val="auto"/>
                <w:kern w:val="0"/>
                <w:sz w:val="24"/>
                <w:highlight w:val="none"/>
              </w:rPr>
              <w:t>类标准</w:t>
            </w:r>
            <w:r>
              <w:rPr>
                <w:rFonts w:hint="eastAsia" w:ascii="Times New Roman" w:hAnsi="Times New Roman" w:eastAsia="宋体" w:cs="Times New Roman"/>
                <w:color w:val="auto"/>
                <w:kern w:val="0"/>
                <w:sz w:val="24"/>
                <w:highlight w:val="none"/>
              </w:rPr>
              <w:t>，见表3-6</w:t>
            </w:r>
            <w:r>
              <w:rPr>
                <w:rFonts w:hint="eastAsia" w:cs="Times New Roman"/>
                <w:color w:val="auto"/>
                <w:kern w:val="0"/>
                <w:sz w:val="24"/>
                <w:highlight w:val="none"/>
                <w:lang w:eastAsia="zh-CN"/>
              </w:rPr>
              <w:t>（</w:t>
            </w:r>
            <w:r>
              <w:rPr>
                <w:rFonts w:hint="eastAsia" w:cs="Times New Roman"/>
                <w:color w:val="auto"/>
                <w:kern w:val="0"/>
                <w:sz w:val="24"/>
                <w:highlight w:val="none"/>
                <w:lang w:val="en-US" w:eastAsia="zh-CN"/>
              </w:rPr>
              <w:t>2</w:t>
            </w:r>
            <w:r>
              <w:rPr>
                <w:rFonts w:hint="eastAsia"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rPr>
              <w:t>。</w:t>
            </w:r>
          </w:p>
          <w:p w14:paraId="362D1F54">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表3-</w:t>
            </w:r>
            <w:r>
              <w:rPr>
                <w:rFonts w:hint="eastAsia" w:cs="Times New Roman"/>
                <w:color w:val="auto"/>
                <w:lang w:val="en-US" w:eastAsia="zh-CN"/>
              </w:rPr>
              <w:t>6</w:t>
            </w:r>
            <w:r>
              <w:rPr>
                <w:rFonts w:hint="eastAsia" w:ascii="Times New Roman" w:hAnsi="Times New Roman" w:eastAsia="宋体" w:cs="Times New Roman"/>
                <w:color w:val="auto"/>
              </w:rPr>
              <w:t xml:space="preserve"> </w:t>
            </w:r>
            <w:r>
              <w:rPr>
                <w:rFonts w:hint="eastAsia" w:cs="Times New Roman"/>
                <w:color w:val="auto"/>
                <w:lang w:eastAsia="zh-CN"/>
              </w:rPr>
              <w:t>（</w:t>
            </w:r>
            <w:r>
              <w:rPr>
                <w:rFonts w:hint="eastAsia" w:cs="Times New Roman"/>
                <w:color w:val="auto"/>
                <w:lang w:val="en-US" w:eastAsia="zh-CN"/>
              </w:rPr>
              <w:t>1</w:t>
            </w:r>
            <w:r>
              <w:rPr>
                <w:rFonts w:hint="eastAsia" w:cs="Times New Roman"/>
                <w:color w:val="auto"/>
                <w:lang w:eastAsia="zh-CN"/>
              </w:rPr>
              <w:t>）</w:t>
            </w:r>
            <w:r>
              <w:rPr>
                <w:rFonts w:hint="eastAsia" w:ascii="Times New Roman" w:hAnsi="Times New Roman" w:eastAsia="宋体" w:cs="Times New Roman"/>
                <w:color w:val="auto"/>
              </w:rPr>
              <w:t xml:space="preserve">   建筑施工场界环境噪声排放限值</w:t>
            </w:r>
          </w:p>
          <w:tbl>
            <w:tblPr>
              <w:tblStyle w:val="27"/>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2209"/>
              <w:gridCol w:w="1892"/>
              <w:gridCol w:w="3949"/>
            </w:tblGrid>
            <w:tr w14:paraId="7B6B596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2547" w:type="pct"/>
                  <w:gridSpan w:val="2"/>
                  <w:vAlign w:val="center"/>
                </w:tcPr>
                <w:p w14:paraId="79D25B56">
                  <w:pPr>
                    <w:widowControl/>
                    <w:adjustRightInd w:val="0"/>
                    <w:snapToGrid w:val="0"/>
                    <w:jc w:val="center"/>
                    <w:rPr>
                      <w:b/>
                      <w:bCs/>
                      <w:color w:val="auto"/>
                      <w:sz w:val="21"/>
                      <w:szCs w:val="21"/>
                    </w:rPr>
                  </w:pPr>
                  <w:r>
                    <w:rPr>
                      <w:rFonts w:hint="eastAsia" w:hAnsi="宋体"/>
                      <w:b/>
                      <w:bCs/>
                      <w:color w:val="auto"/>
                      <w:sz w:val="21"/>
                      <w:szCs w:val="21"/>
                    </w:rPr>
                    <w:t>噪声排放限值</w:t>
                  </w:r>
                  <w:r>
                    <w:rPr>
                      <w:b/>
                      <w:bCs/>
                      <w:color w:val="auto"/>
                      <w:sz w:val="21"/>
                      <w:szCs w:val="21"/>
                    </w:rPr>
                    <w:t>dB</w:t>
                  </w:r>
                  <w:r>
                    <w:rPr>
                      <w:rFonts w:hint="eastAsia" w:hAnsi="宋体"/>
                      <w:b/>
                      <w:bCs/>
                      <w:color w:val="auto"/>
                      <w:sz w:val="21"/>
                      <w:szCs w:val="21"/>
                    </w:rPr>
                    <w:t>（</w:t>
                  </w:r>
                  <w:r>
                    <w:rPr>
                      <w:b/>
                      <w:bCs/>
                      <w:color w:val="auto"/>
                      <w:sz w:val="21"/>
                      <w:szCs w:val="21"/>
                    </w:rPr>
                    <w:t>A</w:t>
                  </w:r>
                  <w:r>
                    <w:rPr>
                      <w:rFonts w:hint="eastAsia" w:hAnsi="宋体"/>
                      <w:b/>
                      <w:bCs/>
                      <w:color w:val="auto"/>
                      <w:sz w:val="21"/>
                      <w:szCs w:val="21"/>
                    </w:rPr>
                    <w:t>）</w:t>
                  </w:r>
                </w:p>
              </w:tc>
              <w:tc>
                <w:tcPr>
                  <w:tcW w:w="2452" w:type="pct"/>
                  <w:vMerge w:val="restart"/>
                  <w:vAlign w:val="center"/>
                </w:tcPr>
                <w:p w14:paraId="2231885F">
                  <w:pPr>
                    <w:widowControl/>
                    <w:adjustRightInd w:val="0"/>
                    <w:snapToGrid w:val="0"/>
                    <w:jc w:val="center"/>
                    <w:rPr>
                      <w:b/>
                      <w:bCs/>
                      <w:color w:val="auto"/>
                      <w:sz w:val="21"/>
                      <w:szCs w:val="21"/>
                    </w:rPr>
                  </w:pPr>
                  <w:r>
                    <w:rPr>
                      <w:rFonts w:hint="eastAsia" w:hAnsi="宋体"/>
                      <w:b/>
                      <w:bCs/>
                      <w:color w:val="auto"/>
                      <w:sz w:val="21"/>
                      <w:szCs w:val="21"/>
                    </w:rPr>
                    <w:t>标准来源</w:t>
                  </w:r>
                </w:p>
              </w:tc>
            </w:tr>
            <w:tr w14:paraId="5117F5B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1372" w:type="pct"/>
                  <w:tcBorders>
                    <w:bottom w:val="single" w:color="000000" w:sz="12" w:space="0"/>
                  </w:tcBorders>
                  <w:vAlign w:val="center"/>
                </w:tcPr>
                <w:p w14:paraId="419BAA1C">
                  <w:pPr>
                    <w:widowControl/>
                    <w:adjustRightInd w:val="0"/>
                    <w:snapToGrid w:val="0"/>
                    <w:jc w:val="center"/>
                    <w:rPr>
                      <w:b/>
                      <w:bCs/>
                      <w:color w:val="auto"/>
                      <w:sz w:val="21"/>
                      <w:szCs w:val="21"/>
                    </w:rPr>
                  </w:pPr>
                  <w:r>
                    <w:rPr>
                      <w:rFonts w:hint="eastAsia" w:hAnsi="宋体"/>
                      <w:b/>
                      <w:bCs/>
                      <w:color w:val="auto"/>
                      <w:sz w:val="21"/>
                      <w:szCs w:val="21"/>
                    </w:rPr>
                    <w:t>昼间</w:t>
                  </w:r>
                </w:p>
              </w:tc>
              <w:tc>
                <w:tcPr>
                  <w:tcW w:w="1175" w:type="pct"/>
                  <w:tcBorders>
                    <w:bottom w:val="single" w:color="000000" w:sz="12" w:space="0"/>
                  </w:tcBorders>
                  <w:vAlign w:val="center"/>
                </w:tcPr>
                <w:p w14:paraId="76452A28">
                  <w:pPr>
                    <w:widowControl/>
                    <w:adjustRightInd w:val="0"/>
                    <w:snapToGrid w:val="0"/>
                    <w:jc w:val="center"/>
                    <w:rPr>
                      <w:b/>
                      <w:bCs/>
                      <w:color w:val="auto"/>
                      <w:sz w:val="21"/>
                      <w:szCs w:val="21"/>
                    </w:rPr>
                  </w:pPr>
                  <w:r>
                    <w:rPr>
                      <w:rFonts w:hint="eastAsia" w:hAnsi="宋体"/>
                      <w:b/>
                      <w:bCs/>
                      <w:color w:val="auto"/>
                      <w:sz w:val="21"/>
                      <w:szCs w:val="21"/>
                    </w:rPr>
                    <w:t>夜间</w:t>
                  </w:r>
                </w:p>
              </w:tc>
              <w:tc>
                <w:tcPr>
                  <w:tcW w:w="2452" w:type="pct"/>
                  <w:vMerge w:val="continue"/>
                  <w:tcBorders>
                    <w:bottom w:val="single" w:color="000000" w:sz="12" w:space="0"/>
                  </w:tcBorders>
                  <w:vAlign w:val="center"/>
                </w:tcPr>
                <w:p w14:paraId="677F8AEB">
                  <w:pPr>
                    <w:widowControl/>
                    <w:adjustRightInd w:val="0"/>
                    <w:snapToGrid w:val="0"/>
                    <w:jc w:val="center"/>
                    <w:rPr>
                      <w:b/>
                      <w:bCs/>
                      <w:color w:val="auto"/>
                      <w:sz w:val="21"/>
                      <w:szCs w:val="21"/>
                    </w:rPr>
                  </w:pPr>
                </w:p>
              </w:tc>
            </w:tr>
            <w:tr w14:paraId="2BEBCBF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1372" w:type="pct"/>
                  <w:tcBorders>
                    <w:top w:val="single" w:color="000000" w:sz="12" w:space="0"/>
                    <w:tl2br w:val="nil"/>
                    <w:tr2bl w:val="nil"/>
                  </w:tcBorders>
                  <w:vAlign w:val="center"/>
                </w:tcPr>
                <w:p w14:paraId="0FA24765">
                  <w:pPr>
                    <w:widowControl/>
                    <w:adjustRightInd w:val="0"/>
                    <w:snapToGrid w:val="0"/>
                    <w:jc w:val="center"/>
                    <w:rPr>
                      <w:color w:val="auto"/>
                      <w:sz w:val="21"/>
                      <w:szCs w:val="21"/>
                    </w:rPr>
                  </w:pPr>
                  <w:r>
                    <w:rPr>
                      <w:color w:val="auto"/>
                      <w:sz w:val="21"/>
                      <w:szCs w:val="21"/>
                    </w:rPr>
                    <w:t>70</w:t>
                  </w:r>
                </w:p>
              </w:tc>
              <w:tc>
                <w:tcPr>
                  <w:tcW w:w="1175" w:type="pct"/>
                  <w:tcBorders>
                    <w:top w:val="single" w:color="000000" w:sz="12" w:space="0"/>
                    <w:tl2br w:val="nil"/>
                    <w:tr2bl w:val="nil"/>
                  </w:tcBorders>
                  <w:vAlign w:val="center"/>
                </w:tcPr>
                <w:p w14:paraId="6F106F57">
                  <w:pPr>
                    <w:widowControl/>
                    <w:adjustRightInd w:val="0"/>
                    <w:snapToGrid w:val="0"/>
                    <w:jc w:val="center"/>
                    <w:rPr>
                      <w:color w:val="auto"/>
                      <w:sz w:val="21"/>
                      <w:szCs w:val="21"/>
                    </w:rPr>
                  </w:pPr>
                  <w:r>
                    <w:rPr>
                      <w:color w:val="auto"/>
                      <w:sz w:val="21"/>
                      <w:szCs w:val="21"/>
                    </w:rPr>
                    <w:t>55</w:t>
                  </w:r>
                </w:p>
              </w:tc>
              <w:tc>
                <w:tcPr>
                  <w:tcW w:w="2452" w:type="pct"/>
                  <w:tcBorders>
                    <w:top w:val="single" w:color="000000" w:sz="12" w:space="0"/>
                    <w:tl2br w:val="nil"/>
                    <w:tr2bl w:val="nil"/>
                  </w:tcBorders>
                  <w:vAlign w:val="center"/>
                </w:tcPr>
                <w:p w14:paraId="743542DF">
                  <w:pPr>
                    <w:widowControl/>
                    <w:adjustRightInd w:val="0"/>
                    <w:snapToGrid w:val="0"/>
                    <w:jc w:val="center"/>
                    <w:rPr>
                      <w:rFonts w:hint="eastAsia" w:eastAsia="宋体"/>
                      <w:color w:val="auto"/>
                      <w:sz w:val="21"/>
                      <w:szCs w:val="21"/>
                      <w:lang w:eastAsia="zh-CN"/>
                    </w:rPr>
                  </w:pPr>
                  <w:r>
                    <w:rPr>
                      <w:rFonts w:hint="eastAsia" w:hAnsi="宋体"/>
                      <w:color w:val="auto"/>
                      <w:sz w:val="21"/>
                      <w:szCs w:val="21"/>
                    </w:rPr>
                    <w:t>《建筑施工场界环境噪声排放标准》（</w:t>
                  </w:r>
                  <w:r>
                    <w:rPr>
                      <w:color w:val="auto"/>
                      <w:sz w:val="21"/>
                      <w:szCs w:val="21"/>
                    </w:rPr>
                    <w:t>GB12523-2011</w:t>
                  </w:r>
                  <w:r>
                    <w:rPr>
                      <w:rFonts w:hint="eastAsia" w:hAnsi="宋体"/>
                      <w:color w:val="auto"/>
                      <w:sz w:val="21"/>
                      <w:szCs w:val="21"/>
                    </w:rPr>
                    <w:t>）</w:t>
                  </w:r>
                  <w:r>
                    <w:rPr>
                      <w:rFonts w:hint="eastAsia" w:hAnsi="宋体"/>
                      <w:color w:val="auto"/>
                      <w:sz w:val="21"/>
                      <w:szCs w:val="21"/>
                      <w:lang w:eastAsia="zh-CN"/>
                    </w:rPr>
                    <w:t>（</w:t>
                  </w:r>
                  <w:r>
                    <w:rPr>
                      <w:rFonts w:hint="eastAsia" w:hAnsi="宋体"/>
                      <w:color w:val="auto"/>
                      <w:sz w:val="21"/>
                      <w:szCs w:val="21"/>
                      <w:lang w:val="en-US" w:eastAsia="zh-CN"/>
                    </w:rPr>
                    <w:t>表1</w:t>
                  </w:r>
                  <w:r>
                    <w:rPr>
                      <w:rFonts w:hint="eastAsia" w:hAnsi="宋体"/>
                      <w:color w:val="auto"/>
                      <w:sz w:val="21"/>
                      <w:szCs w:val="21"/>
                      <w:lang w:eastAsia="zh-CN"/>
                    </w:rPr>
                    <w:t>）</w:t>
                  </w:r>
                </w:p>
              </w:tc>
            </w:tr>
          </w:tbl>
          <w:p w14:paraId="7F9485AF">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表3-6</w:t>
            </w:r>
            <w:r>
              <w:rPr>
                <w:rFonts w:hint="eastAsia" w:cs="Times New Roman"/>
                <w:color w:val="auto"/>
                <w:lang w:eastAsia="zh-CN"/>
              </w:rPr>
              <w:t>（</w:t>
            </w:r>
            <w:r>
              <w:rPr>
                <w:rFonts w:hint="eastAsia" w:cs="Times New Roman"/>
                <w:color w:val="auto"/>
                <w:lang w:val="en-US" w:eastAsia="zh-CN"/>
              </w:rPr>
              <w:t>2</w:t>
            </w:r>
            <w:r>
              <w:rPr>
                <w:rFonts w:hint="eastAsia" w:cs="Times New Roman"/>
                <w:color w:val="auto"/>
                <w:lang w:eastAsia="zh-CN"/>
              </w:rPr>
              <w:t>）</w:t>
            </w:r>
            <w:r>
              <w:rPr>
                <w:rFonts w:hint="eastAsia" w:ascii="Times New Roman" w:hAnsi="Times New Roman" w:eastAsia="宋体" w:cs="Times New Roman"/>
                <w:color w:val="auto"/>
              </w:rPr>
              <w:t xml:space="preserve">    工业企业厂界环境噪声排放标准</w:t>
            </w:r>
          </w:p>
          <w:tbl>
            <w:tblPr>
              <w:tblStyle w:val="27"/>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266"/>
              <w:gridCol w:w="1417"/>
              <w:gridCol w:w="1414"/>
              <w:gridCol w:w="3953"/>
            </w:tblGrid>
            <w:tr w14:paraId="571461A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786" w:type="pct"/>
                  <w:vMerge w:val="restart"/>
                  <w:vAlign w:val="center"/>
                </w:tcPr>
                <w:p w14:paraId="5967F22C">
                  <w:pPr>
                    <w:widowControl/>
                    <w:adjustRightInd w:val="0"/>
                    <w:snapToGrid w:val="0"/>
                    <w:jc w:val="center"/>
                    <w:rPr>
                      <w:b/>
                      <w:bCs/>
                      <w:color w:val="auto"/>
                      <w:sz w:val="21"/>
                      <w:szCs w:val="21"/>
                    </w:rPr>
                  </w:pPr>
                  <w:r>
                    <w:rPr>
                      <w:rFonts w:hint="eastAsia" w:hAnsi="宋体"/>
                      <w:b/>
                      <w:bCs/>
                      <w:color w:val="auto"/>
                      <w:sz w:val="21"/>
                      <w:szCs w:val="21"/>
                    </w:rPr>
                    <w:t>功能区类别</w:t>
                  </w:r>
                </w:p>
              </w:tc>
              <w:tc>
                <w:tcPr>
                  <w:tcW w:w="1758" w:type="pct"/>
                  <w:gridSpan w:val="2"/>
                  <w:vAlign w:val="center"/>
                </w:tcPr>
                <w:p w14:paraId="65CF036B">
                  <w:pPr>
                    <w:widowControl/>
                    <w:adjustRightInd w:val="0"/>
                    <w:snapToGrid w:val="0"/>
                    <w:jc w:val="center"/>
                    <w:rPr>
                      <w:b/>
                      <w:bCs/>
                      <w:color w:val="auto"/>
                      <w:sz w:val="21"/>
                      <w:szCs w:val="21"/>
                    </w:rPr>
                  </w:pPr>
                  <w:r>
                    <w:rPr>
                      <w:rFonts w:hint="eastAsia" w:hAnsi="宋体"/>
                      <w:b/>
                      <w:bCs/>
                      <w:color w:val="auto"/>
                      <w:sz w:val="21"/>
                      <w:szCs w:val="21"/>
                    </w:rPr>
                    <w:t>标准值</w:t>
                  </w:r>
                  <w:r>
                    <w:rPr>
                      <w:b/>
                      <w:bCs/>
                      <w:color w:val="auto"/>
                      <w:sz w:val="21"/>
                      <w:szCs w:val="21"/>
                    </w:rPr>
                    <w:t>dB</w:t>
                  </w:r>
                  <w:r>
                    <w:rPr>
                      <w:rFonts w:hint="eastAsia" w:hAnsi="宋体"/>
                      <w:b/>
                      <w:bCs/>
                      <w:color w:val="auto"/>
                      <w:sz w:val="21"/>
                      <w:szCs w:val="21"/>
                    </w:rPr>
                    <w:t>（</w:t>
                  </w:r>
                  <w:r>
                    <w:rPr>
                      <w:b/>
                      <w:bCs/>
                      <w:color w:val="auto"/>
                      <w:sz w:val="21"/>
                      <w:szCs w:val="21"/>
                    </w:rPr>
                    <w:t>A</w:t>
                  </w:r>
                  <w:r>
                    <w:rPr>
                      <w:rFonts w:hint="eastAsia" w:hAnsi="宋体"/>
                      <w:b/>
                      <w:bCs/>
                      <w:color w:val="auto"/>
                      <w:sz w:val="21"/>
                      <w:szCs w:val="21"/>
                    </w:rPr>
                    <w:t>）</w:t>
                  </w:r>
                </w:p>
              </w:tc>
              <w:tc>
                <w:tcPr>
                  <w:tcW w:w="2454" w:type="pct"/>
                  <w:vMerge w:val="restart"/>
                  <w:vAlign w:val="center"/>
                </w:tcPr>
                <w:p w14:paraId="7201E3F2">
                  <w:pPr>
                    <w:widowControl/>
                    <w:adjustRightInd w:val="0"/>
                    <w:snapToGrid w:val="0"/>
                    <w:jc w:val="center"/>
                    <w:rPr>
                      <w:b/>
                      <w:bCs/>
                      <w:color w:val="auto"/>
                      <w:sz w:val="21"/>
                      <w:szCs w:val="21"/>
                    </w:rPr>
                  </w:pPr>
                  <w:r>
                    <w:rPr>
                      <w:rFonts w:hint="eastAsia" w:hAnsi="宋体"/>
                      <w:b/>
                      <w:bCs/>
                      <w:color w:val="auto"/>
                      <w:sz w:val="21"/>
                      <w:szCs w:val="21"/>
                    </w:rPr>
                    <w:t>标准来源</w:t>
                  </w:r>
                </w:p>
              </w:tc>
            </w:tr>
            <w:tr w14:paraId="469DECD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33" w:hRule="atLeast"/>
              </w:trPr>
              <w:tc>
                <w:tcPr>
                  <w:tcW w:w="786" w:type="pct"/>
                  <w:vMerge w:val="continue"/>
                  <w:tcBorders>
                    <w:bottom w:val="single" w:color="000000" w:sz="12" w:space="0"/>
                  </w:tcBorders>
                  <w:vAlign w:val="center"/>
                </w:tcPr>
                <w:p w14:paraId="384F672B">
                  <w:pPr>
                    <w:widowControl/>
                    <w:adjustRightInd w:val="0"/>
                    <w:snapToGrid w:val="0"/>
                    <w:jc w:val="center"/>
                    <w:rPr>
                      <w:color w:val="auto"/>
                      <w:sz w:val="21"/>
                      <w:szCs w:val="21"/>
                    </w:rPr>
                  </w:pPr>
                </w:p>
              </w:tc>
              <w:tc>
                <w:tcPr>
                  <w:tcW w:w="880" w:type="pct"/>
                  <w:tcBorders>
                    <w:bottom w:val="single" w:color="000000" w:sz="12" w:space="0"/>
                  </w:tcBorders>
                  <w:vAlign w:val="center"/>
                </w:tcPr>
                <w:p w14:paraId="40BFE7E2">
                  <w:pPr>
                    <w:widowControl/>
                    <w:adjustRightInd w:val="0"/>
                    <w:snapToGrid w:val="0"/>
                    <w:jc w:val="center"/>
                    <w:rPr>
                      <w:b/>
                      <w:bCs/>
                      <w:color w:val="auto"/>
                      <w:sz w:val="21"/>
                      <w:szCs w:val="21"/>
                    </w:rPr>
                  </w:pPr>
                  <w:r>
                    <w:rPr>
                      <w:rFonts w:hint="eastAsia" w:hAnsi="宋体"/>
                      <w:b/>
                      <w:bCs/>
                      <w:color w:val="auto"/>
                      <w:sz w:val="21"/>
                      <w:szCs w:val="21"/>
                    </w:rPr>
                    <w:t>昼间</w:t>
                  </w:r>
                </w:p>
              </w:tc>
              <w:tc>
                <w:tcPr>
                  <w:tcW w:w="877" w:type="pct"/>
                  <w:tcBorders>
                    <w:bottom w:val="single" w:color="000000" w:sz="12" w:space="0"/>
                  </w:tcBorders>
                  <w:vAlign w:val="center"/>
                </w:tcPr>
                <w:p w14:paraId="03F8A833">
                  <w:pPr>
                    <w:widowControl/>
                    <w:adjustRightInd w:val="0"/>
                    <w:snapToGrid w:val="0"/>
                    <w:jc w:val="center"/>
                    <w:rPr>
                      <w:b/>
                      <w:bCs/>
                      <w:color w:val="auto"/>
                      <w:sz w:val="21"/>
                      <w:szCs w:val="21"/>
                    </w:rPr>
                  </w:pPr>
                  <w:r>
                    <w:rPr>
                      <w:rFonts w:hint="eastAsia" w:hAnsi="宋体"/>
                      <w:b/>
                      <w:bCs/>
                      <w:color w:val="auto"/>
                      <w:sz w:val="21"/>
                      <w:szCs w:val="21"/>
                    </w:rPr>
                    <w:t>夜间</w:t>
                  </w:r>
                </w:p>
              </w:tc>
              <w:tc>
                <w:tcPr>
                  <w:tcW w:w="2454" w:type="pct"/>
                  <w:vMerge w:val="continue"/>
                  <w:tcBorders>
                    <w:bottom w:val="single" w:color="000000" w:sz="12" w:space="0"/>
                  </w:tcBorders>
                  <w:vAlign w:val="center"/>
                </w:tcPr>
                <w:p w14:paraId="1E8574F9">
                  <w:pPr>
                    <w:widowControl/>
                    <w:adjustRightInd w:val="0"/>
                    <w:snapToGrid w:val="0"/>
                    <w:jc w:val="center"/>
                    <w:rPr>
                      <w:color w:val="auto"/>
                      <w:sz w:val="21"/>
                      <w:szCs w:val="21"/>
                    </w:rPr>
                  </w:pPr>
                </w:p>
              </w:tc>
            </w:tr>
            <w:tr w14:paraId="61CC9A6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c>
                <w:tcPr>
                  <w:tcW w:w="786" w:type="pct"/>
                  <w:tcBorders>
                    <w:top w:val="single" w:color="000000" w:sz="12" w:space="0"/>
                    <w:tl2br w:val="nil"/>
                    <w:tr2bl w:val="nil"/>
                  </w:tcBorders>
                  <w:vAlign w:val="center"/>
                </w:tcPr>
                <w:p w14:paraId="6EE534F4">
                  <w:pPr>
                    <w:widowControl/>
                    <w:adjustRightInd w:val="0"/>
                    <w:snapToGrid w:val="0"/>
                    <w:jc w:val="center"/>
                    <w:rPr>
                      <w:color w:val="auto"/>
                      <w:sz w:val="21"/>
                      <w:szCs w:val="21"/>
                    </w:rPr>
                  </w:pPr>
                  <w:r>
                    <w:rPr>
                      <w:rFonts w:hint="eastAsia" w:hAnsi="宋体"/>
                      <w:color w:val="auto"/>
                      <w:sz w:val="21"/>
                      <w:szCs w:val="21"/>
                      <w:lang w:val="en-US" w:eastAsia="zh-CN"/>
                    </w:rPr>
                    <w:t>2</w:t>
                  </w:r>
                  <w:r>
                    <w:rPr>
                      <w:rFonts w:hint="eastAsia" w:hAnsi="宋体"/>
                      <w:color w:val="auto"/>
                      <w:sz w:val="21"/>
                      <w:szCs w:val="21"/>
                    </w:rPr>
                    <w:t>类</w:t>
                  </w:r>
                </w:p>
              </w:tc>
              <w:tc>
                <w:tcPr>
                  <w:tcW w:w="880" w:type="pct"/>
                  <w:tcBorders>
                    <w:top w:val="single" w:color="000000" w:sz="12" w:space="0"/>
                    <w:tl2br w:val="nil"/>
                    <w:tr2bl w:val="nil"/>
                  </w:tcBorders>
                  <w:vAlign w:val="center"/>
                </w:tcPr>
                <w:p w14:paraId="3F7C525E">
                  <w:pPr>
                    <w:widowControl/>
                    <w:adjustRightInd w:val="0"/>
                    <w:snapToGrid w:val="0"/>
                    <w:jc w:val="center"/>
                    <w:rPr>
                      <w:rFonts w:hint="eastAsia" w:eastAsia="宋体"/>
                      <w:color w:val="auto"/>
                      <w:sz w:val="21"/>
                      <w:szCs w:val="21"/>
                      <w:lang w:val="en-US" w:eastAsia="zh-CN"/>
                    </w:rPr>
                  </w:pPr>
                  <w:r>
                    <w:rPr>
                      <w:rFonts w:hint="eastAsia"/>
                      <w:color w:val="auto"/>
                      <w:sz w:val="21"/>
                      <w:szCs w:val="21"/>
                    </w:rPr>
                    <w:t>6</w:t>
                  </w:r>
                  <w:r>
                    <w:rPr>
                      <w:rFonts w:hint="eastAsia"/>
                      <w:color w:val="auto"/>
                      <w:sz w:val="21"/>
                      <w:szCs w:val="21"/>
                      <w:lang w:val="en-US" w:eastAsia="zh-CN"/>
                    </w:rPr>
                    <w:t>0</w:t>
                  </w:r>
                </w:p>
              </w:tc>
              <w:tc>
                <w:tcPr>
                  <w:tcW w:w="877" w:type="pct"/>
                  <w:tcBorders>
                    <w:top w:val="single" w:color="000000" w:sz="12" w:space="0"/>
                    <w:tl2br w:val="nil"/>
                    <w:tr2bl w:val="nil"/>
                  </w:tcBorders>
                  <w:vAlign w:val="center"/>
                </w:tcPr>
                <w:p w14:paraId="4E5297A9">
                  <w:pPr>
                    <w:widowControl/>
                    <w:adjustRightInd w:val="0"/>
                    <w:snapToGrid w:val="0"/>
                    <w:jc w:val="center"/>
                    <w:rPr>
                      <w:rFonts w:hint="eastAsia" w:eastAsia="宋体"/>
                      <w:color w:val="auto"/>
                      <w:sz w:val="21"/>
                      <w:szCs w:val="21"/>
                      <w:lang w:val="en-US" w:eastAsia="zh-CN"/>
                    </w:rPr>
                  </w:pPr>
                  <w:r>
                    <w:rPr>
                      <w:rFonts w:hint="eastAsia"/>
                      <w:color w:val="auto"/>
                      <w:sz w:val="21"/>
                      <w:szCs w:val="21"/>
                    </w:rPr>
                    <w:t>5</w:t>
                  </w:r>
                  <w:r>
                    <w:rPr>
                      <w:rFonts w:hint="eastAsia"/>
                      <w:color w:val="auto"/>
                      <w:sz w:val="21"/>
                      <w:szCs w:val="21"/>
                      <w:lang w:val="en-US" w:eastAsia="zh-CN"/>
                    </w:rPr>
                    <w:t>0</w:t>
                  </w:r>
                </w:p>
              </w:tc>
              <w:tc>
                <w:tcPr>
                  <w:tcW w:w="2454" w:type="pct"/>
                  <w:tcBorders>
                    <w:top w:val="single" w:color="000000" w:sz="12" w:space="0"/>
                    <w:tl2br w:val="nil"/>
                    <w:tr2bl w:val="nil"/>
                  </w:tcBorders>
                  <w:vAlign w:val="center"/>
                </w:tcPr>
                <w:p w14:paraId="2437A8F7">
                  <w:pPr>
                    <w:widowControl/>
                    <w:adjustRightInd w:val="0"/>
                    <w:snapToGrid w:val="0"/>
                    <w:jc w:val="center"/>
                    <w:rPr>
                      <w:rFonts w:hint="eastAsia" w:eastAsia="宋体"/>
                      <w:color w:val="auto"/>
                      <w:sz w:val="21"/>
                      <w:szCs w:val="21"/>
                      <w:lang w:eastAsia="zh-CN"/>
                    </w:rPr>
                  </w:pPr>
                  <w:r>
                    <w:rPr>
                      <w:rFonts w:hint="eastAsia" w:hAnsi="宋体"/>
                      <w:color w:val="auto"/>
                      <w:sz w:val="21"/>
                      <w:szCs w:val="21"/>
                    </w:rPr>
                    <w:t>《工业企业厂界环境噪声排放标准》（</w:t>
                  </w:r>
                  <w:r>
                    <w:rPr>
                      <w:color w:val="auto"/>
                      <w:sz w:val="21"/>
                      <w:szCs w:val="21"/>
                    </w:rPr>
                    <w:t>GB12348-20</w:t>
                  </w:r>
                  <w:r>
                    <w:rPr>
                      <w:rFonts w:hint="eastAsia"/>
                      <w:color w:val="auto"/>
                      <w:sz w:val="21"/>
                      <w:szCs w:val="21"/>
                    </w:rPr>
                    <w:t>08</w:t>
                  </w:r>
                  <w:r>
                    <w:rPr>
                      <w:rFonts w:hint="eastAsia" w:hAnsi="宋体"/>
                      <w:color w:val="auto"/>
                      <w:sz w:val="21"/>
                      <w:szCs w:val="21"/>
                    </w:rPr>
                    <w:t>）中</w:t>
                  </w:r>
                  <w:r>
                    <w:rPr>
                      <w:rFonts w:hint="eastAsia" w:hAnsi="宋体"/>
                      <w:color w:val="auto"/>
                      <w:sz w:val="21"/>
                      <w:szCs w:val="21"/>
                      <w:lang w:val="en-US" w:eastAsia="zh-CN"/>
                    </w:rPr>
                    <w:t>2</w:t>
                  </w:r>
                  <w:r>
                    <w:rPr>
                      <w:rFonts w:hint="eastAsia" w:hAnsi="宋体"/>
                      <w:color w:val="auto"/>
                      <w:sz w:val="21"/>
                      <w:szCs w:val="21"/>
                    </w:rPr>
                    <w:t>类标准</w:t>
                  </w:r>
                  <w:r>
                    <w:rPr>
                      <w:rFonts w:hint="eastAsia" w:hAnsi="宋体"/>
                      <w:color w:val="auto"/>
                      <w:sz w:val="21"/>
                      <w:szCs w:val="21"/>
                      <w:lang w:eastAsia="zh-CN"/>
                    </w:rPr>
                    <w:t>（</w:t>
                  </w:r>
                  <w:r>
                    <w:rPr>
                      <w:rFonts w:hint="eastAsia" w:hAnsi="宋体"/>
                      <w:color w:val="auto"/>
                      <w:sz w:val="21"/>
                      <w:szCs w:val="21"/>
                      <w:lang w:val="en-US" w:eastAsia="zh-CN"/>
                    </w:rPr>
                    <w:t>表1</w:t>
                  </w:r>
                  <w:r>
                    <w:rPr>
                      <w:rFonts w:hint="eastAsia" w:hAnsi="宋体"/>
                      <w:color w:val="auto"/>
                      <w:sz w:val="21"/>
                      <w:szCs w:val="21"/>
                      <w:lang w:eastAsia="zh-CN"/>
                    </w:rPr>
                    <w:t>）</w:t>
                  </w:r>
                </w:p>
              </w:tc>
            </w:tr>
          </w:tbl>
          <w:p w14:paraId="2A6F4ECA">
            <w:pPr>
              <w:numPr>
                <w:ilvl w:val="0"/>
                <w:numId w:val="4"/>
              </w:numPr>
              <w:spacing w:line="360" w:lineRule="auto"/>
              <w:ind w:left="0" w:leftChars="0" w:firstLine="0" w:firstLineChars="0"/>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固废</w:t>
            </w:r>
          </w:p>
          <w:p w14:paraId="3A2F91A9">
            <w:pPr>
              <w:adjustRightInd w:val="0"/>
              <w:snapToGrid w:val="0"/>
              <w:spacing w:line="360" w:lineRule="auto"/>
              <w:ind w:firstLine="480" w:firstLineChars="200"/>
              <w:rPr>
                <w:rFonts w:ascii="宋体" w:hAnsi="宋体" w:cs="宋体"/>
                <w:color w:val="auto"/>
                <w:kern w:val="0"/>
                <w:szCs w:val="21"/>
              </w:rPr>
            </w:pPr>
            <w:r>
              <w:rPr>
                <w:rFonts w:hint="eastAsia" w:ascii="Times New Roman" w:hAnsi="Times New Roman" w:eastAsia="宋体" w:cs="Times New Roman"/>
                <w:color w:val="auto"/>
                <w:kern w:val="0"/>
                <w:sz w:val="24"/>
              </w:rPr>
              <w:t>本项目一般固废</w:t>
            </w:r>
            <w:r>
              <w:rPr>
                <w:rFonts w:ascii="Times New Roman" w:hAnsi="Times New Roman" w:eastAsia="宋体" w:cs="Times New Roman"/>
                <w:color w:val="auto"/>
                <w:kern w:val="0"/>
                <w:sz w:val="24"/>
                <w:highlight w:val="none"/>
              </w:rPr>
              <w:t>执行《一般工业固体废物贮存和填埋污染控制标准》（GB18599-2020）要求</w:t>
            </w:r>
            <w:r>
              <w:rPr>
                <w:rFonts w:hint="eastAsia" w:ascii="Times New Roman" w:hAnsi="Times New Roman" w:eastAsia="宋体" w:cs="Times New Roman"/>
                <w:color w:val="auto"/>
                <w:kern w:val="0"/>
                <w:sz w:val="24"/>
                <w:highlight w:val="none"/>
              </w:rPr>
              <w:t>，</w:t>
            </w:r>
            <w:r>
              <w:rPr>
                <w:rFonts w:ascii="Times New Roman" w:hAnsi="Times New Roman" w:eastAsia="宋体" w:cs="Times New Roman"/>
                <w:color w:val="auto"/>
                <w:kern w:val="0"/>
                <w:sz w:val="24"/>
                <w:highlight w:val="none"/>
              </w:rPr>
              <w:t>危险废物执行《危险废物贮存污染控制标准》（GB18597-</w:t>
            </w:r>
            <w:r>
              <w:rPr>
                <w:rFonts w:hint="eastAsia" w:cs="Times New Roman"/>
                <w:color w:val="auto"/>
                <w:kern w:val="0"/>
                <w:sz w:val="24"/>
                <w:highlight w:val="none"/>
                <w:lang w:val="en-US" w:eastAsia="zh-CN"/>
              </w:rPr>
              <w:t>2023）</w:t>
            </w:r>
            <w:r>
              <w:rPr>
                <w:rFonts w:hint="eastAsia" w:ascii="Times New Roman" w:hAnsi="Times New Roman" w:eastAsia="宋体" w:cs="Times New Roman"/>
                <w:color w:val="auto"/>
                <w:kern w:val="0"/>
                <w:sz w:val="24"/>
                <w:highlight w:val="none"/>
              </w:rPr>
              <w:t>。</w:t>
            </w:r>
          </w:p>
        </w:tc>
      </w:tr>
      <w:tr w14:paraId="17A83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800" w:type="dxa"/>
            <w:vAlign w:val="center"/>
          </w:tcPr>
          <w:p w14:paraId="3A1F3EC8">
            <w:pPr>
              <w:adjustRightInd w:val="0"/>
              <w:snapToGrid w:val="0"/>
              <w:jc w:val="center"/>
              <w:rPr>
                <w:rFonts w:ascii="宋体" w:hAnsi="宋体" w:cs="宋体"/>
                <w:color w:val="auto"/>
                <w:kern w:val="0"/>
                <w:szCs w:val="21"/>
              </w:rPr>
            </w:pPr>
            <w:r>
              <w:rPr>
                <w:rFonts w:hint="eastAsia" w:ascii="宋体" w:hAnsi="宋体" w:cs="宋体"/>
                <w:color w:val="auto"/>
                <w:kern w:val="0"/>
                <w:szCs w:val="21"/>
              </w:rPr>
              <w:t>总量</w:t>
            </w:r>
          </w:p>
          <w:p w14:paraId="744DDCAB">
            <w:pPr>
              <w:adjustRightInd w:val="0"/>
              <w:snapToGrid w:val="0"/>
              <w:jc w:val="center"/>
              <w:rPr>
                <w:rFonts w:ascii="宋体" w:hAnsi="宋体" w:cs="宋体"/>
                <w:color w:val="auto"/>
                <w:kern w:val="0"/>
                <w:szCs w:val="21"/>
              </w:rPr>
            </w:pPr>
            <w:r>
              <w:rPr>
                <w:rFonts w:hint="eastAsia" w:ascii="宋体" w:hAnsi="宋体" w:cs="宋体"/>
                <w:color w:val="auto"/>
                <w:kern w:val="0"/>
                <w:szCs w:val="21"/>
              </w:rPr>
              <w:t>控制</w:t>
            </w:r>
          </w:p>
          <w:p w14:paraId="16EC553C">
            <w:pPr>
              <w:adjustRightInd w:val="0"/>
              <w:snapToGrid w:val="0"/>
              <w:jc w:val="center"/>
              <w:rPr>
                <w:rFonts w:ascii="宋体" w:hAnsi="宋体" w:cs="宋体"/>
                <w:color w:val="auto"/>
                <w:kern w:val="0"/>
                <w:szCs w:val="21"/>
              </w:rPr>
            </w:pPr>
            <w:r>
              <w:rPr>
                <w:rFonts w:hint="eastAsia" w:ascii="宋体" w:hAnsi="宋体" w:cs="宋体"/>
                <w:color w:val="auto"/>
                <w:kern w:val="0"/>
                <w:szCs w:val="21"/>
              </w:rPr>
              <w:t>指标</w:t>
            </w:r>
          </w:p>
        </w:tc>
        <w:tc>
          <w:tcPr>
            <w:tcW w:w="8190" w:type="dxa"/>
            <w:vAlign w:val="center"/>
          </w:tcPr>
          <w:p w14:paraId="168F0CDD">
            <w:pPr>
              <w:adjustRightInd w:val="0"/>
              <w:snapToGrid w:val="0"/>
              <w:spacing w:line="360" w:lineRule="auto"/>
              <w:ind w:firstLine="480" w:firstLineChars="200"/>
              <w:rPr>
                <w:rFonts w:ascii="宋体" w:hAnsi="宋体" w:cs="宋体"/>
                <w:color w:val="auto"/>
                <w:kern w:val="0"/>
                <w:szCs w:val="21"/>
              </w:rPr>
            </w:pPr>
            <w:r>
              <w:rPr>
                <w:rFonts w:hint="default" w:ascii="Times New Roman" w:hAnsi="Times New Roman" w:eastAsia="宋体" w:cs="Times New Roman"/>
                <w:color w:val="000000" w:themeColor="text1"/>
                <w:kern w:val="0"/>
                <w:sz w:val="24"/>
                <w:highlight w:val="none"/>
                <w14:textFill>
                  <w14:solidFill>
                    <w14:schemeClr w14:val="tx1"/>
                  </w14:solidFill>
                </w14:textFill>
              </w:rPr>
              <w:t>根据国家总量控制相关要求，结合本项目厂址区域环境质量现状、外排污染物特征，</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木垒县为环境空气质量达标区，因此本项目有组织颗粒物不需要进行倍量消减替代，经计算本项目营运期颗粒物排放量为</w:t>
            </w:r>
            <w:r>
              <w:rPr>
                <w:rFonts w:hint="eastAsia" w:cs="Times New Roman"/>
                <w:color w:val="000000" w:themeColor="text1"/>
                <w:kern w:val="0"/>
                <w:sz w:val="24"/>
                <w:highlight w:val="none"/>
                <w:lang w:val="en-US" w:eastAsia="zh-CN"/>
                <w14:textFill>
                  <w14:solidFill>
                    <w14:schemeClr w14:val="tx1"/>
                  </w14:solidFill>
                </w14:textFill>
              </w:rPr>
              <w:t>0.753</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t/a</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highlight w:val="none"/>
                <w14:textFill>
                  <w14:solidFill>
                    <w14:schemeClr w14:val="tx1"/>
                  </w14:solidFill>
                </w14:textFill>
              </w:rPr>
              <w:t>总量控制指标为</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颗粒物</w:t>
            </w:r>
            <w:r>
              <w:rPr>
                <w:rFonts w:hint="eastAsia" w:cs="Times New Roman"/>
                <w:color w:val="000000" w:themeColor="text1"/>
                <w:kern w:val="0"/>
                <w:sz w:val="24"/>
                <w:highlight w:val="none"/>
                <w:lang w:val="en-US" w:eastAsia="zh-CN"/>
                <w14:textFill>
                  <w14:solidFill>
                    <w14:schemeClr w14:val="tx1"/>
                  </w14:solidFill>
                </w14:textFill>
              </w:rPr>
              <w:t>0.753</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t/a</w:t>
            </w:r>
            <w:r>
              <w:rPr>
                <w:rFonts w:hint="default" w:ascii="Times New Roman" w:hAnsi="Times New Roman" w:eastAsia="宋体" w:cs="Times New Roman"/>
                <w:color w:val="000000" w:themeColor="text1"/>
                <w:kern w:val="0"/>
                <w:sz w:val="24"/>
                <w:highlight w:val="none"/>
                <w14:textFill>
                  <w14:solidFill>
                    <w14:schemeClr w14:val="tx1"/>
                  </w14:solidFill>
                </w14:textFill>
              </w:rPr>
              <w:t>。</w:t>
            </w:r>
          </w:p>
        </w:tc>
      </w:tr>
    </w:tbl>
    <w:p w14:paraId="4B505FCA">
      <w:pPr>
        <w:pStyle w:val="24"/>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39C4C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14:paraId="034633CB">
            <w:pPr>
              <w:pStyle w:val="24"/>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施工</w:t>
            </w:r>
          </w:p>
          <w:p w14:paraId="2D2ACE51">
            <w:pPr>
              <w:pStyle w:val="24"/>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期环</w:t>
            </w:r>
          </w:p>
          <w:p w14:paraId="6257FAF0">
            <w:pPr>
              <w:pStyle w:val="24"/>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境保</w:t>
            </w:r>
          </w:p>
          <w:p w14:paraId="55728599">
            <w:pPr>
              <w:pStyle w:val="24"/>
              <w:adjustRightInd w:val="0"/>
              <w:snapToGrid w:val="0"/>
              <w:spacing w:before="0" w:beforeAutospacing="0" w:after="0" w:afterAutospacing="0"/>
              <w:jc w:val="center"/>
              <w:rPr>
                <w:rFonts w:cs="宋体"/>
                <w:color w:val="auto"/>
                <w:kern w:val="2"/>
                <w:sz w:val="21"/>
                <w:szCs w:val="21"/>
              </w:rPr>
            </w:pPr>
            <w:r>
              <w:rPr>
                <w:rFonts w:hint="eastAsia" w:cs="宋体"/>
                <w:color w:val="auto"/>
                <w:kern w:val="2"/>
                <w:sz w:val="21"/>
                <w:szCs w:val="21"/>
              </w:rPr>
              <w:t>护措</w:t>
            </w:r>
          </w:p>
          <w:p w14:paraId="7BDB9203">
            <w:pPr>
              <w:pStyle w:val="24"/>
              <w:adjustRightInd w:val="0"/>
              <w:snapToGrid w:val="0"/>
              <w:spacing w:before="0" w:beforeAutospacing="0" w:after="0" w:afterAutospacing="0"/>
              <w:jc w:val="center"/>
              <w:rPr>
                <w:rFonts w:cs="宋体"/>
                <w:bCs/>
                <w:color w:val="auto"/>
                <w:kern w:val="2"/>
                <w:sz w:val="21"/>
                <w:szCs w:val="21"/>
              </w:rPr>
            </w:pPr>
            <w:r>
              <w:rPr>
                <w:rFonts w:hint="eastAsia" w:cs="宋体"/>
                <w:color w:val="auto"/>
                <w:kern w:val="2"/>
                <w:sz w:val="21"/>
                <w:szCs w:val="21"/>
              </w:rPr>
              <w:t>施</w:t>
            </w:r>
          </w:p>
        </w:tc>
        <w:tc>
          <w:tcPr>
            <w:tcW w:w="8162" w:type="dxa"/>
            <w:vAlign w:val="center"/>
          </w:tcPr>
          <w:p w14:paraId="4A48F2E6">
            <w:pPr>
              <w:autoSpaceDE w:val="0"/>
              <w:autoSpaceDN w:val="0"/>
              <w:adjustRightInd w:val="0"/>
              <w:snapToGrid w:val="0"/>
              <w:spacing w:line="360" w:lineRule="auto"/>
              <w:ind w:firstLine="480" w:firstLineChars="200"/>
              <w:rPr>
                <w:rFonts w:hint="eastAsia" w:cs="Times New Roman"/>
                <w:color w:val="auto"/>
                <w:kern w:val="0"/>
                <w:sz w:val="24"/>
                <w:lang w:val="en-US" w:eastAsia="zh-CN"/>
              </w:rPr>
            </w:pPr>
            <w:r>
              <w:rPr>
                <w:rFonts w:ascii="Times New Roman" w:hAnsi="Times New Roman" w:eastAsia="宋体" w:cs="Times New Roman"/>
                <w:color w:val="auto"/>
                <w:kern w:val="0"/>
                <w:sz w:val="24"/>
              </w:rPr>
              <w:t>本项目</w:t>
            </w:r>
            <w:r>
              <w:rPr>
                <w:rFonts w:hint="eastAsia" w:cs="Times New Roman"/>
                <w:color w:val="auto"/>
                <w:kern w:val="0"/>
                <w:sz w:val="24"/>
                <w:lang w:val="en-US" w:eastAsia="zh-CN"/>
              </w:rPr>
              <w:t>施工期间</w:t>
            </w:r>
            <w:r>
              <w:rPr>
                <w:rFonts w:ascii="Times New Roman" w:hAnsi="Times New Roman" w:eastAsia="宋体" w:cs="Times New Roman"/>
                <w:color w:val="auto"/>
                <w:kern w:val="0"/>
                <w:sz w:val="24"/>
              </w:rPr>
              <w:t>的环境影响主要是</w:t>
            </w:r>
            <w:r>
              <w:rPr>
                <w:rFonts w:hint="eastAsia" w:cs="Times New Roman"/>
                <w:color w:val="auto"/>
                <w:kern w:val="0"/>
                <w:sz w:val="24"/>
                <w:lang w:val="en-US" w:eastAsia="zh-CN"/>
              </w:rPr>
              <w:t>施工废气、施工废水、施工噪声和施工时产生的固体废物对周围环境造成的影响，主要表现为：</w:t>
            </w:r>
          </w:p>
          <w:p w14:paraId="11B20182">
            <w:pPr>
              <w:autoSpaceDE w:val="0"/>
              <w:autoSpaceDN w:val="0"/>
              <w:adjustRightInd w:val="0"/>
              <w:snapToGrid w:val="0"/>
              <w:spacing w:line="360" w:lineRule="auto"/>
              <w:ind w:firstLine="480" w:firstLineChars="200"/>
              <w:rPr>
                <w:rFonts w:hint="default" w:cs="Times New Roman"/>
                <w:color w:val="auto"/>
                <w:kern w:val="0"/>
                <w:sz w:val="24"/>
                <w:lang w:val="en-US" w:eastAsia="zh-CN"/>
              </w:rPr>
            </w:pPr>
            <w:r>
              <w:rPr>
                <w:rFonts w:hint="eastAsia" w:cs="Times New Roman"/>
                <w:color w:val="auto"/>
                <w:kern w:val="0"/>
                <w:sz w:val="24"/>
                <w:lang w:val="en-US" w:eastAsia="zh-CN"/>
              </w:rPr>
              <w:t>（1）车辆扬尘、尾气对周围环境造成的不良影响。</w:t>
            </w:r>
          </w:p>
          <w:p w14:paraId="649AC15C">
            <w:pPr>
              <w:autoSpaceDE w:val="0"/>
              <w:autoSpaceDN w:val="0"/>
              <w:adjustRightInd w:val="0"/>
              <w:snapToGrid w:val="0"/>
              <w:spacing w:line="360" w:lineRule="auto"/>
              <w:ind w:firstLine="480" w:firstLineChars="200"/>
              <w:rPr>
                <w:rFonts w:hint="default" w:cs="Times New Roman"/>
                <w:color w:val="auto"/>
                <w:kern w:val="0"/>
                <w:sz w:val="24"/>
                <w:lang w:val="en-US" w:eastAsia="zh-CN"/>
              </w:rPr>
            </w:pPr>
            <w:r>
              <w:rPr>
                <w:rFonts w:hint="eastAsia" w:cs="Times New Roman"/>
                <w:color w:val="auto"/>
                <w:kern w:val="0"/>
                <w:sz w:val="24"/>
                <w:lang w:val="en-US" w:eastAsia="zh-CN"/>
              </w:rPr>
              <w:t>（2）施工人员产生的生活污水和施工污水对周围环境产生的影响。</w:t>
            </w:r>
          </w:p>
          <w:p w14:paraId="73D5A887">
            <w:pPr>
              <w:autoSpaceDE w:val="0"/>
              <w:autoSpaceDN w:val="0"/>
              <w:adjustRightInd w:val="0"/>
              <w:snapToGrid w:val="0"/>
              <w:spacing w:line="360" w:lineRule="auto"/>
              <w:ind w:firstLine="480" w:firstLineChars="200"/>
              <w:rPr>
                <w:rFonts w:hint="default" w:cs="Times New Roman"/>
                <w:color w:val="auto"/>
                <w:kern w:val="0"/>
                <w:sz w:val="24"/>
                <w:lang w:val="en-US" w:eastAsia="zh-CN"/>
              </w:rPr>
            </w:pPr>
            <w:r>
              <w:rPr>
                <w:rFonts w:hint="eastAsia" w:cs="Times New Roman"/>
                <w:color w:val="auto"/>
                <w:kern w:val="0"/>
                <w:sz w:val="24"/>
                <w:lang w:val="en-US" w:eastAsia="zh-CN"/>
              </w:rPr>
              <w:t>（3）施工机械产生的噪音、车辆行驶时产生的噪音、车辆鸣笛。</w:t>
            </w:r>
          </w:p>
          <w:p w14:paraId="5023F658">
            <w:pPr>
              <w:autoSpaceDE w:val="0"/>
              <w:autoSpaceDN w:val="0"/>
              <w:adjustRightInd w:val="0"/>
              <w:snapToGrid w:val="0"/>
              <w:spacing w:line="360" w:lineRule="auto"/>
              <w:ind w:firstLine="480" w:firstLineChars="200"/>
              <w:rPr>
                <w:rFonts w:hint="eastAsia" w:cs="Times New Roman"/>
                <w:color w:val="auto"/>
                <w:kern w:val="0"/>
                <w:sz w:val="24"/>
                <w:lang w:val="en-US" w:eastAsia="zh-CN"/>
              </w:rPr>
            </w:pPr>
            <w:r>
              <w:rPr>
                <w:rFonts w:hint="eastAsia" w:cs="Times New Roman"/>
                <w:color w:val="auto"/>
                <w:kern w:val="0"/>
                <w:sz w:val="24"/>
                <w:lang w:val="en-US" w:eastAsia="zh-CN"/>
              </w:rPr>
              <w:t>（4）建筑施工时产生的建筑垃圾、施工人员产生的生活垃圾。</w:t>
            </w:r>
          </w:p>
          <w:p w14:paraId="1B746580">
            <w:pPr>
              <w:autoSpaceDE w:val="0"/>
              <w:autoSpaceDN w:val="0"/>
              <w:adjustRightInd w:val="0"/>
              <w:snapToGrid w:val="0"/>
              <w:spacing w:line="360" w:lineRule="auto"/>
              <w:ind w:firstLine="480" w:firstLineChars="200"/>
              <w:rPr>
                <w:rFonts w:hint="default" w:cs="Times New Roman"/>
                <w:color w:val="auto"/>
                <w:kern w:val="0"/>
                <w:sz w:val="24"/>
                <w:lang w:val="en-US" w:eastAsia="zh-CN"/>
              </w:rPr>
            </w:pPr>
            <w:r>
              <w:rPr>
                <w:rFonts w:ascii="Times New Roman" w:hAnsi="Times New Roman" w:eastAsia="宋体" w:cs="Times New Roman"/>
                <w:color w:val="auto"/>
                <w:kern w:val="0"/>
                <w:sz w:val="24"/>
              </w:rPr>
              <w:t>根据施工方案的情况，本评价提出相应的污染防治和环境管理措施，以期妥善地解决工程施工带来的环境问题，减少其对周围环境造成的不良影响。</w:t>
            </w:r>
          </w:p>
          <w:p w14:paraId="16B691CB">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1.大气污染及防治措施</w:t>
            </w:r>
          </w:p>
          <w:p w14:paraId="2FF1FC16">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1.1施工扬尘</w:t>
            </w:r>
            <w:r>
              <w:rPr>
                <w:rFonts w:hint="eastAsia" w:ascii="Times New Roman" w:hAnsi="Times New Roman" w:eastAsia="宋体" w:cs="Times New Roman"/>
                <w:b/>
                <w:bCs/>
                <w:color w:val="auto"/>
                <w:sz w:val="24"/>
              </w:rPr>
              <w:t>及防治措施</w:t>
            </w:r>
          </w:p>
          <w:p w14:paraId="774069C3">
            <w:pPr>
              <w:pStyle w:val="55"/>
              <w:spacing w:line="360" w:lineRule="auto"/>
              <w:ind w:firstLine="480"/>
              <w:rPr>
                <w:rFonts w:hint="eastAsia" w:cs="Times New Roman"/>
                <w:color w:val="000000" w:themeColor="text1"/>
                <w:kern w:val="0"/>
                <w:sz w:val="24"/>
                <w:szCs w:val="24"/>
                <w:lang w:val="en-US" w:eastAsia="zh-CN" w:bidi="ar-SA"/>
                <w14:textFill>
                  <w14:solidFill>
                    <w14:schemeClr w14:val="tx1"/>
                  </w14:solidFill>
                </w14:textFill>
              </w:rPr>
            </w:pPr>
            <w:r>
              <w:rPr>
                <w:rFonts w:hint="eastAsia" w:cs="Times New Roman"/>
                <w:color w:val="auto"/>
                <w:kern w:val="0"/>
                <w:sz w:val="24"/>
                <w:szCs w:val="24"/>
                <w:lang w:val="en-US" w:eastAsia="zh-CN" w:bidi="ar-SA"/>
              </w:rPr>
              <w:t>施工产生的扬尘为无组织排放，产生量视风速而定，根据与此项目类似的施工现场数据参考，当风速超过2.5m/s时，施工扬尘会使施工现场100m范围内</w:t>
            </w:r>
            <w:r>
              <w:rPr>
                <w:rFonts w:hint="eastAsia" w:cs="Times New Roman"/>
                <w:color w:val="000000" w:themeColor="text1"/>
                <w:kern w:val="0"/>
                <w:sz w:val="24"/>
                <w:szCs w:val="24"/>
                <w:lang w:val="en-US" w:eastAsia="zh-CN" w:bidi="ar-SA"/>
                <w14:textFill>
                  <w14:solidFill>
                    <w14:schemeClr w14:val="tx1"/>
                  </w14:solidFill>
                </w14:textFill>
              </w:rPr>
              <w:t>的环境空气中的总悬浮颗粒物（TSP）超标。</w:t>
            </w:r>
          </w:p>
          <w:p w14:paraId="6CD2C473">
            <w:pPr>
              <w:pStyle w:val="55"/>
              <w:spacing w:line="360" w:lineRule="auto"/>
              <w:ind w:firstLine="480"/>
              <w:rPr>
                <w:rFonts w:hint="eastAsia" w:cs="Times New Roman"/>
                <w:color w:val="000000" w:themeColor="text1"/>
                <w:kern w:val="0"/>
                <w:sz w:val="24"/>
                <w:szCs w:val="24"/>
                <w:lang w:val="en-US" w:eastAsia="zh-CN" w:bidi="ar-SA"/>
                <w14:textFill>
                  <w14:solidFill>
                    <w14:schemeClr w14:val="tx1"/>
                  </w14:solidFill>
                </w14:textFill>
              </w:rPr>
            </w:pPr>
            <w:r>
              <w:rPr>
                <w:rFonts w:hint="eastAsia" w:cs="Times New Roman"/>
                <w:color w:val="000000" w:themeColor="text1"/>
                <w:kern w:val="0"/>
                <w:sz w:val="24"/>
                <w:szCs w:val="24"/>
                <w:lang w:val="en-US" w:eastAsia="zh-CN" w:bidi="ar-SA"/>
                <w14:textFill>
                  <w14:solidFill>
                    <w14:schemeClr w14:val="tx1"/>
                  </w14:solidFill>
                </w14:textFill>
              </w:rPr>
              <w:t>本项目建设施工期产生的大气污染物主要为扬尘。产生扬尘的作业主要有平整土地、开挖、回填、打桩、道路运输、露天堆放和原材料装卸等，若有无雨的大风天气，扬尘将会更严重。</w:t>
            </w:r>
          </w:p>
          <w:p w14:paraId="6C9EF0B3">
            <w:pPr>
              <w:pStyle w:val="55"/>
              <w:spacing w:line="360" w:lineRule="auto"/>
              <w:ind w:firstLine="480"/>
              <w:rPr>
                <w:rFonts w:hint="eastAsia" w:ascii="Times New Roman" w:hAnsi="Times New Roman" w:eastAsia="宋体" w:cs="Times New Roman"/>
                <w:color w:val="000000" w:themeColor="text1"/>
                <w:kern w:val="0"/>
                <w:sz w:val="24"/>
                <w14:textFill>
                  <w14:solidFill>
                    <w14:schemeClr w14:val="tx1"/>
                  </w14:solidFill>
                </w14:textFill>
              </w:rPr>
            </w:pPr>
            <w:r>
              <w:rPr>
                <w:rFonts w:hint="eastAsia" w:cs="Times New Roman"/>
                <w:color w:val="000000" w:themeColor="text1"/>
                <w:kern w:val="0"/>
                <w:sz w:val="24"/>
                <w:szCs w:val="24"/>
                <w:lang w:val="en-US" w:eastAsia="zh-CN" w:bidi="ar-SA"/>
                <w14:textFill>
                  <w14:solidFill>
                    <w14:schemeClr w14:val="tx1"/>
                  </w14:solidFill>
                </w14:textFill>
              </w:rPr>
              <w:t>为了减轻施工扬尘对周围环境空气造成的不利影响，施工单位应采取如下措施：施工工地全面落实“六个百分之百”（</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施工工地周边100%围挡；</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物料堆放100%覆盖</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出入车辆100%冲洗</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施工现场地面100%硬化</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拆迁工地100%湿法作业</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渣土车辆100%密闭运输</w:t>
            </w:r>
            <w:r>
              <w:rPr>
                <w:rFonts w:hint="eastAsia" w:cs="Times New Roman"/>
                <w:color w:val="000000" w:themeColor="text1"/>
                <w:kern w:val="0"/>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0"/>
                <w:sz w:val="24"/>
                <w14:textFill>
                  <w14:solidFill>
                    <w14:schemeClr w14:val="tx1"/>
                  </w14:solidFill>
                </w14:textFill>
              </w:rPr>
              <w:t>根据《新疆维吾尔自治区大气污染防治条例》第三十八条房屋建筑、市政基础设施建设和城市规划区内水利工程等可能产生扬尘污染活动的施工现场，施工单位应当采取下列防尘措施：</w:t>
            </w:r>
          </w:p>
          <w:p w14:paraId="252EEB4B">
            <w:pPr>
              <w:pStyle w:val="55"/>
              <w:spacing w:line="360" w:lineRule="auto"/>
              <w:ind w:firstLine="480"/>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（1）建设项目开工前，按照标准在施工工地四周设立围挡护栏，有破损倒塌及时修补维护。</w:t>
            </w:r>
          </w:p>
          <w:p w14:paraId="0B80F41E">
            <w:pPr>
              <w:pStyle w:val="55"/>
              <w:spacing w:line="360" w:lineRule="auto"/>
              <w:ind w:firstLine="480"/>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（2）施工工地的车辆行驶道路和物料堆放场地进行地面硬化，</w:t>
            </w:r>
            <w:r>
              <w:rPr>
                <w:rFonts w:hint="eastAsia" w:cs="Times New Roman"/>
                <w:color w:val="000000" w:themeColor="text1"/>
                <w:kern w:val="0"/>
                <w:sz w:val="24"/>
                <w:lang w:val="en-US" w:eastAsia="zh-CN"/>
                <w14:textFill>
                  <w14:solidFill>
                    <w14:schemeClr w14:val="tx1"/>
                  </w14:solidFill>
                </w14:textFill>
              </w:rPr>
              <w:t>根据厂区平面布置图，除建筑区域和绿化区域外，其余土地均进行地面硬化。</w:t>
            </w:r>
          </w:p>
          <w:p w14:paraId="38E4DD9F">
            <w:pPr>
              <w:pStyle w:val="55"/>
              <w:spacing w:line="360" w:lineRule="auto"/>
              <w:ind w:firstLine="480"/>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（3）堆放的物料尽量集中，并且全覆盖或封闭。</w:t>
            </w:r>
          </w:p>
          <w:p w14:paraId="5EAA0C97">
            <w:pPr>
              <w:pStyle w:val="55"/>
              <w:spacing w:line="360" w:lineRule="auto"/>
              <w:ind w:firstLine="480"/>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（4）施工现场的出口设置车辆冲洗设施，冲洗干净后方可上路行驶。</w:t>
            </w:r>
          </w:p>
          <w:p w14:paraId="4809A21E">
            <w:pPr>
              <w:pStyle w:val="55"/>
              <w:spacing w:line="360" w:lineRule="auto"/>
              <w:ind w:firstLine="480"/>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（5）及</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时对施工现场进行清理和平整，不得从高处向下倾倒或者抛洒各类物料和建筑垃圾。</w:t>
            </w:r>
          </w:p>
          <w:p w14:paraId="246217F9">
            <w:pPr>
              <w:pStyle w:val="55"/>
              <w:spacing w:line="360" w:lineRule="auto"/>
              <w:ind w:firstLine="480"/>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（6）施工现场入口设置告示牌，标明现场联系人、环保监督员、扬尘治理措施、举报电话等信息。</w:t>
            </w:r>
          </w:p>
          <w:p w14:paraId="28D1BD77">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1.2施工机械尾气及防治措施</w:t>
            </w:r>
          </w:p>
          <w:p w14:paraId="14B5255E">
            <w:pPr>
              <w:pStyle w:val="8"/>
              <w:spacing w:before="0" w:after="0" w:line="360" w:lineRule="auto"/>
              <w:ind w:right="0" w:firstLine="480" w:firstLineChars="200"/>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施工中有大量的燃油设备会产生大量的废气。施工单位应经常对施工机械做好维护、保养，以避免柴油机内的油料因不完全燃烧而产生超标烟气；保证使用柴油的大型运输车辆、推土机、挖掘机、压路机等有安装尾气净化装置，以防尾气超标排放；运输车辆合理载重，不使用劣质燃料；监督管理好车辆的尾气排放，严格</w:t>
            </w:r>
            <w:r>
              <w:rPr>
                <w:rFonts w:ascii="Times New Roman" w:hAnsi="Times New Roman" w:eastAsia="宋体" w:cs="Times New Roman"/>
                <w:color w:val="auto"/>
                <w:kern w:val="0"/>
                <w:sz w:val="24"/>
                <w:szCs w:val="24"/>
                <w:lang w:val="en-US" w:eastAsia="zh-CN" w:bidi="ar-SA"/>
              </w:rPr>
              <w:t>执行汽车排污监管办法</w:t>
            </w:r>
            <w:r>
              <w:rPr>
                <w:rFonts w:hint="eastAsia" w:ascii="Times New Roman" w:hAnsi="Times New Roman" w:eastAsia="宋体" w:cs="Times New Roman"/>
                <w:color w:val="auto"/>
                <w:kern w:val="0"/>
                <w:sz w:val="24"/>
                <w:szCs w:val="24"/>
                <w:lang w:val="en-US" w:eastAsia="zh-CN" w:bidi="ar-SA"/>
              </w:rPr>
              <w:t>。</w:t>
            </w:r>
          </w:p>
          <w:p w14:paraId="65DC83C1">
            <w:pPr>
              <w:pStyle w:val="8"/>
              <w:spacing w:before="0" w:after="0" w:line="360" w:lineRule="auto"/>
              <w:ind w:right="0" w:firstLine="480" w:firstLineChars="200"/>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执行好以上措施后，施工建设期间不会对环境空气质量产生重大影响。</w:t>
            </w:r>
          </w:p>
          <w:p w14:paraId="16301689">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2.水污染及防治措施</w:t>
            </w:r>
          </w:p>
          <w:p w14:paraId="0A2101D1">
            <w:pPr>
              <w:pStyle w:val="55"/>
              <w:spacing w:line="360" w:lineRule="auto"/>
              <w:ind w:firstLine="480"/>
              <w:rPr>
                <w:rFonts w:hint="eastAsia" w:cs="Times New Roman"/>
                <w:color w:val="auto"/>
                <w:kern w:val="0"/>
                <w:sz w:val="24"/>
                <w:szCs w:val="24"/>
                <w:lang w:val="en-US" w:eastAsia="zh-CN" w:bidi="ar-SA"/>
              </w:rPr>
            </w:pPr>
            <w:r>
              <w:rPr>
                <w:rFonts w:hint="eastAsia" w:cs="Times New Roman"/>
                <w:color w:val="auto"/>
                <w:kern w:val="0"/>
                <w:sz w:val="24"/>
                <w:szCs w:val="24"/>
                <w:lang w:val="en-US" w:eastAsia="zh-CN" w:bidi="ar-SA"/>
              </w:rPr>
              <w:t>施工建设期间产生的废水主要为施工废水和施工人员生活污水。</w:t>
            </w:r>
          </w:p>
          <w:p w14:paraId="3697F50C">
            <w:pPr>
              <w:pStyle w:val="55"/>
              <w:spacing w:line="360" w:lineRule="auto"/>
              <w:ind w:firstLine="480"/>
              <w:rPr>
                <w:rFonts w:hint="eastAsia" w:cs="Times New Roman"/>
                <w:color w:val="auto"/>
                <w:kern w:val="0"/>
                <w:sz w:val="24"/>
                <w:szCs w:val="24"/>
                <w:lang w:val="en-US" w:eastAsia="zh-CN" w:bidi="ar-SA"/>
              </w:rPr>
            </w:pPr>
            <w:r>
              <w:rPr>
                <w:rFonts w:hint="eastAsia" w:cs="Times New Roman"/>
                <w:color w:val="auto"/>
                <w:kern w:val="0"/>
                <w:sz w:val="24"/>
                <w:szCs w:val="24"/>
                <w:lang w:val="en-US" w:eastAsia="zh-CN" w:bidi="ar-SA"/>
              </w:rPr>
              <w:t>施工废水主要有砂石料冲洗废水和施工机械及运输车辆的清洗水，主要污染物为悬浮物和泥沙，</w:t>
            </w:r>
            <w:r>
              <w:rPr>
                <w:rFonts w:hint="eastAsia" w:ascii="Times New Roman" w:hAnsi="Times New Roman" w:eastAsia="宋体" w:cs="Times New Roman"/>
                <w:color w:val="auto"/>
                <w:kern w:val="0"/>
                <w:sz w:val="24"/>
                <w:szCs w:val="24"/>
                <w:lang w:val="en-US" w:eastAsia="zh-CN" w:bidi="ar-SA"/>
              </w:rPr>
              <w:t>施工废水经集中收集后排入临时废水沉淀池，经沉淀后全部回用于洒水降尘。</w:t>
            </w:r>
          </w:p>
          <w:p w14:paraId="4E95FD84">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0"/>
              <w:jc w:val="both"/>
              <w:textAlignment w:val="auto"/>
              <w:rPr>
                <w:rFonts w:hint="default" w:cs="Times New Roman"/>
                <w:color w:val="auto"/>
                <w:kern w:val="0"/>
                <w:sz w:val="24"/>
                <w:szCs w:val="24"/>
                <w:lang w:val="en-US" w:eastAsia="zh-CN" w:bidi="ar-SA"/>
              </w:rPr>
            </w:pPr>
            <w:r>
              <w:rPr>
                <w:rFonts w:hint="eastAsia" w:cs="Times New Roman"/>
                <w:color w:val="auto"/>
                <w:kern w:val="0"/>
                <w:sz w:val="24"/>
                <w:szCs w:val="24"/>
                <w:lang w:val="en-US" w:eastAsia="zh-CN" w:bidi="ar-SA"/>
              </w:rPr>
              <w:t>生活污水主要来源于施工人员日常生活排放，施工人员按17人计，每人每天按60L计，</w:t>
            </w:r>
            <w:r>
              <w:rPr>
                <w:rFonts w:hint="eastAsia" w:cs="Times New Roman"/>
                <w:color w:val="auto"/>
                <w:kern w:val="0"/>
                <w:sz w:val="24"/>
                <w:szCs w:val="24"/>
                <w:highlight w:val="none"/>
                <w:lang w:val="en-US" w:eastAsia="zh-CN" w:bidi="ar-SA"/>
              </w:rPr>
              <w:t>施工期3个月，总用水量为91.8m</w:t>
            </w:r>
            <w:r>
              <w:rPr>
                <w:rFonts w:hint="eastAsia" w:cs="Times New Roman"/>
                <w:color w:val="auto"/>
                <w:kern w:val="0"/>
                <w:sz w:val="24"/>
                <w:szCs w:val="24"/>
                <w:highlight w:val="none"/>
                <w:vertAlign w:val="superscript"/>
                <w:lang w:val="en-US" w:eastAsia="zh-CN" w:bidi="ar-SA"/>
              </w:rPr>
              <w:t>2</w:t>
            </w:r>
            <w:r>
              <w:rPr>
                <w:rFonts w:hint="eastAsia" w:cs="Times New Roman"/>
                <w:color w:val="auto"/>
                <w:kern w:val="0"/>
                <w:sz w:val="24"/>
                <w:szCs w:val="24"/>
                <w:highlight w:val="none"/>
                <w:vertAlign w:val="baseline"/>
                <w:lang w:val="en-US" w:eastAsia="zh-CN" w:bidi="ar-SA"/>
              </w:rPr>
              <w:t>，生活污水的排放量按生活用水的80%计，则生活污水的总排放量为73.44m</w:t>
            </w:r>
            <w:r>
              <w:rPr>
                <w:rFonts w:hint="eastAsia" w:cs="Times New Roman"/>
                <w:color w:val="auto"/>
                <w:kern w:val="0"/>
                <w:sz w:val="24"/>
                <w:szCs w:val="24"/>
                <w:highlight w:val="none"/>
                <w:vertAlign w:val="superscript"/>
                <w:lang w:val="en-US" w:eastAsia="zh-CN" w:bidi="ar-SA"/>
              </w:rPr>
              <w:t>2</w:t>
            </w:r>
            <w:r>
              <w:rPr>
                <w:rFonts w:hint="eastAsia" w:cs="Times New Roman"/>
                <w:color w:val="auto"/>
                <w:kern w:val="0"/>
                <w:sz w:val="24"/>
                <w:szCs w:val="24"/>
                <w:highlight w:val="none"/>
                <w:vertAlign w:val="baseline"/>
                <w:lang w:val="en-US" w:eastAsia="zh-CN" w:bidi="ar-SA"/>
              </w:rPr>
              <w:t>。</w:t>
            </w:r>
            <w:r>
              <w:rPr>
                <w:rFonts w:hint="eastAsia" w:ascii="Times New Roman" w:hAnsi="Times New Roman" w:eastAsia="宋体" w:cs="Times New Roman"/>
                <w:b w:val="0"/>
                <w:bCs w:val="0"/>
                <w:color w:val="auto"/>
                <w:kern w:val="0"/>
                <w:sz w:val="24"/>
                <w:highlight w:val="none"/>
                <w:lang w:val="en-US" w:eastAsia="zh-CN"/>
              </w:rPr>
              <w:t>根据厂区平面布置图，设计好放置一体化污水处理设备的位置，并于施工期立即开</w:t>
            </w:r>
            <w:r>
              <w:rPr>
                <w:rFonts w:hint="eastAsia" w:ascii="Times New Roman" w:hAnsi="Times New Roman" w:eastAsia="宋体" w:cs="Times New Roman"/>
                <w:b w:val="0"/>
                <w:bCs w:val="0"/>
                <w:color w:val="auto"/>
                <w:kern w:val="0"/>
                <w:sz w:val="24"/>
                <w:lang w:val="en-US" w:eastAsia="zh-CN"/>
              </w:rPr>
              <w:t>始使用，施工期施工人员产生的生活污水排入一体化污水处理设备处理，与运营期生活污水执行相同排放标准，即</w:t>
            </w:r>
            <w:r>
              <w:rPr>
                <w:rFonts w:hint="eastAsia" w:cs="Times New Roman"/>
                <w:color w:val="auto"/>
                <w:kern w:val="0"/>
                <w:sz w:val="24"/>
                <w:lang w:eastAsia="zh-CN"/>
              </w:rPr>
              <w:t>《</w:t>
            </w:r>
            <w:r>
              <w:rPr>
                <w:rFonts w:hint="eastAsia" w:cs="Times New Roman"/>
                <w:color w:val="auto"/>
                <w:kern w:val="0"/>
                <w:sz w:val="24"/>
                <w:szCs w:val="24"/>
                <w:highlight w:val="none"/>
                <w:lang w:val="en-US" w:eastAsia="zh-CN" w:bidi="ar-SA"/>
              </w:rPr>
              <w:t>农村生活污水处理排放标准</w:t>
            </w:r>
            <w:r>
              <w:rPr>
                <w:rFonts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DB65/4275-2019</w:t>
            </w:r>
            <w:r>
              <w:rPr>
                <w:rFonts w:ascii="Times New Roman" w:hAnsi="Times New Roman" w:eastAsia="宋体" w:cs="Times New Roman"/>
                <w:color w:val="auto"/>
                <w:kern w:val="0"/>
                <w:sz w:val="24"/>
                <w:szCs w:val="24"/>
                <w:highlight w:val="none"/>
                <w:lang w:val="en-US" w:eastAsia="zh-CN" w:bidi="ar-SA"/>
              </w:rPr>
              <w:t>）表</w:t>
            </w:r>
            <w:r>
              <w:rPr>
                <w:rFonts w:hint="eastAsia" w:cs="Times New Roman"/>
                <w:color w:val="auto"/>
                <w:kern w:val="0"/>
                <w:sz w:val="24"/>
                <w:szCs w:val="24"/>
                <w:highlight w:val="none"/>
                <w:lang w:val="en-US" w:eastAsia="zh-CN" w:bidi="ar-SA"/>
              </w:rPr>
              <w:t>2</w:t>
            </w:r>
            <w:r>
              <w:rPr>
                <w:rFonts w:ascii="Times New Roman" w:hAnsi="Times New Roman" w:eastAsia="宋体" w:cs="Times New Roman"/>
                <w:color w:val="auto"/>
                <w:kern w:val="0"/>
                <w:sz w:val="24"/>
                <w:szCs w:val="24"/>
                <w:highlight w:val="none"/>
                <w:lang w:val="en-US" w:eastAsia="zh-CN" w:bidi="ar-SA"/>
              </w:rPr>
              <w:t>中</w:t>
            </w:r>
            <w:r>
              <w:rPr>
                <w:rFonts w:hint="eastAsia" w:cs="Times New Roman"/>
                <w:color w:val="auto"/>
                <w:kern w:val="0"/>
                <w:sz w:val="24"/>
                <w:szCs w:val="24"/>
                <w:highlight w:val="none"/>
                <w:lang w:val="en-US" w:eastAsia="zh-CN" w:bidi="ar-SA"/>
              </w:rPr>
              <w:t>C级标准。</w:t>
            </w:r>
            <w:r>
              <w:rPr>
                <w:rFonts w:hint="eastAsia" w:cs="Times New Roman"/>
                <w:b w:val="0"/>
                <w:bCs w:val="0"/>
                <w:color w:val="auto"/>
                <w:kern w:val="0"/>
                <w:sz w:val="24"/>
                <w:highlight w:val="none"/>
                <w:lang w:val="en-US" w:eastAsia="zh-CN"/>
              </w:rPr>
              <w:t>排入一体化污水处理设备处理之后能够达标排放</w:t>
            </w:r>
            <w:r>
              <w:rPr>
                <w:rFonts w:hint="eastAsia" w:cs="Times New Roman"/>
                <w:color w:val="auto"/>
                <w:kern w:val="0"/>
                <w:sz w:val="24"/>
                <w:szCs w:val="24"/>
                <w:highlight w:val="none"/>
                <w:lang w:val="en-US" w:eastAsia="zh-CN" w:bidi="ar-SA"/>
              </w:rPr>
              <w:t>用于厂区洒水降尘。</w:t>
            </w:r>
          </w:p>
          <w:p w14:paraId="5BE74E9E">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3.噪声污染及防治措施</w:t>
            </w:r>
          </w:p>
          <w:p w14:paraId="09968FA7">
            <w:pPr>
              <w:pStyle w:val="56"/>
              <w:spacing w:line="360" w:lineRule="auto"/>
              <w:ind w:firstLine="480" w:firstLineChars="200"/>
              <w:rPr>
                <w:rFonts w:ascii="Times New Roman" w:hAnsi="Times New Roman" w:eastAsia="宋体" w:cs="Times New Roman"/>
                <w:b w:val="0"/>
                <w:color w:val="auto"/>
                <w:kern w:val="0"/>
                <w:sz w:val="24"/>
                <w:szCs w:val="24"/>
                <w:lang w:val="en-US" w:eastAsia="zh-CN" w:bidi="ar-SA"/>
              </w:rPr>
            </w:pPr>
            <w:r>
              <w:rPr>
                <w:rFonts w:hint="eastAsia" w:ascii="Times New Roman" w:hAnsi="Times New Roman" w:eastAsia="宋体" w:cs="Times New Roman"/>
                <w:b w:val="0"/>
                <w:color w:val="auto"/>
                <w:kern w:val="0"/>
                <w:sz w:val="24"/>
                <w:szCs w:val="24"/>
                <w:lang w:val="en-US" w:eastAsia="zh-CN" w:bidi="ar-SA"/>
              </w:rPr>
              <w:t>施工期噪声污染源主要为施工机械噪声和运输车辆产生的噪声。这些机械的单体噪声均超过</w:t>
            </w:r>
            <w:r>
              <w:rPr>
                <w:rFonts w:ascii="Times New Roman" w:hAnsi="Times New Roman" w:eastAsia="宋体" w:cs="Times New Roman"/>
                <w:b w:val="0"/>
                <w:color w:val="auto"/>
                <w:kern w:val="0"/>
                <w:sz w:val="24"/>
                <w:szCs w:val="24"/>
                <w:lang w:val="en-US" w:eastAsia="zh-CN" w:bidi="ar-SA"/>
              </w:rPr>
              <w:t>《建筑施工场界环境噪声排放标准》（GB12523-2011）</w:t>
            </w:r>
            <w:r>
              <w:rPr>
                <w:rFonts w:hint="eastAsia" w:ascii="Times New Roman" w:hAnsi="Times New Roman" w:eastAsia="宋体" w:cs="Times New Roman"/>
                <w:b w:val="0"/>
                <w:color w:val="auto"/>
                <w:kern w:val="0"/>
                <w:sz w:val="24"/>
                <w:szCs w:val="24"/>
                <w:lang w:val="en-US" w:eastAsia="zh-CN" w:bidi="ar-SA"/>
              </w:rPr>
              <w:t>中的噪声排放限值，</w:t>
            </w:r>
            <w:r>
              <w:rPr>
                <w:rFonts w:ascii="Times New Roman" w:hAnsi="Times New Roman" w:eastAsia="宋体" w:cs="Times New Roman"/>
                <w:b w:val="0"/>
                <w:color w:val="auto"/>
                <w:kern w:val="0"/>
                <w:sz w:val="24"/>
                <w:szCs w:val="24"/>
                <w:lang w:val="en-US" w:eastAsia="zh-CN" w:bidi="ar-SA"/>
              </w:rPr>
              <w:t>这些机械设备的运转将会影响施工场地周围区域声环境质量。</w:t>
            </w:r>
          </w:p>
          <w:p w14:paraId="6798D3FE">
            <w:pPr>
              <w:pStyle w:val="55"/>
              <w:spacing w:line="360" w:lineRule="auto"/>
              <w:ind w:firstLine="480" w:firstLineChars="200"/>
              <w:rPr>
                <w:rFonts w:hint="eastAsia" w:cs="Times New Roman"/>
                <w:color w:val="auto"/>
                <w:kern w:val="0"/>
                <w:sz w:val="24"/>
                <w:szCs w:val="24"/>
                <w:lang w:val="en-US" w:eastAsia="zh-CN" w:bidi="ar-SA"/>
              </w:rPr>
            </w:pPr>
            <w:r>
              <w:rPr>
                <w:rFonts w:hint="eastAsia" w:cs="Times New Roman"/>
                <w:color w:val="auto"/>
                <w:kern w:val="0"/>
                <w:sz w:val="24"/>
                <w:szCs w:val="24"/>
                <w:lang w:val="en-US" w:eastAsia="zh-CN" w:bidi="ar-SA"/>
              </w:rPr>
              <w:t>为减轻机械设备对施工场地周围区域声环境的影响，建议采取如下措施：</w:t>
            </w:r>
          </w:p>
          <w:p w14:paraId="28071DBB">
            <w:pPr>
              <w:pStyle w:val="55"/>
              <w:spacing w:line="360" w:lineRule="auto"/>
              <w:ind w:firstLine="480" w:firstLineChars="200"/>
              <w:rPr>
                <w:rFonts w:hint="default" w:cs="Times New Roman"/>
                <w:color w:val="auto"/>
                <w:kern w:val="0"/>
                <w:sz w:val="24"/>
                <w:szCs w:val="24"/>
                <w:lang w:val="en-US" w:eastAsia="zh-CN" w:bidi="ar-SA"/>
              </w:rPr>
            </w:pPr>
            <w:r>
              <w:rPr>
                <w:rFonts w:hint="eastAsia" w:cs="Times New Roman"/>
                <w:color w:val="auto"/>
                <w:kern w:val="0"/>
                <w:sz w:val="24"/>
                <w:szCs w:val="24"/>
                <w:lang w:val="en-US" w:eastAsia="zh-CN" w:bidi="ar-SA"/>
              </w:rPr>
              <w:t>（1）定期维护动力机械，尽量选用低噪音的机械设备。</w:t>
            </w:r>
          </w:p>
          <w:p w14:paraId="0C90105A">
            <w:pPr>
              <w:pStyle w:val="55"/>
              <w:spacing w:line="360" w:lineRule="auto"/>
              <w:ind w:firstLine="480" w:firstLineChars="200"/>
              <w:rPr>
                <w:rFonts w:hint="default" w:cs="Times New Roman"/>
                <w:color w:val="auto"/>
                <w:kern w:val="0"/>
                <w:sz w:val="24"/>
                <w:szCs w:val="24"/>
                <w:lang w:val="en-US" w:eastAsia="zh-CN" w:bidi="ar-SA"/>
              </w:rPr>
            </w:pPr>
            <w:r>
              <w:rPr>
                <w:rFonts w:hint="eastAsia" w:cs="Times New Roman"/>
                <w:color w:val="auto"/>
                <w:kern w:val="0"/>
                <w:sz w:val="24"/>
                <w:szCs w:val="24"/>
                <w:lang w:val="en-US" w:eastAsia="zh-CN" w:bidi="ar-SA"/>
              </w:rPr>
              <w:t>（2）合理安排施工作业的工作时间，不同时间段的噪声根据</w:t>
            </w:r>
            <w:r>
              <w:rPr>
                <w:rFonts w:ascii="Times New Roman" w:hAnsi="Times New Roman" w:eastAsia="宋体" w:cs="Times New Roman"/>
                <w:b w:val="0"/>
                <w:color w:val="auto"/>
                <w:kern w:val="0"/>
                <w:sz w:val="24"/>
                <w:szCs w:val="24"/>
                <w:lang w:val="en-US" w:eastAsia="zh-CN" w:bidi="ar-SA"/>
              </w:rPr>
              <w:t>《建筑施工场界环境噪声排放标准》（GB12523-2011）</w:t>
            </w:r>
            <w:r>
              <w:rPr>
                <w:rFonts w:hint="eastAsia" w:ascii="Times New Roman" w:hAnsi="Times New Roman" w:eastAsia="宋体" w:cs="Times New Roman"/>
                <w:b w:val="0"/>
                <w:color w:val="auto"/>
                <w:kern w:val="0"/>
                <w:sz w:val="24"/>
                <w:szCs w:val="24"/>
                <w:lang w:val="en-US" w:eastAsia="zh-CN" w:bidi="ar-SA"/>
              </w:rPr>
              <w:t>进行控制。</w:t>
            </w:r>
          </w:p>
          <w:p w14:paraId="38322429">
            <w:pPr>
              <w:pStyle w:val="55"/>
              <w:spacing w:line="360" w:lineRule="auto"/>
              <w:ind w:firstLine="480" w:firstLineChars="200"/>
              <w:rPr>
                <w:rFonts w:hint="eastAsia"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（3）事先与相关部门联系，拟定好运输车辆的行驶路线，尽量</w:t>
            </w:r>
            <w:r>
              <w:rPr>
                <w:rFonts w:ascii="Times New Roman" w:hAnsi="Times New Roman" w:eastAsia="宋体" w:cs="Times New Roman"/>
                <w:color w:val="auto"/>
                <w:kern w:val="0"/>
                <w:sz w:val="24"/>
                <w:szCs w:val="24"/>
                <w:lang w:val="en-US" w:eastAsia="zh-CN" w:bidi="ar-SA"/>
              </w:rPr>
              <w:t>避开</w:t>
            </w:r>
            <w:r>
              <w:rPr>
                <w:rFonts w:hint="eastAsia" w:ascii="Times New Roman" w:hAnsi="Times New Roman" w:eastAsia="宋体" w:cs="Times New Roman"/>
                <w:color w:val="auto"/>
                <w:kern w:val="0"/>
                <w:sz w:val="24"/>
                <w:szCs w:val="24"/>
                <w:lang w:val="en-US" w:eastAsia="zh-CN" w:bidi="ar-SA"/>
              </w:rPr>
              <w:t>车辆</w:t>
            </w:r>
            <w:r>
              <w:rPr>
                <w:rFonts w:ascii="Times New Roman" w:hAnsi="Times New Roman" w:eastAsia="宋体" w:cs="Times New Roman"/>
                <w:color w:val="auto"/>
                <w:kern w:val="0"/>
                <w:sz w:val="24"/>
                <w:szCs w:val="24"/>
                <w:lang w:val="en-US" w:eastAsia="zh-CN" w:bidi="ar-SA"/>
              </w:rPr>
              <w:t>拥挤路段</w:t>
            </w:r>
            <w:r>
              <w:rPr>
                <w:rFonts w:hint="eastAsia" w:ascii="Times New Roman" w:hAnsi="Times New Roman" w:eastAsia="宋体" w:cs="Times New Roman"/>
                <w:color w:val="auto"/>
                <w:kern w:val="0"/>
                <w:sz w:val="24"/>
                <w:szCs w:val="24"/>
                <w:lang w:val="en-US" w:eastAsia="zh-CN" w:bidi="ar-SA"/>
              </w:rPr>
              <w:t>、噪声</w:t>
            </w:r>
            <w:r>
              <w:rPr>
                <w:rFonts w:ascii="Times New Roman" w:hAnsi="Times New Roman" w:eastAsia="宋体" w:cs="Times New Roman"/>
                <w:color w:val="auto"/>
                <w:kern w:val="0"/>
                <w:sz w:val="24"/>
                <w:szCs w:val="24"/>
                <w:lang w:val="en-US" w:eastAsia="zh-CN" w:bidi="ar-SA"/>
              </w:rPr>
              <w:t>敏感点和交通高峰时段。</w:t>
            </w:r>
            <w:r>
              <w:rPr>
                <w:rFonts w:hint="eastAsia" w:ascii="Times New Roman" w:hAnsi="Times New Roman" w:eastAsia="宋体" w:cs="Times New Roman"/>
                <w:color w:val="auto"/>
                <w:kern w:val="0"/>
                <w:sz w:val="24"/>
                <w:szCs w:val="24"/>
                <w:lang w:val="en-US" w:eastAsia="zh-CN" w:bidi="ar-SA"/>
              </w:rPr>
              <w:t>无法避开的应减速行驶，禁止鸣笛。</w:t>
            </w:r>
          </w:p>
          <w:p w14:paraId="6E4BD04F">
            <w:pPr>
              <w:pStyle w:val="55"/>
              <w:spacing w:line="360" w:lineRule="auto"/>
              <w:ind w:firstLine="480" w:firstLineChars="20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（4）做好劳保工作，对距离噪声源较近的施工人员采取必要的防护措施，如防护罩或耳塞。</w:t>
            </w:r>
          </w:p>
          <w:p w14:paraId="06F49A09">
            <w:pPr>
              <w:pStyle w:val="55"/>
              <w:spacing w:line="360" w:lineRule="auto"/>
              <w:ind w:firstLine="480" w:firstLineChars="200"/>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本项目施工期在采取上述防护和控制措施后能有效减小施工期噪声对周围区域声环境的影响。且噪声属于无残留污染物，对周围区域声环境的影响会随着施工结束而结束，随之恢复至施工前的水平。</w:t>
            </w:r>
          </w:p>
          <w:p w14:paraId="537FAA29">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4.固体废物防治污染措施</w:t>
            </w:r>
          </w:p>
          <w:p w14:paraId="44939E6F">
            <w:pPr>
              <w:autoSpaceDE w:val="0"/>
              <w:autoSpaceDN w:val="0"/>
              <w:adjustRightInd w:val="0"/>
              <w:snapToGrid w:val="0"/>
              <w:spacing w:line="360" w:lineRule="auto"/>
              <w:ind w:firstLine="480" w:firstLineChars="200"/>
              <w:rPr>
                <w:rFonts w:hint="eastAsia" w:cs="Times New Roman"/>
                <w:color w:val="auto"/>
                <w:kern w:val="0"/>
                <w:sz w:val="24"/>
                <w:lang w:val="en-US" w:eastAsia="zh-CN"/>
              </w:rPr>
            </w:pPr>
            <w:r>
              <w:rPr>
                <w:rFonts w:hint="eastAsia" w:cs="Times New Roman"/>
                <w:color w:val="auto"/>
                <w:kern w:val="0"/>
                <w:sz w:val="24"/>
                <w:lang w:val="en-US" w:eastAsia="zh-CN"/>
              </w:rPr>
              <w:t>施工期间的固废主要有建筑垃圾和施工人员产生的生活垃圾。</w:t>
            </w:r>
          </w:p>
          <w:p w14:paraId="75E1AC0D">
            <w:pPr>
              <w:pStyle w:val="26"/>
              <w:spacing w:line="360" w:lineRule="auto"/>
              <w:ind w:left="0" w:leftChars="0" w:firstLine="480" w:firstLineChars="200"/>
              <w:rPr>
                <w:rFonts w:hint="eastAsia" w:cs="Times New Roman"/>
                <w:color w:val="auto"/>
                <w:kern w:val="0"/>
                <w:sz w:val="24"/>
                <w:lang w:val="en-US" w:eastAsia="zh-CN"/>
              </w:rPr>
            </w:pPr>
            <w:r>
              <w:rPr>
                <w:rFonts w:hint="eastAsia" w:cs="Times New Roman"/>
                <w:color w:val="auto"/>
                <w:kern w:val="0"/>
                <w:sz w:val="24"/>
                <w:lang w:val="en-US" w:eastAsia="zh-CN"/>
              </w:rPr>
              <w:t>建筑垃圾：能回收利用的尽量回收利用，无法回收的经收集之后联系垃圾清运车运送至垃圾场统一处理。</w:t>
            </w:r>
          </w:p>
          <w:p w14:paraId="700A4A78">
            <w:pPr>
              <w:pStyle w:val="26"/>
              <w:spacing w:line="360" w:lineRule="auto"/>
              <w:ind w:left="0" w:leftChars="0" w:firstLine="480" w:firstLineChars="200"/>
              <w:rPr>
                <w:rFonts w:hint="eastAsia"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生活垃圾：设置生活垃圾专用的垃圾箱，并进行分类，定期由垃圾清运车</w:t>
            </w:r>
            <w:r>
              <w:rPr>
                <w:rFonts w:hint="eastAsia" w:cs="Times New Roman"/>
                <w:color w:val="auto"/>
                <w:kern w:val="0"/>
                <w:sz w:val="24"/>
                <w:lang w:val="en-US" w:eastAsia="zh-CN"/>
              </w:rPr>
              <w:t>运送至垃圾场统一处理。</w:t>
            </w:r>
          </w:p>
          <w:p w14:paraId="66669C09">
            <w:pPr>
              <w:rPr>
                <w:rFonts w:hint="eastAsia" w:cs="Times New Roman"/>
                <w:color w:val="auto"/>
                <w:kern w:val="0"/>
                <w:sz w:val="24"/>
                <w:lang w:val="en-US" w:eastAsia="zh-CN"/>
              </w:rPr>
            </w:pPr>
          </w:p>
          <w:p w14:paraId="70D66F91">
            <w:pPr>
              <w:rPr>
                <w:rFonts w:hint="eastAsia" w:cs="Times New Roman"/>
                <w:color w:val="auto"/>
                <w:kern w:val="0"/>
                <w:sz w:val="24"/>
                <w:lang w:val="en-US" w:eastAsia="zh-CN"/>
              </w:rPr>
            </w:pPr>
          </w:p>
          <w:p w14:paraId="729350B2">
            <w:pPr>
              <w:rPr>
                <w:rFonts w:hint="eastAsia" w:cs="Times New Roman"/>
                <w:color w:val="auto"/>
                <w:kern w:val="0"/>
                <w:sz w:val="24"/>
                <w:lang w:val="en-US" w:eastAsia="zh-CN"/>
              </w:rPr>
            </w:pPr>
          </w:p>
          <w:p w14:paraId="7868CCA5">
            <w:pPr>
              <w:rPr>
                <w:rFonts w:hint="eastAsia" w:cs="Times New Roman"/>
                <w:color w:val="auto"/>
                <w:kern w:val="0"/>
                <w:sz w:val="24"/>
                <w:lang w:val="en-US" w:eastAsia="zh-CN"/>
              </w:rPr>
            </w:pPr>
          </w:p>
          <w:p w14:paraId="2E1B8D30">
            <w:pPr>
              <w:rPr>
                <w:rFonts w:hint="eastAsia" w:cs="Times New Roman"/>
                <w:color w:val="auto"/>
                <w:kern w:val="0"/>
                <w:sz w:val="24"/>
                <w:lang w:val="en-US" w:eastAsia="zh-CN"/>
              </w:rPr>
            </w:pPr>
          </w:p>
          <w:p w14:paraId="6F005D0D">
            <w:pPr>
              <w:rPr>
                <w:rFonts w:hint="default" w:cs="Times New Roman"/>
                <w:color w:val="auto"/>
                <w:kern w:val="0"/>
                <w:sz w:val="24"/>
                <w:lang w:val="en-US" w:eastAsia="zh-CN"/>
              </w:rPr>
            </w:pPr>
            <w:bookmarkStart w:id="3" w:name="_GoBack"/>
            <w:bookmarkEnd w:id="3"/>
          </w:p>
        </w:tc>
      </w:tr>
      <w:tr w14:paraId="13F14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22" w:hRule="atLeast"/>
          <w:jc w:val="center"/>
        </w:trPr>
        <w:tc>
          <w:tcPr>
            <w:tcW w:w="746" w:type="dxa"/>
            <w:tcMar>
              <w:left w:w="28" w:type="dxa"/>
              <w:right w:w="28" w:type="dxa"/>
            </w:tcMar>
            <w:vAlign w:val="center"/>
          </w:tcPr>
          <w:p w14:paraId="6DF8275C">
            <w:pPr>
              <w:adjustRightInd w:val="0"/>
              <w:snapToGrid w:val="0"/>
              <w:jc w:val="center"/>
              <w:rPr>
                <w:rFonts w:ascii="宋体" w:hAnsi="宋体" w:cs="宋体"/>
                <w:bCs/>
                <w:color w:val="auto"/>
                <w:szCs w:val="21"/>
              </w:rPr>
            </w:pPr>
            <w:r>
              <w:rPr>
                <w:rFonts w:hint="eastAsia" w:ascii="宋体" w:hAnsi="宋体" w:cs="宋体"/>
                <w:bCs/>
                <w:color w:val="auto"/>
                <w:szCs w:val="21"/>
              </w:rPr>
              <w:t>运营</w:t>
            </w:r>
          </w:p>
          <w:p w14:paraId="555C0F34">
            <w:pPr>
              <w:adjustRightInd w:val="0"/>
              <w:snapToGrid w:val="0"/>
              <w:jc w:val="center"/>
              <w:rPr>
                <w:rFonts w:ascii="宋体" w:hAnsi="宋体" w:cs="宋体"/>
                <w:bCs/>
                <w:color w:val="auto"/>
                <w:szCs w:val="21"/>
              </w:rPr>
            </w:pPr>
            <w:r>
              <w:rPr>
                <w:rFonts w:hint="eastAsia" w:ascii="宋体" w:hAnsi="宋体" w:cs="宋体"/>
                <w:bCs/>
                <w:color w:val="auto"/>
                <w:szCs w:val="21"/>
              </w:rPr>
              <w:t>期环</w:t>
            </w:r>
          </w:p>
          <w:p w14:paraId="3BB65E75">
            <w:pPr>
              <w:adjustRightInd w:val="0"/>
              <w:snapToGrid w:val="0"/>
              <w:jc w:val="center"/>
              <w:rPr>
                <w:rFonts w:ascii="宋体" w:hAnsi="宋体" w:cs="宋体"/>
                <w:bCs/>
                <w:color w:val="auto"/>
                <w:szCs w:val="21"/>
              </w:rPr>
            </w:pPr>
            <w:r>
              <w:rPr>
                <w:rFonts w:hint="eastAsia" w:ascii="宋体" w:hAnsi="宋体" w:cs="宋体"/>
                <w:bCs/>
                <w:color w:val="auto"/>
                <w:szCs w:val="21"/>
              </w:rPr>
              <w:t>境影</w:t>
            </w:r>
          </w:p>
          <w:p w14:paraId="78767E98">
            <w:pPr>
              <w:adjustRightInd w:val="0"/>
              <w:snapToGrid w:val="0"/>
              <w:jc w:val="center"/>
              <w:rPr>
                <w:rFonts w:ascii="宋体" w:hAnsi="宋体" w:cs="宋体"/>
                <w:bCs/>
                <w:color w:val="auto"/>
                <w:szCs w:val="21"/>
              </w:rPr>
            </w:pPr>
            <w:r>
              <w:rPr>
                <w:rFonts w:hint="eastAsia" w:ascii="宋体" w:hAnsi="宋体" w:cs="宋体"/>
                <w:bCs/>
                <w:color w:val="auto"/>
                <w:szCs w:val="21"/>
              </w:rPr>
              <w:t>响和</w:t>
            </w:r>
          </w:p>
          <w:p w14:paraId="22645AC5">
            <w:pPr>
              <w:adjustRightInd w:val="0"/>
              <w:snapToGrid w:val="0"/>
              <w:jc w:val="center"/>
              <w:rPr>
                <w:rFonts w:ascii="宋体" w:hAnsi="宋体" w:cs="宋体"/>
                <w:bCs/>
                <w:color w:val="auto"/>
                <w:szCs w:val="21"/>
              </w:rPr>
            </w:pPr>
            <w:r>
              <w:rPr>
                <w:rFonts w:hint="eastAsia" w:ascii="宋体" w:hAnsi="宋体" w:cs="宋体"/>
                <w:bCs/>
                <w:color w:val="auto"/>
                <w:szCs w:val="21"/>
              </w:rPr>
              <w:t>保护</w:t>
            </w:r>
          </w:p>
          <w:p w14:paraId="31DC54ED">
            <w:pPr>
              <w:adjustRightInd w:val="0"/>
              <w:snapToGrid w:val="0"/>
              <w:jc w:val="center"/>
              <w:rPr>
                <w:rFonts w:ascii="宋体" w:hAnsi="宋体" w:cs="宋体"/>
                <w:bCs/>
                <w:color w:val="auto"/>
                <w:szCs w:val="21"/>
              </w:rPr>
            </w:pPr>
            <w:r>
              <w:rPr>
                <w:rFonts w:hint="eastAsia" w:ascii="宋体" w:hAnsi="宋体" w:cs="宋体"/>
                <w:bCs/>
                <w:color w:val="auto"/>
                <w:szCs w:val="21"/>
              </w:rPr>
              <w:t>措施</w:t>
            </w:r>
          </w:p>
        </w:tc>
        <w:tc>
          <w:tcPr>
            <w:tcW w:w="8162" w:type="dxa"/>
            <w:vAlign w:val="center"/>
          </w:tcPr>
          <w:p w14:paraId="762D0609">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highlight w:val="yellow"/>
                <w:lang w:val="en-US" w:eastAsia="zh-CN"/>
              </w:rPr>
            </w:pPr>
            <w:r>
              <w:rPr>
                <w:rFonts w:hint="eastAsia" w:ascii="Times New Roman" w:hAnsi="Times New Roman" w:eastAsia="宋体" w:cs="Times New Roman"/>
                <w:color w:val="auto"/>
                <w:kern w:val="0"/>
                <w:sz w:val="24"/>
              </w:rPr>
              <w:t>本项目营运期产生的污染物包括</w:t>
            </w:r>
            <w:r>
              <w:rPr>
                <w:rFonts w:hint="eastAsia" w:cs="Times New Roman"/>
                <w:color w:val="auto"/>
                <w:kern w:val="0"/>
                <w:sz w:val="24"/>
                <w:lang w:val="en-US" w:eastAsia="zh-CN"/>
              </w:rPr>
              <w:t>筒仓产生的粉尘，搅拌机产生的粉尘、料场扬尘、装卸料产生的扬尘、车辆运输产生的扬尘，食堂产生的油烟</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生产废水和生活污水</w:t>
            </w:r>
            <w:r>
              <w:rPr>
                <w:rFonts w:hint="eastAsia" w:ascii="Times New Roman" w:hAnsi="Times New Roman" w:eastAsia="宋体" w:cs="Times New Roman"/>
                <w:color w:val="auto"/>
                <w:kern w:val="0"/>
                <w:sz w:val="24"/>
                <w:lang w:val="en-US" w:eastAsia="zh-CN"/>
              </w:rPr>
              <w:t>；搅拌机、装卸机等设备运行时产生的噪声，车辆鸣笛的噪声；生</w:t>
            </w:r>
            <w:r>
              <w:rPr>
                <w:rFonts w:hint="eastAsia" w:cs="Times New Roman"/>
                <w:color w:val="auto"/>
                <w:kern w:val="0"/>
                <w:sz w:val="24"/>
                <w:lang w:val="en-US" w:eastAsia="zh-CN"/>
              </w:rPr>
              <w:t>产车间产生的固体废弃物，沉淀池产生的沉渣，工作人员日常生活产生的生活垃圾，机械设备维修保养产生的废机油。</w:t>
            </w:r>
          </w:p>
          <w:p w14:paraId="72D80152">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1.废气</w:t>
            </w:r>
          </w:p>
          <w:p w14:paraId="15587D18">
            <w:pPr>
              <w:spacing w:line="360" w:lineRule="auto"/>
              <w:rPr>
                <w:rFonts w:ascii="Times New Roman" w:hAnsi="Times New Roman" w:eastAsia="宋体" w:cs="Times New Roman"/>
                <w:b/>
                <w:bCs/>
                <w:color w:val="auto"/>
                <w:sz w:val="24"/>
              </w:rPr>
            </w:pPr>
            <w:r>
              <w:rPr>
                <w:rFonts w:ascii="Times New Roman" w:hAnsi="Times New Roman" w:eastAsia="宋体" w:cs="Times New Roman"/>
                <w:b/>
                <w:bCs/>
                <w:color w:val="auto"/>
                <w:sz w:val="24"/>
              </w:rPr>
              <w:t>1.1废气的产排情况</w:t>
            </w:r>
          </w:p>
          <w:p w14:paraId="3598E93D">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1.1.1搅拌机产生的粉尘</w:t>
            </w:r>
          </w:p>
          <w:p w14:paraId="174953FC">
            <w:pPr>
              <w:widowControl/>
              <w:spacing w:line="360" w:lineRule="auto"/>
              <w:ind w:firstLine="480" w:firstLineChars="200"/>
              <w:jc w:val="left"/>
              <w:rPr>
                <w:rFonts w:hint="default" w:ascii="Times New Roman" w:hAnsi="Times New Roman" w:eastAsia="宋体" w:cs="Times New Roman"/>
                <w:color w:val="auto"/>
                <w:kern w:val="0"/>
                <w:sz w:val="24"/>
                <w:lang w:val="en-US"/>
              </w:rPr>
            </w:pPr>
            <w:r>
              <w:rPr>
                <w:rFonts w:hint="eastAsia" w:ascii="Times New Roman" w:hAnsi="Times New Roman" w:eastAsia="宋体" w:cs="Times New Roman"/>
                <w:color w:val="000000" w:themeColor="text1"/>
                <w:kern w:val="0"/>
                <w:sz w:val="24"/>
                <w14:textFill>
                  <w14:solidFill>
                    <w14:schemeClr w14:val="tx1"/>
                  </w14:solidFill>
                </w14:textFill>
              </w:rPr>
              <w:t>本项目</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有2</w:t>
            </w:r>
            <w:r>
              <w:rPr>
                <w:rFonts w:hint="eastAsia" w:ascii="Times New Roman" w:hAnsi="Times New Roman" w:eastAsia="宋体" w:cs="Times New Roman"/>
                <w:color w:val="000000" w:themeColor="text1"/>
                <w:kern w:val="0"/>
                <w:sz w:val="24"/>
                <w14:textFill>
                  <w14:solidFill>
                    <w14:schemeClr w14:val="tx1"/>
                  </w14:solidFill>
                </w14:textFill>
              </w:rPr>
              <w:t>条混凝土生产线，</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每条生产线各配有</w:t>
            </w:r>
            <w:r>
              <w:rPr>
                <w:rFonts w:hint="eastAsia" w:ascii="Times New Roman" w:hAnsi="Times New Roman" w:eastAsia="宋体" w:cs="Times New Roman"/>
                <w:color w:val="000000" w:themeColor="text1"/>
                <w:kern w:val="0"/>
                <w:sz w:val="24"/>
                <w14:textFill>
                  <w14:solidFill>
                    <w14:schemeClr w14:val="tx1"/>
                  </w14:solidFill>
                </w14:textFill>
              </w:rPr>
              <w:t>1套搅拌设备，生产设备为引进的成套搅拌设备，搅拌设备位于密闭搅拌楼中，</w:t>
            </w:r>
            <w:r>
              <w:rPr>
                <w:rFonts w:hint="eastAsia" w:cs="Times New Roman"/>
                <w:color w:val="000000" w:themeColor="text1"/>
                <w:kern w:val="0"/>
                <w:sz w:val="24"/>
                <w:lang w:val="en-US" w:eastAsia="zh-CN"/>
                <w14:textFill>
                  <w14:solidFill>
                    <w14:schemeClr w14:val="tx1"/>
                  </w14:solidFill>
                </w14:textFill>
              </w:rPr>
              <w:t>每套</w:t>
            </w:r>
            <w:r>
              <w:rPr>
                <w:rFonts w:hint="eastAsia" w:ascii="Times New Roman" w:hAnsi="Times New Roman" w:eastAsia="宋体" w:cs="Times New Roman"/>
                <w:color w:val="000000" w:themeColor="text1"/>
                <w:kern w:val="0"/>
                <w:sz w:val="24"/>
                <w14:textFill>
                  <w14:solidFill>
                    <w14:schemeClr w14:val="tx1"/>
                  </w14:solidFill>
                </w14:textFill>
              </w:rPr>
              <w:t>搅拌机自带脉冲布袋除尘器，形成一个全封闭的除尘系统进行过滤除尘。</w:t>
            </w:r>
            <w:r>
              <w:rPr>
                <w:rFonts w:hint="eastAsia" w:ascii="Times New Roman" w:hAnsi="Times New Roman" w:eastAsia="宋体" w:cs="Times New Roman"/>
                <w:color w:val="auto"/>
                <w:kern w:val="0"/>
                <w:sz w:val="24"/>
              </w:rPr>
              <w:t>物料搅拌过程产生的粉尘</w:t>
            </w:r>
            <w:r>
              <w:rPr>
                <w:rFonts w:hint="eastAsia" w:ascii="Times New Roman" w:hAnsi="Times New Roman" w:eastAsia="宋体" w:cs="Times New Roman"/>
                <w:color w:val="auto"/>
                <w:kern w:val="0"/>
                <w:sz w:val="24"/>
                <w:lang w:val="en-US" w:eastAsia="zh-CN"/>
              </w:rPr>
              <w:t>被</w:t>
            </w:r>
            <w:r>
              <w:rPr>
                <w:rFonts w:hint="eastAsia" w:ascii="Times New Roman" w:hAnsi="Times New Roman" w:eastAsia="宋体" w:cs="Times New Roman"/>
                <w:color w:val="auto"/>
                <w:kern w:val="0"/>
                <w:sz w:val="24"/>
              </w:rPr>
              <w:t>搅拌机自带的脉冲布袋除尘器处理</w:t>
            </w:r>
            <w:r>
              <w:rPr>
                <w:rFonts w:hint="eastAsia" w:ascii="Times New Roman" w:hAnsi="Times New Roman" w:eastAsia="宋体" w:cs="Times New Roman"/>
                <w:color w:val="auto"/>
                <w:kern w:val="0"/>
                <w:sz w:val="24"/>
                <w:lang w:eastAsia="zh-CN"/>
              </w:rPr>
              <w:t>，</w:t>
            </w:r>
            <w:r>
              <w:rPr>
                <w:rFonts w:hint="eastAsia" w:cs="Times New Roman"/>
                <w:color w:val="auto"/>
                <w:kern w:val="0"/>
                <w:sz w:val="24"/>
                <w:lang w:val="en-US" w:eastAsia="zh-CN"/>
              </w:rPr>
              <w:t>除尘器收集</w:t>
            </w:r>
            <w:r>
              <w:rPr>
                <w:rFonts w:hint="eastAsia" w:ascii="Times New Roman" w:hAnsi="Times New Roman" w:eastAsia="宋体" w:cs="Times New Roman"/>
                <w:color w:val="auto"/>
                <w:kern w:val="0"/>
                <w:sz w:val="24"/>
                <w:lang w:val="en-US" w:eastAsia="zh-CN"/>
              </w:rPr>
              <w:t>的粉尘</w:t>
            </w:r>
            <w:r>
              <w:rPr>
                <w:rFonts w:hint="eastAsia" w:cs="Times New Roman"/>
                <w:color w:val="auto"/>
                <w:kern w:val="0"/>
                <w:sz w:val="24"/>
                <w:lang w:val="en-US" w:eastAsia="zh-CN"/>
              </w:rPr>
              <w:t>回用于生产过程（收集效率100%），处理后的粉</w:t>
            </w:r>
            <w:r>
              <w:rPr>
                <w:rFonts w:hint="eastAsia" w:cs="Times New Roman"/>
                <w:color w:val="auto"/>
                <w:kern w:val="0"/>
                <w:sz w:val="24"/>
                <w:highlight w:val="none"/>
                <w:lang w:val="en-US" w:eastAsia="zh-CN"/>
              </w:rPr>
              <w:t>尘通过排气筒达标排放。</w:t>
            </w:r>
            <w:r>
              <w:rPr>
                <w:rFonts w:hint="eastAsia" w:ascii="Times New Roman" w:hAnsi="Times New Roman" w:cs="Times New Roman"/>
                <w:color w:val="auto"/>
                <w:kern w:val="0"/>
                <w:sz w:val="24"/>
                <w:szCs w:val="24"/>
                <w:lang w:val="en-US" w:eastAsia="zh-CN"/>
              </w:rPr>
              <w:t>搅拌机布袋除尘系统设置废气排气筒，搅拌机属于水泥制品生产中的其他通风生产设备，因此</w:t>
            </w:r>
            <w:r>
              <w:rPr>
                <w:rFonts w:hint="default" w:ascii="Times New Roman" w:hAnsi="Times New Roman" w:eastAsia="宋体" w:cs="Times New Roman"/>
                <w:color w:val="auto"/>
                <w:kern w:val="0"/>
                <w:sz w:val="24"/>
                <w:szCs w:val="24"/>
                <w:lang w:val="en-US" w:eastAsia="zh-CN" w:bidi="ar-SA"/>
              </w:rPr>
              <w:t>搅拌楼系统废气排放是</w:t>
            </w:r>
            <w:r>
              <w:rPr>
                <w:rFonts w:hint="eastAsia" w:ascii="Times New Roman" w:hAnsi="Times New Roman" w:eastAsia="宋体" w:cs="Times New Roman"/>
                <w:color w:val="auto"/>
                <w:kern w:val="0"/>
                <w:sz w:val="24"/>
                <w:szCs w:val="24"/>
                <w:lang w:val="en-US" w:eastAsia="zh-CN" w:bidi="ar-SA"/>
              </w:rPr>
              <w:t>有</w:t>
            </w:r>
            <w:r>
              <w:rPr>
                <w:rFonts w:hint="default" w:ascii="Times New Roman" w:hAnsi="Times New Roman" w:eastAsia="宋体" w:cs="Times New Roman"/>
                <w:color w:val="auto"/>
                <w:kern w:val="0"/>
                <w:sz w:val="24"/>
                <w:szCs w:val="24"/>
                <w:lang w:val="en-US" w:eastAsia="zh-CN" w:bidi="ar-SA"/>
              </w:rPr>
              <w:t>组织排放</w:t>
            </w:r>
            <w:r>
              <w:rPr>
                <w:rFonts w:hint="eastAsia" w:ascii="Times New Roman" w:hAnsi="Times New Roman" w:eastAsia="宋体" w:cs="Times New Roman"/>
                <w:color w:val="auto"/>
                <w:kern w:val="0"/>
                <w:sz w:val="24"/>
                <w:szCs w:val="24"/>
                <w:lang w:val="en-US" w:eastAsia="zh-CN" w:bidi="ar-SA"/>
              </w:rPr>
              <w:t>，执行</w:t>
            </w:r>
            <w:r>
              <w:rPr>
                <w:rFonts w:hint="eastAsia" w:ascii="Times New Roman" w:hAnsi="Times New Roman" w:cs="Times New Roman"/>
                <w:color w:val="auto"/>
                <w:kern w:val="0"/>
                <w:sz w:val="24"/>
                <w:szCs w:val="24"/>
                <w:lang w:val="en-US" w:eastAsia="zh-CN"/>
              </w:rPr>
              <w:t>《水泥工业大气污染物排放</w:t>
            </w:r>
            <w:r>
              <w:rPr>
                <w:rFonts w:hint="eastAsia" w:ascii="Times New Roman" w:hAnsi="Times New Roman" w:eastAsia="宋体" w:cs="Times New Roman"/>
                <w:color w:val="auto"/>
                <w:kern w:val="0"/>
                <w:sz w:val="24"/>
                <w:szCs w:val="24"/>
                <w:lang w:val="en-US" w:eastAsia="zh-CN" w:bidi="ar-SA"/>
              </w:rPr>
              <w:t>标准》（GB4915-2013）中表</w:t>
            </w:r>
            <w:r>
              <w:rPr>
                <w:rFonts w:hint="eastAsia" w:ascii="Times New Roman" w:hAnsi="Times New Roman" w:cs="Times New Roman"/>
                <w:color w:val="auto"/>
                <w:kern w:val="0"/>
                <w:sz w:val="24"/>
                <w:szCs w:val="24"/>
                <w:lang w:val="en-US" w:eastAsia="zh-CN"/>
              </w:rPr>
              <w:t>1现有与新建企业大气污染物排放限值</w:t>
            </w:r>
            <w:r>
              <w:rPr>
                <w:rFonts w:hint="eastAsia" w:ascii="Times New Roman" w:hAnsi="Times New Roman" w:eastAsia="宋体" w:cs="Times New Roman"/>
                <w:color w:val="auto"/>
                <w:kern w:val="0"/>
                <w:sz w:val="24"/>
                <w:szCs w:val="24"/>
                <w:lang w:val="en-US" w:eastAsia="zh-CN" w:bidi="ar-SA"/>
              </w:rPr>
              <w:t>。</w:t>
            </w:r>
          </w:p>
          <w:p w14:paraId="3B9FE9DB">
            <w:pPr>
              <w:widowControl/>
              <w:spacing w:line="360" w:lineRule="auto"/>
              <w:ind w:firstLine="480" w:firstLineChars="200"/>
              <w:jc w:val="both"/>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根据《排放源统计调查产排污核算方法和系数手册》（3021水泥制品制造（含3022砼结构构件制造、3029其他水泥类似制品制造）行业系数手册）中“3021水泥制品制造（含3022砼结构构件、3029其他水泥类似制品制造）行业系数表”，颗粒物产污系数为0.</w:t>
            </w:r>
            <w:r>
              <w:rPr>
                <w:rFonts w:hint="eastAsia" w:cs="Times New Roman"/>
                <w:color w:val="auto"/>
                <w:kern w:val="0"/>
                <w:sz w:val="24"/>
                <w:lang w:val="en-US" w:eastAsia="zh-CN"/>
              </w:rPr>
              <w:t>523</w:t>
            </w:r>
            <w:r>
              <w:rPr>
                <w:rFonts w:hint="eastAsia" w:ascii="Times New Roman" w:hAnsi="Times New Roman" w:eastAsia="宋体" w:cs="Times New Roman"/>
                <w:color w:val="auto"/>
                <w:kern w:val="0"/>
                <w:sz w:val="24"/>
              </w:rPr>
              <w:t>千克/吨</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产品。本项目建成后年产20万立方米混凝土，每立方米混凝土按2.4t计，则本项目产品量为480000t/a，产生的颗粒物为</w:t>
            </w:r>
            <w:r>
              <w:rPr>
                <w:rFonts w:hint="eastAsia" w:cs="Times New Roman"/>
                <w:color w:val="auto"/>
                <w:kern w:val="0"/>
                <w:sz w:val="24"/>
                <w:lang w:val="en-US" w:eastAsia="zh-CN"/>
              </w:rPr>
              <w:t>251.04</w:t>
            </w:r>
            <w:r>
              <w:rPr>
                <w:rFonts w:hint="eastAsia" w:ascii="Times New Roman" w:hAnsi="Times New Roman" w:eastAsia="宋体" w:cs="Times New Roman"/>
                <w:color w:val="auto"/>
                <w:kern w:val="0"/>
                <w:sz w:val="24"/>
              </w:rPr>
              <w:t>t/a，产生速率</w:t>
            </w:r>
            <w:r>
              <w:rPr>
                <w:rFonts w:hint="eastAsia" w:cs="Times New Roman"/>
                <w:color w:val="auto"/>
                <w:kern w:val="0"/>
                <w:sz w:val="24"/>
                <w:lang w:val="en-US" w:eastAsia="zh-CN"/>
              </w:rPr>
              <w:t>174.33</w:t>
            </w:r>
            <w:r>
              <w:rPr>
                <w:rFonts w:hint="eastAsia" w:ascii="Times New Roman" w:hAnsi="Times New Roman" w:eastAsia="宋体" w:cs="Times New Roman"/>
                <w:color w:val="auto"/>
                <w:kern w:val="0"/>
                <w:sz w:val="24"/>
              </w:rPr>
              <w:t>kg/h，颗粒物经搅拌设备自带脉冲布袋除尘器</w:t>
            </w:r>
            <w:r>
              <w:rPr>
                <w:rFonts w:hint="default" w:ascii="Times New Roman" w:hAnsi="Times New Roman" w:eastAsia="宋体" w:cs="Times New Roman"/>
                <w:color w:val="auto"/>
                <w:kern w:val="0"/>
                <w:sz w:val="24"/>
              </w:rPr>
              <w:t>（</w:t>
            </w:r>
            <w:r>
              <w:rPr>
                <w:rFonts w:hint="eastAsia" w:cs="Times New Roman"/>
                <w:color w:val="auto"/>
                <w:kern w:val="0"/>
                <w:sz w:val="24"/>
                <w:lang w:val="en-US" w:eastAsia="zh-CN"/>
              </w:rPr>
              <w:t>根据</w:t>
            </w:r>
            <w:r>
              <w:rPr>
                <w:rFonts w:hint="default" w:ascii="Times New Roman" w:hAnsi="Times New Roman" w:eastAsia="宋体" w:cs="Times New Roman"/>
                <w:color w:val="auto"/>
                <w:kern w:val="0"/>
                <w:sz w:val="24"/>
              </w:rPr>
              <w:t>《排放源统计调查产排污核算方法和系数手册》（3021水泥制品制造（含3022砼结构构件制造、3029其他水泥类似制品制造）行业系数手册）</w:t>
            </w:r>
            <w:r>
              <w:rPr>
                <w:rFonts w:hint="eastAsia" w:ascii="Times New Roman" w:hAnsi="Times New Roman" w:eastAsia="宋体" w:cs="Times New Roman"/>
                <w:color w:val="auto"/>
                <w:kern w:val="0"/>
                <w:sz w:val="24"/>
                <w:lang w:val="en-US" w:eastAsia="zh-CN"/>
              </w:rPr>
              <w:t>袋式除尘</w:t>
            </w:r>
            <w:r>
              <w:rPr>
                <w:rFonts w:hint="default" w:ascii="Times New Roman" w:hAnsi="Times New Roman" w:eastAsia="宋体" w:cs="Times New Roman"/>
                <w:color w:val="auto"/>
                <w:kern w:val="0"/>
                <w:sz w:val="24"/>
              </w:rPr>
              <w:t>效率</w:t>
            </w:r>
            <w:r>
              <w:rPr>
                <w:rFonts w:hint="eastAsia" w:cs="Times New Roman"/>
                <w:color w:val="auto"/>
                <w:kern w:val="0"/>
                <w:sz w:val="24"/>
                <w:lang w:val="en-US" w:eastAsia="zh-CN"/>
              </w:rPr>
              <w:t>为</w:t>
            </w:r>
            <w:r>
              <w:rPr>
                <w:rFonts w:hint="default" w:ascii="Times New Roman" w:hAnsi="Times New Roman" w:eastAsia="宋体" w:cs="Times New Roman"/>
                <w:color w:val="auto"/>
                <w:kern w:val="0"/>
                <w:sz w:val="24"/>
              </w:rPr>
              <w:t>99.7%）</w:t>
            </w:r>
            <w:r>
              <w:rPr>
                <w:rFonts w:hint="eastAsia" w:cs="Times New Roman"/>
                <w:color w:val="auto"/>
                <w:kern w:val="0"/>
                <w:sz w:val="24"/>
                <w:lang w:val="en-US" w:eastAsia="zh-CN"/>
              </w:rPr>
              <w:t>收集</w:t>
            </w:r>
            <w:r>
              <w:rPr>
                <w:rFonts w:hint="eastAsia" w:ascii="Times New Roman" w:hAnsi="Times New Roman" w:eastAsia="宋体" w:cs="Times New Roman"/>
                <w:color w:val="auto"/>
                <w:kern w:val="0"/>
                <w:sz w:val="24"/>
                <w:lang w:val="en-US" w:eastAsia="zh-CN"/>
              </w:rPr>
              <w:t>的粉尘</w:t>
            </w:r>
            <w:r>
              <w:rPr>
                <w:rFonts w:hint="eastAsia" w:cs="Times New Roman"/>
                <w:color w:val="auto"/>
                <w:kern w:val="0"/>
                <w:sz w:val="24"/>
                <w:lang w:val="en-US" w:eastAsia="zh-CN"/>
              </w:rPr>
              <w:t>回用于生产过程，颗粒物排放量为0.753</w:t>
            </w:r>
            <w:r>
              <w:rPr>
                <w:rFonts w:hint="eastAsia" w:ascii="Times New Roman" w:hAnsi="Times New Roman" w:eastAsia="宋体" w:cs="Times New Roman"/>
                <w:color w:val="auto"/>
                <w:kern w:val="0"/>
                <w:sz w:val="24"/>
              </w:rPr>
              <w:t>t/a</w:t>
            </w:r>
            <w:r>
              <w:rPr>
                <w:rFonts w:hint="eastAsia" w:cs="Times New Roman"/>
                <w:color w:val="auto"/>
                <w:kern w:val="0"/>
                <w:sz w:val="24"/>
                <w:lang w:val="en-US" w:eastAsia="zh-CN"/>
              </w:rPr>
              <w:t>。</w:t>
            </w:r>
          </w:p>
          <w:p w14:paraId="6FB519F2">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1.1.2筒仓粉尘</w:t>
            </w:r>
          </w:p>
          <w:p w14:paraId="44479A8B">
            <w:pPr>
              <w:autoSpaceDE w:val="0"/>
              <w:autoSpaceDN w:val="0"/>
              <w:adjustRightInd w:val="0"/>
              <w:snapToGrid w:val="0"/>
              <w:spacing w:line="360" w:lineRule="auto"/>
              <w:ind w:firstLine="480" w:firstLineChars="200"/>
              <w:rPr>
                <w:rFonts w:hint="eastAsia" w:cs="Times New Roman"/>
                <w:color w:val="auto"/>
                <w:kern w:val="0"/>
                <w:sz w:val="24"/>
                <w:szCs w:val="24"/>
                <w:lang w:val="en-US" w:eastAsia="zh-CN" w:bidi="ar-SA"/>
              </w:rPr>
            </w:pPr>
            <w:r>
              <w:rPr>
                <w:rFonts w:hint="default" w:ascii="Times New Roman" w:hAnsi="Times New Roman" w:eastAsia="宋体" w:cs="Times New Roman"/>
                <w:color w:val="000000" w:themeColor="text1"/>
                <w:kern w:val="0"/>
                <w:sz w:val="24"/>
                <w14:textFill>
                  <w14:solidFill>
                    <w14:schemeClr w14:val="tx1"/>
                  </w14:solidFill>
                </w14:textFill>
              </w:rPr>
              <w:t>本项目设有</w:t>
            </w:r>
            <w:r>
              <w:rPr>
                <w:rFonts w:hint="eastAsia" w:cs="Times New Roman"/>
                <w:color w:val="000000" w:themeColor="text1"/>
                <w:kern w:val="0"/>
                <w:sz w:val="24"/>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14:textFill>
                  <w14:solidFill>
                    <w14:schemeClr w14:val="tx1"/>
                  </w14:solidFill>
                </w14:textFill>
              </w:rPr>
              <w:t>个筒仓，</w:t>
            </w:r>
            <w:r>
              <w:rPr>
                <w:rFonts w:hint="eastAsia" w:cs="Times New Roman"/>
                <w:color w:val="000000" w:themeColor="text1"/>
                <w:kern w:val="0"/>
                <w:sz w:val="24"/>
                <w:lang w:val="en-US" w:eastAsia="zh-CN"/>
                <w14:textFill>
                  <w14:solidFill>
                    <w14:schemeClr w14:val="tx1"/>
                  </w14:solidFill>
                </w14:textFill>
              </w:rPr>
              <w:t>筒仓高度为8m，</w:t>
            </w:r>
            <w:r>
              <w:rPr>
                <w:rFonts w:hint="default" w:ascii="Times New Roman" w:hAnsi="Times New Roman" w:eastAsia="宋体" w:cs="Times New Roman"/>
                <w:color w:val="000000" w:themeColor="text1"/>
                <w:kern w:val="0"/>
                <w:sz w:val="24"/>
                <w14:textFill>
                  <w14:solidFill>
                    <w14:schemeClr w14:val="tx1"/>
                  </w14:solidFill>
                </w14:textFill>
              </w:rPr>
              <w:t>每个筒仓</w:t>
            </w:r>
            <w:r>
              <w:rPr>
                <w:rFonts w:hint="eastAsia" w:cs="Times New Roman"/>
                <w:color w:val="000000" w:themeColor="text1"/>
                <w:kern w:val="0"/>
                <w:sz w:val="24"/>
                <w:lang w:val="en-US" w:eastAsia="zh-CN"/>
                <w14:textFill>
                  <w14:solidFill>
                    <w14:schemeClr w14:val="tx1"/>
                  </w14:solidFill>
                </w14:textFill>
              </w:rPr>
              <w:t>顶部</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设</w:t>
            </w:r>
            <w:r>
              <w:rPr>
                <w:rFonts w:hint="default" w:ascii="Times New Roman" w:hAnsi="Times New Roman" w:eastAsia="宋体" w:cs="Times New Roman"/>
                <w:color w:val="000000" w:themeColor="text1"/>
                <w:kern w:val="0"/>
                <w:sz w:val="24"/>
                <w14:textFill>
                  <w14:solidFill>
                    <w14:schemeClr w14:val="tx1"/>
                  </w14:solidFill>
                </w14:textFill>
              </w:rPr>
              <w:t>有</w:t>
            </w:r>
            <w:r>
              <w:rPr>
                <w:rFonts w:hint="eastAsia" w:cs="Times New Roman"/>
                <w:color w:val="000000" w:themeColor="text1"/>
                <w:kern w:val="0"/>
                <w:sz w:val="24"/>
                <w:lang w:val="en-US" w:eastAsia="zh-CN"/>
                <w14:textFill>
                  <w14:solidFill>
                    <w14:schemeClr w14:val="tx1"/>
                  </w14:solidFill>
                </w14:textFill>
              </w:rPr>
              <w:t>脉冲布袋除尘器一台</w:t>
            </w:r>
            <w:r>
              <w:rPr>
                <w:rFonts w:hint="default" w:ascii="Times New Roman" w:hAnsi="Times New Roman" w:eastAsia="宋体" w:cs="Times New Roman"/>
                <w:color w:val="000000" w:themeColor="text1"/>
                <w:kern w:val="0"/>
                <w:sz w:val="24"/>
                <w14:textFill>
                  <w14:solidFill>
                    <w14:schemeClr w14:val="tx1"/>
                  </w14:solidFill>
                </w14:textFill>
              </w:rPr>
              <w:t>，</w:t>
            </w:r>
            <w:r>
              <w:rPr>
                <w:rFonts w:hint="eastAsia" w:cs="Times New Roman"/>
                <w:color w:val="000000" w:themeColor="text1"/>
                <w:kern w:val="0"/>
                <w:sz w:val="24"/>
                <w:lang w:val="en-US" w:eastAsia="zh-CN"/>
                <w14:textFill>
                  <w14:solidFill>
                    <w14:schemeClr w14:val="tx1"/>
                  </w14:solidFill>
                </w14:textFill>
              </w:rPr>
              <w:t>产生的粉尘通过脉冲</w:t>
            </w:r>
            <w:r>
              <w:rPr>
                <w:rFonts w:hint="default" w:ascii="Times New Roman" w:hAnsi="Times New Roman" w:eastAsia="宋体" w:cs="Times New Roman"/>
                <w:color w:val="000000" w:themeColor="text1"/>
                <w:kern w:val="0"/>
                <w:sz w:val="24"/>
                <w14:textFill>
                  <w14:solidFill>
                    <w14:schemeClr w14:val="tx1"/>
                  </w14:solidFill>
                </w14:textFill>
              </w:rPr>
              <w:t>布袋除尘器进行过滤除尘</w:t>
            </w:r>
            <w:r>
              <w:rPr>
                <w:rFonts w:hint="eastAsia" w:cs="Times New Roman"/>
                <w:color w:val="000000" w:themeColor="text1"/>
                <w:kern w:val="0"/>
                <w:sz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筒仓</w:t>
            </w:r>
            <w:r>
              <w:rPr>
                <w:rFonts w:hint="eastAsia" w:ascii="Times New Roman" w:hAnsi="Times New Roman" w:eastAsia="宋体" w:cs="Times New Roman"/>
                <w:color w:val="auto"/>
                <w:kern w:val="0"/>
                <w:sz w:val="24"/>
                <w:szCs w:val="24"/>
                <w:lang w:val="en-US" w:eastAsia="zh-CN" w:bidi="ar-SA"/>
              </w:rPr>
              <w:t>颗粒物属于间歇式排放，在筒仓进料时筒仓顶部会有废气排出，且排放时间较短，其次筒仓高度较高，不具备排气筒安装条件，因此，筒仓粉尘经脉冲布袋除尘器（根据《排放源统计调查产排污核算方法和系数手册》（3021水泥制品制造（含3022砼结构构件制造、3029其他水泥类似制品制造）行业系数手册）袋式除尘效率为99.7%）处理后以无组织形式排放</w:t>
            </w:r>
            <w:r>
              <w:rPr>
                <w:rFonts w:hint="eastAsia" w:cs="Times New Roman"/>
                <w:color w:val="auto"/>
                <w:kern w:val="0"/>
                <w:sz w:val="24"/>
                <w:szCs w:val="24"/>
                <w:lang w:val="en-US" w:eastAsia="zh-CN" w:bidi="ar-SA"/>
              </w:rPr>
              <w:t>。</w:t>
            </w:r>
          </w:p>
          <w:p w14:paraId="0F642932">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highlight w:val="yellow"/>
                <w:lang w:val="en-US" w:eastAsia="zh-CN"/>
              </w:rPr>
            </w:pPr>
            <w:r>
              <w:rPr>
                <w:rFonts w:hint="default" w:ascii="Times New Roman" w:hAnsi="Times New Roman" w:eastAsia="宋体" w:cs="Times New Roman"/>
                <w:color w:val="auto"/>
                <w:kern w:val="0"/>
                <w:sz w:val="24"/>
              </w:rPr>
              <w:t>根据《排放源统计调查产排污核算方法和系数手册》（3021水泥制品制造（含3022砼结构构件制造、3029其他水泥类似制品制造）行业系数手册）中“3021水泥制品制造（含3022砼结构构件、3029其他水泥类似制品制造）行业系数表”，颗粒物产污系数为0.1</w:t>
            </w:r>
            <w:r>
              <w:rPr>
                <w:rFonts w:hint="eastAsia" w:cs="Times New Roman"/>
                <w:color w:val="auto"/>
                <w:kern w:val="0"/>
                <w:sz w:val="24"/>
                <w:lang w:val="en-US" w:eastAsia="zh-CN"/>
              </w:rPr>
              <w:t>9</w:t>
            </w:r>
            <w:r>
              <w:rPr>
                <w:rFonts w:hint="default" w:ascii="Times New Roman" w:hAnsi="Times New Roman" w:eastAsia="宋体" w:cs="Times New Roman"/>
                <w:color w:val="auto"/>
                <w:kern w:val="0"/>
                <w:sz w:val="24"/>
              </w:rPr>
              <w:t>千克/吨-产品。本项目产品量为480000t/a，筒仓产生的颗粒物总量为</w:t>
            </w:r>
            <w:r>
              <w:rPr>
                <w:rFonts w:hint="eastAsia" w:cs="Times New Roman"/>
                <w:color w:val="auto"/>
                <w:kern w:val="0"/>
                <w:sz w:val="24"/>
                <w:highlight w:val="none"/>
                <w:lang w:val="en-US" w:eastAsia="zh-CN"/>
              </w:rPr>
              <w:t>91.2</w:t>
            </w:r>
            <w:r>
              <w:rPr>
                <w:rFonts w:hint="default" w:ascii="Times New Roman" w:hAnsi="Times New Roman" w:eastAsia="宋体" w:cs="Times New Roman"/>
                <w:color w:val="auto"/>
                <w:kern w:val="0"/>
                <w:sz w:val="24"/>
                <w:highlight w:val="none"/>
              </w:rPr>
              <w:t>t</w:t>
            </w:r>
            <w:r>
              <w:rPr>
                <w:rFonts w:hint="default" w:ascii="Times New Roman" w:hAnsi="Times New Roman" w:eastAsia="宋体" w:cs="Times New Roman"/>
                <w:color w:val="auto"/>
                <w:kern w:val="0"/>
                <w:sz w:val="24"/>
              </w:rPr>
              <w:t>/a，筒仓粉尘经脉冲布袋除尘器（</w:t>
            </w:r>
            <w:r>
              <w:rPr>
                <w:rFonts w:hint="eastAsia" w:cs="Times New Roman"/>
                <w:color w:val="auto"/>
                <w:kern w:val="0"/>
                <w:sz w:val="24"/>
                <w:lang w:val="en-US" w:eastAsia="zh-CN"/>
              </w:rPr>
              <w:t>根据</w:t>
            </w:r>
            <w:r>
              <w:rPr>
                <w:rFonts w:hint="default" w:ascii="Times New Roman" w:hAnsi="Times New Roman" w:eastAsia="宋体" w:cs="Times New Roman"/>
                <w:color w:val="auto"/>
                <w:kern w:val="0"/>
                <w:sz w:val="24"/>
              </w:rPr>
              <w:t>《排放源统计调查产排污核算方法和系数手册》（3021水泥制品制造（含3022砼结构构件制造、3029其他水泥类似制品制造）行业系数手册）</w:t>
            </w:r>
            <w:r>
              <w:rPr>
                <w:rFonts w:hint="eastAsia" w:ascii="Times New Roman" w:hAnsi="Times New Roman" w:eastAsia="宋体" w:cs="Times New Roman"/>
                <w:color w:val="auto"/>
                <w:kern w:val="0"/>
                <w:sz w:val="24"/>
                <w:lang w:val="en-US" w:eastAsia="zh-CN"/>
              </w:rPr>
              <w:t>袋式除尘</w:t>
            </w:r>
            <w:r>
              <w:rPr>
                <w:rFonts w:hint="default" w:ascii="Times New Roman" w:hAnsi="Times New Roman" w:eastAsia="宋体" w:cs="Times New Roman"/>
                <w:color w:val="auto"/>
                <w:kern w:val="0"/>
                <w:sz w:val="24"/>
              </w:rPr>
              <w:t>效率</w:t>
            </w:r>
            <w:r>
              <w:rPr>
                <w:rFonts w:hint="eastAsia" w:cs="Times New Roman"/>
                <w:color w:val="auto"/>
                <w:kern w:val="0"/>
                <w:sz w:val="24"/>
                <w:lang w:val="en-US" w:eastAsia="zh-CN"/>
              </w:rPr>
              <w:t>为</w:t>
            </w:r>
            <w:r>
              <w:rPr>
                <w:rFonts w:hint="default" w:ascii="Times New Roman" w:hAnsi="Times New Roman" w:eastAsia="宋体" w:cs="Times New Roman"/>
                <w:color w:val="auto"/>
                <w:kern w:val="0"/>
                <w:sz w:val="24"/>
              </w:rPr>
              <w:t>99.7%）处理后排放，筒仓颗粒物的排放量为</w:t>
            </w:r>
            <w:r>
              <w:rPr>
                <w:rFonts w:hint="default" w:ascii="Times New Roman" w:hAnsi="Times New Roman" w:eastAsia="宋体" w:cs="Times New Roman"/>
                <w:color w:val="auto"/>
                <w:kern w:val="0"/>
                <w:sz w:val="24"/>
                <w:highlight w:val="none"/>
              </w:rPr>
              <w:t>0.</w:t>
            </w:r>
            <w:r>
              <w:rPr>
                <w:rFonts w:hint="eastAsia" w:cs="Times New Roman"/>
                <w:color w:val="auto"/>
                <w:kern w:val="0"/>
                <w:sz w:val="24"/>
                <w:highlight w:val="none"/>
                <w:lang w:val="en-US" w:eastAsia="zh-CN"/>
              </w:rPr>
              <w:t>274</w:t>
            </w:r>
            <w:r>
              <w:rPr>
                <w:rFonts w:hint="default" w:ascii="Times New Roman" w:hAnsi="Times New Roman" w:eastAsia="宋体" w:cs="Times New Roman"/>
                <w:color w:val="auto"/>
                <w:kern w:val="0"/>
                <w:sz w:val="24"/>
                <w:highlight w:val="none"/>
              </w:rPr>
              <w:t>t/a</w:t>
            </w:r>
            <w:r>
              <w:rPr>
                <w:rFonts w:hint="eastAsia" w:cs="Times New Roman"/>
                <w:color w:val="auto"/>
                <w:kern w:val="0"/>
                <w:sz w:val="24"/>
                <w:highlight w:val="none"/>
                <w:lang w:eastAsia="zh-CN"/>
              </w:rPr>
              <w:t>。</w:t>
            </w:r>
          </w:p>
          <w:p w14:paraId="06407341">
            <w:pPr>
              <w:widowControl/>
              <w:spacing w:line="360" w:lineRule="auto"/>
              <w:jc w:val="left"/>
              <w:rPr>
                <w:b/>
                <w:bCs/>
                <w:color w:val="auto"/>
                <w:sz w:val="24"/>
                <w:highlight w:val="yellow"/>
              </w:rPr>
            </w:pPr>
            <w:r>
              <w:rPr>
                <w:rFonts w:hint="eastAsia"/>
                <w:b/>
                <w:bCs/>
                <w:color w:val="auto"/>
                <w:sz w:val="24"/>
              </w:rPr>
              <w:t>1.1.3料场扬尘及装卸扬尘</w:t>
            </w:r>
          </w:p>
          <w:p w14:paraId="5A310F5B">
            <w:pPr>
              <w:autoSpaceDE w:val="0"/>
              <w:autoSpaceDN w:val="0"/>
              <w:adjustRightInd w:val="0"/>
              <w:snapToGrid w:val="0"/>
              <w:spacing w:line="360" w:lineRule="auto"/>
              <w:ind w:firstLine="480" w:firstLineChars="200"/>
              <w:rPr>
                <w:rFonts w:hint="eastAsia"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项目砂石堆场位于厂区</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南</w:t>
            </w:r>
            <w:r>
              <w:rPr>
                <w:rFonts w:hint="default" w:ascii="Times New Roman" w:hAnsi="Times New Roman" w:eastAsia="宋体" w:cs="Times New Roman"/>
                <w:color w:val="000000" w:themeColor="text1"/>
                <w:kern w:val="0"/>
                <w:sz w:val="24"/>
                <w14:textFill>
                  <w14:solidFill>
                    <w14:schemeClr w14:val="tx1"/>
                  </w14:solidFill>
                </w14:textFill>
              </w:rPr>
              <w:t>侧</w:t>
            </w:r>
            <w:r>
              <w:rPr>
                <w:rFonts w:hint="eastAsia" w:ascii="Times New Roman" w:hAnsi="Times New Roman" w:eastAsia="宋体" w:cs="Times New Roman"/>
                <w:color w:val="000000" w:themeColor="text1"/>
                <w:kern w:val="0"/>
                <w:sz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所在地常年风速2</w:t>
            </w:r>
            <w:r>
              <w:rPr>
                <w:rFonts w:hint="eastAsia" w:cs="Times New Roman"/>
                <w:color w:val="000000" w:themeColor="text1"/>
                <w:kern w:val="0"/>
                <w:sz w:val="24"/>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4m/s，砂石料的粒度在0.5-13mm，砂石料场面积为</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111</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0m</w:t>
            </w:r>
            <w:r>
              <w:rPr>
                <w:rFonts w:hint="default" w:ascii="Times New Roman" w:hAnsi="Times New Roman" w:eastAsia="宋体" w:cs="Times New Roman"/>
                <w:color w:val="000000" w:themeColor="text1"/>
                <w:kern w:val="0"/>
                <w:sz w:val="24"/>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，因此，项目砂石料料场采取半封闭式，砂石料料场</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主体采用钢结构</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东西北三面选择彩钢板建设围挡墙体，顶棚利用拱形钢结构</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，确保堆场内的砂石料不会受到外部环境的影响。砂石料料场仅料场出料口不封闭，料场进、出料口设置在当地常年风向的下风向，同时采取覆盖+洒水降尘抑尘措施，</w:t>
            </w:r>
            <w:r>
              <w:rPr>
                <w:rFonts w:hint="eastAsia" w:cs="Times New Roman"/>
                <w:color w:val="000000" w:themeColor="text1"/>
                <w:kern w:val="0"/>
                <w:sz w:val="24"/>
                <w:lang w:val="en-US" w:eastAsia="zh-CN"/>
                <w14:textFill>
                  <w14:solidFill>
                    <w14:schemeClr w14:val="tx1"/>
                  </w14:solidFill>
                </w14:textFill>
              </w:rPr>
              <w:t>洒水降尘方式为在砂石料堆场设置四个雾炮机，分布于东南西北四个方向，每日洒水2次，</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可有效降低砂石料料场的扬尘量</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w:t>
            </w:r>
          </w:p>
          <w:p w14:paraId="6058EB67">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根据《扬尘源颗粒物排放清单编制技术指南（试行）》颗粒物产生量采用以下公式来计算</w:t>
            </w:r>
            <w:r>
              <w:rPr>
                <w:rFonts w:ascii="Times New Roman" w:hAnsi="Times New Roman" w:eastAsia="宋体" w:cs="Times New Roman"/>
                <w:color w:val="000000" w:themeColor="text1"/>
                <w:kern w:val="0"/>
                <w:sz w:val="24"/>
                <w14:textFill>
                  <w14:solidFill>
                    <w14:schemeClr w14:val="tx1"/>
                  </w14:solidFill>
                </w14:textFill>
              </w:rPr>
              <w:t>：</w:t>
            </w:r>
          </w:p>
          <w:p w14:paraId="1D33098F">
            <w:pPr>
              <w:autoSpaceDE w:val="0"/>
              <w:autoSpaceDN w:val="0"/>
              <w:adjustRightInd w:val="0"/>
              <w:snapToGrid w:val="0"/>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color w:val="000000" w:themeColor="text1"/>
                <w14:textFill>
                  <w14:solidFill>
                    <w14:schemeClr w14:val="tx1"/>
                  </w14:solidFill>
                </w14:textFill>
              </w:rPr>
              <w:drawing>
                <wp:inline distT="0" distB="0" distL="114300" distR="114300">
                  <wp:extent cx="3840480" cy="617220"/>
                  <wp:effectExtent l="0" t="0" r="0" b="762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3840480" cy="617220"/>
                          </a:xfrm>
                          <a:prstGeom prst="rect">
                            <a:avLst/>
                          </a:prstGeom>
                          <a:noFill/>
                          <a:ln>
                            <a:noFill/>
                          </a:ln>
                        </pic:spPr>
                      </pic:pic>
                    </a:graphicData>
                  </a:graphic>
                </wp:inline>
              </w:drawing>
            </w:r>
          </w:p>
          <w:p w14:paraId="4606AD01">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式中： </w:t>
            </w:r>
          </w:p>
          <w:p w14:paraId="657F4214">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W</w:t>
            </w:r>
            <w:r>
              <w:rPr>
                <w:rFonts w:hint="eastAsia"/>
                <w:color w:val="000000" w:themeColor="text1"/>
                <w:sz w:val="24"/>
                <w:vertAlign w:val="subscript"/>
                <w:lang w:val="en-US" w:eastAsia="zh-CN"/>
                <w14:textFill>
                  <w14:solidFill>
                    <w14:schemeClr w14:val="tx1"/>
                  </w14:solidFill>
                </w14:textFill>
              </w:rPr>
              <w:t>Y</w:t>
            </w:r>
            <w:r>
              <w:rPr>
                <w:rFonts w:hint="eastAsia"/>
                <w:color w:val="000000" w:themeColor="text1"/>
                <w:sz w:val="24"/>
                <w:vertAlign w:val="baseline"/>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堆场扬尘源中颗粒物总排放量，t/a。 </w:t>
            </w:r>
          </w:p>
          <w:p w14:paraId="78FE40BB">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E</w:t>
            </w:r>
            <w:r>
              <w:rPr>
                <w:rFonts w:hint="eastAsia"/>
                <w:color w:val="000000" w:themeColor="text1"/>
                <w:sz w:val="24"/>
                <w:vertAlign w:val="subscript"/>
                <w:lang w:val="en-US" w:eastAsia="zh-CN"/>
                <w14:textFill>
                  <w14:solidFill>
                    <w14:schemeClr w14:val="tx1"/>
                  </w14:solidFill>
                </w14:textFill>
              </w:rPr>
              <w:t>h</w:t>
            </w:r>
            <w:r>
              <w:rPr>
                <w:rFonts w:hint="eastAsia"/>
                <w:color w:val="000000" w:themeColor="text1"/>
                <w:sz w:val="24"/>
                <w:vertAlign w:val="baseline"/>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堆场装卸运输过程的扬尘颗粒物排放系数，kg/t。 </w:t>
            </w:r>
          </w:p>
          <w:p w14:paraId="70635730">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m</w:t>
            </w:r>
            <w:r>
              <w:rPr>
                <w:rFonts w:hint="eastAsia"/>
                <w:color w:val="000000" w:themeColor="text1"/>
                <w:sz w:val="24"/>
                <w:vertAlign w:val="baseline"/>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每年料堆物料装卸总次数；计7200。</w:t>
            </w:r>
          </w:p>
          <w:p w14:paraId="06C1F9CF">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G</w:t>
            </w:r>
            <w:r>
              <w:rPr>
                <w:rFonts w:hint="eastAsia"/>
                <w:color w:val="000000" w:themeColor="text1"/>
                <w:sz w:val="24"/>
                <w:vertAlign w:val="subscript"/>
                <w:lang w:val="en-US" w:eastAsia="zh-CN"/>
                <w14:textFill>
                  <w14:solidFill>
                    <w14:schemeClr w14:val="tx1"/>
                  </w14:solidFill>
                </w14:textFill>
              </w:rPr>
              <w:t>Yi</w:t>
            </w:r>
            <w:r>
              <w:rPr>
                <w:rFonts w:hint="eastAsia"/>
                <w:color w:val="000000" w:themeColor="text1"/>
                <w:sz w:val="24"/>
                <w:vertAlign w:val="baseline"/>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第i次装卸过程的物料装卸量，t；计40。 </w:t>
            </w:r>
          </w:p>
          <w:p w14:paraId="68879EDD">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color w:val="000000" w:themeColor="text1"/>
                <w:sz w:val="24"/>
                <w:vertAlign w:val="baseline"/>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E</w:t>
            </w:r>
            <w:r>
              <w:rPr>
                <w:rFonts w:hint="eastAsia"/>
                <w:color w:val="000000" w:themeColor="text1"/>
                <w:sz w:val="24"/>
                <w:vertAlign w:val="subscript"/>
                <w:lang w:val="en-US" w:eastAsia="zh-CN"/>
                <w14:textFill>
                  <w14:solidFill>
                    <w14:schemeClr w14:val="tx1"/>
                  </w14:solidFill>
                </w14:textFill>
              </w:rPr>
              <w:t>w</w:t>
            </w:r>
            <w:r>
              <w:rPr>
                <w:rFonts w:hint="eastAsia"/>
                <w:color w:val="000000" w:themeColor="text1"/>
                <w:sz w:val="24"/>
                <w:vertAlign w:val="baseline"/>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料堆受到风蚀作用的颗粒物排放系数，kg/m</w:t>
            </w:r>
            <w:r>
              <w:rPr>
                <w:rFonts w:hint="eastAsia"/>
                <w:color w:val="000000" w:themeColor="text1"/>
                <w:sz w:val="24"/>
                <w:vertAlign w:val="superscript"/>
                <w:lang w:val="en-US" w:eastAsia="zh-CN"/>
                <w14:textFill>
                  <w14:solidFill>
                    <w14:schemeClr w14:val="tx1"/>
                  </w14:solidFill>
                </w14:textFill>
              </w:rPr>
              <w:t>2</w:t>
            </w:r>
            <w:r>
              <w:rPr>
                <w:rFonts w:hint="eastAsia"/>
                <w:color w:val="000000" w:themeColor="text1"/>
                <w:sz w:val="24"/>
                <w:vertAlign w:val="baseline"/>
                <w:lang w:val="en-US" w:eastAsia="zh-CN"/>
                <w14:textFill>
                  <w14:solidFill>
                    <w14:schemeClr w14:val="tx1"/>
                  </w14:solidFill>
                </w14:textFill>
              </w:rPr>
              <w:t>；由于料场东西南三面遮挡，顶棚覆盖，且木垒县主导风向为南风，因此料堆收到风蚀作用较小，计为0。</w:t>
            </w:r>
          </w:p>
          <w:p w14:paraId="184A7B63">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color w:val="000000" w:themeColor="text1"/>
                <w:sz w:val="24"/>
                <w:vertAlign w:val="baseline"/>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A</w:t>
            </w:r>
            <w:r>
              <w:rPr>
                <w:rFonts w:hint="eastAsia"/>
                <w:color w:val="000000" w:themeColor="text1"/>
                <w:sz w:val="24"/>
                <w:vertAlign w:val="subscript"/>
                <w:lang w:val="en-US" w:eastAsia="zh-CN"/>
                <w14:textFill>
                  <w14:solidFill>
                    <w14:schemeClr w14:val="tx1"/>
                  </w14:solidFill>
                </w14:textFill>
              </w:rPr>
              <w:t>Y</w:t>
            </w:r>
            <w:r>
              <w:rPr>
                <w:rFonts w:hint="eastAsia"/>
                <w:color w:val="000000" w:themeColor="text1"/>
                <w:sz w:val="24"/>
                <w:vertAlign w:val="baseline"/>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料堆表面积，m</w:t>
            </w:r>
            <w:r>
              <w:rPr>
                <w:rFonts w:hint="eastAsia"/>
                <w:color w:val="000000" w:themeColor="text1"/>
                <w:sz w:val="24"/>
                <w:vertAlign w:val="superscript"/>
                <w:lang w:val="en-US" w:eastAsia="zh-CN"/>
                <w14:textFill>
                  <w14:solidFill>
                    <w14:schemeClr w14:val="tx1"/>
                  </w14:solidFill>
                </w14:textFill>
              </w:rPr>
              <w:t>2</w:t>
            </w:r>
            <w:r>
              <w:rPr>
                <w:rFonts w:hint="eastAsia"/>
                <w:color w:val="000000" w:themeColor="text1"/>
                <w:sz w:val="24"/>
                <w:vertAlign w:val="baseline"/>
                <w:lang w:val="en-US" w:eastAsia="zh-CN"/>
                <w14:textFill>
                  <w14:solidFill>
                    <w14:schemeClr w14:val="tx1"/>
                  </w14:solidFill>
                </w14:textFill>
              </w:rPr>
              <w:t>；计1110。</w:t>
            </w:r>
          </w:p>
          <w:p w14:paraId="464A32EA">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堆场装卸运输过程的扬尘颗粒物排放系数的估算公式如下：</w:t>
            </w:r>
          </w:p>
          <w:p w14:paraId="034C9C2F">
            <w:pPr>
              <w:pStyle w:val="9"/>
              <w:ind w:left="0" w:leftChars="0" w:firstLine="0" w:firstLineChars="0"/>
              <w:jc w:val="center"/>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3101340" cy="967740"/>
                  <wp:effectExtent l="0" t="0" r="7620" b="762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0"/>
                          <a:stretch>
                            <a:fillRect/>
                          </a:stretch>
                        </pic:blipFill>
                        <pic:spPr>
                          <a:xfrm>
                            <a:off x="0" y="0"/>
                            <a:ext cx="3101340" cy="967740"/>
                          </a:xfrm>
                          <a:prstGeom prst="rect">
                            <a:avLst/>
                          </a:prstGeom>
                          <a:noFill/>
                          <a:ln>
                            <a:noFill/>
                          </a:ln>
                        </pic:spPr>
                      </pic:pic>
                    </a:graphicData>
                  </a:graphic>
                </wp:inline>
              </w:drawing>
            </w:r>
          </w:p>
          <w:p w14:paraId="60A91BCF">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式中：</w:t>
            </w:r>
          </w:p>
          <w:p w14:paraId="73D46604">
            <w:pPr>
              <w:pStyle w:val="9"/>
              <w:ind w:left="0" w:leftChars="0" w:firstLine="480" w:firstLineChars="200"/>
              <w:rPr>
                <w:rStyle w:val="69"/>
                <w:rFonts w:hint="default" w:eastAsia="宋体" w:cs="Times New Roman"/>
                <w:color w:val="000000" w:themeColor="text1"/>
                <w:kern w:val="0"/>
                <w:lang w:val="en-US" w:eastAsia="zh-CN" w:bidi="ar-SA"/>
                <w14:textFill>
                  <w14:solidFill>
                    <w14:schemeClr w14:val="tx1"/>
                  </w14:solidFill>
                </w14:textFill>
              </w:rPr>
            </w:pPr>
            <w:r>
              <w:rPr>
                <w:rStyle w:val="69"/>
                <w:rFonts w:hint="default" w:eastAsia="宋体" w:cs="Times New Roman"/>
                <w:color w:val="000000" w:themeColor="text1"/>
                <w:kern w:val="0"/>
                <w:lang w:val="en-US" w:eastAsia="zh-CN" w:bidi="ar-SA"/>
                <w14:textFill>
                  <w14:solidFill>
                    <w14:schemeClr w14:val="tx1"/>
                  </w14:solidFill>
                </w14:textFill>
              </w:rPr>
              <w:t>E</w:t>
            </w:r>
            <w:r>
              <w:rPr>
                <w:rStyle w:val="69"/>
                <w:rFonts w:hint="default" w:eastAsia="宋体" w:cs="Times New Roman"/>
                <w:color w:val="000000" w:themeColor="text1"/>
                <w:kern w:val="0"/>
                <w:vertAlign w:val="subscript"/>
                <w:lang w:val="en-US" w:eastAsia="zh-CN" w:bidi="ar-SA"/>
                <w14:textFill>
                  <w14:solidFill>
                    <w14:schemeClr w14:val="tx1"/>
                  </w14:solidFill>
                </w14:textFill>
              </w:rPr>
              <w:t>h</w:t>
            </w:r>
            <w:r>
              <w:rPr>
                <w:rStyle w:val="69"/>
                <w:rFonts w:hint="eastAsia" w:eastAsia="宋体" w:cs="Times New Roman"/>
                <w:color w:val="000000" w:themeColor="text1"/>
                <w:kern w:val="0"/>
                <w:vertAlign w:val="baseline"/>
                <w:lang w:val="en-US" w:eastAsia="zh-CN" w:bidi="ar-SA"/>
                <w14:textFill>
                  <w14:solidFill>
                    <w14:schemeClr w14:val="tx1"/>
                  </w14:solidFill>
                </w14:textFill>
              </w:rPr>
              <w:t>——</w:t>
            </w:r>
            <w:r>
              <w:rPr>
                <w:rStyle w:val="69"/>
                <w:rFonts w:hint="default" w:eastAsia="宋体" w:cs="Times New Roman"/>
                <w:color w:val="000000" w:themeColor="text1"/>
                <w:kern w:val="0"/>
                <w:lang w:val="en-US" w:eastAsia="zh-CN" w:bidi="ar-SA"/>
                <w14:textFill>
                  <w14:solidFill>
                    <w14:schemeClr w14:val="tx1"/>
                  </w14:solidFill>
                </w14:textFill>
              </w:rPr>
              <w:t>堆场装卸扬尘的排放系数，kg/t</w:t>
            </w:r>
            <w:r>
              <w:rPr>
                <w:rStyle w:val="69"/>
                <w:rFonts w:hint="eastAsia" w:eastAsia="宋体" w:cs="Times New Roman"/>
                <w:color w:val="000000" w:themeColor="text1"/>
                <w:kern w:val="0"/>
                <w:lang w:val="en-US" w:eastAsia="zh-CN" w:bidi="ar-SA"/>
                <w14:textFill>
                  <w14:solidFill>
                    <w14:schemeClr w14:val="tx1"/>
                  </w14:solidFill>
                </w14:textFill>
              </w:rPr>
              <w:t>。</w:t>
            </w:r>
          </w:p>
          <w:p w14:paraId="60843E3D">
            <w:pPr>
              <w:pStyle w:val="9"/>
              <w:ind w:left="0" w:leftChars="0" w:firstLine="480" w:firstLineChars="200"/>
              <w:rPr>
                <w:rStyle w:val="69"/>
                <w:rFonts w:hint="default" w:eastAsia="宋体" w:cs="Times New Roman"/>
                <w:color w:val="000000" w:themeColor="text1"/>
                <w:kern w:val="0"/>
                <w:lang w:val="en-US" w:eastAsia="zh-CN" w:bidi="ar-SA"/>
                <w14:textFill>
                  <w14:solidFill>
                    <w14:schemeClr w14:val="tx1"/>
                  </w14:solidFill>
                </w14:textFill>
              </w:rPr>
            </w:pPr>
            <w:r>
              <w:rPr>
                <w:rStyle w:val="69"/>
                <w:rFonts w:hint="default" w:eastAsia="宋体" w:cs="Times New Roman"/>
                <w:color w:val="000000" w:themeColor="text1"/>
                <w:kern w:val="0"/>
                <w:lang w:val="en-US" w:eastAsia="zh-CN" w:bidi="ar-SA"/>
                <w14:textFill>
                  <w14:solidFill>
                    <w14:schemeClr w14:val="tx1"/>
                  </w14:solidFill>
                </w14:textFill>
              </w:rPr>
              <w:t>k</w:t>
            </w:r>
            <w:r>
              <w:rPr>
                <w:rStyle w:val="69"/>
                <w:rFonts w:hint="default" w:eastAsia="宋体" w:cs="Times New Roman"/>
                <w:color w:val="000000" w:themeColor="text1"/>
                <w:kern w:val="0"/>
                <w:vertAlign w:val="subscript"/>
                <w:lang w:val="en-US" w:eastAsia="zh-CN" w:bidi="ar-SA"/>
                <w14:textFill>
                  <w14:solidFill>
                    <w14:schemeClr w14:val="tx1"/>
                  </w14:solidFill>
                </w14:textFill>
              </w:rPr>
              <w:t>i</w:t>
            </w:r>
            <w:r>
              <w:rPr>
                <w:rStyle w:val="69"/>
                <w:rFonts w:hint="eastAsia" w:eastAsia="宋体" w:cs="Times New Roman"/>
                <w:color w:val="000000" w:themeColor="text1"/>
                <w:kern w:val="0"/>
                <w:vertAlign w:val="baseline"/>
                <w:lang w:val="en-US" w:eastAsia="zh-CN" w:bidi="ar-SA"/>
                <w14:textFill>
                  <w14:solidFill>
                    <w14:schemeClr w14:val="tx1"/>
                  </w14:solidFill>
                </w14:textFill>
              </w:rPr>
              <w:t>——</w:t>
            </w:r>
            <w:r>
              <w:rPr>
                <w:rStyle w:val="69"/>
                <w:rFonts w:hint="default" w:eastAsia="宋体" w:cs="Times New Roman"/>
                <w:color w:val="000000" w:themeColor="text1"/>
                <w:kern w:val="0"/>
                <w:lang w:val="en-US" w:eastAsia="zh-CN" w:bidi="ar-SA"/>
                <w14:textFill>
                  <w14:solidFill>
                    <w14:schemeClr w14:val="tx1"/>
                  </w14:solidFill>
                </w14:textFill>
              </w:rPr>
              <w:t>物料的粒度乘数</w:t>
            </w:r>
            <w:r>
              <w:rPr>
                <w:rStyle w:val="69"/>
                <w:rFonts w:hint="eastAsia" w:eastAsia="宋体" w:cs="Times New Roman"/>
                <w:color w:val="000000" w:themeColor="text1"/>
                <w:kern w:val="0"/>
                <w:lang w:val="en-US" w:eastAsia="zh-CN" w:bidi="ar-SA"/>
                <w14:textFill>
                  <w14:solidFill>
                    <w14:schemeClr w14:val="tx1"/>
                  </w14:solidFill>
                </w14:textFill>
              </w:rPr>
              <w:t>；计0.74</w:t>
            </w:r>
            <w:r>
              <w:rPr>
                <w:rFonts w:hint="eastAsia"/>
                <w:color w:val="000000" w:themeColor="text1"/>
                <w:sz w:val="24"/>
                <w:vertAlign w:val="baseline"/>
                <w:lang w:val="en-US" w:eastAsia="zh-CN"/>
                <w14:textFill>
                  <w14:solidFill>
                    <w14:schemeClr w14:val="tx1"/>
                  </w14:solidFill>
                </w14:textFill>
              </w:rPr>
              <w:t>。</w:t>
            </w:r>
          </w:p>
          <w:p w14:paraId="4EA611AD">
            <w:pPr>
              <w:pStyle w:val="9"/>
              <w:ind w:left="0" w:leftChars="0" w:firstLine="480" w:firstLineChars="200"/>
              <w:rPr>
                <w:rStyle w:val="69"/>
                <w:rFonts w:hint="default" w:eastAsia="宋体" w:cs="Times New Roman"/>
                <w:color w:val="000000" w:themeColor="text1"/>
                <w:kern w:val="0"/>
                <w:lang w:val="en-US" w:eastAsia="zh-CN" w:bidi="ar-SA"/>
                <w14:textFill>
                  <w14:solidFill>
                    <w14:schemeClr w14:val="tx1"/>
                  </w14:solidFill>
                </w14:textFill>
              </w:rPr>
            </w:pPr>
            <w:r>
              <w:rPr>
                <w:rStyle w:val="69"/>
                <w:rFonts w:hint="default" w:eastAsia="宋体" w:cs="Times New Roman"/>
                <w:color w:val="000000" w:themeColor="text1"/>
                <w:kern w:val="0"/>
                <w:lang w:val="en-US" w:eastAsia="zh-CN" w:bidi="ar-SA"/>
                <w14:textFill>
                  <w14:solidFill>
                    <w14:schemeClr w14:val="tx1"/>
                  </w14:solidFill>
                </w14:textFill>
              </w:rPr>
              <w:t>u</w:t>
            </w:r>
            <w:r>
              <w:rPr>
                <w:rStyle w:val="69"/>
                <w:rFonts w:hint="eastAsia" w:eastAsia="宋体" w:cs="Times New Roman"/>
                <w:color w:val="000000" w:themeColor="text1"/>
                <w:kern w:val="0"/>
                <w:lang w:val="en-US" w:eastAsia="zh-CN" w:bidi="ar-SA"/>
                <w14:textFill>
                  <w14:solidFill>
                    <w14:schemeClr w14:val="tx1"/>
                  </w14:solidFill>
                </w14:textFill>
              </w:rPr>
              <w:t>——</w:t>
            </w:r>
            <w:r>
              <w:rPr>
                <w:rStyle w:val="69"/>
                <w:rFonts w:hint="default" w:eastAsia="宋体" w:cs="Times New Roman"/>
                <w:color w:val="000000" w:themeColor="text1"/>
                <w:kern w:val="0"/>
                <w:lang w:val="en-US" w:eastAsia="zh-CN" w:bidi="ar-SA"/>
                <w14:textFill>
                  <w14:solidFill>
                    <w14:schemeClr w14:val="tx1"/>
                  </w14:solidFill>
                </w14:textFill>
              </w:rPr>
              <w:t>地面平均风速，m/s</w:t>
            </w:r>
            <w:r>
              <w:rPr>
                <w:rStyle w:val="69"/>
                <w:rFonts w:hint="eastAsia" w:eastAsia="宋体" w:cs="Times New Roman"/>
                <w:color w:val="000000" w:themeColor="text1"/>
                <w:kern w:val="0"/>
                <w:lang w:val="en-US" w:eastAsia="zh-CN" w:bidi="ar-SA"/>
                <w14:textFill>
                  <w14:solidFill>
                    <w14:schemeClr w14:val="tx1"/>
                  </w14:solidFill>
                </w14:textFill>
              </w:rPr>
              <w:t>；平均风速2~4</w:t>
            </w:r>
            <w:r>
              <w:rPr>
                <w:rStyle w:val="69"/>
                <w:rFonts w:hint="default" w:eastAsia="宋体" w:cs="Times New Roman"/>
                <w:color w:val="000000" w:themeColor="text1"/>
                <w:kern w:val="0"/>
                <w:lang w:val="en-US" w:eastAsia="zh-CN" w:bidi="ar-SA"/>
                <w14:textFill>
                  <w14:solidFill>
                    <w14:schemeClr w14:val="tx1"/>
                  </w14:solidFill>
                </w14:textFill>
              </w:rPr>
              <w:t xml:space="preserve"> m/s</w:t>
            </w:r>
            <w:r>
              <w:rPr>
                <w:rStyle w:val="69"/>
                <w:rFonts w:hint="eastAsia" w:eastAsia="宋体" w:cs="Times New Roman"/>
                <w:color w:val="000000" w:themeColor="text1"/>
                <w:kern w:val="0"/>
                <w:lang w:val="en-US" w:eastAsia="zh-CN" w:bidi="ar-SA"/>
                <w14:textFill>
                  <w14:solidFill>
                    <w14:schemeClr w14:val="tx1"/>
                  </w14:solidFill>
                </w14:textFill>
              </w:rPr>
              <w:t>，取3</w:t>
            </w:r>
            <w:r>
              <w:rPr>
                <w:rFonts w:hint="eastAsia"/>
                <w:color w:val="000000" w:themeColor="text1"/>
                <w:sz w:val="24"/>
                <w:vertAlign w:val="baseline"/>
                <w:lang w:val="en-US" w:eastAsia="zh-CN"/>
                <w14:textFill>
                  <w14:solidFill>
                    <w14:schemeClr w14:val="tx1"/>
                  </w14:solidFill>
                </w14:textFill>
              </w:rPr>
              <w:t>。</w:t>
            </w:r>
          </w:p>
          <w:p w14:paraId="28652273">
            <w:pPr>
              <w:pStyle w:val="9"/>
              <w:ind w:left="0" w:leftChars="0" w:firstLine="480" w:firstLineChars="200"/>
              <w:rPr>
                <w:rStyle w:val="69"/>
                <w:rFonts w:hint="default" w:eastAsia="宋体" w:cs="Times New Roman"/>
                <w:color w:val="000000" w:themeColor="text1"/>
                <w:kern w:val="0"/>
                <w:lang w:val="en-US" w:eastAsia="zh-CN" w:bidi="ar-SA"/>
                <w14:textFill>
                  <w14:solidFill>
                    <w14:schemeClr w14:val="tx1"/>
                  </w14:solidFill>
                </w14:textFill>
              </w:rPr>
            </w:pPr>
            <w:r>
              <w:rPr>
                <w:rStyle w:val="69"/>
                <w:rFonts w:hint="default" w:eastAsia="宋体" w:cs="Times New Roman"/>
                <w:color w:val="000000" w:themeColor="text1"/>
                <w:kern w:val="0"/>
                <w:lang w:val="en-US" w:eastAsia="zh-CN" w:bidi="ar-SA"/>
                <w14:textFill>
                  <w14:solidFill>
                    <w14:schemeClr w14:val="tx1"/>
                  </w14:solidFill>
                </w14:textFill>
              </w:rPr>
              <w:t>M</w:t>
            </w:r>
            <w:r>
              <w:rPr>
                <w:rStyle w:val="69"/>
                <w:rFonts w:hint="eastAsia" w:eastAsia="宋体" w:cs="Times New Roman"/>
                <w:color w:val="000000" w:themeColor="text1"/>
                <w:kern w:val="0"/>
                <w:lang w:val="en-US" w:eastAsia="zh-CN" w:bidi="ar-SA"/>
                <w14:textFill>
                  <w14:solidFill>
                    <w14:schemeClr w14:val="tx1"/>
                  </w14:solidFill>
                </w14:textFill>
              </w:rPr>
              <w:t>——</w:t>
            </w:r>
            <w:r>
              <w:rPr>
                <w:rStyle w:val="69"/>
                <w:rFonts w:hint="default" w:eastAsia="宋体" w:cs="Times New Roman"/>
                <w:color w:val="000000" w:themeColor="text1"/>
                <w:kern w:val="0"/>
                <w:lang w:val="en-US" w:eastAsia="zh-CN" w:bidi="ar-SA"/>
                <w14:textFill>
                  <w14:solidFill>
                    <w14:schemeClr w14:val="tx1"/>
                  </w14:solidFill>
                </w14:textFill>
              </w:rPr>
              <w:t>物料含水率，</w:t>
            </w:r>
            <w:r>
              <w:rPr>
                <w:rStyle w:val="69"/>
                <w:rFonts w:hint="eastAsia" w:eastAsia="宋体" w:cs="Times New Roman"/>
                <w:color w:val="000000" w:themeColor="text1"/>
                <w:kern w:val="0"/>
                <w:lang w:val="en-US" w:eastAsia="zh-CN" w:bidi="ar-SA"/>
                <w14:textFill>
                  <w14:solidFill>
                    <w14:schemeClr w14:val="tx1"/>
                  </w14:solidFill>
                </w14:textFill>
              </w:rPr>
              <w:t>%；计2.5</w:t>
            </w:r>
            <w:r>
              <w:rPr>
                <w:rFonts w:hint="eastAsia"/>
                <w:color w:val="000000" w:themeColor="text1"/>
                <w:sz w:val="24"/>
                <w:vertAlign w:val="baseline"/>
                <w:lang w:val="en-US" w:eastAsia="zh-CN"/>
                <w14:textFill>
                  <w14:solidFill>
                    <w14:schemeClr w14:val="tx1"/>
                  </w14:solidFill>
                </w14:textFill>
              </w:rPr>
              <w:t>。</w:t>
            </w:r>
          </w:p>
          <w:p w14:paraId="0B05EBB7">
            <w:pPr>
              <w:pStyle w:val="9"/>
              <w:ind w:left="0" w:leftChars="0" w:firstLine="480" w:firstLineChars="200"/>
              <w:rPr>
                <w:rFonts w:hint="default"/>
                <w:color w:val="000000" w:themeColor="text1"/>
                <w:lang w:val="en-US" w:eastAsia="zh-CN"/>
                <w14:textFill>
                  <w14:solidFill>
                    <w14:schemeClr w14:val="tx1"/>
                  </w14:solidFill>
                </w14:textFill>
              </w:rPr>
            </w:pPr>
            <w:r>
              <w:rPr>
                <w:rStyle w:val="69"/>
                <w:rFonts w:hint="eastAsia" w:eastAsia="宋体" w:cs="Times New Roman"/>
                <w:color w:val="000000" w:themeColor="text1"/>
                <w:kern w:val="0"/>
                <w:lang w:val="en-US" w:eastAsia="zh-CN" w:bidi="ar-SA"/>
                <w14:textFill>
                  <w14:solidFill>
                    <w14:schemeClr w14:val="tx1"/>
                  </w14:solidFill>
                </w14:textFill>
              </w:rPr>
              <w:t>η——</w:t>
            </w:r>
            <w:r>
              <w:rPr>
                <w:rStyle w:val="69"/>
                <w:rFonts w:hint="default" w:eastAsia="宋体" w:cs="Times New Roman"/>
                <w:color w:val="000000" w:themeColor="text1"/>
                <w:kern w:val="0"/>
                <w:lang w:val="en-US" w:eastAsia="zh-CN" w:bidi="ar-SA"/>
                <w14:textFill>
                  <w14:solidFill>
                    <w14:schemeClr w14:val="tx1"/>
                  </w14:solidFill>
                </w14:textFill>
              </w:rPr>
              <w:t>污染控制技术对扬尘的去除效率，%</w:t>
            </w:r>
            <w:r>
              <w:rPr>
                <w:rStyle w:val="69"/>
                <w:rFonts w:hint="eastAsia" w:eastAsia="宋体" w:cs="Times New Roman"/>
                <w:color w:val="000000" w:themeColor="text1"/>
                <w:kern w:val="0"/>
                <w:lang w:val="en-US" w:eastAsia="zh-CN" w:bidi="ar-SA"/>
                <w14:textFill>
                  <w14:solidFill>
                    <w14:schemeClr w14:val="tx1"/>
                  </w14:solidFill>
                </w14:textFill>
              </w:rPr>
              <w:t>；计90</w:t>
            </w:r>
            <w:r>
              <w:rPr>
                <w:rFonts w:hint="eastAsia"/>
                <w:color w:val="000000" w:themeColor="text1"/>
                <w:sz w:val="24"/>
                <w:vertAlign w:val="baseline"/>
                <w:lang w:val="en-US" w:eastAsia="zh-CN"/>
                <w14:textFill>
                  <w14:solidFill>
                    <w14:schemeClr w14:val="tx1"/>
                  </w14:solidFill>
                </w14:textFill>
              </w:rPr>
              <w:t>。</w:t>
            </w:r>
          </w:p>
          <w:p w14:paraId="6EC9F0EC">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Style w:val="69"/>
                <w:rFonts w:hint="default"/>
                <w:color w:val="000000" w:themeColor="text1"/>
                <w:sz w:val="24"/>
                <w:szCs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根据上公式计算，物料堆存过程产生的颗粒物为0.037</w:t>
            </w:r>
            <w:r>
              <w:rPr>
                <w:rFonts w:hint="eastAsia"/>
                <w:color w:val="000000" w:themeColor="text1"/>
                <w:sz w:val="24"/>
                <w:highlight w:val="none"/>
                <w:lang w:val="en-US" w:eastAsia="zh-CN"/>
                <w14:textFill>
                  <w14:solidFill>
                    <w14:schemeClr w14:val="tx1"/>
                  </w14:solidFill>
                </w14:textFill>
              </w:rPr>
              <w:t>t/a</w:t>
            </w:r>
            <w:r>
              <w:rPr>
                <w:rFonts w:hint="eastAsia"/>
                <w:color w:val="000000" w:themeColor="text1"/>
                <w:sz w:val="24"/>
                <w:vertAlign w:val="baseline"/>
                <w:lang w:val="en-US" w:eastAsia="zh-CN"/>
                <w14:textFill>
                  <w14:solidFill>
                    <w14:schemeClr w14:val="tx1"/>
                  </w14:solidFill>
                </w14:textFill>
              </w:rPr>
              <w:t>。</w:t>
            </w:r>
          </w:p>
          <w:p w14:paraId="05189855">
            <w:pPr>
              <w:pStyle w:val="8"/>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color w:val="000000" w:themeColor="text1"/>
                <w:sz w:val="24"/>
                <w:szCs w:val="24"/>
                <w:lang w:val="en-US" w:eastAsia="zh-CN"/>
                <w14:textFill>
                  <w14:solidFill>
                    <w14:schemeClr w14:val="tx1"/>
                  </w14:solidFill>
                </w14:textFill>
              </w:rPr>
            </w:pPr>
            <w:r>
              <w:rPr>
                <w:rStyle w:val="69"/>
                <w:rFonts w:hint="eastAsia"/>
                <w:color w:val="000000" w:themeColor="text1"/>
                <w:sz w:val="24"/>
                <w:szCs w:val="24"/>
                <w:lang w:val="en-US" w:eastAsia="zh-CN"/>
                <w14:textFill>
                  <w14:solidFill>
                    <w14:schemeClr w14:val="tx1"/>
                  </w14:solidFill>
                </w14:textFill>
              </w:rPr>
              <w:t>本项目砂石料堆场要求地面全部硬化，砂石料场采取三面彩钢板围挡，钢结构拱形顶棚，项目原料采用篷布覆盖，并定期洒</w:t>
            </w:r>
            <w:r>
              <w:rPr>
                <w:rStyle w:val="69"/>
                <w:rFonts w:hint="eastAsia" w:eastAsia="宋体" w:cs="Times New Roman"/>
                <w:color w:val="000000" w:themeColor="text1"/>
                <w:sz w:val="24"/>
                <w:szCs w:val="24"/>
                <w:lang w:val="en-US" w:eastAsia="zh-CN"/>
                <w14:textFill>
                  <w14:solidFill>
                    <w14:schemeClr w14:val="tx1"/>
                  </w14:solidFill>
                </w14:textFill>
              </w:rPr>
              <w:t>水降尘，颗粒物控制措施控制效率可达到90%，堆场类型为半封闭式，控制效率可达60%，经上述公式计算粉</w:t>
            </w:r>
            <w:r>
              <w:rPr>
                <w:rStyle w:val="69"/>
                <w:rFonts w:hint="eastAsia"/>
                <w:color w:val="000000" w:themeColor="text1"/>
                <w:sz w:val="24"/>
                <w:szCs w:val="24"/>
                <w:lang w:val="en-US" w:eastAsia="zh-CN"/>
                <w14:textFill>
                  <w14:solidFill>
                    <w14:schemeClr w14:val="tx1"/>
                  </w14:solidFill>
                </w14:textFill>
              </w:rPr>
              <w:t>尘无组织排放量为0.037t/a。环评要求对于物料装卸过程中产生的扬尘，要加强管理，定期洒水降尘，采用定点装卸，在装卸原料时应尽量平缓，减少粉尘的散出。同时建设单位制定严格操作规程，加强管理，健全文明生产制度并落实，加强绿化，改善厂区内环境，尽可能减少无组织排放量。</w:t>
            </w:r>
          </w:p>
          <w:p w14:paraId="4397D8D5">
            <w:pPr>
              <w:snapToGrid w:val="0"/>
              <w:spacing w:line="360" w:lineRule="auto"/>
              <w:rPr>
                <w:b/>
                <w:bCs/>
                <w:color w:val="auto"/>
                <w:sz w:val="24"/>
                <w:szCs w:val="22"/>
              </w:rPr>
            </w:pPr>
            <w:r>
              <w:rPr>
                <w:rFonts w:hint="eastAsia"/>
                <w:b/>
                <w:bCs/>
                <w:color w:val="auto"/>
                <w:sz w:val="24"/>
                <w:szCs w:val="22"/>
              </w:rPr>
              <w:t>1.1.4</w:t>
            </w:r>
            <w:r>
              <w:rPr>
                <w:b/>
                <w:bCs/>
                <w:color w:val="auto"/>
                <w:sz w:val="24"/>
                <w:szCs w:val="22"/>
              </w:rPr>
              <w:t>运输车辆道路扬尘</w:t>
            </w:r>
          </w:p>
          <w:p w14:paraId="7804C7C5">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default" w:ascii="Times New Roman" w:hAnsi="Times New Roman" w:eastAsia="宋体" w:cs="宋体"/>
                <w:b w:val="0"/>
                <w:bCs w:val="0"/>
                <w:sz w:val="24"/>
                <w:szCs w:val="24"/>
                <w:lang w:val="en-US" w:eastAsia="zh-CN"/>
              </w:rPr>
              <w:t>为防止将泥沙带到外环境中造成粉尘二次污染，本项目在搅拌站内废水沉淀池旁设置洗车平台，对出站的混凝土运输罐车、水泥及粉煤灰运输罐车、砂石料运输车辆车轮、车厢外部进行冲洗，冲洗后的废水</w:t>
            </w:r>
            <w:r>
              <w:rPr>
                <w:rFonts w:hint="eastAsia" w:ascii="Times New Roman" w:hAnsi="Times New Roman" w:eastAsia="宋体" w:cs="宋体"/>
                <w:b w:val="0"/>
                <w:bCs w:val="0"/>
                <w:sz w:val="24"/>
                <w:szCs w:val="24"/>
                <w:lang w:val="en-US" w:eastAsia="zh-CN"/>
              </w:rPr>
              <w:t>通过排水槽</w:t>
            </w:r>
            <w:r>
              <w:rPr>
                <w:rFonts w:hint="default" w:ascii="Times New Roman" w:hAnsi="Times New Roman" w:eastAsia="宋体" w:cs="宋体"/>
                <w:b w:val="0"/>
                <w:bCs w:val="0"/>
                <w:sz w:val="24"/>
                <w:szCs w:val="24"/>
                <w:lang w:val="en-US" w:eastAsia="zh-CN"/>
              </w:rPr>
              <w:t>流入</w:t>
            </w:r>
            <w:r>
              <w:rPr>
                <w:rFonts w:hint="eastAsia" w:ascii="Times New Roman" w:hAnsi="Times New Roman" w:eastAsia="宋体" w:cs="宋体"/>
                <w:b w:val="0"/>
                <w:bCs w:val="0"/>
                <w:sz w:val="24"/>
                <w:szCs w:val="24"/>
                <w:lang w:val="en-US" w:eastAsia="zh-CN"/>
              </w:rPr>
              <w:t>50m</w:t>
            </w:r>
            <w:r>
              <w:rPr>
                <w:rFonts w:hint="eastAsia" w:ascii="Times New Roman" w:hAnsi="Times New Roman" w:eastAsia="宋体" w:cs="宋体"/>
                <w:b w:val="0"/>
                <w:bCs w:val="0"/>
                <w:sz w:val="24"/>
                <w:szCs w:val="24"/>
                <w:vertAlign w:val="superscript"/>
                <w:lang w:val="en-US" w:eastAsia="zh-CN"/>
              </w:rPr>
              <w:t>3</w:t>
            </w:r>
            <w:r>
              <w:rPr>
                <w:rFonts w:hint="default" w:ascii="Times New Roman" w:hAnsi="Times New Roman" w:eastAsia="宋体" w:cs="宋体"/>
                <w:b w:val="0"/>
                <w:bCs w:val="0"/>
                <w:sz w:val="24"/>
                <w:szCs w:val="24"/>
                <w:lang w:val="en-US" w:eastAsia="zh-CN"/>
              </w:rPr>
              <w:t>沉淀池。</w:t>
            </w:r>
          </w:p>
          <w:p w14:paraId="6CA8C4BD">
            <w:pPr>
              <w:autoSpaceDE w:val="0"/>
              <w:autoSpaceDN w:val="0"/>
              <w:adjustRightInd w:val="0"/>
              <w:snapToGrid w:val="0"/>
              <w:spacing w:line="360" w:lineRule="auto"/>
              <w:ind w:firstLine="480" w:firstLineChars="200"/>
              <w:rPr>
                <w:rFonts w:hint="eastAsia" w:cs="宋体"/>
                <w:b w:val="0"/>
                <w:bCs w:val="0"/>
                <w:sz w:val="24"/>
                <w:szCs w:val="24"/>
                <w:lang w:val="en-US" w:eastAsia="zh-CN"/>
              </w:rPr>
            </w:pPr>
            <w:r>
              <w:rPr>
                <w:rFonts w:hint="eastAsia" w:cs="宋体"/>
                <w:b w:val="0"/>
                <w:bCs w:val="0"/>
                <w:sz w:val="24"/>
                <w:szCs w:val="24"/>
                <w:lang w:val="en-US" w:eastAsia="zh-CN"/>
              </w:rPr>
              <w:t>对采购的混凝土罐车提出尾气排放污染控制措施，如下：</w:t>
            </w:r>
          </w:p>
          <w:p w14:paraId="684910BA">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eastAsia" w:cs="宋体"/>
                <w:b w:val="0"/>
                <w:bCs w:val="0"/>
                <w:sz w:val="24"/>
                <w:szCs w:val="24"/>
                <w:lang w:val="en-US" w:eastAsia="zh-CN"/>
              </w:rPr>
              <w:t>（</w:t>
            </w:r>
            <w:r>
              <w:rPr>
                <w:rFonts w:hint="default" w:ascii="Times New Roman" w:hAnsi="Times New Roman" w:eastAsia="宋体" w:cs="宋体"/>
                <w:b w:val="0"/>
                <w:bCs w:val="0"/>
                <w:sz w:val="24"/>
                <w:szCs w:val="24"/>
                <w:lang w:val="en-US" w:eastAsia="zh-CN"/>
              </w:rPr>
              <w:t>1</w:t>
            </w:r>
            <w:r>
              <w:rPr>
                <w:rFonts w:hint="eastAsia" w:cs="宋体"/>
                <w:b w:val="0"/>
                <w:bCs w:val="0"/>
                <w:sz w:val="24"/>
                <w:szCs w:val="24"/>
                <w:lang w:val="en-US" w:eastAsia="zh-CN"/>
              </w:rPr>
              <w:t>）</w:t>
            </w:r>
            <w:r>
              <w:rPr>
                <w:rFonts w:hint="default" w:ascii="Times New Roman" w:hAnsi="Times New Roman" w:eastAsia="宋体" w:cs="宋体"/>
                <w:b w:val="0"/>
                <w:bCs w:val="0"/>
                <w:sz w:val="24"/>
                <w:szCs w:val="24"/>
                <w:lang w:val="en-US" w:eastAsia="zh-CN"/>
              </w:rPr>
              <w:t>车辆选型与采购</w:t>
            </w:r>
          </w:p>
          <w:p w14:paraId="2437E069">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default" w:ascii="Times New Roman" w:hAnsi="Times New Roman" w:eastAsia="宋体" w:cs="宋体"/>
                <w:b w:val="0"/>
                <w:bCs w:val="0"/>
                <w:sz w:val="24"/>
                <w:szCs w:val="24"/>
                <w:lang w:val="en-US" w:eastAsia="zh-CN"/>
              </w:rPr>
              <w:t>优先选用低排放车辆：在采购过程中，优先选择符合国家及新疆维吾尔自治区机动车尾气排放标准，特别是国五排放标准的低排放混凝土运输罐车。</w:t>
            </w:r>
          </w:p>
          <w:p w14:paraId="6FD09F13">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eastAsia" w:cs="宋体"/>
                <w:b w:val="0"/>
                <w:bCs w:val="0"/>
                <w:sz w:val="24"/>
                <w:szCs w:val="24"/>
                <w:lang w:val="en-US" w:eastAsia="zh-CN"/>
              </w:rPr>
              <w:t>（2）</w:t>
            </w:r>
            <w:r>
              <w:rPr>
                <w:rFonts w:hint="default" w:ascii="Times New Roman" w:hAnsi="Times New Roman" w:eastAsia="宋体" w:cs="宋体"/>
                <w:b w:val="0"/>
                <w:bCs w:val="0"/>
                <w:sz w:val="24"/>
                <w:szCs w:val="24"/>
                <w:lang w:val="en-US" w:eastAsia="zh-CN"/>
              </w:rPr>
              <w:t>尾气排放治理</w:t>
            </w:r>
          </w:p>
          <w:p w14:paraId="61F685FD">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default" w:ascii="Times New Roman" w:hAnsi="Times New Roman" w:eastAsia="宋体" w:cs="宋体"/>
                <w:b w:val="0"/>
                <w:bCs w:val="0"/>
                <w:sz w:val="24"/>
                <w:szCs w:val="24"/>
                <w:lang w:val="en-US" w:eastAsia="zh-CN"/>
              </w:rPr>
              <w:t>安装尾气净化装置：对于采购的混凝土运输罐车，应安装有效的尾气净化装置，如催化转化器、颗粒捕集器等，以减少氮氧化物（NOx）、颗粒物（PM）等污染物的排放。</w:t>
            </w:r>
          </w:p>
          <w:p w14:paraId="2419AF35">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default" w:ascii="Times New Roman" w:hAnsi="Times New Roman" w:eastAsia="宋体" w:cs="宋体"/>
                <w:b w:val="0"/>
                <w:bCs w:val="0"/>
                <w:sz w:val="24"/>
                <w:szCs w:val="24"/>
                <w:lang w:val="en-US" w:eastAsia="zh-CN"/>
              </w:rPr>
              <w:t>定期检测与维护：建立车辆尾气排放定期检测制度，确保车辆尾气排放符合相关标准。同时，加强车辆维护保养，确保发动机、排气系统等处于良好工作状态，减少尾气排放。</w:t>
            </w:r>
          </w:p>
          <w:p w14:paraId="1F8D46BC">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eastAsia" w:cs="宋体"/>
                <w:b w:val="0"/>
                <w:bCs w:val="0"/>
                <w:sz w:val="24"/>
                <w:szCs w:val="24"/>
                <w:lang w:val="en-US" w:eastAsia="zh-CN"/>
              </w:rPr>
              <w:t>（3）</w:t>
            </w:r>
            <w:r>
              <w:rPr>
                <w:rFonts w:hint="default" w:ascii="Times New Roman" w:hAnsi="Times New Roman" w:eastAsia="宋体" w:cs="宋体"/>
                <w:b w:val="0"/>
                <w:bCs w:val="0"/>
                <w:sz w:val="24"/>
                <w:szCs w:val="24"/>
                <w:lang w:val="en-US" w:eastAsia="zh-CN"/>
              </w:rPr>
              <w:t>运营管理</w:t>
            </w:r>
          </w:p>
          <w:p w14:paraId="72EAD208">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default" w:ascii="Times New Roman" w:hAnsi="Times New Roman" w:eastAsia="宋体" w:cs="宋体"/>
                <w:b w:val="0"/>
                <w:bCs w:val="0"/>
                <w:sz w:val="24"/>
                <w:szCs w:val="24"/>
                <w:lang w:val="en-US" w:eastAsia="zh-CN"/>
              </w:rPr>
              <w:t>限制车辆行驶路线和时间：尽量避免混凝土运输罐车在人口密集区、交通繁忙区域和高污染区域行驶。同时，合理安排车辆运输时间，减少夜间和高峰时段的行驶。</w:t>
            </w:r>
          </w:p>
          <w:p w14:paraId="4853518E">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default" w:ascii="Times New Roman" w:hAnsi="Times New Roman" w:eastAsia="宋体" w:cs="宋体"/>
                <w:b w:val="0"/>
                <w:bCs w:val="0"/>
                <w:sz w:val="24"/>
                <w:szCs w:val="24"/>
                <w:lang w:val="en-US" w:eastAsia="zh-CN"/>
              </w:rPr>
              <w:t>加强驾驶员培训：提高驾驶员的环保意识，培训他们掌握正确的驾驶技能和节能减排方法，减少因驾驶不当导致的尾气排放增加。</w:t>
            </w:r>
          </w:p>
          <w:p w14:paraId="4C24EAE4">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eastAsia" w:cs="宋体"/>
                <w:b w:val="0"/>
                <w:bCs w:val="0"/>
                <w:sz w:val="24"/>
                <w:szCs w:val="24"/>
                <w:lang w:val="en-US" w:eastAsia="zh-CN"/>
              </w:rPr>
              <w:t>（4）</w:t>
            </w:r>
            <w:r>
              <w:rPr>
                <w:rFonts w:hint="default" w:ascii="Times New Roman" w:hAnsi="Times New Roman" w:eastAsia="宋体" w:cs="宋体"/>
                <w:b w:val="0"/>
                <w:bCs w:val="0"/>
                <w:sz w:val="24"/>
                <w:szCs w:val="24"/>
                <w:lang w:val="en-US" w:eastAsia="zh-CN"/>
              </w:rPr>
              <w:t>环保监管与政策支持</w:t>
            </w:r>
          </w:p>
          <w:p w14:paraId="4284C956">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lang w:val="en-US" w:eastAsia="zh-CN"/>
              </w:rPr>
            </w:pPr>
            <w:r>
              <w:rPr>
                <w:rFonts w:hint="default" w:ascii="Times New Roman" w:hAnsi="Times New Roman" w:eastAsia="宋体" w:cs="宋体"/>
                <w:b w:val="0"/>
                <w:bCs w:val="0"/>
                <w:sz w:val="24"/>
                <w:szCs w:val="24"/>
                <w:lang w:val="en-US" w:eastAsia="zh-CN"/>
              </w:rPr>
              <w:t>加强环保监管：商砼站应积极配合当地环保部门的监管工作，主动接受检查，确保混凝土运输罐车的尾气排放符合相关要求。</w:t>
            </w:r>
          </w:p>
          <w:p w14:paraId="4BFA57C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汽车道路扬尘量按经验公式估算：</w:t>
            </w:r>
          </w:p>
          <w:p w14:paraId="4BD3F690">
            <w:pPr>
              <w:widowControl/>
              <w:jc w:val="center"/>
              <w:rPr>
                <w:color w:val="auto"/>
              </w:rPr>
            </w:pPr>
            <w:r>
              <w:rPr>
                <w:color w:val="auto"/>
                <w:kern w:val="0"/>
                <w:sz w:val="24"/>
              </w:rPr>
              <w:drawing>
                <wp:inline distT="0" distB="0" distL="114300" distR="114300">
                  <wp:extent cx="2115820" cy="547370"/>
                  <wp:effectExtent l="0" t="0" r="0" b="3175"/>
                  <wp:docPr id="2" name="图片 3" descr="IMG_256"/>
                  <wp:cNvGraphicFramePr/>
                  <a:graphic xmlns:a="http://schemas.openxmlformats.org/drawingml/2006/main">
                    <a:graphicData uri="http://schemas.openxmlformats.org/drawingml/2006/picture">
                      <pic:pic xmlns:pic="http://schemas.openxmlformats.org/drawingml/2006/picture">
                        <pic:nvPicPr>
                          <pic:cNvPr id="2" name="图片 3" descr="IMG_256"/>
                          <pic:cNvPicPr/>
                        </pic:nvPicPr>
                        <pic:blipFill>
                          <a:blip r:embed="rId11"/>
                          <a:stretch>
                            <a:fillRect/>
                          </a:stretch>
                        </pic:blipFill>
                        <pic:spPr>
                          <a:xfrm>
                            <a:off x="0" y="0"/>
                            <a:ext cx="2115820" cy="547370"/>
                          </a:xfrm>
                          <a:prstGeom prst="rect">
                            <a:avLst/>
                          </a:prstGeom>
                          <a:noFill/>
                          <a:ln>
                            <a:noFill/>
                          </a:ln>
                        </pic:spPr>
                      </pic:pic>
                    </a:graphicData>
                  </a:graphic>
                </wp:inline>
              </w:drawing>
            </w:r>
          </w:p>
          <w:p w14:paraId="053A457C">
            <w:pPr>
              <w:snapToGrid w:val="0"/>
              <w:spacing w:line="360" w:lineRule="auto"/>
              <w:ind w:firstLine="480" w:firstLineChars="200"/>
              <w:rPr>
                <w:bCs/>
                <w:color w:val="auto"/>
                <w:kern w:val="24"/>
                <w:sz w:val="24"/>
              </w:rPr>
            </w:pPr>
            <w:r>
              <w:rPr>
                <w:bCs/>
                <w:color w:val="auto"/>
                <w:kern w:val="24"/>
                <w:sz w:val="24"/>
              </w:rPr>
              <w:t>式中：Q</w:t>
            </w:r>
            <w:r>
              <w:rPr>
                <w:rFonts w:hint="eastAsia"/>
                <w:bCs/>
                <w:color w:val="auto"/>
                <w:kern w:val="24"/>
                <w:sz w:val="24"/>
              </w:rPr>
              <w:t>--</w:t>
            </w:r>
            <w:r>
              <w:rPr>
                <w:bCs/>
                <w:color w:val="auto"/>
                <w:kern w:val="24"/>
                <w:sz w:val="24"/>
              </w:rPr>
              <w:t xml:space="preserve"> 汽车行驶的扬尘量，kg/km·辆；</w:t>
            </w:r>
          </w:p>
          <w:p w14:paraId="2440F3FA">
            <w:pPr>
              <w:snapToGrid w:val="0"/>
              <w:spacing w:line="360" w:lineRule="auto"/>
              <w:ind w:firstLine="1200" w:firstLineChars="500"/>
              <w:rPr>
                <w:bCs/>
                <w:color w:val="auto"/>
                <w:kern w:val="24"/>
                <w:sz w:val="24"/>
              </w:rPr>
            </w:pPr>
            <w:r>
              <w:rPr>
                <w:bCs/>
                <w:color w:val="auto"/>
                <w:kern w:val="24"/>
                <w:sz w:val="24"/>
              </w:rPr>
              <w:t>V</w:t>
            </w:r>
            <w:r>
              <w:rPr>
                <w:rFonts w:hint="eastAsia"/>
                <w:bCs/>
                <w:color w:val="auto"/>
                <w:kern w:val="24"/>
                <w:sz w:val="24"/>
              </w:rPr>
              <w:t>--</w:t>
            </w:r>
            <w:r>
              <w:rPr>
                <w:bCs/>
                <w:color w:val="auto"/>
                <w:kern w:val="24"/>
                <w:sz w:val="24"/>
              </w:rPr>
              <w:t xml:space="preserve"> 汽车速度，km/h；</w:t>
            </w:r>
          </w:p>
          <w:p w14:paraId="0E0755A9">
            <w:pPr>
              <w:snapToGrid w:val="0"/>
              <w:spacing w:line="360" w:lineRule="auto"/>
              <w:ind w:firstLine="1200" w:firstLineChars="500"/>
              <w:rPr>
                <w:bCs/>
                <w:color w:val="auto"/>
                <w:kern w:val="24"/>
                <w:sz w:val="24"/>
              </w:rPr>
            </w:pPr>
            <w:r>
              <w:rPr>
                <w:bCs/>
                <w:color w:val="auto"/>
                <w:kern w:val="24"/>
                <w:sz w:val="24"/>
              </w:rPr>
              <w:t>W</w:t>
            </w:r>
            <w:r>
              <w:rPr>
                <w:rFonts w:hint="eastAsia"/>
                <w:bCs/>
                <w:color w:val="auto"/>
                <w:kern w:val="24"/>
                <w:sz w:val="24"/>
              </w:rPr>
              <w:t>--</w:t>
            </w:r>
            <w:r>
              <w:rPr>
                <w:bCs/>
                <w:color w:val="auto"/>
                <w:kern w:val="24"/>
                <w:sz w:val="24"/>
              </w:rPr>
              <w:t xml:space="preserve"> 汽车载重量，t；</w:t>
            </w:r>
          </w:p>
          <w:p w14:paraId="34BEA3DF">
            <w:pPr>
              <w:snapToGrid w:val="0"/>
              <w:spacing w:line="360" w:lineRule="auto"/>
              <w:ind w:firstLine="1200" w:firstLineChars="500"/>
              <w:rPr>
                <w:bCs/>
                <w:color w:val="auto"/>
                <w:kern w:val="24"/>
                <w:sz w:val="24"/>
              </w:rPr>
            </w:pPr>
            <w:r>
              <w:rPr>
                <w:bCs/>
                <w:color w:val="auto"/>
                <w:kern w:val="24"/>
                <w:sz w:val="24"/>
              </w:rPr>
              <w:t>P</w:t>
            </w:r>
            <w:r>
              <w:rPr>
                <w:rFonts w:hint="eastAsia"/>
                <w:bCs/>
                <w:color w:val="auto"/>
                <w:kern w:val="24"/>
                <w:sz w:val="24"/>
              </w:rPr>
              <w:t>--</w:t>
            </w:r>
            <w:r>
              <w:rPr>
                <w:bCs/>
                <w:color w:val="auto"/>
                <w:kern w:val="24"/>
                <w:sz w:val="24"/>
              </w:rPr>
              <w:t xml:space="preserve"> 道路表面粉尘量，kg/m</w:t>
            </w:r>
            <w:r>
              <w:rPr>
                <w:bCs/>
                <w:color w:val="auto"/>
                <w:kern w:val="24"/>
                <w:sz w:val="24"/>
                <w:vertAlign w:val="superscript"/>
              </w:rPr>
              <w:t>2</w:t>
            </w:r>
            <w:r>
              <w:rPr>
                <w:bCs/>
                <w:color w:val="auto"/>
                <w:kern w:val="24"/>
                <w:sz w:val="24"/>
              </w:rPr>
              <w:t xml:space="preserve"> 。</w:t>
            </w:r>
          </w:p>
          <w:p w14:paraId="37616811">
            <w:pPr>
              <w:pStyle w:val="8"/>
              <w:widowControl w:val="0"/>
              <w:snapToGrid/>
              <w:ind w:firstLine="480" w:firstLineChars="200"/>
              <w:rPr>
                <w:color w:val="auto"/>
              </w:rPr>
            </w:pPr>
            <w:r>
              <w:rPr>
                <w:rFonts w:ascii="Times New Roman" w:hAnsi="Times New Roman" w:eastAsia="宋体" w:cs="Times New Roman"/>
                <w:color w:val="auto"/>
                <w:kern w:val="0"/>
                <w:sz w:val="24"/>
                <w:szCs w:val="24"/>
                <w:lang w:val="en-US" w:eastAsia="zh-CN" w:bidi="ar-SA"/>
              </w:rPr>
              <w:t>由上述计算公式计算，汽车行驶过程中扬尘量的预测结果见表</w:t>
            </w:r>
            <w:r>
              <w:rPr>
                <w:rFonts w:hint="eastAsia" w:ascii="Times New Roman" w:hAnsi="Times New Roman" w:eastAsia="宋体" w:cs="Times New Roman"/>
                <w:color w:val="auto"/>
                <w:kern w:val="0"/>
                <w:sz w:val="24"/>
                <w:szCs w:val="24"/>
                <w:lang w:val="en-US" w:eastAsia="zh-CN" w:bidi="ar-SA"/>
              </w:rPr>
              <w:t>4-1</w:t>
            </w:r>
            <w:r>
              <w:rPr>
                <w:rFonts w:ascii="Times New Roman" w:hAnsi="Times New Roman" w:eastAsia="宋体" w:cs="Times New Roman"/>
                <w:color w:val="auto"/>
                <w:kern w:val="0"/>
                <w:sz w:val="24"/>
                <w:szCs w:val="24"/>
                <w:lang w:val="en-US" w:eastAsia="zh-CN" w:bidi="ar-SA"/>
              </w:rPr>
              <w:t>。</w:t>
            </w:r>
          </w:p>
          <w:p w14:paraId="56929297">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w:t>
            </w:r>
            <w:r>
              <w:rPr>
                <w:rFonts w:hint="eastAsia" w:ascii="Times New Roman" w:hAnsi="Times New Roman" w:eastAsia="宋体" w:cs="Times New Roman"/>
                <w:color w:val="auto"/>
              </w:rPr>
              <w:t xml:space="preserve">4-1    </w:t>
            </w:r>
            <w:r>
              <w:rPr>
                <w:rFonts w:hint="default" w:ascii="Times New Roman" w:hAnsi="Times New Roman" w:eastAsia="宋体" w:cs="Times New Roman"/>
                <w:color w:val="auto"/>
              </w:rPr>
              <w:t>车辆行驶扬尘量</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063"/>
              <w:gridCol w:w="2064"/>
              <w:gridCol w:w="2065"/>
            </w:tblGrid>
            <w:tr w14:paraId="504CBD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02" w:type="pct"/>
                  <w:tcBorders>
                    <w:bottom w:val="single" w:color="auto" w:sz="12" w:space="0"/>
                  </w:tcBorders>
                  <w:vAlign w:val="center"/>
                </w:tcPr>
                <w:p w14:paraId="01EAAF25">
                  <w:pPr>
                    <w:pStyle w:val="60"/>
                    <w:rPr>
                      <w:b/>
                      <w:bCs/>
                      <w:color w:val="auto"/>
                      <w:sz w:val="21"/>
                      <w:szCs w:val="21"/>
                    </w:rPr>
                  </w:pPr>
                  <w:r>
                    <w:rPr>
                      <w:b/>
                      <w:bCs/>
                      <w:color w:val="auto"/>
                      <w:sz w:val="21"/>
                      <w:szCs w:val="21"/>
                    </w:rPr>
                    <w:t>汽车平均速度（km/h）</w:t>
                  </w:r>
                </w:p>
              </w:tc>
              <w:tc>
                <w:tcPr>
                  <w:tcW w:w="1298" w:type="pct"/>
                  <w:tcBorders>
                    <w:bottom w:val="single" w:color="auto" w:sz="12" w:space="0"/>
                  </w:tcBorders>
                  <w:vAlign w:val="center"/>
                </w:tcPr>
                <w:p w14:paraId="7CC0EAF7">
                  <w:pPr>
                    <w:pStyle w:val="60"/>
                    <w:rPr>
                      <w:b/>
                      <w:bCs/>
                      <w:color w:val="auto"/>
                      <w:sz w:val="21"/>
                      <w:szCs w:val="21"/>
                    </w:rPr>
                  </w:pPr>
                  <w:r>
                    <w:rPr>
                      <w:b/>
                      <w:bCs/>
                      <w:color w:val="auto"/>
                      <w:sz w:val="21"/>
                      <w:szCs w:val="21"/>
                    </w:rPr>
                    <w:t>汽车平均质量（t）</w:t>
                  </w:r>
                </w:p>
              </w:tc>
              <w:tc>
                <w:tcPr>
                  <w:tcW w:w="1299" w:type="pct"/>
                  <w:tcBorders>
                    <w:bottom w:val="single" w:color="auto" w:sz="12" w:space="0"/>
                  </w:tcBorders>
                  <w:vAlign w:val="center"/>
                </w:tcPr>
                <w:p w14:paraId="040E70F6">
                  <w:pPr>
                    <w:pStyle w:val="60"/>
                    <w:rPr>
                      <w:b/>
                      <w:bCs/>
                      <w:color w:val="auto"/>
                      <w:sz w:val="21"/>
                      <w:szCs w:val="21"/>
                    </w:rPr>
                  </w:pPr>
                  <w:r>
                    <w:rPr>
                      <w:b/>
                      <w:bCs/>
                      <w:color w:val="auto"/>
                      <w:sz w:val="21"/>
                      <w:szCs w:val="21"/>
                    </w:rPr>
                    <w:t>道路表面粉尘量（kg/m</w:t>
                  </w:r>
                  <w:r>
                    <w:rPr>
                      <w:b/>
                      <w:bCs/>
                      <w:color w:val="auto"/>
                      <w:sz w:val="21"/>
                      <w:szCs w:val="21"/>
                      <w:vertAlign w:val="superscript"/>
                    </w:rPr>
                    <w:t>3</w:t>
                  </w:r>
                  <w:r>
                    <w:rPr>
                      <w:b/>
                      <w:bCs/>
                      <w:color w:val="auto"/>
                      <w:sz w:val="21"/>
                      <w:szCs w:val="21"/>
                    </w:rPr>
                    <w:t>）</w:t>
                  </w:r>
                </w:p>
              </w:tc>
              <w:tc>
                <w:tcPr>
                  <w:tcW w:w="1299" w:type="pct"/>
                  <w:tcBorders>
                    <w:bottom w:val="single" w:color="auto" w:sz="12" w:space="0"/>
                  </w:tcBorders>
                  <w:vAlign w:val="center"/>
                </w:tcPr>
                <w:p w14:paraId="49B46D1A">
                  <w:pPr>
                    <w:pStyle w:val="60"/>
                    <w:rPr>
                      <w:b/>
                      <w:bCs/>
                      <w:color w:val="auto"/>
                      <w:sz w:val="21"/>
                      <w:szCs w:val="21"/>
                    </w:rPr>
                  </w:pPr>
                  <w:r>
                    <w:rPr>
                      <w:b/>
                      <w:bCs/>
                      <w:color w:val="auto"/>
                      <w:sz w:val="21"/>
                      <w:szCs w:val="21"/>
                    </w:rPr>
                    <w:t>汽车扬尘量（kg/km·辆）</w:t>
                  </w:r>
                </w:p>
              </w:tc>
            </w:tr>
            <w:tr w14:paraId="5FED69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02" w:type="pct"/>
                  <w:tcBorders>
                    <w:top w:val="single" w:color="auto" w:sz="12" w:space="0"/>
                    <w:tl2br w:val="nil"/>
                    <w:tr2bl w:val="nil"/>
                  </w:tcBorders>
                  <w:vAlign w:val="center"/>
                </w:tcPr>
                <w:p w14:paraId="2280C3B0">
                  <w:pPr>
                    <w:pStyle w:val="60"/>
                    <w:rPr>
                      <w:color w:val="auto"/>
                      <w:sz w:val="21"/>
                      <w:szCs w:val="21"/>
                    </w:rPr>
                  </w:pPr>
                  <w:r>
                    <w:rPr>
                      <w:color w:val="auto"/>
                      <w:sz w:val="21"/>
                      <w:szCs w:val="21"/>
                    </w:rPr>
                    <w:t>5</w:t>
                  </w:r>
                </w:p>
              </w:tc>
              <w:tc>
                <w:tcPr>
                  <w:tcW w:w="1298" w:type="pct"/>
                  <w:tcBorders>
                    <w:top w:val="single" w:color="auto" w:sz="12" w:space="0"/>
                    <w:tl2br w:val="nil"/>
                    <w:tr2bl w:val="nil"/>
                  </w:tcBorders>
                  <w:vAlign w:val="center"/>
                </w:tcPr>
                <w:p w14:paraId="199073AE">
                  <w:pPr>
                    <w:pStyle w:val="60"/>
                    <w:rPr>
                      <w:color w:val="auto"/>
                      <w:sz w:val="21"/>
                      <w:szCs w:val="21"/>
                    </w:rPr>
                  </w:pPr>
                  <w:r>
                    <w:rPr>
                      <w:color w:val="auto"/>
                      <w:sz w:val="21"/>
                      <w:szCs w:val="21"/>
                    </w:rPr>
                    <w:t>40</w:t>
                  </w:r>
                </w:p>
              </w:tc>
              <w:tc>
                <w:tcPr>
                  <w:tcW w:w="1299" w:type="pct"/>
                  <w:tcBorders>
                    <w:top w:val="single" w:color="auto" w:sz="12" w:space="0"/>
                    <w:tl2br w:val="nil"/>
                    <w:tr2bl w:val="nil"/>
                  </w:tcBorders>
                  <w:vAlign w:val="center"/>
                </w:tcPr>
                <w:p w14:paraId="6E72341F">
                  <w:pPr>
                    <w:pStyle w:val="60"/>
                    <w:rPr>
                      <w:color w:val="auto"/>
                      <w:sz w:val="21"/>
                      <w:szCs w:val="21"/>
                    </w:rPr>
                  </w:pPr>
                  <w:r>
                    <w:rPr>
                      <w:color w:val="auto"/>
                      <w:sz w:val="21"/>
                      <w:szCs w:val="21"/>
                    </w:rPr>
                    <w:t>0.2</w:t>
                  </w:r>
                </w:p>
              </w:tc>
              <w:tc>
                <w:tcPr>
                  <w:tcW w:w="1299" w:type="pct"/>
                  <w:tcBorders>
                    <w:top w:val="single" w:color="auto" w:sz="12" w:space="0"/>
                    <w:tl2br w:val="nil"/>
                    <w:tr2bl w:val="nil"/>
                  </w:tcBorders>
                  <w:vAlign w:val="center"/>
                </w:tcPr>
                <w:p w14:paraId="05577458">
                  <w:pPr>
                    <w:pStyle w:val="60"/>
                    <w:rPr>
                      <w:color w:val="auto"/>
                      <w:sz w:val="21"/>
                      <w:szCs w:val="21"/>
                    </w:rPr>
                  </w:pPr>
                  <w:r>
                    <w:rPr>
                      <w:color w:val="auto"/>
                      <w:sz w:val="21"/>
                      <w:szCs w:val="21"/>
                    </w:rPr>
                    <w:t>0.28</w:t>
                  </w:r>
                </w:p>
              </w:tc>
            </w:tr>
            <w:tr w14:paraId="64A036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02" w:type="pct"/>
                  <w:tcBorders>
                    <w:tl2br w:val="nil"/>
                    <w:tr2bl w:val="nil"/>
                  </w:tcBorders>
                  <w:vAlign w:val="center"/>
                </w:tcPr>
                <w:p w14:paraId="534FDFD5">
                  <w:pPr>
                    <w:pStyle w:val="60"/>
                    <w:rPr>
                      <w:color w:val="auto"/>
                      <w:sz w:val="21"/>
                      <w:szCs w:val="21"/>
                    </w:rPr>
                  </w:pPr>
                  <w:r>
                    <w:rPr>
                      <w:color w:val="auto"/>
                      <w:sz w:val="21"/>
                      <w:szCs w:val="21"/>
                    </w:rPr>
                    <w:t>10</w:t>
                  </w:r>
                </w:p>
              </w:tc>
              <w:tc>
                <w:tcPr>
                  <w:tcW w:w="1298" w:type="pct"/>
                  <w:tcBorders>
                    <w:tl2br w:val="nil"/>
                    <w:tr2bl w:val="nil"/>
                  </w:tcBorders>
                  <w:vAlign w:val="center"/>
                </w:tcPr>
                <w:p w14:paraId="765C8A20">
                  <w:pPr>
                    <w:pStyle w:val="60"/>
                    <w:rPr>
                      <w:color w:val="auto"/>
                      <w:sz w:val="21"/>
                      <w:szCs w:val="21"/>
                    </w:rPr>
                  </w:pPr>
                  <w:r>
                    <w:rPr>
                      <w:color w:val="auto"/>
                      <w:sz w:val="21"/>
                      <w:szCs w:val="21"/>
                    </w:rPr>
                    <w:t>40</w:t>
                  </w:r>
                </w:p>
              </w:tc>
              <w:tc>
                <w:tcPr>
                  <w:tcW w:w="1299" w:type="pct"/>
                  <w:tcBorders>
                    <w:tl2br w:val="nil"/>
                    <w:tr2bl w:val="nil"/>
                  </w:tcBorders>
                  <w:vAlign w:val="center"/>
                </w:tcPr>
                <w:p w14:paraId="2AF6E840">
                  <w:pPr>
                    <w:pStyle w:val="60"/>
                    <w:rPr>
                      <w:color w:val="auto"/>
                      <w:sz w:val="21"/>
                      <w:szCs w:val="21"/>
                    </w:rPr>
                  </w:pPr>
                  <w:r>
                    <w:rPr>
                      <w:color w:val="auto"/>
                      <w:sz w:val="21"/>
                      <w:szCs w:val="21"/>
                    </w:rPr>
                    <w:t>0.2</w:t>
                  </w:r>
                </w:p>
              </w:tc>
              <w:tc>
                <w:tcPr>
                  <w:tcW w:w="1299" w:type="pct"/>
                  <w:tcBorders>
                    <w:tl2br w:val="nil"/>
                    <w:tr2bl w:val="nil"/>
                  </w:tcBorders>
                  <w:vAlign w:val="center"/>
                </w:tcPr>
                <w:p w14:paraId="10EC7479">
                  <w:pPr>
                    <w:pStyle w:val="60"/>
                    <w:rPr>
                      <w:color w:val="auto"/>
                      <w:sz w:val="21"/>
                      <w:szCs w:val="21"/>
                    </w:rPr>
                  </w:pPr>
                  <w:r>
                    <w:rPr>
                      <w:color w:val="auto"/>
                      <w:sz w:val="21"/>
                      <w:szCs w:val="21"/>
                    </w:rPr>
                    <w:t>0.56</w:t>
                  </w:r>
                </w:p>
              </w:tc>
            </w:tr>
            <w:tr w14:paraId="1FB893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02" w:type="pct"/>
                  <w:tcBorders>
                    <w:tl2br w:val="nil"/>
                    <w:tr2bl w:val="nil"/>
                  </w:tcBorders>
                  <w:vAlign w:val="center"/>
                </w:tcPr>
                <w:p w14:paraId="4ED50540">
                  <w:pPr>
                    <w:pStyle w:val="60"/>
                    <w:rPr>
                      <w:color w:val="auto"/>
                      <w:sz w:val="21"/>
                      <w:szCs w:val="21"/>
                    </w:rPr>
                  </w:pPr>
                  <w:r>
                    <w:rPr>
                      <w:color w:val="auto"/>
                      <w:sz w:val="21"/>
                      <w:szCs w:val="21"/>
                    </w:rPr>
                    <w:t>20</w:t>
                  </w:r>
                </w:p>
              </w:tc>
              <w:tc>
                <w:tcPr>
                  <w:tcW w:w="1298" w:type="pct"/>
                  <w:tcBorders>
                    <w:tl2br w:val="nil"/>
                    <w:tr2bl w:val="nil"/>
                  </w:tcBorders>
                  <w:vAlign w:val="center"/>
                </w:tcPr>
                <w:p w14:paraId="213021E2">
                  <w:pPr>
                    <w:pStyle w:val="60"/>
                    <w:rPr>
                      <w:color w:val="auto"/>
                      <w:sz w:val="21"/>
                      <w:szCs w:val="21"/>
                    </w:rPr>
                  </w:pPr>
                  <w:r>
                    <w:rPr>
                      <w:color w:val="auto"/>
                      <w:sz w:val="21"/>
                      <w:szCs w:val="21"/>
                    </w:rPr>
                    <w:t>40</w:t>
                  </w:r>
                </w:p>
              </w:tc>
              <w:tc>
                <w:tcPr>
                  <w:tcW w:w="1299" w:type="pct"/>
                  <w:tcBorders>
                    <w:tl2br w:val="nil"/>
                    <w:tr2bl w:val="nil"/>
                  </w:tcBorders>
                  <w:vAlign w:val="center"/>
                </w:tcPr>
                <w:p w14:paraId="6D5FF38C">
                  <w:pPr>
                    <w:pStyle w:val="60"/>
                    <w:rPr>
                      <w:color w:val="auto"/>
                      <w:sz w:val="21"/>
                      <w:szCs w:val="21"/>
                    </w:rPr>
                  </w:pPr>
                  <w:r>
                    <w:rPr>
                      <w:color w:val="auto"/>
                      <w:sz w:val="21"/>
                      <w:szCs w:val="21"/>
                    </w:rPr>
                    <w:t>0.2</w:t>
                  </w:r>
                </w:p>
              </w:tc>
              <w:tc>
                <w:tcPr>
                  <w:tcW w:w="1299" w:type="pct"/>
                  <w:tcBorders>
                    <w:tl2br w:val="nil"/>
                    <w:tr2bl w:val="nil"/>
                  </w:tcBorders>
                  <w:vAlign w:val="center"/>
                </w:tcPr>
                <w:p w14:paraId="49834B61">
                  <w:pPr>
                    <w:pStyle w:val="60"/>
                    <w:rPr>
                      <w:color w:val="auto"/>
                      <w:sz w:val="21"/>
                      <w:szCs w:val="21"/>
                    </w:rPr>
                  </w:pPr>
                  <w:r>
                    <w:rPr>
                      <w:color w:val="auto"/>
                      <w:sz w:val="21"/>
                      <w:szCs w:val="21"/>
                    </w:rPr>
                    <w:t>1.12</w:t>
                  </w:r>
                </w:p>
              </w:tc>
            </w:tr>
          </w:tbl>
          <w:p w14:paraId="61B075AB">
            <w:pPr>
              <w:pStyle w:val="64"/>
              <w:wordWrap w:val="0"/>
              <w:topLinePunct/>
              <w:spacing w:line="360" w:lineRule="auto"/>
              <w:ind w:firstLine="480" w:firstLineChars="200"/>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运输车辆在厂区内</w:t>
            </w:r>
            <w:r>
              <w:rPr>
                <w:rFonts w:ascii="Times New Roman" w:hAnsi="Times New Roman" w:eastAsia="宋体" w:cs="Times New Roman"/>
                <w:color w:val="auto"/>
                <w:kern w:val="0"/>
                <w:sz w:val="24"/>
                <w:szCs w:val="24"/>
                <w:highlight w:val="none"/>
                <w:lang w:val="en-US" w:eastAsia="zh-CN" w:bidi="ar-SA"/>
              </w:rPr>
              <w:t>行驶的距离为100m，汽车扬尘量按照</w:t>
            </w:r>
            <w:r>
              <w:rPr>
                <w:rFonts w:hint="eastAsia" w:ascii="Times New Roman" w:hAnsi="Times New Roman" w:eastAsia="宋体" w:cs="Times New Roman"/>
                <w:color w:val="auto"/>
                <w:kern w:val="0"/>
                <w:sz w:val="24"/>
                <w:szCs w:val="24"/>
                <w:highlight w:val="none"/>
                <w:lang w:val="en-US" w:eastAsia="zh-CN" w:bidi="ar-SA"/>
              </w:rPr>
              <w:t>0.56</w:t>
            </w:r>
            <w:r>
              <w:rPr>
                <w:rFonts w:ascii="Times New Roman" w:hAnsi="Times New Roman" w:eastAsia="宋体" w:cs="Times New Roman"/>
                <w:color w:val="auto"/>
                <w:kern w:val="0"/>
                <w:sz w:val="24"/>
                <w:szCs w:val="24"/>
                <w:highlight w:val="none"/>
                <w:lang w:val="en-US" w:eastAsia="zh-CN" w:bidi="ar-SA"/>
              </w:rPr>
              <w:t>kg（kg/km·辆）计。</w:t>
            </w:r>
            <w:r>
              <w:rPr>
                <w:rFonts w:ascii="Times New Roman" w:hAnsi="Times New Roman" w:eastAsia="宋体" w:cs="Times New Roman"/>
                <w:color w:val="auto"/>
                <w:kern w:val="0"/>
                <w:sz w:val="24"/>
                <w:szCs w:val="24"/>
                <w:lang w:val="en-US" w:eastAsia="zh-CN" w:bidi="ar-SA"/>
              </w:rPr>
              <w:t>则汽车在厂区内行驶过程的扬尘量见表</w:t>
            </w:r>
            <w:r>
              <w:rPr>
                <w:rFonts w:hint="eastAsia" w:ascii="Times New Roman" w:hAnsi="Times New Roman" w:eastAsia="宋体" w:cs="Times New Roman"/>
                <w:color w:val="auto"/>
                <w:kern w:val="0"/>
                <w:sz w:val="24"/>
                <w:szCs w:val="24"/>
                <w:lang w:val="en-US" w:eastAsia="zh-CN" w:bidi="ar-SA"/>
              </w:rPr>
              <w:t>4-2</w:t>
            </w:r>
            <w:r>
              <w:rPr>
                <w:rFonts w:ascii="Times New Roman" w:hAnsi="Times New Roman" w:eastAsia="宋体" w:cs="Times New Roman"/>
                <w:color w:val="auto"/>
                <w:kern w:val="0"/>
                <w:sz w:val="24"/>
                <w:szCs w:val="24"/>
                <w:lang w:val="en-US" w:eastAsia="zh-CN" w:bidi="ar-SA"/>
              </w:rPr>
              <w:t>。</w:t>
            </w:r>
          </w:p>
          <w:p w14:paraId="76F9C29D">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w:t>
            </w:r>
            <w:r>
              <w:rPr>
                <w:rFonts w:hint="eastAsia" w:ascii="Times New Roman" w:hAnsi="Times New Roman" w:eastAsia="宋体" w:cs="Times New Roman"/>
                <w:color w:val="auto"/>
              </w:rPr>
              <w:t xml:space="preserve">4-2    </w:t>
            </w:r>
            <w:r>
              <w:rPr>
                <w:rFonts w:hint="default" w:ascii="Times New Roman" w:hAnsi="Times New Roman" w:eastAsia="宋体" w:cs="Times New Roman"/>
                <w:color w:val="auto"/>
              </w:rPr>
              <w:t>车辆行驶扬尘量</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637"/>
              <w:gridCol w:w="1639"/>
              <w:gridCol w:w="1639"/>
              <w:gridCol w:w="1639"/>
            </w:tblGrid>
            <w:tr w14:paraId="3B3487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4" w:type="pct"/>
                  <w:tcBorders>
                    <w:bottom w:val="single" w:color="auto" w:sz="12" w:space="0"/>
                  </w:tcBorders>
                  <w:vAlign w:val="center"/>
                </w:tcPr>
                <w:p w14:paraId="78F65215">
                  <w:pPr>
                    <w:pStyle w:val="60"/>
                    <w:rPr>
                      <w:b/>
                      <w:bCs/>
                      <w:color w:val="auto"/>
                      <w:sz w:val="21"/>
                      <w:szCs w:val="21"/>
                      <w:highlight w:val="none"/>
                    </w:rPr>
                  </w:pPr>
                  <w:r>
                    <w:rPr>
                      <w:b/>
                      <w:bCs/>
                      <w:color w:val="auto"/>
                      <w:sz w:val="21"/>
                      <w:szCs w:val="21"/>
                      <w:highlight w:val="none"/>
                    </w:rPr>
                    <w:t>项目</w:t>
                  </w:r>
                </w:p>
              </w:tc>
              <w:tc>
                <w:tcPr>
                  <w:tcW w:w="1030" w:type="pct"/>
                  <w:tcBorders>
                    <w:bottom w:val="single" w:color="auto" w:sz="12" w:space="0"/>
                  </w:tcBorders>
                  <w:vAlign w:val="center"/>
                </w:tcPr>
                <w:p w14:paraId="71071C1A">
                  <w:pPr>
                    <w:pStyle w:val="60"/>
                    <w:rPr>
                      <w:b/>
                      <w:bCs/>
                      <w:color w:val="auto"/>
                      <w:sz w:val="21"/>
                      <w:szCs w:val="21"/>
                      <w:highlight w:val="none"/>
                    </w:rPr>
                  </w:pPr>
                  <w:r>
                    <w:rPr>
                      <w:b/>
                      <w:bCs/>
                      <w:color w:val="auto"/>
                      <w:sz w:val="21"/>
                      <w:szCs w:val="21"/>
                      <w:highlight w:val="none"/>
                    </w:rPr>
                    <w:t>运输量</w:t>
                  </w:r>
                </w:p>
              </w:tc>
              <w:tc>
                <w:tcPr>
                  <w:tcW w:w="1031" w:type="pct"/>
                  <w:tcBorders>
                    <w:bottom w:val="single" w:color="auto" w:sz="12" w:space="0"/>
                  </w:tcBorders>
                  <w:vAlign w:val="center"/>
                </w:tcPr>
                <w:p w14:paraId="3C63819B">
                  <w:pPr>
                    <w:pStyle w:val="60"/>
                    <w:rPr>
                      <w:b/>
                      <w:bCs/>
                      <w:color w:val="auto"/>
                      <w:sz w:val="21"/>
                      <w:szCs w:val="21"/>
                      <w:highlight w:val="none"/>
                    </w:rPr>
                  </w:pPr>
                  <w:r>
                    <w:rPr>
                      <w:b/>
                      <w:bCs/>
                      <w:color w:val="auto"/>
                      <w:sz w:val="21"/>
                      <w:szCs w:val="21"/>
                      <w:highlight w:val="none"/>
                    </w:rPr>
                    <w:t>单次运输量</w:t>
                  </w:r>
                </w:p>
              </w:tc>
              <w:tc>
                <w:tcPr>
                  <w:tcW w:w="1031" w:type="pct"/>
                  <w:tcBorders>
                    <w:bottom w:val="single" w:color="auto" w:sz="12" w:space="0"/>
                  </w:tcBorders>
                  <w:vAlign w:val="center"/>
                </w:tcPr>
                <w:p w14:paraId="5B70B474">
                  <w:pPr>
                    <w:pStyle w:val="60"/>
                    <w:rPr>
                      <w:b/>
                      <w:bCs/>
                      <w:color w:val="auto"/>
                      <w:sz w:val="21"/>
                      <w:szCs w:val="21"/>
                      <w:highlight w:val="none"/>
                    </w:rPr>
                  </w:pPr>
                  <w:r>
                    <w:rPr>
                      <w:b/>
                      <w:bCs/>
                      <w:color w:val="auto"/>
                      <w:sz w:val="21"/>
                      <w:szCs w:val="21"/>
                      <w:highlight w:val="none"/>
                    </w:rPr>
                    <w:t>运输次数（次）</w:t>
                  </w:r>
                </w:p>
              </w:tc>
              <w:tc>
                <w:tcPr>
                  <w:tcW w:w="1031" w:type="pct"/>
                  <w:tcBorders>
                    <w:bottom w:val="single" w:color="auto" w:sz="12" w:space="0"/>
                  </w:tcBorders>
                  <w:vAlign w:val="center"/>
                </w:tcPr>
                <w:p w14:paraId="05EEEE52">
                  <w:pPr>
                    <w:pStyle w:val="60"/>
                    <w:rPr>
                      <w:b/>
                      <w:bCs/>
                      <w:color w:val="auto"/>
                      <w:sz w:val="21"/>
                      <w:szCs w:val="21"/>
                      <w:highlight w:val="none"/>
                    </w:rPr>
                  </w:pPr>
                  <w:r>
                    <w:rPr>
                      <w:b/>
                      <w:bCs/>
                      <w:color w:val="auto"/>
                      <w:sz w:val="21"/>
                      <w:szCs w:val="21"/>
                      <w:highlight w:val="none"/>
                    </w:rPr>
                    <w:t>扬尘量（t）</w:t>
                  </w:r>
                </w:p>
              </w:tc>
            </w:tr>
            <w:tr w14:paraId="0AF2F7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4" w:type="pct"/>
                  <w:tcBorders>
                    <w:top w:val="single" w:color="auto" w:sz="12" w:space="0"/>
                    <w:tl2br w:val="nil"/>
                    <w:tr2bl w:val="nil"/>
                  </w:tcBorders>
                  <w:vAlign w:val="center"/>
                </w:tcPr>
                <w:p w14:paraId="4D29C594">
                  <w:pPr>
                    <w:pStyle w:val="60"/>
                    <w:rPr>
                      <w:color w:val="auto"/>
                      <w:sz w:val="21"/>
                      <w:szCs w:val="21"/>
                      <w:highlight w:val="none"/>
                    </w:rPr>
                  </w:pPr>
                  <w:r>
                    <w:rPr>
                      <w:color w:val="auto"/>
                      <w:sz w:val="21"/>
                      <w:szCs w:val="21"/>
                      <w:highlight w:val="none"/>
                    </w:rPr>
                    <w:t>成品混凝土</w:t>
                  </w:r>
                </w:p>
              </w:tc>
              <w:tc>
                <w:tcPr>
                  <w:tcW w:w="1030" w:type="pct"/>
                  <w:tcBorders>
                    <w:top w:val="single" w:color="auto" w:sz="12" w:space="0"/>
                    <w:tl2br w:val="nil"/>
                    <w:tr2bl w:val="nil"/>
                  </w:tcBorders>
                  <w:vAlign w:val="center"/>
                </w:tcPr>
                <w:p w14:paraId="5E4C7461">
                  <w:pPr>
                    <w:pStyle w:val="60"/>
                    <w:rPr>
                      <w:color w:val="auto"/>
                      <w:sz w:val="21"/>
                      <w:szCs w:val="21"/>
                      <w:highlight w:val="none"/>
                    </w:rPr>
                  </w:pPr>
                  <w:r>
                    <w:rPr>
                      <w:rFonts w:hint="eastAsia"/>
                      <w:color w:val="auto"/>
                      <w:sz w:val="21"/>
                      <w:szCs w:val="21"/>
                      <w:highlight w:val="none"/>
                    </w:rPr>
                    <w:t>20</w:t>
                  </w:r>
                  <w:r>
                    <w:rPr>
                      <w:rFonts w:hint="eastAsia"/>
                      <w:color w:val="auto"/>
                      <w:sz w:val="21"/>
                      <w:szCs w:val="21"/>
                      <w:highlight w:val="none"/>
                      <w:lang w:val="en-US" w:eastAsia="zh-CN"/>
                    </w:rPr>
                    <w:t>0000</w:t>
                  </w:r>
                  <w:r>
                    <w:rPr>
                      <w:rFonts w:hint="eastAsia"/>
                      <w:color w:val="auto"/>
                      <w:sz w:val="21"/>
                      <w:szCs w:val="21"/>
                      <w:highlight w:val="none"/>
                    </w:rPr>
                    <w:t>m</w:t>
                  </w:r>
                  <w:r>
                    <w:rPr>
                      <w:rFonts w:hint="eastAsia"/>
                      <w:color w:val="auto"/>
                      <w:sz w:val="21"/>
                      <w:szCs w:val="21"/>
                      <w:highlight w:val="none"/>
                      <w:vertAlign w:val="superscript"/>
                    </w:rPr>
                    <w:t>3</w:t>
                  </w:r>
                  <w:r>
                    <w:rPr>
                      <w:color w:val="auto"/>
                      <w:sz w:val="21"/>
                      <w:szCs w:val="21"/>
                      <w:highlight w:val="none"/>
                    </w:rPr>
                    <w:t>/a</w:t>
                  </w:r>
                </w:p>
              </w:tc>
              <w:tc>
                <w:tcPr>
                  <w:tcW w:w="1031" w:type="pct"/>
                  <w:tcBorders>
                    <w:top w:val="single" w:color="auto" w:sz="12" w:space="0"/>
                    <w:tl2br w:val="nil"/>
                    <w:tr2bl w:val="nil"/>
                  </w:tcBorders>
                  <w:vAlign w:val="center"/>
                </w:tcPr>
                <w:p w14:paraId="501D97AD">
                  <w:pPr>
                    <w:pStyle w:val="60"/>
                    <w:rPr>
                      <w:color w:val="auto"/>
                      <w:sz w:val="21"/>
                      <w:szCs w:val="21"/>
                      <w:highlight w:val="none"/>
                    </w:rPr>
                  </w:pPr>
                  <w:r>
                    <w:rPr>
                      <w:color w:val="auto"/>
                      <w:sz w:val="21"/>
                      <w:szCs w:val="21"/>
                      <w:highlight w:val="none"/>
                    </w:rPr>
                    <w:t>20m</w:t>
                  </w:r>
                  <w:r>
                    <w:rPr>
                      <w:color w:val="auto"/>
                      <w:sz w:val="21"/>
                      <w:szCs w:val="21"/>
                      <w:highlight w:val="none"/>
                      <w:vertAlign w:val="superscript"/>
                    </w:rPr>
                    <w:t>3</w:t>
                  </w:r>
                </w:p>
              </w:tc>
              <w:tc>
                <w:tcPr>
                  <w:tcW w:w="1639" w:type="dxa"/>
                  <w:tcBorders>
                    <w:top w:val="single" w:color="auto" w:sz="12" w:space="0"/>
                    <w:tl2br w:val="nil"/>
                    <w:tr2bl w:val="nil"/>
                  </w:tcBorders>
                  <w:vAlign w:val="center"/>
                </w:tcPr>
                <w:p w14:paraId="054FB3C6">
                  <w:pPr>
                    <w:widowControl/>
                    <w:jc w:val="center"/>
                    <w:textAlignment w:val="center"/>
                    <w:rPr>
                      <w:color w:val="auto"/>
                      <w:sz w:val="21"/>
                      <w:szCs w:val="21"/>
                      <w:highlight w:val="none"/>
                    </w:rPr>
                  </w:pPr>
                  <w:r>
                    <w:rPr>
                      <w:color w:val="auto"/>
                      <w:kern w:val="0"/>
                      <w:sz w:val="21"/>
                      <w:szCs w:val="21"/>
                      <w:highlight w:val="none"/>
                      <w:lang w:bidi="ar"/>
                    </w:rPr>
                    <w:t>10000</w:t>
                  </w:r>
                </w:p>
              </w:tc>
              <w:tc>
                <w:tcPr>
                  <w:tcW w:w="1639" w:type="dxa"/>
                  <w:tcBorders>
                    <w:top w:val="single" w:color="auto" w:sz="12" w:space="0"/>
                    <w:tl2br w:val="nil"/>
                    <w:tr2bl w:val="nil"/>
                  </w:tcBorders>
                  <w:vAlign w:val="center"/>
                </w:tcPr>
                <w:p w14:paraId="728DF461">
                  <w:pPr>
                    <w:widowControl/>
                    <w:jc w:val="center"/>
                    <w:textAlignment w:val="center"/>
                    <w:rPr>
                      <w:color w:val="auto"/>
                      <w:sz w:val="21"/>
                      <w:szCs w:val="21"/>
                      <w:highlight w:val="none"/>
                    </w:rPr>
                  </w:pPr>
                  <w:r>
                    <w:rPr>
                      <w:color w:val="auto"/>
                      <w:kern w:val="0"/>
                      <w:sz w:val="21"/>
                      <w:szCs w:val="21"/>
                      <w:highlight w:val="none"/>
                      <w:lang w:bidi="ar"/>
                    </w:rPr>
                    <w:t>0.56</w:t>
                  </w:r>
                </w:p>
              </w:tc>
            </w:tr>
            <w:tr w14:paraId="714D38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389" w:type="dxa"/>
                  <w:tcBorders>
                    <w:tl2br w:val="nil"/>
                    <w:tr2bl w:val="nil"/>
                  </w:tcBorders>
                  <w:vAlign w:val="center"/>
                </w:tcPr>
                <w:p w14:paraId="06B16CD6">
                  <w:pPr>
                    <w:adjustRightInd w:val="0"/>
                    <w:snapToGrid w:val="0"/>
                    <w:jc w:val="center"/>
                    <w:rPr>
                      <w:color w:val="auto"/>
                      <w:sz w:val="21"/>
                      <w:szCs w:val="21"/>
                      <w:highlight w:val="none"/>
                    </w:rPr>
                  </w:pPr>
                  <w:r>
                    <w:rPr>
                      <w:color w:val="auto"/>
                      <w:sz w:val="21"/>
                      <w:szCs w:val="21"/>
                      <w:highlight w:val="none"/>
                    </w:rPr>
                    <w:t>水泥</w:t>
                  </w:r>
                </w:p>
              </w:tc>
              <w:tc>
                <w:tcPr>
                  <w:tcW w:w="1030" w:type="pct"/>
                  <w:tcBorders>
                    <w:tl2br w:val="nil"/>
                    <w:tr2bl w:val="nil"/>
                  </w:tcBorders>
                  <w:vAlign w:val="center"/>
                </w:tcPr>
                <w:p w14:paraId="7AE57B30">
                  <w:pPr>
                    <w:pStyle w:val="60"/>
                    <w:rPr>
                      <w:color w:val="auto"/>
                      <w:sz w:val="21"/>
                      <w:szCs w:val="21"/>
                      <w:highlight w:val="none"/>
                    </w:rPr>
                  </w:pPr>
                  <w:r>
                    <w:rPr>
                      <w:rFonts w:hint="eastAsia"/>
                      <w:color w:val="auto"/>
                      <w:sz w:val="21"/>
                      <w:szCs w:val="21"/>
                      <w:highlight w:val="none"/>
                      <w:lang w:val="en-US" w:eastAsia="zh-CN"/>
                    </w:rPr>
                    <w:t>5760</w:t>
                  </w:r>
                  <w:r>
                    <w:rPr>
                      <w:rFonts w:hint="eastAsia"/>
                      <w:color w:val="auto"/>
                      <w:sz w:val="21"/>
                      <w:szCs w:val="21"/>
                      <w:highlight w:val="none"/>
                    </w:rPr>
                    <w:t>0</w:t>
                  </w:r>
                  <w:r>
                    <w:rPr>
                      <w:color w:val="auto"/>
                      <w:sz w:val="21"/>
                      <w:szCs w:val="21"/>
                      <w:highlight w:val="none"/>
                    </w:rPr>
                    <w:t>t/a</w:t>
                  </w:r>
                </w:p>
              </w:tc>
              <w:tc>
                <w:tcPr>
                  <w:tcW w:w="1031" w:type="pct"/>
                  <w:tcBorders>
                    <w:tl2br w:val="nil"/>
                    <w:tr2bl w:val="nil"/>
                  </w:tcBorders>
                  <w:vAlign w:val="center"/>
                </w:tcPr>
                <w:p w14:paraId="4CE5CA78">
                  <w:pPr>
                    <w:pStyle w:val="60"/>
                    <w:rPr>
                      <w:color w:val="auto"/>
                      <w:sz w:val="21"/>
                      <w:szCs w:val="21"/>
                      <w:highlight w:val="none"/>
                    </w:rPr>
                  </w:pPr>
                  <w:r>
                    <w:rPr>
                      <w:color w:val="auto"/>
                      <w:sz w:val="21"/>
                      <w:szCs w:val="21"/>
                      <w:highlight w:val="none"/>
                    </w:rPr>
                    <w:t>40t</w:t>
                  </w:r>
                </w:p>
              </w:tc>
              <w:tc>
                <w:tcPr>
                  <w:tcW w:w="1639" w:type="dxa"/>
                  <w:tcBorders>
                    <w:tl2br w:val="nil"/>
                    <w:tr2bl w:val="nil"/>
                  </w:tcBorders>
                  <w:vAlign w:val="center"/>
                </w:tcPr>
                <w:p w14:paraId="5641BC5D">
                  <w:pPr>
                    <w:widowControl/>
                    <w:jc w:val="center"/>
                    <w:textAlignment w:val="center"/>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1440</w:t>
                  </w:r>
                </w:p>
              </w:tc>
              <w:tc>
                <w:tcPr>
                  <w:tcW w:w="1639" w:type="dxa"/>
                  <w:tcBorders>
                    <w:tl2br w:val="nil"/>
                    <w:tr2bl w:val="nil"/>
                  </w:tcBorders>
                  <w:vAlign w:val="center"/>
                </w:tcPr>
                <w:p w14:paraId="63205DA7">
                  <w:pPr>
                    <w:widowControl/>
                    <w:jc w:val="center"/>
                    <w:textAlignment w:val="center"/>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0.080</w:t>
                  </w:r>
                </w:p>
              </w:tc>
            </w:tr>
            <w:tr w14:paraId="7B9183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dxa"/>
                  <w:tcBorders>
                    <w:tl2br w:val="nil"/>
                    <w:tr2bl w:val="nil"/>
                  </w:tcBorders>
                  <w:vAlign w:val="center"/>
                </w:tcPr>
                <w:p w14:paraId="1394FC53">
                  <w:pPr>
                    <w:adjustRightInd w:val="0"/>
                    <w:snapToGrid w:val="0"/>
                    <w:jc w:val="center"/>
                    <w:rPr>
                      <w:color w:val="auto"/>
                      <w:sz w:val="21"/>
                      <w:szCs w:val="21"/>
                      <w:highlight w:val="none"/>
                    </w:rPr>
                  </w:pPr>
                  <w:r>
                    <w:rPr>
                      <w:rFonts w:hint="eastAsia"/>
                      <w:color w:val="auto"/>
                      <w:sz w:val="21"/>
                      <w:szCs w:val="21"/>
                      <w:highlight w:val="none"/>
                    </w:rPr>
                    <w:t>粉煤灰</w:t>
                  </w:r>
                </w:p>
              </w:tc>
              <w:tc>
                <w:tcPr>
                  <w:tcW w:w="1030" w:type="pct"/>
                  <w:tcBorders>
                    <w:tl2br w:val="nil"/>
                    <w:tr2bl w:val="nil"/>
                  </w:tcBorders>
                  <w:vAlign w:val="center"/>
                </w:tcPr>
                <w:p w14:paraId="63787456">
                  <w:pPr>
                    <w:pStyle w:val="60"/>
                    <w:rPr>
                      <w:color w:val="auto"/>
                      <w:sz w:val="21"/>
                      <w:szCs w:val="21"/>
                      <w:highlight w:val="none"/>
                    </w:rPr>
                  </w:pPr>
                  <w:r>
                    <w:rPr>
                      <w:rFonts w:hint="eastAsia"/>
                      <w:color w:val="auto"/>
                      <w:sz w:val="21"/>
                      <w:szCs w:val="21"/>
                      <w:highlight w:val="none"/>
                      <w:lang w:val="en-US" w:eastAsia="zh-CN"/>
                    </w:rPr>
                    <w:t>96000</w:t>
                  </w:r>
                  <w:r>
                    <w:rPr>
                      <w:color w:val="auto"/>
                      <w:sz w:val="21"/>
                      <w:szCs w:val="21"/>
                      <w:highlight w:val="none"/>
                    </w:rPr>
                    <w:t>t/a</w:t>
                  </w:r>
                </w:p>
              </w:tc>
              <w:tc>
                <w:tcPr>
                  <w:tcW w:w="1031" w:type="pct"/>
                  <w:tcBorders>
                    <w:tl2br w:val="nil"/>
                    <w:tr2bl w:val="nil"/>
                  </w:tcBorders>
                  <w:vAlign w:val="center"/>
                </w:tcPr>
                <w:p w14:paraId="61052ABE">
                  <w:pPr>
                    <w:pStyle w:val="60"/>
                    <w:rPr>
                      <w:color w:val="auto"/>
                      <w:sz w:val="21"/>
                      <w:szCs w:val="21"/>
                      <w:highlight w:val="none"/>
                    </w:rPr>
                  </w:pPr>
                  <w:r>
                    <w:rPr>
                      <w:color w:val="auto"/>
                      <w:sz w:val="21"/>
                      <w:szCs w:val="21"/>
                      <w:highlight w:val="none"/>
                    </w:rPr>
                    <w:t>40t</w:t>
                  </w:r>
                </w:p>
              </w:tc>
              <w:tc>
                <w:tcPr>
                  <w:tcW w:w="1639" w:type="dxa"/>
                  <w:tcBorders>
                    <w:tl2br w:val="nil"/>
                    <w:tr2bl w:val="nil"/>
                  </w:tcBorders>
                  <w:vAlign w:val="center"/>
                </w:tcPr>
                <w:p w14:paraId="05EE7A23">
                  <w:pPr>
                    <w:widowControl/>
                    <w:jc w:val="center"/>
                    <w:textAlignment w:val="center"/>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2400</w:t>
                  </w:r>
                </w:p>
              </w:tc>
              <w:tc>
                <w:tcPr>
                  <w:tcW w:w="1639" w:type="dxa"/>
                  <w:tcBorders>
                    <w:tl2br w:val="nil"/>
                    <w:tr2bl w:val="nil"/>
                  </w:tcBorders>
                  <w:vAlign w:val="center"/>
                </w:tcPr>
                <w:p w14:paraId="49052D1D">
                  <w:pPr>
                    <w:widowControl/>
                    <w:jc w:val="center"/>
                    <w:textAlignment w:val="center"/>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0.134</w:t>
                  </w:r>
                </w:p>
              </w:tc>
            </w:tr>
            <w:tr w14:paraId="1286F6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89" w:type="dxa"/>
                  <w:tcBorders>
                    <w:tl2br w:val="nil"/>
                    <w:tr2bl w:val="nil"/>
                  </w:tcBorders>
                  <w:vAlign w:val="center"/>
                </w:tcPr>
                <w:p w14:paraId="21721AF0">
                  <w:pPr>
                    <w:adjustRightInd w:val="0"/>
                    <w:snapToGrid w:val="0"/>
                    <w:jc w:val="center"/>
                    <w:rPr>
                      <w:color w:val="auto"/>
                      <w:sz w:val="21"/>
                      <w:szCs w:val="21"/>
                      <w:highlight w:val="none"/>
                    </w:rPr>
                  </w:pPr>
                  <w:r>
                    <w:rPr>
                      <w:color w:val="auto"/>
                      <w:sz w:val="21"/>
                      <w:szCs w:val="21"/>
                      <w:highlight w:val="none"/>
                    </w:rPr>
                    <w:t>砂子</w:t>
                  </w:r>
                </w:p>
              </w:tc>
              <w:tc>
                <w:tcPr>
                  <w:tcW w:w="1030" w:type="pct"/>
                  <w:tcBorders>
                    <w:tl2br w:val="nil"/>
                    <w:tr2bl w:val="nil"/>
                  </w:tcBorders>
                  <w:vAlign w:val="center"/>
                </w:tcPr>
                <w:p w14:paraId="45F0C537">
                  <w:pPr>
                    <w:pStyle w:val="60"/>
                    <w:rPr>
                      <w:color w:val="auto"/>
                      <w:sz w:val="21"/>
                      <w:szCs w:val="21"/>
                      <w:highlight w:val="none"/>
                    </w:rPr>
                  </w:pPr>
                  <w:r>
                    <w:rPr>
                      <w:rFonts w:hint="eastAsia"/>
                      <w:color w:val="auto"/>
                      <w:sz w:val="21"/>
                      <w:szCs w:val="21"/>
                      <w:highlight w:val="none"/>
                      <w:lang w:val="en-US" w:eastAsia="zh-CN"/>
                    </w:rPr>
                    <w:t>96000</w:t>
                  </w:r>
                  <w:r>
                    <w:rPr>
                      <w:color w:val="auto"/>
                      <w:sz w:val="21"/>
                      <w:szCs w:val="21"/>
                      <w:highlight w:val="none"/>
                    </w:rPr>
                    <w:t>t/a</w:t>
                  </w:r>
                </w:p>
              </w:tc>
              <w:tc>
                <w:tcPr>
                  <w:tcW w:w="1031" w:type="pct"/>
                  <w:tcBorders>
                    <w:tl2br w:val="nil"/>
                    <w:tr2bl w:val="nil"/>
                  </w:tcBorders>
                  <w:vAlign w:val="center"/>
                </w:tcPr>
                <w:p w14:paraId="6FFAE704">
                  <w:pPr>
                    <w:pStyle w:val="60"/>
                    <w:rPr>
                      <w:color w:val="auto"/>
                      <w:sz w:val="21"/>
                      <w:szCs w:val="21"/>
                      <w:highlight w:val="none"/>
                    </w:rPr>
                  </w:pPr>
                  <w:r>
                    <w:rPr>
                      <w:color w:val="auto"/>
                      <w:sz w:val="21"/>
                      <w:szCs w:val="21"/>
                      <w:highlight w:val="none"/>
                    </w:rPr>
                    <w:t>40t</w:t>
                  </w:r>
                </w:p>
              </w:tc>
              <w:tc>
                <w:tcPr>
                  <w:tcW w:w="1639" w:type="dxa"/>
                  <w:tcBorders>
                    <w:tl2br w:val="nil"/>
                    <w:tr2bl w:val="nil"/>
                  </w:tcBorders>
                  <w:vAlign w:val="center"/>
                </w:tcPr>
                <w:p w14:paraId="71C2527B">
                  <w:pPr>
                    <w:widowControl/>
                    <w:jc w:val="center"/>
                    <w:textAlignment w:val="center"/>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2400</w:t>
                  </w:r>
                </w:p>
              </w:tc>
              <w:tc>
                <w:tcPr>
                  <w:tcW w:w="1639" w:type="dxa"/>
                  <w:tcBorders>
                    <w:tl2br w:val="nil"/>
                    <w:tr2bl w:val="nil"/>
                  </w:tcBorders>
                  <w:vAlign w:val="center"/>
                </w:tcPr>
                <w:p w14:paraId="2907EF7C">
                  <w:pPr>
                    <w:widowControl/>
                    <w:jc w:val="center"/>
                    <w:textAlignment w:val="center"/>
                    <w:rPr>
                      <w:rFonts w:hint="default" w:eastAsia="宋体"/>
                      <w:color w:val="auto"/>
                      <w:sz w:val="21"/>
                      <w:szCs w:val="21"/>
                      <w:highlight w:val="none"/>
                      <w:lang w:val="en-US" w:eastAsia="zh-CN"/>
                    </w:rPr>
                  </w:pPr>
                  <w:r>
                    <w:rPr>
                      <w:color w:val="auto"/>
                      <w:kern w:val="0"/>
                      <w:sz w:val="21"/>
                      <w:szCs w:val="21"/>
                      <w:highlight w:val="none"/>
                      <w:lang w:bidi="ar"/>
                    </w:rPr>
                    <w:t>0.</w:t>
                  </w:r>
                  <w:r>
                    <w:rPr>
                      <w:rFonts w:hint="eastAsia"/>
                      <w:color w:val="auto"/>
                      <w:kern w:val="0"/>
                      <w:sz w:val="21"/>
                      <w:szCs w:val="21"/>
                      <w:highlight w:val="none"/>
                      <w:lang w:val="en-US" w:eastAsia="zh-CN" w:bidi="ar"/>
                    </w:rPr>
                    <w:t>134</w:t>
                  </w:r>
                </w:p>
              </w:tc>
            </w:tr>
            <w:tr w14:paraId="29174F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89" w:type="dxa"/>
                  <w:tcBorders>
                    <w:tl2br w:val="nil"/>
                    <w:tr2bl w:val="nil"/>
                  </w:tcBorders>
                  <w:vAlign w:val="center"/>
                </w:tcPr>
                <w:p w14:paraId="6E7C5771">
                  <w:pPr>
                    <w:adjustRightInd w:val="0"/>
                    <w:snapToGrid w:val="0"/>
                    <w:jc w:val="center"/>
                    <w:rPr>
                      <w:color w:val="auto"/>
                      <w:sz w:val="21"/>
                      <w:szCs w:val="21"/>
                      <w:highlight w:val="none"/>
                    </w:rPr>
                  </w:pPr>
                  <w:r>
                    <w:rPr>
                      <w:color w:val="auto"/>
                      <w:sz w:val="21"/>
                      <w:szCs w:val="21"/>
                      <w:highlight w:val="none"/>
                    </w:rPr>
                    <w:t>碎石</w:t>
                  </w:r>
                </w:p>
              </w:tc>
              <w:tc>
                <w:tcPr>
                  <w:tcW w:w="1030" w:type="pct"/>
                  <w:tcBorders>
                    <w:tl2br w:val="nil"/>
                    <w:tr2bl w:val="nil"/>
                  </w:tcBorders>
                  <w:vAlign w:val="center"/>
                </w:tcPr>
                <w:p w14:paraId="38238E70">
                  <w:pPr>
                    <w:pStyle w:val="60"/>
                    <w:rPr>
                      <w:color w:val="auto"/>
                      <w:sz w:val="21"/>
                      <w:szCs w:val="21"/>
                      <w:highlight w:val="none"/>
                    </w:rPr>
                  </w:pPr>
                  <w:r>
                    <w:rPr>
                      <w:rFonts w:hint="eastAsia"/>
                      <w:color w:val="auto"/>
                      <w:sz w:val="21"/>
                      <w:szCs w:val="21"/>
                      <w:highlight w:val="none"/>
                      <w:lang w:val="en-US" w:eastAsia="zh-CN"/>
                    </w:rPr>
                    <w:t>1920</w:t>
                  </w:r>
                  <w:r>
                    <w:rPr>
                      <w:rFonts w:hint="eastAsia"/>
                      <w:color w:val="auto"/>
                      <w:sz w:val="21"/>
                      <w:szCs w:val="21"/>
                      <w:highlight w:val="none"/>
                    </w:rPr>
                    <w:t>00</w:t>
                  </w:r>
                  <w:r>
                    <w:rPr>
                      <w:color w:val="auto"/>
                      <w:sz w:val="21"/>
                      <w:szCs w:val="21"/>
                      <w:highlight w:val="none"/>
                    </w:rPr>
                    <w:t>t/a</w:t>
                  </w:r>
                </w:p>
              </w:tc>
              <w:tc>
                <w:tcPr>
                  <w:tcW w:w="1031" w:type="pct"/>
                  <w:tcBorders>
                    <w:tl2br w:val="nil"/>
                    <w:tr2bl w:val="nil"/>
                  </w:tcBorders>
                  <w:vAlign w:val="center"/>
                </w:tcPr>
                <w:p w14:paraId="06F50C74">
                  <w:pPr>
                    <w:pStyle w:val="60"/>
                    <w:rPr>
                      <w:color w:val="auto"/>
                      <w:sz w:val="21"/>
                      <w:szCs w:val="21"/>
                      <w:highlight w:val="none"/>
                    </w:rPr>
                  </w:pPr>
                  <w:r>
                    <w:rPr>
                      <w:color w:val="auto"/>
                      <w:sz w:val="21"/>
                      <w:szCs w:val="21"/>
                      <w:highlight w:val="none"/>
                    </w:rPr>
                    <w:t>40t</w:t>
                  </w:r>
                </w:p>
              </w:tc>
              <w:tc>
                <w:tcPr>
                  <w:tcW w:w="1639" w:type="dxa"/>
                  <w:tcBorders>
                    <w:tl2br w:val="nil"/>
                    <w:tr2bl w:val="nil"/>
                  </w:tcBorders>
                  <w:vAlign w:val="center"/>
                </w:tcPr>
                <w:p w14:paraId="7E672BE5">
                  <w:pPr>
                    <w:widowControl/>
                    <w:jc w:val="center"/>
                    <w:textAlignment w:val="center"/>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4800</w:t>
                  </w:r>
                </w:p>
              </w:tc>
              <w:tc>
                <w:tcPr>
                  <w:tcW w:w="1639" w:type="dxa"/>
                  <w:tcBorders>
                    <w:tl2br w:val="nil"/>
                    <w:tr2bl w:val="nil"/>
                  </w:tcBorders>
                  <w:vAlign w:val="center"/>
                </w:tcPr>
                <w:p w14:paraId="1CFD1EAA">
                  <w:pPr>
                    <w:widowControl/>
                    <w:jc w:val="center"/>
                    <w:textAlignment w:val="center"/>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0.269</w:t>
                  </w:r>
                </w:p>
              </w:tc>
            </w:tr>
            <w:tr w14:paraId="04862B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dxa"/>
                  <w:tcBorders>
                    <w:tl2br w:val="nil"/>
                    <w:tr2bl w:val="nil"/>
                  </w:tcBorders>
                  <w:vAlign w:val="center"/>
                </w:tcPr>
                <w:p w14:paraId="0052918F">
                  <w:pPr>
                    <w:adjustRightInd w:val="0"/>
                    <w:snapToGrid w:val="0"/>
                    <w:jc w:val="center"/>
                    <w:rPr>
                      <w:color w:val="auto"/>
                      <w:sz w:val="21"/>
                      <w:szCs w:val="21"/>
                      <w:highlight w:val="none"/>
                    </w:rPr>
                  </w:pPr>
                  <w:r>
                    <w:rPr>
                      <w:color w:val="auto"/>
                      <w:sz w:val="21"/>
                      <w:szCs w:val="21"/>
                      <w:highlight w:val="none"/>
                    </w:rPr>
                    <w:t>外加剂</w:t>
                  </w:r>
                </w:p>
              </w:tc>
              <w:tc>
                <w:tcPr>
                  <w:tcW w:w="1030" w:type="pct"/>
                  <w:tcBorders>
                    <w:tl2br w:val="nil"/>
                    <w:tr2bl w:val="nil"/>
                  </w:tcBorders>
                  <w:vAlign w:val="center"/>
                </w:tcPr>
                <w:p w14:paraId="528D013C">
                  <w:pPr>
                    <w:pStyle w:val="60"/>
                    <w:rPr>
                      <w:color w:val="auto"/>
                      <w:sz w:val="21"/>
                      <w:szCs w:val="21"/>
                      <w:highlight w:val="none"/>
                    </w:rPr>
                  </w:pPr>
                  <w:r>
                    <w:rPr>
                      <w:rFonts w:hint="eastAsia"/>
                      <w:color w:val="auto"/>
                      <w:sz w:val="21"/>
                      <w:szCs w:val="21"/>
                      <w:highlight w:val="none"/>
                      <w:lang w:val="en-US" w:eastAsia="zh-CN"/>
                    </w:rPr>
                    <w:t>96</w:t>
                  </w:r>
                  <w:r>
                    <w:rPr>
                      <w:rFonts w:hint="eastAsia"/>
                      <w:color w:val="auto"/>
                      <w:sz w:val="21"/>
                      <w:szCs w:val="21"/>
                      <w:highlight w:val="none"/>
                    </w:rPr>
                    <w:t>00</w:t>
                  </w:r>
                  <w:r>
                    <w:rPr>
                      <w:color w:val="auto"/>
                      <w:sz w:val="21"/>
                      <w:szCs w:val="21"/>
                      <w:highlight w:val="none"/>
                    </w:rPr>
                    <w:t>t/a</w:t>
                  </w:r>
                </w:p>
              </w:tc>
              <w:tc>
                <w:tcPr>
                  <w:tcW w:w="1031" w:type="pct"/>
                  <w:tcBorders>
                    <w:tl2br w:val="nil"/>
                    <w:tr2bl w:val="nil"/>
                  </w:tcBorders>
                  <w:vAlign w:val="center"/>
                </w:tcPr>
                <w:p w14:paraId="10911D04">
                  <w:pPr>
                    <w:pStyle w:val="60"/>
                    <w:rPr>
                      <w:color w:val="auto"/>
                      <w:sz w:val="21"/>
                      <w:szCs w:val="21"/>
                      <w:highlight w:val="none"/>
                    </w:rPr>
                  </w:pPr>
                  <w:r>
                    <w:rPr>
                      <w:rFonts w:hint="eastAsia"/>
                      <w:color w:val="auto"/>
                      <w:sz w:val="21"/>
                      <w:szCs w:val="21"/>
                      <w:highlight w:val="none"/>
                    </w:rPr>
                    <w:t>40t</w:t>
                  </w:r>
                </w:p>
              </w:tc>
              <w:tc>
                <w:tcPr>
                  <w:tcW w:w="1639" w:type="dxa"/>
                  <w:tcBorders>
                    <w:tl2br w:val="nil"/>
                    <w:tr2bl w:val="nil"/>
                  </w:tcBorders>
                  <w:vAlign w:val="center"/>
                </w:tcPr>
                <w:p w14:paraId="59F77A7B">
                  <w:pPr>
                    <w:widowControl/>
                    <w:jc w:val="center"/>
                    <w:textAlignment w:val="center"/>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240</w:t>
                  </w:r>
                </w:p>
              </w:tc>
              <w:tc>
                <w:tcPr>
                  <w:tcW w:w="1639" w:type="dxa"/>
                  <w:tcBorders>
                    <w:tl2br w:val="nil"/>
                    <w:tr2bl w:val="nil"/>
                  </w:tcBorders>
                  <w:vAlign w:val="center"/>
                </w:tcPr>
                <w:p w14:paraId="012DAF04">
                  <w:pPr>
                    <w:widowControl/>
                    <w:jc w:val="center"/>
                    <w:textAlignment w:val="center"/>
                    <w:rPr>
                      <w:rFonts w:hint="default" w:eastAsia="宋体"/>
                      <w:color w:val="auto"/>
                      <w:sz w:val="21"/>
                      <w:szCs w:val="21"/>
                      <w:highlight w:val="none"/>
                      <w:lang w:val="en-US" w:eastAsia="zh-CN"/>
                    </w:rPr>
                  </w:pPr>
                  <w:r>
                    <w:rPr>
                      <w:rFonts w:hint="eastAsia"/>
                      <w:color w:val="auto"/>
                      <w:kern w:val="0"/>
                      <w:sz w:val="21"/>
                      <w:szCs w:val="21"/>
                      <w:highlight w:val="none"/>
                      <w:lang w:val="en-US" w:eastAsia="zh-CN" w:bidi="ar"/>
                    </w:rPr>
                    <w:t>0.013</w:t>
                  </w:r>
                </w:p>
              </w:tc>
            </w:tr>
            <w:tr w14:paraId="3C80E1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89" w:type="dxa"/>
                  <w:tcBorders>
                    <w:tl2br w:val="nil"/>
                    <w:tr2bl w:val="nil"/>
                  </w:tcBorders>
                  <w:vAlign w:val="center"/>
                </w:tcPr>
                <w:p w14:paraId="1F4B521D">
                  <w:pPr>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水</w:t>
                  </w:r>
                </w:p>
              </w:tc>
              <w:tc>
                <w:tcPr>
                  <w:tcW w:w="1030" w:type="pct"/>
                  <w:tcBorders>
                    <w:tl2br w:val="nil"/>
                    <w:tr2bl w:val="nil"/>
                  </w:tcBorders>
                  <w:vAlign w:val="center"/>
                </w:tcPr>
                <w:p w14:paraId="01EC4EBD">
                  <w:pPr>
                    <w:pStyle w:val="60"/>
                    <w:rPr>
                      <w:rFonts w:hint="default"/>
                      <w:color w:val="auto"/>
                      <w:sz w:val="21"/>
                      <w:szCs w:val="21"/>
                      <w:highlight w:val="none"/>
                      <w:lang w:val="en-US" w:eastAsia="zh-CN"/>
                    </w:rPr>
                  </w:pPr>
                  <w:r>
                    <w:rPr>
                      <w:rFonts w:hint="eastAsia"/>
                      <w:color w:val="auto"/>
                      <w:sz w:val="21"/>
                      <w:szCs w:val="21"/>
                      <w:highlight w:val="none"/>
                      <w:lang w:val="en-US" w:eastAsia="zh-CN"/>
                    </w:rPr>
                    <w:t>33156.5</w:t>
                  </w:r>
                  <w:r>
                    <w:rPr>
                      <w:color w:val="auto"/>
                      <w:sz w:val="21"/>
                      <w:szCs w:val="21"/>
                      <w:highlight w:val="none"/>
                    </w:rPr>
                    <w:t>t/a</w:t>
                  </w:r>
                </w:p>
              </w:tc>
              <w:tc>
                <w:tcPr>
                  <w:tcW w:w="1031" w:type="pct"/>
                  <w:tcBorders>
                    <w:tl2br w:val="nil"/>
                    <w:tr2bl w:val="nil"/>
                  </w:tcBorders>
                  <w:vAlign w:val="center"/>
                </w:tcPr>
                <w:p w14:paraId="4CB790A7">
                  <w:pPr>
                    <w:pStyle w:val="60"/>
                    <w:rPr>
                      <w:rFonts w:hint="default" w:eastAsia="宋体"/>
                      <w:color w:val="auto"/>
                      <w:sz w:val="21"/>
                      <w:szCs w:val="21"/>
                      <w:highlight w:val="none"/>
                      <w:lang w:val="en-US" w:eastAsia="zh-CN"/>
                    </w:rPr>
                  </w:pPr>
                  <w:r>
                    <w:rPr>
                      <w:color w:val="auto"/>
                      <w:sz w:val="21"/>
                      <w:szCs w:val="21"/>
                      <w:highlight w:val="none"/>
                    </w:rPr>
                    <w:t>20m</w:t>
                  </w:r>
                  <w:r>
                    <w:rPr>
                      <w:color w:val="auto"/>
                      <w:sz w:val="21"/>
                      <w:szCs w:val="21"/>
                      <w:highlight w:val="none"/>
                      <w:vertAlign w:val="superscript"/>
                    </w:rPr>
                    <w:t>3</w:t>
                  </w:r>
                </w:p>
              </w:tc>
              <w:tc>
                <w:tcPr>
                  <w:tcW w:w="1639" w:type="dxa"/>
                  <w:tcBorders>
                    <w:tl2br w:val="nil"/>
                    <w:tr2bl w:val="nil"/>
                  </w:tcBorders>
                  <w:vAlign w:val="center"/>
                </w:tcPr>
                <w:p w14:paraId="76121CC2">
                  <w:pPr>
                    <w:widowControl/>
                    <w:jc w:val="center"/>
                    <w:textAlignment w:val="center"/>
                    <w:rPr>
                      <w:rFonts w:hint="default"/>
                      <w:color w:val="auto"/>
                      <w:kern w:val="0"/>
                      <w:sz w:val="21"/>
                      <w:szCs w:val="21"/>
                      <w:highlight w:val="none"/>
                      <w:lang w:val="en-US" w:eastAsia="zh-CN" w:bidi="ar"/>
                    </w:rPr>
                  </w:pPr>
                  <w:r>
                    <w:rPr>
                      <w:rFonts w:hint="eastAsia"/>
                      <w:color w:val="auto"/>
                      <w:kern w:val="0"/>
                      <w:sz w:val="21"/>
                      <w:szCs w:val="21"/>
                      <w:highlight w:val="none"/>
                      <w:lang w:val="en-US" w:eastAsia="zh-CN" w:bidi="ar"/>
                    </w:rPr>
                    <w:t>1658</w:t>
                  </w:r>
                </w:p>
              </w:tc>
              <w:tc>
                <w:tcPr>
                  <w:tcW w:w="1639" w:type="dxa"/>
                  <w:tcBorders>
                    <w:tl2br w:val="nil"/>
                    <w:tr2bl w:val="nil"/>
                  </w:tcBorders>
                  <w:vAlign w:val="center"/>
                </w:tcPr>
                <w:p w14:paraId="29E1AD7C">
                  <w:pPr>
                    <w:widowControl/>
                    <w:jc w:val="center"/>
                    <w:textAlignment w:val="center"/>
                    <w:rPr>
                      <w:rFonts w:hint="default"/>
                      <w:color w:val="auto"/>
                      <w:kern w:val="0"/>
                      <w:sz w:val="21"/>
                      <w:szCs w:val="21"/>
                      <w:highlight w:val="none"/>
                      <w:lang w:val="en-US" w:eastAsia="zh-CN" w:bidi="ar"/>
                    </w:rPr>
                  </w:pPr>
                  <w:r>
                    <w:rPr>
                      <w:rFonts w:hint="eastAsia"/>
                      <w:color w:val="auto"/>
                      <w:kern w:val="0"/>
                      <w:sz w:val="21"/>
                      <w:szCs w:val="21"/>
                      <w:highlight w:val="none"/>
                      <w:lang w:val="en-US" w:eastAsia="zh-CN" w:bidi="ar"/>
                    </w:rPr>
                    <w:t>0.093</w:t>
                  </w:r>
                </w:p>
              </w:tc>
            </w:tr>
            <w:tr w14:paraId="6D1064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89" w:type="dxa"/>
                  <w:tcBorders>
                    <w:tl2br w:val="nil"/>
                    <w:tr2bl w:val="nil"/>
                  </w:tcBorders>
                  <w:vAlign w:val="center"/>
                </w:tcPr>
                <w:p w14:paraId="225AEBA5">
                  <w:pPr>
                    <w:adjustRightInd w:val="0"/>
                    <w:snapToGrid w:val="0"/>
                    <w:jc w:val="center"/>
                    <w:rPr>
                      <w:color w:val="auto"/>
                      <w:sz w:val="21"/>
                      <w:szCs w:val="21"/>
                      <w:highlight w:val="none"/>
                    </w:rPr>
                  </w:pPr>
                  <w:r>
                    <w:rPr>
                      <w:rFonts w:hint="eastAsia"/>
                      <w:color w:val="auto"/>
                      <w:sz w:val="21"/>
                      <w:szCs w:val="21"/>
                      <w:highlight w:val="none"/>
                    </w:rPr>
                    <w:t>合计</w:t>
                  </w:r>
                </w:p>
              </w:tc>
              <w:tc>
                <w:tcPr>
                  <w:tcW w:w="1030" w:type="pct"/>
                  <w:tcBorders>
                    <w:tl2br w:val="nil"/>
                    <w:tr2bl w:val="nil"/>
                  </w:tcBorders>
                  <w:vAlign w:val="center"/>
                </w:tcPr>
                <w:p w14:paraId="4792E2C6">
                  <w:pPr>
                    <w:pStyle w:val="60"/>
                    <w:rPr>
                      <w:color w:val="auto"/>
                      <w:sz w:val="21"/>
                      <w:szCs w:val="21"/>
                      <w:highlight w:val="none"/>
                    </w:rPr>
                  </w:pPr>
                  <w:r>
                    <w:rPr>
                      <w:rFonts w:hint="eastAsia"/>
                      <w:color w:val="auto"/>
                      <w:sz w:val="21"/>
                      <w:szCs w:val="21"/>
                      <w:highlight w:val="none"/>
                    </w:rPr>
                    <w:t>/</w:t>
                  </w:r>
                </w:p>
              </w:tc>
              <w:tc>
                <w:tcPr>
                  <w:tcW w:w="1031" w:type="pct"/>
                  <w:tcBorders>
                    <w:tl2br w:val="nil"/>
                    <w:tr2bl w:val="nil"/>
                  </w:tcBorders>
                  <w:vAlign w:val="center"/>
                </w:tcPr>
                <w:p w14:paraId="77FA1C32">
                  <w:pPr>
                    <w:pStyle w:val="60"/>
                    <w:rPr>
                      <w:color w:val="auto"/>
                      <w:sz w:val="21"/>
                      <w:szCs w:val="21"/>
                      <w:highlight w:val="none"/>
                    </w:rPr>
                  </w:pPr>
                  <w:r>
                    <w:rPr>
                      <w:rFonts w:hint="eastAsia"/>
                      <w:color w:val="auto"/>
                      <w:sz w:val="21"/>
                      <w:szCs w:val="21"/>
                      <w:highlight w:val="none"/>
                    </w:rPr>
                    <w:t>/</w:t>
                  </w:r>
                </w:p>
              </w:tc>
              <w:tc>
                <w:tcPr>
                  <w:tcW w:w="1639" w:type="dxa"/>
                  <w:tcBorders>
                    <w:tl2br w:val="nil"/>
                    <w:tr2bl w:val="nil"/>
                  </w:tcBorders>
                  <w:vAlign w:val="center"/>
                </w:tcPr>
                <w:p w14:paraId="2AA8122F">
                  <w:pPr>
                    <w:widowControl/>
                    <w:jc w:val="center"/>
                    <w:textAlignment w:val="center"/>
                    <w:rPr>
                      <w:rFonts w:hint="default" w:eastAsia="宋体"/>
                      <w:color w:val="auto"/>
                      <w:sz w:val="21"/>
                      <w:szCs w:val="21"/>
                      <w:highlight w:val="none"/>
                      <w:lang w:val="en-US" w:eastAsia="zh-CN"/>
                    </w:rPr>
                  </w:pPr>
                  <w:r>
                    <w:rPr>
                      <w:color w:val="auto"/>
                      <w:kern w:val="0"/>
                      <w:sz w:val="21"/>
                      <w:szCs w:val="21"/>
                      <w:highlight w:val="none"/>
                      <w:lang w:bidi="ar"/>
                    </w:rPr>
                    <w:t>2</w:t>
                  </w:r>
                  <w:r>
                    <w:rPr>
                      <w:rFonts w:hint="eastAsia"/>
                      <w:color w:val="auto"/>
                      <w:kern w:val="0"/>
                      <w:sz w:val="21"/>
                      <w:szCs w:val="21"/>
                      <w:highlight w:val="none"/>
                      <w:lang w:val="en-US" w:eastAsia="zh-CN" w:bidi="ar"/>
                    </w:rPr>
                    <w:t>2938</w:t>
                  </w:r>
                </w:p>
              </w:tc>
              <w:tc>
                <w:tcPr>
                  <w:tcW w:w="1639" w:type="dxa"/>
                  <w:tcBorders>
                    <w:tl2br w:val="nil"/>
                    <w:tr2bl w:val="nil"/>
                  </w:tcBorders>
                  <w:vAlign w:val="center"/>
                </w:tcPr>
                <w:p w14:paraId="118A7D44">
                  <w:pPr>
                    <w:widowControl/>
                    <w:jc w:val="center"/>
                    <w:textAlignment w:val="center"/>
                    <w:rPr>
                      <w:rFonts w:hint="default" w:eastAsia="宋体"/>
                      <w:color w:val="auto"/>
                      <w:sz w:val="21"/>
                      <w:szCs w:val="21"/>
                      <w:highlight w:val="none"/>
                      <w:lang w:val="en-US" w:eastAsia="zh-CN"/>
                    </w:rPr>
                  </w:pPr>
                  <w:r>
                    <w:rPr>
                      <w:color w:val="auto"/>
                      <w:kern w:val="0"/>
                      <w:sz w:val="21"/>
                      <w:szCs w:val="21"/>
                      <w:highlight w:val="none"/>
                      <w:lang w:bidi="ar"/>
                    </w:rPr>
                    <w:t>1.</w:t>
                  </w:r>
                  <w:r>
                    <w:rPr>
                      <w:rFonts w:hint="eastAsia"/>
                      <w:color w:val="auto"/>
                      <w:kern w:val="0"/>
                      <w:sz w:val="21"/>
                      <w:szCs w:val="21"/>
                      <w:highlight w:val="none"/>
                      <w:lang w:val="en-US" w:eastAsia="zh-CN" w:bidi="ar"/>
                    </w:rPr>
                    <w:t>283</w:t>
                  </w:r>
                </w:p>
              </w:tc>
            </w:tr>
          </w:tbl>
          <w:p w14:paraId="17575905">
            <w:pPr>
              <w:pStyle w:val="8"/>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根据上式计算出：本项目厂区内运输扬尘起尘量</w:t>
            </w:r>
            <w:r>
              <w:rPr>
                <w:rFonts w:hint="eastAsia" w:cs="Times New Roman"/>
                <w:color w:val="auto"/>
                <w:kern w:val="0"/>
                <w:sz w:val="24"/>
                <w:szCs w:val="24"/>
                <w:lang w:val="en-US" w:eastAsia="zh-CN" w:bidi="ar-SA"/>
              </w:rPr>
              <w:t>约</w:t>
            </w:r>
            <w:r>
              <w:rPr>
                <w:rFonts w:ascii="Times New Roman" w:hAnsi="Times New Roman" w:eastAsia="宋体" w:cs="Times New Roman"/>
                <w:color w:val="auto"/>
                <w:kern w:val="0"/>
                <w:sz w:val="24"/>
                <w:szCs w:val="24"/>
                <w:lang w:val="en-US" w:eastAsia="zh-CN" w:bidi="ar-SA"/>
              </w:rPr>
              <w:t>为</w:t>
            </w:r>
            <w:r>
              <w:rPr>
                <w:rFonts w:hint="eastAsia" w:ascii="Times New Roman" w:hAnsi="Times New Roman" w:eastAsia="宋体" w:cs="Times New Roman"/>
                <w:color w:val="auto"/>
                <w:kern w:val="0"/>
                <w:sz w:val="24"/>
                <w:szCs w:val="24"/>
                <w:highlight w:val="none"/>
                <w:lang w:val="en-US" w:eastAsia="zh-CN" w:bidi="ar-SA"/>
              </w:rPr>
              <w:t>1.</w:t>
            </w:r>
            <w:r>
              <w:rPr>
                <w:rFonts w:hint="eastAsia" w:cs="Times New Roman"/>
                <w:color w:val="auto"/>
                <w:kern w:val="0"/>
                <w:sz w:val="24"/>
                <w:szCs w:val="24"/>
                <w:highlight w:val="none"/>
                <w:lang w:val="en-US" w:eastAsia="zh-CN" w:bidi="ar-SA"/>
              </w:rPr>
              <w:t>283</w:t>
            </w:r>
            <w:r>
              <w:rPr>
                <w:rFonts w:hint="eastAsia" w:cs="Times New Roman"/>
                <w:color w:val="auto"/>
                <w:kern w:val="0"/>
                <w:sz w:val="24"/>
                <w:szCs w:val="24"/>
                <w:lang w:val="en-US" w:eastAsia="zh-CN" w:bidi="ar-SA"/>
              </w:rPr>
              <w:t>t</w:t>
            </w:r>
            <w:r>
              <w:rPr>
                <w:rFonts w:ascii="Times New Roman" w:hAnsi="Times New Roman" w:eastAsia="宋体" w:cs="Times New Roman"/>
                <w:color w:val="auto"/>
                <w:kern w:val="0"/>
                <w:sz w:val="24"/>
                <w:szCs w:val="24"/>
                <w:lang w:val="en-US" w:eastAsia="zh-CN" w:bidi="ar-SA"/>
              </w:rPr>
              <w:t>/a。为了</w:t>
            </w:r>
            <w:r>
              <w:rPr>
                <w:rFonts w:hint="eastAsia" w:cs="Times New Roman"/>
                <w:color w:val="auto"/>
                <w:kern w:val="0"/>
                <w:sz w:val="24"/>
                <w:szCs w:val="24"/>
                <w:lang w:val="en-US" w:eastAsia="zh-CN" w:bidi="ar-SA"/>
              </w:rPr>
              <w:t>减小原材料和混凝土成品运输对厂区空气环境造成的不利影响</w:t>
            </w:r>
            <w:r>
              <w:rPr>
                <w:rFonts w:ascii="Times New Roman" w:hAnsi="Times New Roman" w:eastAsia="宋体" w:cs="Times New Roman"/>
                <w:color w:val="auto"/>
                <w:kern w:val="0"/>
                <w:sz w:val="24"/>
                <w:szCs w:val="24"/>
                <w:lang w:val="en-US" w:eastAsia="zh-CN" w:bidi="ar-SA"/>
              </w:rPr>
              <w:t>，评价要求采取以下措施：</w:t>
            </w:r>
          </w:p>
          <w:p w14:paraId="768884EB">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a</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及时对</w:t>
            </w:r>
            <w:r>
              <w:rPr>
                <w:rFonts w:hint="eastAsia" w:ascii="Times New Roman" w:hAnsi="Times New Roman" w:cs="Times New Roman"/>
                <w:color w:val="auto"/>
                <w:kern w:val="0"/>
                <w:sz w:val="24"/>
                <w:szCs w:val="24"/>
                <w:lang w:val="en-US" w:eastAsia="zh-CN" w:bidi="ar-SA"/>
              </w:rPr>
              <w:t>车辆行驶道路和厂区地面</w:t>
            </w:r>
            <w:r>
              <w:rPr>
                <w:rFonts w:ascii="Times New Roman" w:hAnsi="Times New Roman" w:eastAsia="宋体" w:cs="Times New Roman"/>
                <w:color w:val="auto"/>
                <w:kern w:val="0"/>
                <w:sz w:val="24"/>
                <w:szCs w:val="24"/>
                <w:lang w:val="en-US" w:eastAsia="zh-CN" w:bidi="ar-SA"/>
              </w:rPr>
              <w:t>进行</w:t>
            </w:r>
            <w:r>
              <w:rPr>
                <w:rFonts w:hint="eastAsia" w:ascii="Times New Roman" w:hAnsi="Times New Roman" w:cs="Times New Roman"/>
                <w:color w:val="auto"/>
                <w:kern w:val="0"/>
                <w:sz w:val="24"/>
                <w:szCs w:val="24"/>
                <w:lang w:val="en-US" w:eastAsia="zh-CN" w:bidi="ar-SA"/>
              </w:rPr>
              <w:t>清扫、</w:t>
            </w:r>
            <w:r>
              <w:rPr>
                <w:rFonts w:ascii="Times New Roman" w:hAnsi="Times New Roman" w:eastAsia="宋体" w:cs="Times New Roman"/>
                <w:color w:val="auto"/>
                <w:kern w:val="0"/>
                <w:sz w:val="24"/>
                <w:szCs w:val="24"/>
                <w:lang w:val="en-US" w:eastAsia="zh-CN" w:bidi="ar-SA"/>
              </w:rPr>
              <w:t>洒水降尘；</w:t>
            </w:r>
          </w:p>
          <w:p w14:paraId="781CC0ED">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b</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汽车进出厂区要减速慢行</w:t>
            </w:r>
            <w:r>
              <w:rPr>
                <w:rFonts w:hint="eastAsia" w:ascii="Times New Roman" w:hAnsi="Times New Roman" w:cs="Times New Roman"/>
                <w:color w:val="auto"/>
                <w:kern w:val="0"/>
                <w:sz w:val="24"/>
                <w:szCs w:val="24"/>
                <w:lang w:val="en-US" w:eastAsia="zh-CN" w:bidi="ar-SA"/>
              </w:rPr>
              <w:t>，进出车辆经过洗车平台冲洗</w:t>
            </w:r>
            <w:r>
              <w:rPr>
                <w:rFonts w:ascii="Times New Roman" w:hAnsi="Times New Roman" w:eastAsia="宋体" w:cs="Times New Roman"/>
                <w:color w:val="auto"/>
                <w:kern w:val="0"/>
                <w:sz w:val="24"/>
                <w:szCs w:val="24"/>
                <w:lang w:val="en-US" w:eastAsia="zh-CN" w:bidi="ar-SA"/>
              </w:rPr>
              <w:t>；</w:t>
            </w:r>
          </w:p>
          <w:p w14:paraId="6C6B675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c</w:t>
            </w: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砂子、碎石</w:t>
            </w:r>
            <w:r>
              <w:rPr>
                <w:rFonts w:ascii="Times New Roman" w:hAnsi="Times New Roman" w:eastAsia="宋体" w:cs="Times New Roman"/>
                <w:color w:val="auto"/>
                <w:kern w:val="0"/>
                <w:sz w:val="24"/>
                <w:szCs w:val="24"/>
                <w:lang w:val="en-US" w:eastAsia="zh-CN" w:bidi="ar-SA"/>
              </w:rPr>
              <w:t>运输车辆要封闭遮盖，</w:t>
            </w:r>
            <w:r>
              <w:rPr>
                <w:rFonts w:hint="eastAsia" w:ascii="Times New Roman" w:hAnsi="Times New Roman" w:cs="Times New Roman"/>
                <w:color w:val="auto"/>
                <w:kern w:val="0"/>
                <w:sz w:val="24"/>
                <w:szCs w:val="24"/>
                <w:lang w:val="en-US" w:eastAsia="zh-CN" w:bidi="ar-SA"/>
              </w:rPr>
              <w:t>水泥、粉煤灰</w:t>
            </w:r>
            <w:r>
              <w:rPr>
                <w:rFonts w:ascii="Times New Roman" w:hAnsi="Times New Roman" w:eastAsia="宋体" w:cs="Times New Roman"/>
                <w:color w:val="auto"/>
                <w:kern w:val="0"/>
                <w:sz w:val="24"/>
                <w:szCs w:val="24"/>
                <w:lang w:val="en-US" w:eastAsia="zh-CN" w:bidi="ar-SA"/>
              </w:rPr>
              <w:t>采用密闭罐车运输，</w:t>
            </w:r>
            <w:r>
              <w:rPr>
                <w:rFonts w:hint="eastAsia" w:ascii="Times New Roman" w:hAnsi="Times New Roman" w:cs="Times New Roman"/>
                <w:color w:val="auto"/>
                <w:kern w:val="0"/>
                <w:sz w:val="24"/>
                <w:szCs w:val="24"/>
                <w:lang w:val="en-US" w:eastAsia="zh-CN" w:bidi="ar-SA"/>
              </w:rPr>
              <w:t>水、外加剂使用专用罐车运输，</w:t>
            </w:r>
            <w:r>
              <w:rPr>
                <w:rFonts w:ascii="Times New Roman" w:hAnsi="Times New Roman" w:eastAsia="宋体" w:cs="Times New Roman"/>
                <w:color w:val="auto"/>
                <w:kern w:val="0"/>
                <w:sz w:val="24"/>
                <w:szCs w:val="24"/>
                <w:lang w:val="en-US" w:eastAsia="zh-CN" w:bidi="ar-SA"/>
              </w:rPr>
              <w:t>减小原料的散落。</w:t>
            </w:r>
          </w:p>
          <w:p w14:paraId="26A4B76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0"/>
                <w:sz w:val="24"/>
                <w:szCs w:val="24"/>
                <w:highlight w:val="yellow"/>
                <w:lang w:val="en-US" w:eastAsia="zh-CN" w:bidi="ar-SA"/>
              </w:rPr>
            </w:pPr>
            <w:r>
              <w:rPr>
                <w:rFonts w:ascii="Times New Roman" w:hAnsi="Times New Roman" w:eastAsia="宋体" w:cs="Times New Roman"/>
                <w:color w:val="auto"/>
                <w:kern w:val="0"/>
                <w:sz w:val="24"/>
                <w:szCs w:val="24"/>
                <w:lang w:val="en-US" w:eastAsia="zh-CN" w:bidi="ar-SA"/>
              </w:rPr>
              <w:t>经采取以上措施后可大大减小运输道路扬尘，扬尘量减少</w:t>
            </w:r>
            <w:r>
              <w:rPr>
                <w:rFonts w:hint="eastAsia" w:cs="Times New Roman"/>
                <w:color w:val="auto"/>
                <w:kern w:val="0"/>
                <w:sz w:val="24"/>
                <w:szCs w:val="24"/>
                <w:lang w:val="en-US" w:eastAsia="zh-CN" w:bidi="ar-SA"/>
              </w:rPr>
              <w:t>74</w:t>
            </w:r>
            <w:r>
              <w:rPr>
                <w:rFonts w:ascii="Times New Roman" w:hAnsi="Times New Roman" w:eastAsia="宋体" w:cs="Times New Roman"/>
                <w:color w:val="auto"/>
                <w:kern w:val="0"/>
                <w:sz w:val="24"/>
                <w:szCs w:val="24"/>
                <w:lang w:val="en-US" w:eastAsia="zh-CN" w:bidi="ar-SA"/>
              </w:rPr>
              <w:t>%左右，即道路扬尘排放量约为0.</w:t>
            </w:r>
            <w:r>
              <w:rPr>
                <w:rFonts w:hint="eastAsia" w:cs="Times New Roman"/>
                <w:color w:val="auto"/>
                <w:kern w:val="0"/>
                <w:sz w:val="24"/>
                <w:szCs w:val="24"/>
                <w:lang w:val="en-US" w:eastAsia="zh-CN" w:bidi="ar-SA"/>
              </w:rPr>
              <w:t>334</w:t>
            </w:r>
            <w:r>
              <w:rPr>
                <w:rFonts w:ascii="Times New Roman" w:hAnsi="Times New Roman" w:eastAsia="宋体" w:cs="Times New Roman"/>
                <w:color w:val="auto"/>
                <w:kern w:val="0"/>
                <w:sz w:val="24"/>
                <w:szCs w:val="24"/>
                <w:lang w:val="en-US" w:eastAsia="zh-CN" w:bidi="ar-SA"/>
              </w:rPr>
              <w:t>t/a。</w:t>
            </w:r>
          </w:p>
          <w:p w14:paraId="24849335">
            <w:pPr>
              <w:widowControl/>
              <w:spacing w:line="360" w:lineRule="auto"/>
              <w:jc w:val="left"/>
              <w:rPr>
                <w:b/>
                <w:color w:val="auto"/>
                <w:sz w:val="24"/>
              </w:rPr>
            </w:pPr>
            <w:r>
              <w:rPr>
                <w:rFonts w:hint="eastAsia"/>
                <w:b/>
                <w:color w:val="auto"/>
                <w:sz w:val="24"/>
              </w:rPr>
              <w:t>1.1.</w:t>
            </w:r>
            <w:r>
              <w:rPr>
                <w:rFonts w:hint="eastAsia"/>
                <w:b/>
                <w:color w:val="auto"/>
                <w:sz w:val="24"/>
                <w:lang w:val="en-US" w:eastAsia="zh-CN"/>
              </w:rPr>
              <w:t>5</w:t>
            </w:r>
            <w:r>
              <w:rPr>
                <w:rFonts w:hint="eastAsia"/>
                <w:b/>
                <w:color w:val="auto"/>
                <w:sz w:val="24"/>
              </w:rPr>
              <w:t>食堂油烟</w:t>
            </w:r>
          </w:p>
          <w:p w14:paraId="353CA5B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本项目劳动定员</w:t>
            </w:r>
            <w:r>
              <w:rPr>
                <w:rFonts w:hint="eastAsia" w:cs="Times New Roman"/>
                <w:color w:val="auto"/>
                <w:kern w:val="0"/>
                <w:sz w:val="24"/>
                <w:lang w:val="en-US" w:eastAsia="zh-CN"/>
              </w:rPr>
              <w:t>46</w:t>
            </w:r>
            <w:r>
              <w:rPr>
                <w:rFonts w:ascii="Times New Roman" w:hAnsi="Times New Roman" w:eastAsia="宋体" w:cs="Times New Roman"/>
                <w:color w:val="auto"/>
                <w:kern w:val="0"/>
                <w:sz w:val="24"/>
              </w:rPr>
              <w:t>人，生产期为</w:t>
            </w:r>
            <w:r>
              <w:rPr>
                <w:rFonts w:hint="eastAsia" w:cs="Times New Roman"/>
                <w:color w:val="auto"/>
                <w:kern w:val="0"/>
                <w:sz w:val="24"/>
                <w:lang w:val="en-US" w:eastAsia="zh-CN"/>
              </w:rPr>
              <w:t>18</w:t>
            </w:r>
            <w:r>
              <w:rPr>
                <w:rFonts w:hint="eastAsia" w:ascii="Times New Roman" w:hAnsi="Times New Roman" w:eastAsia="宋体" w:cs="Times New Roman"/>
                <w:color w:val="auto"/>
                <w:kern w:val="0"/>
                <w:sz w:val="24"/>
              </w:rPr>
              <w:t>0</w:t>
            </w:r>
            <w:r>
              <w:rPr>
                <w:rFonts w:ascii="Times New Roman" w:hAnsi="Times New Roman" w:eastAsia="宋体" w:cs="Times New Roman"/>
                <w:color w:val="auto"/>
                <w:kern w:val="0"/>
                <w:sz w:val="24"/>
              </w:rPr>
              <w:t>d，</w:t>
            </w:r>
            <w:r>
              <w:rPr>
                <w:rFonts w:hint="eastAsia" w:cs="Times New Roman"/>
                <w:color w:val="auto"/>
                <w:kern w:val="0"/>
                <w:sz w:val="24"/>
                <w:lang w:val="en-US" w:eastAsia="zh-CN"/>
              </w:rPr>
              <w:t>经过对同类项目的</w:t>
            </w:r>
            <w:r>
              <w:rPr>
                <w:rFonts w:ascii="Times New Roman" w:hAnsi="Times New Roman" w:eastAsia="宋体" w:cs="Times New Roman"/>
                <w:color w:val="auto"/>
                <w:kern w:val="0"/>
                <w:sz w:val="24"/>
              </w:rPr>
              <w:t>调查，食用油消耗系数按5kg/（100人·d）计，则食用油消耗量为</w:t>
            </w:r>
            <w:r>
              <w:rPr>
                <w:rFonts w:hint="eastAsia" w:cs="Times New Roman"/>
                <w:color w:val="auto"/>
                <w:kern w:val="0"/>
                <w:sz w:val="24"/>
                <w:lang w:val="en-US" w:eastAsia="zh-CN"/>
              </w:rPr>
              <w:t>414</w:t>
            </w:r>
            <w:r>
              <w:rPr>
                <w:rFonts w:hint="eastAsia" w:ascii="Times New Roman" w:hAnsi="Times New Roman" w:eastAsia="宋体" w:cs="Times New Roman"/>
                <w:color w:val="auto"/>
                <w:kern w:val="0"/>
                <w:sz w:val="24"/>
              </w:rPr>
              <w:t>kg/a（</w:t>
            </w:r>
            <w:r>
              <w:rPr>
                <w:rFonts w:hint="eastAsia" w:cs="Times New Roman"/>
                <w:color w:val="auto"/>
                <w:kern w:val="0"/>
                <w:sz w:val="24"/>
                <w:lang w:val="en-US" w:eastAsia="zh-CN"/>
              </w:rPr>
              <w:t>2.3</w:t>
            </w:r>
            <w:r>
              <w:rPr>
                <w:rFonts w:hint="eastAsia" w:ascii="Times New Roman" w:hAnsi="Times New Roman" w:eastAsia="宋体" w:cs="Times New Roman"/>
                <w:color w:val="auto"/>
                <w:kern w:val="0"/>
                <w:sz w:val="24"/>
              </w:rPr>
              <w:t>kg/d）</w:t>
            </w:r>
            <w:r>
              <w:rPr>
                <w:rFonts w:ascii="Times New Roman" w:hAnsi="Times New Roman" w:eastAsia="宋体" w:cs="Times New Roman"/>
                <w:color w:val="auto"/>
                <w:kern w:val="0"/>
                <w:sz w:val="24"/>
              </w:rPr>
              <w:t>。不同的烧炸工况，油烟气中烟气浓度及挥发量均有所不同，油的挥发量占总耗油量的2%</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4%之间</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本项目烹饪过程中的挥发量取4%，则油烟的产生量为</w:t>
            </w:r>
            <w:r>
              <w:rPr>
                <w:rFonts w:hint="eastAsia" w:cs="Times New Roman"/>
                <w:color w:val="auto"/>
                <w:kern w:val="0"/>
                <w:sz w:val="24"/>
                <w:lang w:val="en-US" w:eastAsia="zh-CN"/>
              </w:rPr>
              <w:t>16.56</w:t>
            </w:r>
            <w:r>
              <w:rPr>
                <w:rFonts w:hint="eastAsia" w:ascii="Times New Roman" w:hAnsi="Times New Roman" w:eastAsia="宋体" w:cs="Times New Roman"/>
                <w:color w:val="auto"/>
                <w:kern w:val="0"/>
                <w:sz w:val="24"/>
              </w:rPr>
              <w:t>kg/</w:t>
            </w:r>
            <w:r>
              <w:rPr>
                <w:rFonts w:ascii="Times New Roman" w:hAnsi="Times New Roman" w:eastAsia="宋体" w:cs="Times New Roman"/>
                <w:color w:val="auto"/>
                <w:kern w:val="0"/>
                <w:sz w:val="24"/>
              </w:rPr>
              <w:t>a</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0.092</w:t>
            </w:r>
            <w:r>
              <w:rPr>
                <w:rFonts w:hint="eastAsia" w:ascii="Times New Roman" w:hAnsi="Times New Roman" w:eastAsia="宋体" w:cs="Times New Roman"/>
                <w:color w:val="auto"/>
                <w:kern w:val="0"/>
                <w:sz w:val="24"/>
              </w:rPr>
              <w:t>kg/d）</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通过集气罩收集</w:t>
            </w:r>
            <w:r>
              <w:rPr>
                <w:rFonts w:ascii="Times New Roman" w:hAnsi="Times New Roman" w:eastAsia="宋体" w:cs="Times New Roman"/>
                <w:color w:val="auto"/>
                <w:kern w:val="0"/>
                <w:sz w:val="24"/>
              </w:rPr>
              <w:t>（收集效率≥9</w:t>
            </w:r>
            <w:r>
              <w:rPr>
                <w:rFonts w:hint="eastAsia" w:ascii="Times New Roman" w:hAnsi="Times New Roman" w:eastAsia="宋体" w:cs="Times New Roman"/>
                <w:color w:val="auto"/>
                <w:kern w:val="0"/>
                <w:sz w:val="24"/>
              </w:rPr>
              <w:t>0</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，则油烟的收集量为</w:t>
            </w:r>
            <w:r>
              <w:rPr>
                <w:rFonts w:hint="eastAsia" w:cs="Times New Roman"/>
                <w:color w:val="auto"/>
                <w:kern w:val="0"/>
                <w:sz w:val="24"/>
                <w:lang w:val="en-US" w:eastAsia="zh-CN"/>
              </w:rPr>
              <w:t>14.904</w:t>
            </w:r>
            <w:r>
              <w:rPr>
                <w:rFonts w:hint="eastAsia" w:ascii="Times New Roman" w:hAnsi="Times New Roman" w:eastAsia="宋体" w:cs="Times New Roman"/>
                <w:color w:val="auto"/>
                <w:kern w:val="0"/>
                <w:sz w:val="24"/>
              </w:rPr>
              <w:t>kg</w:t>
            </w:r>
            <w:r>
              <w:rPr>
                <w:rFonts w:ascii="Times New Roman" w:hAnsi="Times New Roman" w:eastAsia="宋体" w:cs="Times New Roman"/>
                <w:color w:val="auto"/>
                <w:kern w:val="0"/>
                <w:sz w:val="24"/>
              </w:rPr>
              <w:t>/a</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按日高峰5小时计，则高峰期油烟</w:t>
            </w:r>
            <w:r>
              <w:rPr>
                <w:rFonts w:hint="eastAsia" w:ascii="Times New Roman" w:hAnsi="Times New Roman" w:eastAsia="宋体" w:cs="Times New Roman"/>
                <w:color w:val="auto"/>
                <w:kern w:val="0"/>
                <w:sz w:val="24"/>
              </w:rPr>
              <w:t>的排放速率</w:t>
            </w:r>
            <w:r>
              <w:rPr>
                <w:rFonts w:ascii="Times New Roman" w:hAnsi="Times New Roman" w:eastAsia="宋体" w:cs="Times New Roman"/>
                <w:color w:val="auto"/>
                <w:kern w:val="0"/>
                <w:sz w:val="24"/>
              </w:rPr>
              <w:t>为</w:t>
            </w:r>
            <w:r>
              <w:rPr>
                <w:rFonts w:hint="eastAsia" w:ascii="Times New Roman" w:hAnsi="Times New Roman" w:eastAsia="宋体" w:cs="Times New Roman"/>
                <w:color w:val="auto"/>
                <w:kern w:val="0"/>
                <w:sz w:val="24"/>
              </w:rPr>
              <w:t>0.0</w:t>
            </w:r>
            <w:r>
              <w:rPr>
                <w:rFonts w:hint="eastAsia" w:cs="Times New Roman"/>
                <w:color w:val="auto"/>
                <w:kern w:val="0"/>
                <w:sz w:val="24"/>
                <w:lang w:val="en-US" w:eastAsia="zh-CN"/>
              </w:rPr>
              <w:t>16</w:t>
            </w:r>
            <w:r>
              <w:rPr>
                <w:rFonts w:ascii="Times New Roman" w:hAnsi="Times New Roman" w:eastAsia="宋体" w:cs="Times New Roman"/>
                <w:color w:val="auto"/>
                <w:kern w:val="0"/>
                <w:sz w:val="24"/>
              </w:rPr>
              <w:t>kg/h，油烟</w:t>
            </w:r>
            <w:r>
              <w:rPr>
                <w:rFonts w:hint="eastAsia" w:ascii="Times New Roman" w:hAnsi="Times New Roman" w:eastAsia="宋体" w:cs="Times New Roman"/>
                <w:color w:val="auto"/>
                <w:kern w:val="0"/>
                <w:sz w:val="24"/>
              </w:rPr>
              <w:t>排放</w:t>
            </w:r>
            <w:r>
              <w:rPr>
                <w:rFonts w:ascii="Times New Roman" w:hAnsi="Times New Roman" w:eastAsia="宋体" w:cs="Times New Roman"/>
                <w:color w:val="auto"/>
                <w:kern w:val="0"/>
                <w:sz w:val="24"/>
              </w:rPr>
              <w:t>浓度为</w:t>
            </w:r>
            <w:r>
              <w:rPr>
                <w:rFonts w:hint="eastAsia" w:cs="Times New Roman"/>
                <w:color w:val="auto"/>
                <w:kern w:val="0"/>
                <w:sz w:val="24"/>
                <w:lang w:val="en-US" w:eastAsia="zh-CN"/>
              </w:rPr>
              <w:t>3.312</w:t>
            </w:r>
            <w:r>
              <w:rPr>
                <w:rFonts w:ascii="Times New Roman" w:hAnsi="Times New Roman" w:eastAsia="宋体" w:cs="Times New Roman"/>
                <w:color w:val="auto"/>
                <w:kern w:val="0"/>
                <w:sz w:val="24"/>
              </w:rPr>
              <w:t>mg/m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（按风量</w:t>
            </w:r>
            <w:r>
              <w:rPr>
                <w:rFonts w:hint="eastAsia" w:ascii="Times New Roman" w:hAnsi="Times New Roman" w:eastAsia="宋体" w:cs="Times New Roman"/>
                <w:color w:val="auto"/>
                <w:kern w:val="0"/>
                <w:sz w:val="24"/>
              </w:rPr>
              <w:t>5000</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/h计），</w:t>
            </w:r>
            <w:r>
              <w:rPr>
                <w:rFonts w:hint="eastAsia" w:cs="Times New Roman"/>
                <w:color w:val="auto"/>
                <w:kern w:val="0"/>
                <w:sz w:val="24"/>
                <w:lang w:val="en-US" w:eastAsia="zh-CN"/>
              </w:rPr>
              <w:t>排放浓度较高，</w:t>
            </w:r>
            <w:r>
              <w:rPr>
                <w:rFonts w:ascii="Times New Roman" w:hAnsi="Times New Roman" w:eastAsia="宋体" w:cs="Times New Roman"/>
                <w:color w:val="auto"/>
                <w:kern w:val="0"/>
                <w:sz w:val="24"/>
              </w:rPr>
              <w:t>需安装国家认可的单位检测合格的油烟净化设施（油烟净化效率≥</w:t>
            </w:r>
            <w:r>
              <w:rPr>
                <w:rFonts w:hint="eastAsia" w:ascii="Times New Roman" w:hAnsi="Times New Roman" w:eastAsia="宋体" w:cs="Times New Roman"/>
                <w:color w:val="auto"/>
                <w:kern w:val="0"/>
                <w:sz w:val="24"/>
              </w:rPr>
              <w:t>60</w:t>
            </w:r>
            <w:r>
              <w:rPr>
                <w:rFonts w:ascii="Times New Roman" w:hAnsi="Times New Roman" w:eastAsia="宋体" w:cs="Times New Roman"/>
                <w:color w:val="auto"/>
                <w:kern w:val="0"/>
                <w:sz w:val="24"/>
              </w:rPr>
              <w:t>%），经净化的食堂油烟从专用烟道引至屋顶排出，则油烟的排放量为</w:t>
            </w:r>
            <w:r>
              <w:rPr>
                <w:rFonts w:hint="eastAsia" w:cs="Times New Roman"/>
                <w:color w:val="auto"/>
                <w:kern w:val="0"/>
                <w:sz w:val="24"/>
                <w:lang w:val="en-US" w:eastAsia="zh-CN"/>
              </w:rPr>
              <w:t>8.659</w:t>
            </w:r>
            <w:r>
              <w:rPr>
                <w:rFonts w:hint="eastAsia" w:ascii="Times New Roman" w:hAnsi="Times New Roman" w:eastAsia="宋体" w:cs="Times New Roman"/>
                <w:color w:val="auto"/>
                <w:kern w:val="0"/>
                <w:sz w:val="24"/>
              </w:rPr>
              <w:t>kg</w:t>
            </w:r>
            <w:r>
              <w:rPr>
                <w:rFonts w:ascii="Times New Roman" w:hAnsi="Times New Roman" w:eastAsia="宋体" w:cs="Times New Roman"/>
                <w:color w:val="auto"/>
                <w:kern w:val="0"/>
                <w:sz w:val="24"/>
              </w:rPr>
              <w:t>/a，高峰期油烟</w:t>
            </w:r>
            <w:r>
              <w:rPr>
                <w:rFonts w:hint="eastAsia" w:ascii="Times New Roman" w:hAnsi="Times New Roman" w:eastAsia="宋体" w:cs="Times New Roman"/>
                <w:color w:val="auto"/>
                <w:kern w:val="0"/>
                <w:sz w:val="24"/>
              </w:rPr>
              <w:t>排放</w:t>
            </w:r>
            <w:r>
              <w:rPr>
                <w:rFonts w:ascii="Times New Roman" w:hAnsi="Times New Roman" w:eastAsia="宋体" w:cs="Times New Roman"/>
                <w:color w:val="auto"/>
                <w:kern w:val="0"/>
                <w:sz w:val="24"/>
              </w:rPr>
              <w:t>浓度为</w:t>
            </w:r>
            <w:r>
              <w:rPr>
                <w:rFonts w:hint="eastAsia" w:ascii="Times New Roman" w:hAnsi="Times New Roman" w:eastAsia="宋体" w:cs="Times New Roman"/>
                <w:color w:val="auto"/>
                <w:kern w:val="0"/>
                <w:sz w:val="24"/>
              </w:rPr>
              <w:t>1.</w:t>
            </w:r>
            <w:r>
              <w:rPr>
                <w:rFonts w:hint="eastAsia" w:cs="Times New Roman"/>
                <w:color w:val="auto"/>
                <w:kern w:val="0"/>
                <w:sz w:val="24"/>
                <w:lang w:val="en-US" w:eastAsia="zh-CN"/>
              </w:rPr>
              <w:t>325</w:t>
            </w:r>
            <w:r>
              <w:rPr>
                <w:rFonts w:ascii="Times New Roman" w:hAnsi="Times New Roman" w:eastAsia="宋体" w:cs="Times New Roman"/>
                <w:color w:val="auto"/>
                <w:kern w:val="0"/>
                <w:sz w:val="24"/>
              </w:rPr>
              <w:t>mg/m</w:t>
            </w:r>
            <w:r>
              <w:rPr>
                <w:rFonts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排放速率为0.0</w:t>
            </w:r>
            <w:r>
              <w:rPr>
                <w:rFonts w:hint="eastAsia" w:ascii="Times New Roman" w:hAnsi="Times New Roman" w:eastAsia="宋体" w:cs="Times New Roman"/>
                <w:color w:val="auto"/>
                <w:kern w:val="0"/>
                <w:sz w:val="24"/>
              </w:rPr>
              <w:t>0</w:t>
            </w:r>
            <w:r>
              <w:rPr>
                <w:rFonts w:hint="eastAsia" w:cs="Times New Roman"/>
                <w:color w:val="auto"/>
                <w:kern w:val="0"/>
                <w:sz w:val="24"/>
                <w:lang w:val="en-US" w:eastAsia="zh-CN"/>
              </w:rPr>
              <w:t>6</w:t>
            </w:r>
            <w:r>
              <w:rPr>
                <w:rFonts w:ascii="Times New Roman" w:hAnsi="Times New Roman" w:eastAsia="宋体" w:cs="Times New Roman"/>
                <w:color w:val="auto"/>
                <w:kern w:val="0"/>
                <w:sz w:val="24"/>
              </w:rPr>
              <w:t>kg/h。</w:t>
            </w:r>
          </w:p>
          <w:p w14:paraId="17CC5E35">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本项目废气产排具体情况见表4-3。</w:t>
            </w:r>
          </w:p>
          <w:p w14:paraId="26049A36">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表4-3    本项目废气产排情况一览表</w:t>
            </w:r>
          </w:p>
          <w:tbl>
            <w:tblPr>
              <w:tblStyle w:val="28"/>
              <w:tblW w:w="7965"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61"/>
              <w:gridCol w:w="386"/>
              <w:gridCol w:w="395"/>
              <w:gridCol w:w="503"/>
              <w:gridCol w:w="564"/>
              <w:gridCol w:w="921"/>
              <w:gridCol w:w="879"/>
              <w:gridCol w:w="407"/>
              <w:gridCol w:w="428"/>
              <w:gridCol w:w="450"/>
              <w:gridCol w:w="486"/>
              <w:gridCol w:w="527"/>
              <w:gridCol w:w="547"/>
              <w:gridCol w:w="656"/>
              <w:gridCol w:w="355"/>
            </w:tblGrid>
            <w:tr w14:paraId="114D1DA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289" w:type="pct"/>
                  <w:vMerge w:val="restart"/>
                  <w:vAlign w:val="center"/>
                </w:tcPr>
                <w:p w14:paraId="1E701527">
                  <w:pPr>
                    <w:pStyle w:val="49"/>
                    <w:spacing w:before="24" w:after="24" w:line="240" w:lineRule="auto"/>
                    <w:jc w:val="center"/>
                    <w:rPr>
                      <w:rFonts w:ascii="Times New Roman"/>
                      <w:b/>
                      <w:bCs/>
                      <w:color w:val="auto"/>
                      <w:sz w:val="21"/>
                      <w:szCs w:val="21"/>
                      <w:highlight w:val="none"/>
                    </w:rPr>
                  </w:pPr>
                  <w:r>
                    <w:rPr>
                      <w:rFonts w:hint="eastAsia" w:ascii="Times New Roman"/>
                      <w:b/>
                      <w:bCs/>
                      <w:color w:val="auto"/>
                      <w:sz w:val="21"/>
                      <w:szCs w:val="21"/>
                      <w:highlight w:val="none"/>
                    </w:rPr>
                    <w:t>产排污环节</w:t>
                  </w:r>
                </w:p>
              </w:tc>
              <w:tc>
                <w:tcPr>
                  <w:tcW w:w="242" w:type="pct"/>
                  <w:vMerge w:val="restart"/>
                  <w:vAlign w:val="center"/>
                </w:tcPr>
                <w:p w14:paraId="5B3D08F8">
                  <w:pPr>
                    <w:pStyle w:val="49"/>
                    <w:spacing w:before="24" w:after="24" w:line="240" w:lineRule="auto"/>
                    <w:jc w:val="center"/>
                    <w:rPr>
                      <w:rFonts w:ascii="Times New Roman"/>
                      <w:b/>
                      <w:bCs/>
                      <w:color w:val="auto"/>
                      <w:sz w:val="21"/>
                      <w:szCs w:val="21"/>
                      <w:highlight w:val="none"/>
                    </w:rPr>
                  </w:pPr>
                  <w:r>
                    <w:rPr>
                      <w:rFonts w:hint="eastAsia" w:ascii="Times New Roman"/>
                      <w:b/>
                      <w:bCs/>
                      <w:color w:val="auto"/>
                      <w:sz w:val="21"/>
                      <w:szCs w:val="21"/>
                      <w:highlight w:val="none"/>
                    </w:rPr>
                    <w:t>排放形式</w:t>
                  </w:r>
                </w:p>
              </w:tc>
              <w:tc>
                <w:tcPr>
                  <w:tcW w:w="247" w:type="pct"/>
                  <w:vMerge w:val="restart"/>
                  <w:vAlign w:val="center"/>
                </w:tcPr>
                <w:p w14:paraId="5CEFF1CA">
                  <w:pPr>
                    <w:pStyle w:val="49"/>
                    <w:spacing w:before="24" w:after="24" w:line="240" w:lineRule="auto"/>
                    <w:jc w:val="center"/>
                    <w:rPr>
                      <w:rFonts w:ascii="Times New Roman"/>
                      <w:b/>
                      <w:bCs/>
                      <w:color w:val="auto"/>
                      <w:sz w:val="21"/>
                      <w:szCs w:val="21"/>
                      <w:highlight w:val="none"/>
                    </w:rPr>
                  </w:pPr>
                  <w:r>
                    <w:rPr>
                      <w:rFonts w:ascii="Times New Roman"/>
                      <w:b/>
                      <w:bCs/>
                      <w:color w:val="auto"/>
                      <w:sz w:val="21"/>
                      <w:szCs w:val="21"/>
                      <w:highlight w:val="none"/>
                    </w:rPr>
                    <w:t>污染物</w:t>
                  </w:r>
                </w:p>
              </w:tc>
              <w:tc>
                <w:tcPr>
                  <w:tcW w:w="315" w:type="pct"/>
                  <w:vMerge w:val="restart"/>
                  <w:vAlign w:val="center"/>
                </w:tcPr>
                <w:p w14:paraId="38C4E0E5">
                  <w:pPr>
                    <w:pStyle w:val="49"/>
                    <w:spacing w:before="24" w:after="24" w:line="240" w:lineRule="auto"/>
                    <w:jc w:val="center"/>
                    <w:rPr>
                      <w:rFonts w:ascii="Times New Roman"/>
                      <w:b/>
                      <w:bCs/>
                      <w:color w:val="auto"/>
                      <w:sz w:val="21"/>
                      <w:szCs w:val="21"/>
                      <w:highlight w:val="none"/>
                    </w:rPr>
                  </w:pPr>
                  <w:r>
                    <w:rPr>
                      <w:rFonts w:ascii="Times New Roman"/>
                      <w:b/>
                      <w:bCs/>
                      <w:color w:val="auto"/>
                      <w:sz w:val="21"/>
                      <w:szCs w:val="21"/>
                      <w:highlight w:val="none"/>
                    </w:rPr>
                    <w:t>产生量</w:t>
                  </w:r>
                </w:p>
                <w:p w14:paraId="52BF2158">
                  <w:pPr>
                    <w:jc w:val="center"/>
                    <w:rPr>
                      <w:b/>
                      <w:bCs/>
                      <w:color w:val="auto"/>
                      <w:sz w:val="21"/>
                      <w:szCs w:val="21"/>
                      <w:highlight w:val="none"/>
                    </w:rPr>
                  </w:pPr>
                  <w:r>
                    <w:rPr>
                      <w:b/>
                      <w:bCs/>
                      <w:color w:val="auto"/>
                      <w:sz w:val="21"/>
                      <w:szCs w:val="21"/>
                      <w:highlight w:val="none"/>
                    </w:rPr>
                    <w:t>t/a</w:t>
                  </w:r>
                </w:p>
              </w:tc>
              <w:tc>
                <w:tcPr>
                  <w:tcW w:w="354" w:type="pct"/>
                  <w:vMerge w:val="restart"/>
                  <w:vAlign w:val="center"/>
                </w:tcPr>
                <w:p w14:paraId="52F37E74">
                  <w:pPr>
                    <w:jc w:val="center"/>
                    <w:rPr>
                      <w:b/>
                      <w:bCs/>
                      <w:color w:val="auto"/>
                      <w:sz w:val="21"/>
                      <w:szCs w:val="21"/>
                      <w:highlight w:val="none"/>
                    </w:rPr>
                  </w:pPr>
                  <w:r>
                    <w:rPr>
                      <w:b/>
                      <w:bCs/>
                      <w:color w:val="auto"/>
                      <w:sz w:val="21"/>
                      <w:szCs w:val="21"/>
                      <w:highlight w:val="none"/>
                    </w:rPr>
                    <w:t>产生速率kg/h</w:t>
                  </w:r>
                </w:p>
              </w:tc>
              <w:tc>
                <w:tcPr>
                  <w:tcW w:w="1129" w:type="pct"/>
                  <w:gridSpan w:val="2"/>
                  <w:tcBorders>
                    <w:bottom w:val="single" w:color="auto" w:sz="12" w:space="0"/>
                  </w:tcBorders>
                  <w:vAlign w:val="center"/>
                </w:tcPr>
                <w:p w14:paraId="3ACAF753">
                  <w:pPr>
                    <w:pStyle w:val="49"/>
                    <w:spacing w:before="24" w:after="24" w:line="240" w:lineRule="auto"/>
                    <w:jc w:val="center"/>
                    <w:rPr>
                      <w:rFonts w:hint="default" w:ascii="Times New Roman" w:eastAsia="宋体"/>
                      <w:b/>
                      <w:bCs/>
                      <w:color w:val="auto"/>
                      <w:sz w:val="21"/>
                      <w:szCs w:val="21"/>
                      <w:highlight w:val="none"/>
                      <w:lang w:val="en-US" w:eastAsia="zh-CN"/>
                    </w:rPr>
                  </w:pPr>
                  <w:r>
                    <w:rPr>
                      <w:rFonts w:hint="eastAsia" w:ascii="Times New Roman"/>
                      <w:b/>
                      <w:bCs/>
                      <w:color w:val="auto"/>
                      <w:sz w:val="21"/>
                      <w:szCs w:val="21"/>
                      <w:highlight w:val="none"/>
                      <w:lang w:val="en-US" w:eastAsia="zh-CN"/>
                    </w:rPr>
                    <w:t>污染防治设施</w:t>
                  </w:r>
                </w:p>
              </w:tc>
              <w:tc>
                <w:tcPr>
                  <w:tcW w:w="255" w:type="pct"/>
                  <w:vMerge w:val="restart"/>
                  <w:vAlign w:val="center"/>
                </w:tcPr>
                <w:p w14:paraId="680544A9">
                  <w:pPr>
                    <w:pStyle w:val="49"/>
                    <w:spacing w:before="24" w:after="24" w:line="240" w:lineRule="auto"/>
                    <w:jc w:val="center"/>
                    <w:rPr>
                      <w:rFonts w:ascii="Times New Roman"/>
                      <w:b/>
                      <w:bCs/>
                      <w:color w:val="auto"/>
                      <w:sz w:val="21"/>
                      <w:szCs w:val="21"/>
                      <w:highlight w:val="none"/>
                    </w:rPr>
                  </w:pPr>
                  <w:r>
                    <w:rPr>
                      <w:rFonts w:hint="eastAsia" w:ascii="Times New Roman"/>
                      <w:b/>
                      <w:bCs/>
                      <w:color w:val="auto"/>
                      <w:sz w:val="21"/>
                      <w:szCs w:val="21"/>
                      <w:highlight w:val="none"/>
                    </w:rPr>
                    <w:t>收集</w:t>
                  </w:r>
                  <w:r>
                    <w:rPr>
                      <w:rFonts w:ascii="Times New Roman"/>
                      <w:b/>
                      <w:bCs/>
                      <w:color w:val="auto"/>
                      <w:sz w:val="21"/>
                      <w:szCs w:val="21"/>
                      <w:highlight w:val="none"/>
                    </w:rPr>
                    <w:t>效率</w:t>
                  </w:r>
                </w:p>
              </w:tc>
              <w:tc>
                <w:tcPr>
                  <w:tcW w:w="268" w:type="pct"/>
                  <w:vMerge w:val="restart"/>
                  <w:vAlign w:val="center"/>
                </w:tcPr>
                <w:p w14:paraId="0C635257">
                  <w:pPr>
                    <w:pStyle w:val="49"/>
                    <w:spacing w:before="24" w:after="24" w:line="240" w:lineRule="auto"/>
                    <w:jc w:val="center"/>
                    <w:rPr>
                      <w:rFonts w:ascii="Times New Roman"/>
                      <w:b/>
                      <w:bCs/>
                      <w:color w:val="auto"/>
                      <w:sz w:val="21"/>
                      <w:szCs w:val="21"/>
                      <w:highlight w:val="none"/>
                    </w:rPr>
                  </w:pPr>
                  <w:r>
                    <w:rPr>
                      <w:rFonts w:hint="eastAsia" w:ascii="Times New Roman"/>
                      <w:b/>
                      <w:bCs/>
                      <w:color w:val="auto"/>
                      <w:sz w:val="21"/>
                      <w:szCs w:val="21"/>
                      <w:highlight w:val="none"/>
                    </w:rPr>
                    <w:t>处理效率</w:t>
                  </w:r>
                </w:p>
              </w:tc>
              <w:tc>
                <w:tcPr>
                  <w:tcW w:w="282" w:type="pct"/>
                  <w:vMerge w:val="restart"/>
                  <w:vAlign w:val="center"/>
                </w:tcPr>
                <w:p w14:paraId="743CB0A0">
                  <w:pPr>
                    <w:pStyle w:val="49"/>
                    <w:spacing w:before="24" w:after="24" w:line="240" w:lineRule="auto"/>
                    <w:jc w:val="center"/>
                    <w:rPr>
                      <w:rFonts w:ascii="Times New Roman"/>
                      <w:b/>
                      <w:bCs/>
                      <w:color w:val="auto"/>
                      <w:sz w:val="21"/>
                      <w:szCs w:val="21"/>
                      <w:highlight w:val="none"/>
                    </w:rPr>
                  </w:pPr>
                  <w:r>
                    <w:rPr>
                      <w:rFonts w:hint="eastAsia" w:ascii="Times New Roman"/>
                      <w:b/>
                      <w:bCs/>
                      <w:color w:val="auto"/>
                      <w:sz w:val="21"/>
                      <w:szCs w:val="21"/>
                      <w:highlight w:val="none"/>
                    </w:rPr>
                    <w:t>风机风量</w:t>
                  </w:r>
                </w:p>
              </w:tc>
              <w:tc>
                <w:tcPr>
                  <w:tcW w:w="305" w:type="pct"/>
                  <w:vMerge w:val="restart"/>
                  <w:vAlign w:val="center"/>
                </w:tcPr>
                <w:p w14:paraId="49ED7287">
                  <w:pPr>
                    <w:pStyle w:val="49"/>
                    <w:spacing w:before="24" w:after="24" w:line="240" w:lineRule="auto"/>
                    <w:jc w:val="center"/>
                    <w:rPr>
                      <w:rFonts w:ascii="Times New Roman"/>
                      <w:b/>
                      <w:bCs/>
                      <w:color w:val="auto"/>
                      <w:sz w:val="21"/>
                      <w:szCs w:val="21"/>
                      <w:highlight w:val="none"/>
                    </w:rPr>
                  </w:pPr>
                  <w:r>
                    <w:rPr>
                      <w:rFonts w:ascii="Times New Roman"/>
                      <w:b/>
                      <w:bCs/>
                      <w:color w:val="auto"/>
                      <w:sz w:val="21"/>
                      <w:szCs w:val="21"/>
                      <w:highlight w:val="none"/>
                    </w:rPr>
                    <w:t>排放量t/a</w:t>
                  </w:r>
                </w:p>
              </w:tc>
              <w:tc>
                <w:tcPr>
                  <w:tcW w:w="330" w:type="pct"/>
                  <w:vMerge w:val="restart"/>
                  <w:vAlign w:val="center"/>
                </w:tcPr>
                <w:p w14:paraId="0F03F509">
                  <w:pPr>
                    <w:pStyle w:val="49"/>
                    <w:spacing w:before="24" w:after="24" w:line="240" w:lineRule="auto"/>
                    <w:jc w:val="center"/>
                    <w:rPr>
                      <w:rFonts w:ascii="Times New Roman"/>
                      <w:b/>
                      <w:bCs/>
                      <w:color w:val="auto"/>
                      <w:sz w:val="21"/>
                      <w:szCs w:val="21"/>
                      <w:highlight w:val="none"/>
                    </w:rPr>
                  </w:pPr>
                  <w:r>
                    <w:rPr>
                      <w:rFonts w:ascii="Times New Roman"/>
                      <w:b/>
                      <w:bCs/>
                      <w:color w:val="auto"/>
                      <w:sz w:val="21"/>
                      <w:szCs w:val="21"/>
                      <w:highlight w:val="none"/>
                    </w:rPr>
                    <w:t>排放浓度mg/m</w:t>
                  </w:r>
                  <w:r>
                    <w:rPr>
                      <w:rFonts w:ascii="Times New Roman"/>
                      <w:b/>
                      <w:bCs/>
                      <w:color w:val="auto"/>
                      <w:sz w:val="21"/>
                      <w:szCs w:val="21"/>
                      <w:highlight w:val="none"/>
                      <w:vertAlign w:val="superscript"/>
                    </w:rPr>
                    <w:t>3</w:t>
                  </w:r>
                </w:p>
              </w:tc>
              <w:tc>
                <w:tcPr>
                  <w:tcW w:w="343" w:type="pct"/>
                  <w:vMerge w:val="restart"/>
                  <w:vAlign w:val="center"/>
                </w:tcPr>
                <w:p w14:paraId="30999D24">
                  <w:pPr>
                    <w:pStyle w:val="49"/>
                    <w:spacing w:before="24" w:after="24" w:line="240" w:lineRule="auto"/>
                    <w:jc w:val="center"/>
                    <w:rPr>
                      <w:rFonts w:ascii="Times New Roman"/>
                      <w:b/>
                      <w:bCs/>
                      <w:color w:val="auto"/>
                      <w:sz w:val="21"/>
                      <w:szCs w:val="21"/>
                      <w:highlight w:val="none"/>
                    </w:rPr>
                  </w:pPr>
                  <w:r>
                    <w:rPr>
                      <w:rFonts w:ascii="Times New Roman"/>
                      <w:b/>
                      <w:bCs/>
                      <w:color w:val="auto"/>
                      <w:sz w:val="21"/>
                      <w:szCs w:val="21"/>
                      <w:highlight w:val="none"/>
                    </w:rPr>
                    <w:t>排放速率kg/h</w:t>
                  </w:r>
                </w:p>
              </w:tc>
              <w:tc>
                <w:tcPr>
                  <w:tcW w:w="411" w:type="pct"/>
                  <w:vMerge w:val="restart"/>
                  <w:vAlign w:val="center"/>
                </w:tcPr>
                <w:p w14:paraId="1C745B87">
                  <w:pPr>
                    <w:pStyle w:val="49"/>
                    <w:spacing w:before="24" w:after="24" w:line="240" w:lineRule="auto"/>
                    <w:jc w:val="center"/>
                    <w:rPr>
                      <w:rFonts w:hint="default" w:ascii="Times New Roman" w:eastAsia="宋体"/>
                      <w:b/>
                      <w:bCs/>
                      <w:color w:val="auto"/>
                      <w:sz w:val="21"/>
                      <w:szCs w:val="21"/>
                      <w:highlight w:val="none"/>
                      <w:lang w:val="en-US" w:eastAsia="zh-CN"/>
                    </w:rPr>
                  </w:pPr>
                  <w:r>
                    <w:rPr>
                      <w:rFonts w:hint="eastAsia" w:ascii="Times New Roman"/>
                      <w:b/>
                      <w:bCs/>
                      <w:color w:val="auto"/>
                      <w:sz w:val="21"/>
                      <w:szCs w:val="21"/>
                      <w:highlight w:val="none"/>
                      <w:lang w:val="en-US" w:eastAsia="zh-CN"/>
                    </w:rPr>
                    <w:t>标准限值mg/m³</w:t>
                  </w:r>
                </w:p>
              </w:tc>
              <w:tc>
                <w:tcPr>
                  <w:tcW w:w="222" w:type="pct"/>
                  <w:vMerge w:val="restart"/>
                  <w:vAlign w:val="center"/>
                </w:tcPr>
                <w:p w14:paraId="4A5E5055">
                  <w:pPr>
                    <w:pStyle w:val="49"/>
                    <w:spacing w:before="24" w:after="24" w:line="240" w:lineRule="auto"/>
                    <w:jc w:val="center"/>
                    <w:rPr>
                      <w:rFonts w:hint="default" w:ascii="Times New Roman"/>
                      <w:b/>
                      <w:bCs/>
                      <w:color w:val="auto"/>
                      <w:sz w:val="21"/>
                      <w:szCs w:val="21"/>
                      <w:highlight w:val="none"/>
                      <w:lang w:val="en-US" w:eastAsia="zh-CN"/>
                    </w:rPr>
                  </w:pPr>
                  <w:r>
                    <w:rPr>
                      <w:rFonts w:hint="eastAsia" w:ascii="Times New Roman"/>
                      <w:b/>
                      <w:bCs/>
                      <w:color w:val="auto"/>
                      <w:sz w:val="21"/>
                      <w:szCs w:val="21"/>
                      <w:highlight w:val="none"/>
                      <w:lang w:val="en-US" w:eastAsia="zh-CN"/>
                    </w:rPr>
                    <w:t>是否达标</w:t>
                  </w:r>
                </w:p>
              </w:tc>
            </w:tr>
            <w:tr w14:paraId="3A6F501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289" w:type="pct"/>
                  <w:vMerge w:val="continue"/>
                  <w:tcBorders>
                    <w:bottom w:val="single" w:color="auto" w:sz="12" w:space="0"/>
                  </w:tcBorders>
                  <w:vAlign w:val="center"/>
                </w:tcPr>
                <w:p w14:paraId="42BD4803">
                  <w:pPr>
                    <w:pStyle w:val="49"/>
                    <w:spacing w:before="24" w:after="24" w:line="240" w:lineRule="auto"/>
                    <w:jc w:val="center"/>
                    <w:rPr>
                      <w:color w:val="auto"/>
                      <w:highlight w:val="none"/>
                    </w:rPr>
                  </w:pPr>
                </w:p>
              </w:tc>
              <w:tc>
                <w:tcPr>
                  <w:tcW w:w="242" w:type="pct"/>
                  <w:vMerge w:val="continue"/>
                  <w:tcBorders>
                    <w:bottom w:val="single" w:color="auto" w:sz="12" w:space="0"/>
                  </w:tcBorders>
                  <w:vAlign w:val="center"/>
                </w:tcPr>
                <w:p w14:paraId="79726137">
                  <w:pPr>
                    <w:pStyle w:val="49"/>
                    <w:spacing w:before="24" w:after="24" w:line="240" w:lineRule="auto"/>
                    <w:jc w:val="center"/>
                    <w:rPr>
                      <w:color w:val="auto"/>
                      <w:highlight w:val="none"/>
                    </w:rPr>
                  </w:pPr>
                </w:p>
              </w:tc>
              <w:tc>
                <w:tcPr>
                  <w:tcW w:w="247" w:type="pct"/>
                  <w:vMerge w:val="continue"/>
                  <w:tcBorders>
                    <w:bottom w:val="single" w:color="auto" w:sz="12" w:space="0"/>
                  </w:tcBorders>
                  <w:vAlign w:val="center"/>
                </w:tcPr>
                <w:p w14:paraId="15B43E9B">
                  <w:pPr>
                    <w:pStyle w:val="49"/>
                    <w:spacing w:before="24" w:after="24" w:line="240" w:lineRule="auto"/>
                    <w:jc w:val="center"/>
                    <w:rPr>
                      <w:color w:val="auto"/>
                      <w:highlight w:val="none"/>
                    </w:rPr>
                  </w:pPr>
                </w:p>
              </w:tc>
              <w:tc>
                <w:tcPr>
                  <w:tcW w:w="315" w:type="pct"/>
                  <w:vMerge w:val="continue"/>
                  <w:tcBorders>
                    <w:bottom w:val="single" w:color="auto" w:sz="12" w:space="0"/>
                  </w:tcBorders>
                  <w:vAlign w:val="center"/>
                </w:tcPr>
                <w:p w14:paraId="59FE4AC2">
                  <w:pPr>
                    <w:pStyle w:val="49"/>
                    <w:spacing w:before="24" w:after="24" w:line="240" w:lineRule="auto"/>
                    <w:jc w:val="center"/>
                    <w:rPr>
                      <w:color w:val="auto"/>
                      <w:highlight w:val="none"/>
                    </w:rPr>
                  </w:pPr>
                </w:p>
              </w:tc>
              <w:tc>
                <w:tcPr>
                  <w:tcW w:w="354" w:type="pct"/>
                  <w:vMerge w:val="continue"/>
                  <w:tcBorders>
                    <w:bottom w:val="single" w:color="auto" w:sz="12" w:space="0"/>
                  </w:tcBorders>
                  <w:vAlign w:val="center"/>
                </w:tcPr>
                <w:p w14:paraId="2EF9EDD5">
                  <w:pPr>
                    <w:pStyle w:val="49"/>
                    <w:spacing w:before="24" w:after="24" w:line="240" w:lineRule="auto"/>
                    <w:jc w:val="center"/>
                    <w:rPr>
                      <w:color w:val="auto"/>
                      <w:highlight w:val="none"/>
                    </w:rPr>
                  </w:pPr>
                </w:p>
              </w:tc>
              <w:tc>
                <w:tcPr>
                  <w:tcW w:w="578" w:type="pct"/>
                  <w:tcBorders>
                    <w:bottom w:val="single" w:color="auto" w:sz="12" w:space="0"/>
                  </w:tcBorders>
                  <w:vAlign w:val="center"/>
                </w:tcPr>
                <w:p w14:paraId="3612CABC">
                  <w:pPr>
                    <w:pStyle w:val="49"/>
                    <w:spacing w:before="24" w:after="24" w:line="240" w:lineRule="auto"/>
                    <w:jc w:val="center"/>
                    <w:rPr>
                      <w:rFonts w:hint="default" w:ascii="Times New Roman"/>
                      <w:b/>
                      <w:bCs/>
                      <w:color w:val="auto"/>
                      <w:sz w:val="21"/>
                      <w:szCs w:val="21"/>
                      <w:highlight w:val="none"/>
                      <w:lang w:val="en-US" w:eastAsia="zh-CN"/>
                    </w:rPr>
                  </w:pPr>
                  <w:r>
                    <w:rPr>
                      <w:rFonts w:hint="eastAsia" w:ascii="Times New Roman"/>
                      <w:b/>
                      <w:bCs/>
                      <w:color w:val="auto"/>
                      <w:sz w:val="21"/>
                      <w:szCs w:val="21"/>
                      <w:highlight w:val="none"/>
                      <w:lang w:val="en-US" w:eastAsia="zh-CN"/>
                    </w:rPr>
                    <w:t>名称及工艺</w:t>
                  </w:r>
                </w:p>
              </w:tc>
              <w:tc>
                <w:tcPr>
                  <w:tcW w:w="551" w:type="pct"/>
                  <w:tcBorders>
                    <w:bottom w:val="single" w:color="auto" w:sz="12" w:space="0"/>
                  </w:tcBorders>
                  <w:vAlign w:val="center"/>
                </w:tcPr>
                <w:p w14:paraId="6904B72F">
                  <w:pPr>
                    <w:pStyle w:val="49"/>
                    <w:spacing w:before="24" w:after="24" w:line="240" w:lineRule="auto"/>
                    <w:jc w:val="center"/>
                    <w:rPr>
                      <w:rFonts w:hint="default" w:ascii="Times New Roman"/>
                      <w:b/>
                      <w:bCs/>
                      <w:color w:val="auto"/>
                      <w:sz w:val="21"/>
                      <w:szCs w:val="21"/>
                      <w:highlight w:val="none"/>
                      <w:lang w:val="en-US" w:eastAsia="zh-CN"/>
                    </w:rPr>
                  </w:pPr>
                  <w:r>
                    <w:rPr>
                      <w:rFonts w:hint="eastAsia" w:ascii="Times New Roman"/>
                      <w:b/>
                      <w:bCs/>
                      <w:color w:val="auto"/>
                      <w:sz w:val="21"/>
                      <w:szCs w:val="21"/>
                      <w:highlight w:val="none"/>
                      <w:lang w:val="en-US" w:eastAsia="zh-CN"/>
                    </w:rPr>
                    <w:t>是否为可行技术</w:t>
                  </w:r>
                </w:p>
              </w:tc>
              <w:tc>
                <w:tcPr>
                  <w:tcW w:w="255" w:type="pct"/>
                  <w:vMerge w:val="continue"/>
                  <w:tcBorders>
                    <w:bottom w:val="single" w:color="auto" w:sz="12" w:space="0"/>
                  </w:tcBorders>
                  <w:vAlign w:val="center"/>
                </w:tcPr>
                <w:p w14:paraId="2D002E73">
                  <w:pPr>
                    <w:pStyle w:val="49"/>
                    <w:spacing w:before="24" w:after="24" w:line="240" w:lineRule="auto"/>
                    <w:jc w:val="center"/>
                    <w:rPr>
                      <w:rFonts w:hint="eastAsia" w:ascii="Times New Roman"/>
                      <w:b/>
                      <w:bCs/>
                      <w:color w:val="auto"/>
                      <w:sz w:val="21"/>
                      <w:szCs w:val="21"/>
                      <w:highlight w:val="none"/>
                      <w:lang w:val="en-US" w:eastAsia="zh-CN"/>
                    </w:rPr>
                  </w:pPr>
                </w:p>
              </w:tc>
              <w:tc>
                <w:tcPr>
                  <w:tcW w:w="268" w:type="pct"/>
                  <w:vMerge w:val="continue"/>
                  <w:tcBorders>
                    <w:bottom w:val="single" w:color="auto" w:sz="12" w:space="0"/>
                  </w:tcBorders>
                  <w:vAlign w:val="center"/>
                </w:tcPr>
                <w:p w14:paraId="20DB749A">
                  <w:pPr>
                    <w:pStyle w:val="49"/>
                    <w:spacing w:before="24" w:after="24" w:line="240" w:lineRule="auto"/>
                    <w:jc w:val="center"/>
                    <w:rPr>
                      <w:rFonts w:hint="eastAsia" w:ascii="Times New Roman"/>
                      <w:b/>
                      <w:bCs/>
                      <w:color w:val="auto"/>
                      <w:sz w:val="21"/>
                      <w:szCs w:val="21"/>
                      <w:highlight w:val="none"/>
                      <w:lang w:val="en-US" w:eastAsia="zh-CN"/>
                    </w:rPr>
                  </w:pPr>
                </w:p>
              </w:tc>
              <w:tc>
                <w:tcPr>
                  <w:tcW w:w="282" w:type="pct"/>
                  <w:vMerge w:val="continue"/>
                  <w:tcBorders>
                    <w:bottom w:val="single" w:color="auto" w:sz="12" w:space="0"/>
                  </w:tcBorders>
                  <w:vAlign w:val="center"/>
                </w:tcPr>
                <w:p w14:paraId="3DDA9C3A">
                  <w:pPr>
                    <w:pStyle w:val="49"/>
                    <w:spacing w:before="24" w:after="24" w:line="240" w:lineRule="auto"/>
                    <w:jc w:val="center"/>
                    <w:rPr>
                      <w:rFonts w:hint="eastAsia" w:ascii="Times New Roman"/>
                      <w:b/>
                      <w:bCs/>
                      <w:color w:val="auto"/>
                      <w:sz w:val="21"/>
                      <w:szCs w:val="21"/>
                      <w:highlight w:val="none"/>
                      <w:lang w:val="en-US" w:eastAsia="zh-CN"/>
                    </w:rPr>
                  </w:pPr>
                </w:p>
              </w:tc>
              <w:tc>
                <w:tcPr>
                  <w:tcW w:w="305" w:type="pct"/>
                  <w:vMerge w:val="continue"/>
                  <w:tcBorders>
                    <w:bottom w:val="single" w:color="auto" w:sz="12" w:space="0"/>
                  </w:tcBorders>
                  <w:vAlign w:val="center"/>
                </w:tcPr>
                <w:p w14:paraId="70B07506">
                  <w:pPr>
                    <w:pStyle w:val="49"/>
                    <w:spacing w:before="24" w:after="24" w:line="240" w:lineRule="auto"/>
                    <w:jc w:val="center"/>
                    <w:rPr>
                      <w:rFonts w:hint="eastAsia" w:ascii="Times New Roman"/>
                      <w:b/>
                      <w:bCs/>
                      <w:color w:val="auto"/>
                      <w:sz w:val="21"/>
                      <w:szCs w:val="21"/>
                      <w:highlight w:val="none"/>
                      <w:lang w:val="en-US" w:eastAsia="zh-CN"/>
                    </w:rPr>
                  </w:pPr>
                </w:p>
              </w:tc>
              <w:tc>
                <w:tcPr>
                  <w:tcW w:w="330" w:type="pct"/>
                  <w:vMerge w:val="continue"/>
                  <w:tcBorders>
                    <w:bottom w:val="single" w:color="auto" w:sz="12" w:space="0"/>
                  </w:tcBorders>
                  <w:vAlign w:val="center"/>
                </w:tcPr>
                <w:p w14:paraId="3E3FE71B">
                  <w:pPr>
                    <w:pStyle w:val="49"/>
                    <w:spacing w:before="24" w:after="24" w:line="240" w:lineRule="auto"/>
                    <w:jc w:val="center"/>
                    <w:rPr>
                      <w:rFonts w:hint="eastAsia" w:ascii="Times New Roman"/>
                      <w:b/>
                      <w:bCs/>
                      <w:color w:val="auto"/>
                      <w:sz w:val="21"/>
                      <w:szCs w:val="21"/>
                      <w:highlight w:val="none"/>
                      <w:lang w:val="en-US" w:eastAsia="zh-CN"/>
                    </w:rPr>
                  </w:pPr>
                </w:p>
              </w:tc>
              <w:tc>
                <w:tcPr>
                  <w:tcW w:w="343" w:type="pct"/>
                  <w:vMerge w:val="continue"/>
                  <w:tcBorders>
                    <w:bottom w:val="single" w:color="auto" w:sz="12" w:space="0"/>
                  </w:tcBorders>
                  <w:vAlign w:val="center"/>
                </w:tcPr>
                <w:p w14:paraId="7AFD2738">
                  <w:pPr>
                    <w:pStyle w:val="49"/>
                    <w:spacing w:before="24" w:after="24" w:line="240" w:lineRule="auto"/>
                    <w:jc w:val="center"/>
                    <w:rPr>
                      <w:rFonts w:hint="eastAsia" w:ascii="Times New Roman"/>
                      <w:b/>
                      <w:bCs/>
                      <w:color w:val="auto"/>
                      <w:sz w:val="21"/>
                      <w:szCs w:val="21"/>
                      <w:highlight w:val="none"/>
                      <w:lang w:val="en-US" w:eastAsia="zh-CN"/>
                    </w:rPr>
                  </w:pPr>
                </w:p>
              </w:tc>
              <w:tc>
                <w:tcPr>
                  <w:tcW w:w="411" w:type="pct"/>
                  <w:vMerge w:val="continue"/>
                  <w:tcBorders>
                    <w:bottom w:val="single" w:color="auto" w:sz="12" w:space="0"/>
                  </w:tcBorders>
                  <w:vAlign w:val="center"/>
                </w:tcPr>
                <w:p w14:paraId="60178A04">
                  <w:pPr>
                    <w:pStyle w:val="49"/>
                    <w:spacing w:before="24" w:after="24" w:line="240" w:lineRule="auto"/>
                    <w:jc w:val="center"/>
                    <w:rPr>
                      <w:rFonts w:hint="eastAsia" w:ascii="Times New Roman"/>
                      <w:b/>
                      <w:bCs/>
                      <w:color w:val="auto"/>
                      <w:sz w:val="21"/>
                      <w:szCs w:val="21"/>
                      <w:highlight w:val="none"/>
                      <w:lang w:val="en-US" w:eastAsia="zh-CN"/>
                    </w:rPr>
                  </w:pPr>
                </w:p>
              </w:tc>
              <w:tc>
                <w:tcPr>
                  <w:tcW w:w="222" w:type="pct"/>
                  <w:vMerge w:val="continue"/>
                  <w:tcBorders>
                    <w:bottom w:val="single" w:color="auto" w:sz="12" w:space="0"/>
                  </w:tcBorders>
                  <w:vAlign w:val="center"/>
                </w:tcPr>
                <w:p w14:paraId="7BFDA6C8">
                  <w:pPr>
                    <w:pStyle w:val="49"/>
                    <w:spacing w:before="24" w:after="24" w:line="240" w:lineRule="auto"/>
                    <w:jc w:val="center"/>
                    <w:rPr>
                      <w:rFonts w:hint="eastAsia" w:ascii="Times New Roman"/>
                      <w:b/>
                      <w:bCs/>
                      <w:color w:val="auto"/>
                      <w:sz w:val="21"/>
                      <w:szCs w:val="21"/>
                      <w:highlight w:val="none"/>
                      <w:lang w:val="en-US" w:eastAsia="zh-CN"/>
                    </w:rPr>
                  </w:pPr>
                </w:p>
              </w:tc>
            </w:tr>
            <w:tr w14:paraId="7343E13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289" w:type="pct"/>
                  <w:tcBorders>
                    <w:top w:val="single" w:color="auto" w:sz="12" w:space="0"/>
                    <w:tl2br w:val="nil"/>
                    <w:tr2bl w:val="nil"/>
                  </w:tcBorders>
                  <w:vAlign w:val="center"/>
                </w:tcPr>
                <w:p w14:paraId="3A5BBE41">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lang w:val="en-US" w:eastAsia="zh-CN"/>
                    </w:rPr>
                    <w:t>筒仓</w:t>
                  </w:r>
                  <w:r>
                    <w:rPr>
                      <w:rFonts w:hint="eastAsia" w:ascii="Times New Roman"/>
                      <w:color w:val="auto"/>
                      <w:sz w:val="21"/>
                      <w:szCs w:val="21"/>
                      <w:highlight w:val="none"/>
                    </w:rPr>
                    <w:t>粉尘</w:t>
                  </w:r>
                </w:p>
              </w:tc>
              <w:tc>
                <w:tcPr>
                  <w:tcW w:w="242" w:type="pct"/>
                  <w:vMerge w:val="restart"/>
                  <w:tcBorders>
                    <w:top w:val="single" w:color="auto" w:sz="12" w:space="0"/>
                    <w:tl2br w:val="nil"/>
                    <w:tr2bl w:val="nil"/>
                  </w:tcBorders>
                  <w:vAlign w:val="center"/>
                </w:tcPr>
                <w:p w14:paraId="25BA07D8">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无组织</w:t>
                  </w:r>
                </w:p>
              </w:tc>
              <w:tc>
                <w:tcPr>
                  <w:tcW w:w="247" w:type="pct"/>
                  <w:tcBorders>
                    <w:top w:val="single" w:color="auto" w:sz="12" w:space="0"/>
                    <w:tl2br w:val="nil"/>
                    <w:tr2bl w:val="nil"/>
                  </w:tcBorders>
                  <w:vAlign w:val="center"/>
                </w:tcPr>
                <w:p w14:paraId="2C772E14">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颗粒物</w:t>
                  </w:r>
                </w:p>
              </w:tc>
              <w:tc>
                <w:tcPr>
                  <w:tcW w:w="315" w:type="pct"/>
                  <w:tcBorders>
                    <w:top w:val="single" w:color="auto" w:sz="12" w:space="0"/>
                    <w:tl2br w:val="nil"/>
                    <w:tr2bl w:val="nil"/>
                  </w:tcBorders>
                  <w:vAlign w:val="center"/>
                </w:tcPr>
                <w:p w14:paraId="70737203">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91.2</w:t>
                  </w:r>
                </w:p>
              </w:tc>
              <w:tc>
                <w:tcPr>
                  <w:tcW w:w="354" w:type="pct"/>
                  <w:tcBorders>
                    <w:top w:val="single" w:color="auto" w:sz="12" w:space="0"/>
                    <w:tl2br w:val="nil"/>
                    <w:tr2bl w:val="nil"/>
                  </w:tcBorders>
                  <w:vAlign w:val="center"/>
                </w:tcPr>
                <w:p w14:paraId="0624001B">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63.3</w:t>
                  </w:r>
                </w:p>
              </w:tc>
              <w:tc>
                <w:tcPr>
                  <w:tcW w:w="578" w:type="pct"/>
                  <w:tcBorders>
                    <w:top w:val="single" w:color="auto" w:sz="12" w:space="0"/>
                    <w:tl2br w:val="nil"/>
                    <w:tr2bl w:val="nil"/>
                  </w:tcBorders>
                  <w:vAlign w:val="center"/>
                </w:tcPr>
                <w:p w14:paraId="22D59E2E">
                  <w:pPr>
                    <w:pStyle w:val="49"/>
                    <w:spacing w:before="24" w:after="24" w:line="240" w:lineRule="auto"/>
                    <w:jc w:val="center"/>
                    <w:rPr>
                      <w:rFonts w:hint="default" w:ascii="Times New Roman" w:eastAsia="宋体"/>
                      <w:color w:val="auto"/>
                      <w:sz w:val="21"/>
                      <w:szCs w:val="21"/>
                      <w:highlight w:val="none"/>
                      <w:lang w:val="en-US" w:eastAsia="zh-CN"/>
                    </w:rPr>
                  </w:pPr>
                  <w:r>
                    <w:rPr>
                      <w:rFonts w:ascii="Times New Roman"/>
                      <w:color w:val="auto"/>
                      <w:sz w:val="21"/>
                      <w:szCs w:val="21"/>
                      <w:highlight w:val="none"/>
                    </w:rPr>
                    <w:t>脉冲布袋除尘器</w:t>
                  </w:r>
                </w:p>
              </w:tc>
              <w:tc>
                <w:tcPr>
                  <w:tcW w:w="551" w:type="pct"/>
                  <w:tcBorders>
                    <w:top w:val="single" w:color="auto" w:sz="12" w:space="0"/>
                    <w:tl2br w:val="nil"/>
                    <w:tr2bl w:val="nil"/>
                  </w:tcBorders>
                  <w:vAlign w:val="center"/>
                </w:tcPr>
                <w:p w14:paraId="0766C371">
                  <w:pPr>
                    <w:pStyle w:val="49"/>
                    <w:spacing w:before="24" w:after="24" w:line="240" w:lineRule="auto"/>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是</w:t>
                  </w:r>
                </w:p>
              </w:tc>
              <w:tc>
                <w:tcPr>
                  <w:tcW w:w="255" w:type="pct"/>
                  <w:tcBorders>
                    <w:top w:val="single" w:color="auto" w:sz="12" w:space="0"/>
                    <w:tl2br w:val="nil"/>
                    <w:tr2bl w:val="nil"/>
                  </w:tcBorders>
                  <w:vAlign w:val="center"/>
                </w:tcPr>
                <w:p w14:paraId="59B2F853">
                  <w:pPr>
                    <w:jc w:val="center"/>
                    <w:rPr>
                      <w:color w:val="auto"/>
                      <w:sz w:val="21"/>
                      <w:szCs w:val="21"/>
                      <w:highlight w:val="none"/>
                    </w:rPr>
                  </w:pPr>
                  <w:r>
                    <w:rPr>
                      <w:rFonts w:hint="eastAsia"/>
                      <w:color w:val="auto"/>
                      <w:sz w:val="21"/>
                      <w:szCs w:val="21"/>
                      <w:highlight w:val="none"/>
                    </w:rPr>
                    <w:t>/</w:t>
                  </w:r>
                </w:p>
              </w:tc>
              <w:tc>
                <w:tcPr>
                  <w:tcW w:w="268" w:type="pct"/>
                  <w:tcBorders>
                    <w:top w:val="single" w:color="auto" w:sz="12" w:space="0"/>
                    <w:tl2br w:val="nil"/>
                    <w:tr2bl w:val="nil"/>
                  </w:tcBorders>
                  <w:vAlign w:val="center"/>
                </w:tcPr>
                <w:p w14:paraId="443C28A2">
                  <w:pPr>
                    <w:jc w:val="center"/>
                    <w:rPr>
                      <w:color w:val="auto"/>
                      <w:sz w:val="21"/>
                      <w:szCs w:val="21"/>
                      <w:highlight w:val="none"/>
                    </w:rPr>
                  </w:pPr>
                  <w:r>
                    <w:rPr>
                      <w:rFonts w:hint="eastAsia"/>
                      <w:color w:val="auto"/>
                      <w:sz w:val="21"/>
                      <w:szCs w:val="21"/>
                      <w:highlight w:val="none"/>
                    </w:rPr>
                    <w:t>99.7%</w:t>
                  </w:r>
                </w:p>
              </w:tc>
              <w:tc>
                <w:tcPr>
                  <w:tcW w:w="282" w:type="pct"/>
                  <w:tcBorders>
                    <w:top w:val="single" w:color="auto" w:sz="12" w:space="0"/>
                    <w:tl2br w:val="nil"/>
                    <w:tr2bl w:val="nil"/>
                  </w:tcBorders>
                  <w:vAlign w:val="center"/>
                </w:tcPr>
                <w:p w14:paraId="53DA4D9C">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305" w:type="pct"/>
                  <w:tcBorders>
                    <w:top w:val="single" w:color="auto" w:sz="12" w:space="0"/>
                    <w:tl2br w:val="nil"/>
                    <w:tr2bl w:val="nil"/>
                  </w:tcBorders>
                  <w:vAlign w:val="center"/>
                </w:tcPr>
                <w:p w14:paraId="16741A78">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0.274</w:t>
                  </w:r>
                </w:p>
              </w:tc>
              <w:tc>
                <w:tcPr>
                  <w:tcW w:w="330" w:type="pct"/>
                  <w:tcBorders>
                    <w:top w:val="single" w:color="auto" w:sz="12" w:space="0"/>
                    <w:tl2br w:val="nil"/>
                    <w:tr2bl w:val="nil"/>
                  </w:tcBorders>
                  <w:vAlign w:val="center"/>
                </w:tcPr>
                <w:p w14:paraId="2F4505D6">
                  <w:pPr>
                    <w:pStyle w:val="49"/>
                    <w:spacing w:before="24" w:after="24" w:line="240" w:lineRule="auto"/>
                    <w:jc w:val="center"/>
                    <w:rPr>
                      <w:rFonts w:hint="default" w:ascii="Times New Roman" w:eastAsia="宋体"/>
                      <w:color w:val="auto"/>
                      <w:sz w:val="21"/>
                      <w:szCs w:val="21"/>
                      <w:highlight w:val="yellow"/>
                      <w:lang w:val="en-US" w:eastAsia="zh-CN"/>
                    </w:rPr>
                  </w:pPr>
                  <w:r>
                    <w:rPr>
                      <w:rFonts w:hint="eastAsia" w:ascii="Times New Roman"/>
                      <w:color w:val="auto"/>
                      <w:sz w:val="21"/>
                      <w:szCs w:val="21"/>
                      <w:highlight w:val="none"/>
                      <w:lang w:val="en-US" w:eastAsia="zh-CN"/>
                    </w:rPr>
                    <w:t>/</w:t>
                  </w:r>
                </w:p>
              </w:tc>
              <w:tc>
                <w:tcPr>
                  <w:tcW w:w="343" w:type="pct"/>
                  <w:tcBorders>
                    <w:top w:val="single" w:color="auto" w:sz="12" w:space="0"/>
                    <w:tl2br w:val="nil"/>
                    <w:tr2bl w:val="nil"/>
                  </w:tcBorders>
                  <w:vAlign w:val="center"/>
                </w:tcPr>
                <w:p w14:paraId="59EB168C">
                  <w:pPr>
                    <w:pStyle w:val="49"/>
                    <w:spacing w:before="24" w:after="24" w:line="240" w:lineRule="auto"/>
                    <w:jc w:val="center"/>
                    <w:rPr>
                      <w:rFonts w:hint="default" w:ascii="Times New Roman" w:eastAsia="宋体"/>
                      <w:color w:val="auto"/>
                      <w:sz w:val="21"/>
                      <w:szCs w:val="21"/>
                      <w:highlight w:val="yellow"/>
                      <w:lang w:val="en-US" w:eastAsia="zh-CN"/>
                    </w:rPr>
                  </w:pPr>
                  <w:r>
                    <w:rPr>
                      <w:rFonts w:hint="eastAsia" w:ascii="Times New Roman"/>
                      <w:color w:val="auto"/>
                      <w:sz w:val="21"/>
                      <w:szCs w:val="21"/>
                      <w:highlight w:val="none"/>
                      <w:lang w:val="en-US" w:eastAsia="zh-CN"/>
                    </w:rPr>
                    <w:t>0.19</w:t>
                  </w:r>
                </w:p>
              </w:tc>
              <w:tc>
                <w:tcPr>
                  <w:tcW w:w="411" w:type="pct"/>
                  <w:tcBorders>
                    <w:top w:val="single" w:color="auto" w:sz="12" w:space="0"/>
                    <w:tl2br w:val="nil"/>
                    <w:tr2bl w:val="nil"/>
                  </w:tcBorders>
                  <w:vAlign w:val="center"/>
                </w:tcPr>
                <w:p w14:paraId="149A7BBE">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0.5</w:t>
                  </w:r>
                </w:p>
              </w:tc>
              <w:tc>
                <w:tcPr>
                  <w:tcW w:w="222" w:type="pct"/>
                  <w:tcBorders>
                    <w:top w:val="single" w:color="auto" w:sz="12" w:space="0"/>
                    <w:tl2br w:val="nil"/>
                    <w:tr2bl w:val="nil"/>
                  </w:tcBorders>
                  <w:vAlign w:val="center"/>
                </w:tcPr>
                <w:p w14:paraId="0CEA469D">
                  <w:pPr>
                    <w:pStyle w:val="49"/>
                    <w:spacing w:before="24" w:after="24" w:line="240" w:lineRule="auto"/>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是</w:t>
                  </w:r>
                </w:p>
              </w:tc>
            </w:tr>
            <w:tr w14:paraId="1D6F501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89" w:type="pct"/>
                  <w:tcBorders>
                    <w:tl2br w:val="nil"/>
                    <w:tr2bl w:val="nil"/>
                  </w:tcBorders>
                  <w:vAlign w:val="center"/>
                </w:tcPr>
                <w:p w14:paraId="2A831B8E">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料</w:t>
                  </w:r>
                  <w:r>
                    <w:rPr>
                      <w:rFonts w:hint="eastAsia" w:ascii="Times New Roman"/>
                      <w:color w:val="auto"/>
                      <w:sz w:val="21"/>
                      <w:szCs w:val="21"/>
                      <w:highlight w:val="none"/>
                      <w:lang w:val="en-US" w:eastAsia="zh-CN"/>
                    </w:rPr>
                    <w:t>场</w:t>
                  </w:r>
                  <w:r>
                    <w:rPr>
                      <w:rFonts w:hint="eastAsia" w:ascii="Times New Roman"/>
                      <w:color w:val="auto"/>
                      <w:sz w:val="21"/>
                      <w:szCs w:val="21"/>
                      <w:highlight w:val="none"/>
                    </w:rPr>
                    <w:t>扬尘及装卸扬尘</w:t>
                  </w:r>
                </w:p>
              </w:tc>
              <w:tc>
                <w:tcPr>
                  <w:tcW w:w="242" w:type="pct"/>
                  <w:vMerge w:val="continue"/>
                  <w:tcBorders>
                    <w:tl2br w:val="nil"/>
                    <w:tr2bl w:val="nil"/>
                  </w:tcBorders>
                  <w:vAlign w:val="center"/>
                </w:tcPr>
                <w:p w14:paraId="4BDD7B51">
                  <w:pPr>
                    <w:pStyle w:val="49"/>
                    <w:spacing w:before="24" w:after="24" w:line="240" w:lineRule="auto"/>
                    <w:jc w:val="center"/>
                    <w:rPr>
                      <w:rFonts w:ascii="Times New Roman"/>
                      <w:color w:val="auto"/>
                      <w:sz w:val="21"/>
                      <w:szCs w:val="21"/>
                      <w:highlight w:val="none"/>
                    </w:rPr>
                  </w:pPr>
                </w:p>
              </w:tc>
              <w:tc>
                <w:tcPr>
                  <w:tcW w:w="247" w:type="pct"/>
                  <w:tcBorders>
                    <w:tl2br w:val="nil"/>
                    <w:tr2bl w:val="nil"/>
                  </w:tcBorders>
                  <w:vAlign w:val="center"/>
                </w:tcPr>
                <w:p w14:paraId="0A74008A">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颗粒物</w:t>
                  </w:r>
                </w:p>
              </w:tc>
              <w:tc>
                <w:tcPr>
                  <w:tcW w:w="315" w:type="pct"/>
                  <w:tcBorders>
                    <w:tl2br w:val="nil"/>
                    <w:tr2bl w:val="nil"/>
                  </w:tcBorders>
                  <w:vAlign w:val="center"/>
                </w:tcPr>
                <w:p w14:paraId="649E8339">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0.037</w:t>
                  </w:r>
                </w:p>
              </w:tc>
              <w:tc>
                <w:tcPr>
                  <w:tcW w:w="354" w:type="pct"/>
                  <w:tcBorders>
                    <w:tl2br w:val="nil"/>
                    <w:tr2bl w:val="nil"/>
                  </w:tcBorders>
                  <w:vAlign w:val="center"/>
                </w:tcPr>
                <w:p w14:paraId="2E136871">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26.2</w:t>
                  </w:r>
                </w:p>
              </w:tc>
              <w:tc>
                <w:tcPr>
                  <w:tcW w:w="578" w:type="pct"/>
                  <w:tcBorders>
                    <w:tl2br w:val="nil"/>
                    <w:tr2bl w:val="nil"/>
                  </w:tcBorders>
                  <w:vAlign w:val="center"/>
                </w:tcPr>
                <w:p w14:paraId="21F137EE">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lang w:val="en-US" w:eastAsia="zh-CN"/>
                    </w:rPr>
                    <w:t>料场半封闭+篷布</w:t>
                  </w:r>
                  <w:r>
                    <w:rPr>
                      <w:rFonts w:hint="eastAsia" w:ascii="Times New Roman"/>
                      <w:color w:val="auto"/>
                      <w:sz w:val="21"/>
                      <w:szCs w:val="21"/>
                      <w:highlight w:val="none"/>
                    </w:rPr>
                    <w:t>覆盖洒水降尘</w:t>
                  </w:r>
                </w:p>
              </w:tc>
              <w:tc>
                <w:tcPr>
                  <w:tcW w:w="551" w:type="pct"/>
                  <w:tcBorders>
                    <w:tl2br w:val="nil"/>
                    <w:tr2bl w:val="nil"/>
                  </w:tcBorders>
                  <w:vAlign w:val="center"/>
                </w:tcPr>
                <w:p w14:paraId="2504FE5F">
                  <w:pPr>
                    <w:pStyle w:val="49"/>
                    <w:spacing w:before="24" w:after="24" w:line="240" w:lineRule="auto"/>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是</w:t>
                  </w:r>
                </w:p>
              </w:tc>
              <w:tc>
                <w:tcPr>
                  <w:tcW w:w="255" w:type="pct"/>
                  <w:tcBorders>
                    <w:tl2br w:val="nil"/>
                    <w:tr2bl w:val="nil"/>
                  </w:tcBorders>
                  <w:vAlign w:val="center"/>
                </w:tcPr>
                <w:p w14:paraId="368B552D">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w:t>
                  </w:r>
                </w:p>
              </w:tc>
              <w:tc>
                <w:tcPr>
                  <w:tcW w:w="268" w:type="pct"/>
                  <w:tcBorders>
                    <w:tl2br w:val="nil"/>
                    <w:tr2bl w:val="nil"/>
                  </w:tcBorders>
                  <w:vAlign w:val="center"/>
                </w:tcPr>
                <w:p w14:paraId="08D543A8">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90</w:t>
                  </w:r>
                </w:p>
              </w:tc>
              <w:tc>
                <w:tcPr>
                  <w:tcW w:w="282" w:type="pct"/>
                  <w:tcBorders>
                    <w:tl2br w:val="nil"/>
                    <w:tr2bl w:val="nil"/>
                  </w:tcBorders>
                  <w:vAlign w:val="center"/>
                </w:tcPr>
                <w:p w14:paraId="254A0ABD">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w:t>
                  </w:r>
                </w:p>
              </w:tc>
              <w:tc>
                <w:tcPr>
                  <w:tcW w:w="305" w:type="pct"/>
                  <w:tcBorders>
                    <w:tl2br w:val="nil"/>
                    <w:tr2bl w:val="nil"/>
                  </w:tcBorders>
                  <w:vAlign w:val="center"/>
                </w:tcPr>
                <w:p w14:paraId="3745F892">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0.037</w:t>
                  </w:r>
                </w:p>
              </w:tc>
              <w:tc>
                <w:tcPr>
                  <w:tcW w:w="330" w:type="pct"/>
                  <w:tcBorders>
                    <w:tl2br w:val="nil"/>
                    <w:tr2bl w:val="nil"/>
                  </w:tcBorders>
                  <w:vAlign w:val="center"/>
                </w:tcPr>
                <w:p w14:paraId="12C4C48E">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w:t>
                  </w:r>
                </w:p>
              </w:tc>
              <w:tc>
                <w:tcPr>
                  <w:tcW w:w="343" w:type="pct"/>
                  <w:tcBorders>
                    <w:tl2br w:val="nil"/>
                    <w:tr2bl w:val="nil"/>
                  </w:tcBorders>
                  <w:vAlign w:val="center"/>
                </w:tcPr>
                <w:p w14:paraId="6DA34B8C">
                  <w:pPr>
                    <w:pStyle w:val="49"/>
                    <w:spacing w:before="24" w:after="24" w:line="240" w:lineRule="auto"/>
                    <w:jc w:val="center"/>
                    <w:rPr>
                      <w:rFonts w:hint="default" w:ascii="Times New Roman" w:eastAsia="宋体"/>
                      <w:color w:val="FF0000"/>
                      <w:sz w:val="21"/>
                      <w:szCs w:val="21"/>
                      <w:highlight w:val="none"/>
                      <w:lang w:val="en-US" w:eastAsia="zh-CN"/>
                    </w:rPr>
                  </w:pPr>
                  <w:r>
                    <w:rPr>
                      <w:rFonts w:hint="eastAsia" w:ascii="Times New Roman"/>
                      <w:color w:val="auto"/>
                      <w:sz w:val="21"/>
                      <w:szCs w:val="21"/>
                      <w:highlight w:val="none"/>
                      <w:lang w:val="en-US" w:eastAsia="zh-CN"/>
                    </w:rPr>
                    <w:t>/</w:t>
                  </w:r>
                </w:p>
              </w:tc>
              <w:tc>
                <w:tcPr>
                  <w:tcW w:w="411" w:type="pct"/>
                  <w:tcBorders>
                    <w:tl2br w:val="nil"/>
                    <w:tr2bl w:val="nil"/>
                  </w:tcBorders>
                  <w:vAlign w:val="center"/>
                </w:tcPr>
                <w:p w14:paraId="72FA1F1F">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0.5</w:t>
                  </w:r>
                </w:p>
              </w:tc>
              <w:tc>
                <w:tcPr>
                  <w:tcW w:w="222" w:type="pct"/>
                  <w:tcBorders>
                    <w:tl2br w:val="nil"/>
                    <w:tr2bl w:val="nil"/>
                  </w:tcBorders>
                  <w:vAlign w:val="center"/>
                </w:tcPr>
                <w:p w14:paraId="3CCA4BC6">
                  <w:pPr>
                    <w:pStyle w:val="49"/>
                    <w:spacing w:before="24" w:after="24" w:line="240" w:lineRule="auto"/>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是</w:t>
                  </w:r>
                </w:p>
              </w:tc>
            </w:tr>
            <w:tr w14:paraId="799DBF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89" w:type="pct"/>
                  <w:tcBorders>
                    <w:tl2br w:val="nil"/>
                    <w:tr2bl w:val="nil"/>
                  </w:tcBorders>
                  <w:vAlign w:val="center"/>
                </w:tcPr>
                <w:p w14:paraId="7CBB559F">
                  <w:pPr>
                    <w:pStyle w:val="49"/>
                    <w:spacing w:before="24" w:after="24" w:line="240" w:lineRule="auto"/>
                    <w:jc w:val="center"/>
                    <w:rPr>
                      <w:rFonts w:ascii="Times New Roman"/>
                      <w:color w:val="auto"/>
                      <w:sz w:val="21"/>
                      <w:szCs w:val="21"/>
                      <w:highlight w:val="none"/>
                    </w:rPr>
                  </w:pPr>
                  <w:r>
                    <w:rPr>
                      <w:rFonts w:ascii="Times New Roman"/>
                      <w:color w:val="auto"/>
                      <w:sz w:val="21"/>
                      <w:szCs w:val="21"/>
                      <w:highlight w:val="none"/>
                    </w:rPr>
                    <w:t>运输车辆道路扬尘</w:t>
                  </w:r>
                </w:p>
              </w:tc>
              <w:tc>
                <w:tcPr>
                  <w:tcW w:w="242" w:type="pct"/>
                  <w:vMerge w:val="continue"/>
                  <w:tcBorders>
                    <w:tl2br w:val="nil"/>
                    <w:tr2bl w:val="nil"/>
                  </w:tcBorders>
                  <w:vAlign w:val="center"/>
                </w:tcPr>
                <w:p w14:paraId="15181DAA">
                  <w:pPr>
                    <w:pStyle w:val="49"/>
                    <w:spacing w:before="24" w:after="24" w:line="240" w:lineRule="auto"/>
                    <w:jc w:val="center"/>
                    <w:rPr>
                      <w:rFonts w:ascii="Times New Roman"/>
                      <w:color w:val="auto"/>
                      <w:sz w:val="21"/>
                      <w:szCs w:val="21"/>
                      <w:highlight w:val="none"/>
                    </w:rPr>
                  </w:pPr>
                </w:p>
              </w:tc>
              <w:tc>
                <w:tcPr>
                  <w:tcW w:w="247" w:type="pct"/>
                  <w:tcBorders>
                    <w:tl2br w:val="nil"/>
                    <w:tr2bl w:val="nil"/>
                  </w:tcBorders>
                  <w:vAlign w:val="center"/>
                </w:tcPr>
                <w:p w14:paraId="3550BE82">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颗粒物</w:t>
                  </w:r>
                </w:p>
              </w:tc>
              <w:tc>
                <w:tcPr>
                  <w:tcW w:w="315" w:type="pct"/>
                  <w:tcBorders>
                    <w:tl2br w:val="nil"/>
                    <w:tr2bl w:val="nil"/>
                  </w:tcBorders>
                  <w:vAlign w:val="center"/>
                </w:tcPr>
                <w:p w14:paraId="465D35CA">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1.283</w:t>
                  </w:r>
                </w:p>
              </w:tc>
              <w:tc>
                <w:tcPr>
                  <w:tcW w:w="354" w:type="pct"/>
                  <w:tcBorders>
                    <w:tl2br w:val="nil"/>
                    <w:tr2bl w:val="nil"/>
                  </w:tcBorders>
                  <w:vAlign w:val="center"/>
                </w:tcPr>
                <w:p w14:paraId="5CC0746D">
                  <w:pPr>
                    <w:jc w:val="center"/>
                    <w:rPr>
                      <w:rFonts w:hint="default" w:eastAsia="宋体"/>
                      <w:color w:val="auto"/>
                      <w:sz w:val="21"/>
                      <w:szCs w:val="21"/>
                      <w:highlight w:val="none"/>
                      <w:lang w:val="en-US" w:eastAsia="zh-CN"/>
                    </w:rPr>
                  </w:pPr>
                  <w:r>
                    <w:rPr>
                      <w:rFonts w:hint="eastAsia"/>
                      <w:color w:val="auto"/>
                      <w:sz w:val="21"/>
                      <w:szCs w:val="21"/>
                      <w:highlight w:val="none"/>
                    </w:rPr>
                    <w:t>0.</w:t>
                  </w:r>
                  <w:r>
                    <w:rPr>
                      <w:rFonts w:hint="eastAsia"/>
                      <w:color w:val="auto"/>
                      <w:sz w:val="21"/>
                      <w:szCs w:val="21"/>
                      <w:highlight w:val="none"/>
                      <w:lang w:val="en-US" w:eastAsia="zh-CN"/>
                    </w:rPr>
                    <w:t>891</w:t>
                  </w:r>
                </w:p>
              </w:tc>
              <w:tc>
                <w:tcPr>
                  <w:tcW w:w="578" w:type="pct"/>
                  <w:tcBorders>
                    <w:tl2br w:val="nil"/>
                    <w:tr2bl w:val="nil"/>
                  </w:tcBorders>
                  <w:vAlign w:val="center"/>
                </w:tcPr>
                <w:p w14:paraId="54EC7D4B">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封闭运输+车辆、道路清洗+洒水降尘</w:t>
                  </w:r>
                </w:p>
              </w:tc>
              <w:tc>
                <w:tcPr>
                  <w:tcW w:w="551" w:type="pct"/>
                  <w:tcBorders>
                    <w:tl2br w:val="nil"/>
                    <w:tr2bl w:val="nil"/>
                  </w:tcBorders>
                  <w:vAlign w:val="center"/>
                </w:tcPr>
                <w:p w14:paraId="1D9CCC92">
                  <w:pPr>
                    <w:pStyle w:val="49"/>
                    <w:spacing w:before="24" w:after="24" w:line="240" w:lineRule="auto"/>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是</w:t>
                  </w:r>
                </w:p>
              </w:tc>
              <w:tc>
                <w:tcPr>
                  <w:tcW w:w="255" w:type="pct"/>
                  <w:tcBorders>
                    <w:tl2br w:val="nil"/>
                    <w:tr2bl w:val="nil"/>
                  </w:tcBorders>
                  <w:vAlign w:val="center"/>
                </w:tcPr>
                <w:p w14:paraId="74C609FA">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w:t>
                  </w:r>
                </w:p>
              </w:tc>
              <w:tc>
                <w:tcPr>
                  <w:tcW w:w="268" w:type="pct"/>
                  <w:tcBorders>
                    <w:tl2br w:val="nil"/>
                    <w:tr2bl w:val="nil"/>
                  </w:tcBorders>
                  <w:vAlign w:val="center"/>
                </w:tcPr>
                <w:p w14:paraId="47AF69B6">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74</w:t>
                  </w:r>
                </w:p>
              </w:tc>
              <w:tc>
                <w:tcPr>
                  <w:tcW w:w="282" w:type="pct"/>
                  <w:tcBorders>
                    <w:tl2br w:val="nil"/>
                    <w:tr2bl w:val="nil"/>
                  </w:tcBorders>
                  <w:vAlign w:val="center"/>
                </w:tcPr>
                <w:p w14:paraId="56551B76">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w:t>
                  </w:r>
                </w:p>
              </w:tc>
              <w:tc>
                <w:tcPr>
                  <w:tcW w:w="305" w:type="pct"/>
                  <w:tcBorders>
                    <w:tl2br w:val="nil"/>
                    <w:tr2bl w:val="nil"/>
                  </w:tcBorders>
                  <w:vAlign w:val="center"/>
                </w:tcPr>
                <w:p w14:paraId="77A4A95A">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0.334</w:t>
                  </w:r>
                </w:p>
              </w:tc>
              <w:tc>
                <w:tcPr>
                  <w:tcW w:w="330" w:type="pct"/>
                  <w:tcBorders>
                    <w:tl2br w:val="nil"/>
                    <w:tr2bl w:val="nil"/>
                  </w:tcBorders>
                  <w:vAlign w:val="center"/>
                </w:tcPr>
                <w:p w14:paraId="35D8DE5E">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w:t>
                  </w:r>
                </w:p>
              </w:tc>
              <w:tc>
                <w:tcPr>
                  <w:tcW w:w="343" w:type="pct"/>
                  <w:tcBorders>
                    <w:tl2br w:val="nil"/>
                    <w:tr2bl w:val="nil"/>
                  </w:tcBorders>
                  <w:vAlign w:val="center"/>
                </w:tcPr>
                <w:p w14:paraId="54EACD30">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rPr>
                    <w:t>0.</w:t>
                  </w:r>
                  <w:r>
                    <w:rPr>
                      <w:rFonts w:hint="eastAsia" w:ascii="Times New Roman"/>
                      <w:color w:val="auto"/>
                      <w:sz w:val="21"/>
                      <w:szCs w:val="21"/>
                      <w:highlight w:val="none"/>
                      <w:lang w:val="en-US" w:eastAsia="zh-CN"/>
                    </w:rPr>
                    <w:t>232</w:t>
                  </w:r>
                </w:p>
              </w:tc>
              <w:tc>
                <w:tcPr>
                  <w:tcW w:w="411" w:type="pct"/>
                  <w:tcBorders>
                    <w:tl2br w:val="nil"/>
                    <w:tr2bl w:val="nil"/>
                  </w:tcBorders>
                  <w:vAlign w:val="center"/>
                </w:tcPr>
                <w:p w14:paraId="00056415">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0.5</w:t>
                  </w:r>
                </w:p>
              </w:tc>
              <w:tc>
                <w:tcPr>
                  <w:tcW w:w="222" w:type="pct"/>
                  <w:tcBorders>
                    <w:tl2br w:val="nil"/>
                    <w:tr2bl w:val="nil"/>
                  </w:tcBorders>
                  <w:vAlign w:val="center"/>
                </w:tcPr>
                <w:p w14:paraId="5D0F2E52">
                  <w:pPr>
                    <w:pStyle w:val="49"/>
                    <w:spacing w:before="24" w:after="24" w:line="240" w:lineRule="auto"/>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是</w:t>
                  </w:r>
                </w:p>
              </w:tc>
            </w:tr>
            <w:tr w14:paraId="07C2315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89" w:type="pct"/>
                  <w:tcBorders>
                    <w:tl2br w:val="nil"/>
                    <w:tr2bl w:val="nil"/>
                  </w:tcBorders>
                  <w:vAlign w:val="center"/>
                </w:tcPr>
                <w:p w14:paraId="78201BE4">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食堂油烟</w:t>
                  </w:r>
                </w:p>
              </w:tc>
              <w:tc>
                <w:tcPr>
                  <w:tcW w:w="242" w:type="pct"/>
                  <w:vMerge w:val="restart"/>
                  <w:tcBorders>
                    <w:tl2br w:val="nil"/>
                    <w:tr2bl w:val="nil"/>
                  </w:tcBorders>
                  <w:vAlign w:val="center"/>
                </w:tcPr>
                <w:p w14:paraId="135F67A2">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有组织</w:t>
                  </w:r>
                </w:p>
              </w:tc>
              <w:tc>
                <w:tcPr>
                  <w:tcW w:w="247" w:type="pct"/>
                  <w:tcBorders>
                    <w:tl2br w:val="nil"/>
                    <w:tr2bl w:val="nil"/>
                  </w:tcBorders>
                  <w:vAlign w:val="center"/>
                </w:tcPr>
                <w:p w14:paraId="4B125328">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油烟</w:t>
                  </w:r>
                </w:p>
              </w:tc>
              <w:tc>
                <w:tcPr>
                  <w:tcW w:w="315" w:type="pct"/>
                  <w:tcBorders>
                    <w:tl2br w:val="nil"/>
                    <w:tr2bl w:val="nil"/>
                  </w:tcBorders>
                  <w:vAlign w:val="center"/>
                </w:tcPr>
                <w:p w14:paraId="417AFB80">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0.016</w:t>
                  </w:r>
                </w:p>
              </w:tc>
              <w:tc>
                <w:tcPr>
                  <w:tcW w:w="354" w:type="pct"/>
                  <w:tcBorders>
                    <w:tl2br w:val="nil"/>
                    <w:tr2bl w:val="nil"/>
                  </w:tcBorders>
                  <w:vAlign w:val="center"/>
                </w:tcPr>
                <w:p w14:paraId="43599A14">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0.0115</w:t>
                  </w:r>
                </w:p>
              </w:tc>
              <w:tc>
                <w:tcPr>
                  <w:tcW w:w="578" w:type="pct"/>
                  <w:tcBorders>
                    <w:tl2br w:val="nil"/>
                    <w:tr2bl w:val="nil"/>
                  </w:tcBorders>
                  <w:vAlign w:val="center"/>
                </w:tcPr>
                <w:p w14:paraId="29FD3587">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集气罩+油烟净化器+专用烟道</w:t>
                  </w:r>
                </w:p>
              </w:tc>
              <w:tc>
                <w:tcPr>
                  <w:tcW w:w="551" w:type="pct"/>
                  <w:tcBorders>
                    <w:tl2br w:val="nil"/>
                    <w:tr2bl w:val="nil"/>
                  </w:tcBorders>
                  <w:vAlign w:val="center"/>
                </w:tcPr>
                <w:p w14:paraId="7EBBF540">
                  <w:pPr>
                    <w:pStyle w:val="49"/>
                    <w:spacing w:before="24" w:after="24" w:line="240" w:lineRule="auto"/>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是</w:t>
                  </w:r>
                </w:p>
              </w:tc>
              <w:tc>
                <w:tcPr>
                  <w:tcW w:w="255" w:type="pct"/>
                  <w:tcBorders>
                    <w:tl2br w:val="nil"/>
                    <w:tr2bl w:val="nil"/>
                  </w:tcBorders>
                  <w:vAlign w:val="center"/>
                </w:tcPr>
                <w:p w14:paraId="132FF21D">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90%</w:t>
                  </w:r>
                </w:p>
              </w:tc>
              <w:tc>
                <w:tcPr>
                  <w:tcW w:w="268" w:type="pct"/>
                  <w:tcBorders>
                    <w:tl2br w:val="nil"/>
                    <w:tr2bl w:val="nil"/>
                  </w:tcBorders>
                  <w:vAlign w:val="center"/>
                </w:tcPr>
                <w:p w14:paraId="0AA46A9C">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60%</w:t>
                  </w:r>
                </w:p>
              </w:tc>
              <w:tc>
                <w:tcPr>
                  <w:tcW w:w="282" w:type="pct"/>
                  <w:tcBorders>
                    <w:tl2br w:val="nil"/>
                    <w:tr2bl w:val="nil"/>
                  </w:tcBorders>
                  <w:vAlign w:val="center"/>
                </w:tcPr>
                <w:p w14:paraId="1C22FA94">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5000</w:t>
                  </w:r>
                </w:p>
              </w:tc>
              <w:tc>
                <w:tcPr>
                  <w:tcW w:w="305" w:type="pct"/>
                  <w:tcBorders>
                    <w:tl2br w:val="nil"/>
                    <w:tr2bl w:val="nil"/>
                  </w:tcBorders>
                  <w:vAlign w:val="center"/>
                </w:tcPr>
                <w:p w14:paraId="7CFB72A9">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lang w:val="en-US" w:eastAsia="zh-CN"/>
                    </w:rPr>
                    <w:t>8.659</w:t>
                  </w:r>
                  <w:r>
                    <w:rPr>
                      <w:rFonts w:hint="eastAsia" w:ascii="Times New Roman"/>
                      <w:color w:val="auto"/>
                      <w:sz w:val="21"/>
                      <w:szCs w:val="21"/>
                      <w:highlight w:val="none"/>
                    </w:rPr>
                    <w:t>kg/a</w:t>
                  </w:r>
                </w:p>
              </w:tc>
              <w:tc>
                <w:tcPr>
                  <w:tcW w:w="330" w:type="pct"/>
                  <w:tcBorders>
                    <w:tl2br w:val="nil"/>
                    <w:tr2bl w:val="nil"/>
                  </w:tcBorders>
                  <w:vAlign w:val="center"/>
                </w:tcPr>
                <w:p w14:paraId="316D7BD6">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rPr>
                    <w:t>1.</w:t>
                  </w:r>
                  <w:r>
                    <w:rPr>
                      <w:rFonts w:hint="eastAsia" w:ascii="Times New Roman"/>
                      <w:color w:val="auto"/>
                      <w:sz w:val="21"/>
                      <w:szCs w:val="21"/>
                      <w:highlight w:val="none"/>
                      <w:lang w:val="en-US" w:eastAsia="zh-CN"/>
                    </w:rPr>
                    <w:t>325</w:t>
                  </w:r>
                </w:p>
              </w:tc>
              <w:tc>
                <w:tcPr>
                  <w:tcW w:w="343" w:type="pct"/>
                  <w:tcBorders>
                    <w:tl2br w:val="nil"/>
                    <w:tr2bl w:val="nil"/>
                  </w:tcBorders>
                  <w:vAlign w:val="center"/>
                </w:tcPr>
                <w:p w14:paraId="4EC32D60">
                  <w:pPr>
                    <w:pStyle w:val="49"/>
                    <w:spacing w:before="24" w:after="24" w:line="240" w:lineRule="auto"/>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rPr>
                    <w:t>0.00</w:t>
                  </w:r>
                  <w:r>
                    <w:rPr>
                      <w:rFonts w:hint="eastAsia" w:ascii="Times New Roman"/>
                      <w:color w:val="auto"/>
                      <w:sz w:val="21"/>
                      <w:szCs w:val="21"/>
                      <w:highlight w:val="none"/>
                      <w:lang w:val="en-US" w:eastAsia="zh-CN"/>
                    </w:rPr>
                    <w:t>6</w:t>
                  </w:r>
                </w:p>
              </w:tc>
              <w:tc>
                <w:tcPr>
                  <w:tcW w:w="411" w:type="pct"/>
                  <w:tcBorders>
                    <w:tl2br w:val="nil"/>
                    <w:tr2bl w:val="nil"/>
                  </w:tcBorders>
                  <w:vAlign w:val="center"/>
                </w:tcPr>
                <w:p w14:paraId="19A4EB4E">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w:t>
                  </w:r>
                </w:p>
              </w:tc>
              <w:tc>
                <w:tcPr>
                  <w:tcW w:w="222" w:type="pct"/>
                  <w:tcBorders>
                    <w:tl2br w:val="nil"/>
                    <w:tr2bl w:val="nil"/>
                  </w:tcBorders>
                  <w:vAlign w:val="center"/>
                </w:tcPr>
                <w:p w14:paraId="6E3EB694">
                  <w:pPr>
                    <w:pStyle w:val="49"/>
                    <w:spacing w:before="24" w:after="24" w:line="240" w:lineRule="auto"/>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w:t>
                  </w:r>
                </w:p>
              </w:tc>
            </w:tr>
            <w:tr w14:paraId="0087D21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89" w:type="pct"/>
                  <w:tcBorders>
                    <w:tl2br w:val="nil"/>
                    <w:tr2bl w:val="nil"/>
                  </w:tcBorders>
                  <w:vAlign w:val="center"/>
                </w:tcPr>
                <w:p w14:paraId="41D04C5E">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lang w:val="en-US" w:eastAsia="zh-CN"/>
                    </w:rPr>
                    <w:t>搅拌</w:t>
                  </w:r>
                  <w:r>
                    <w:rPr>
                      <w:rFonts w:hint="eastAsia" w:ascii="Times New Roman"/>
                      <w:color w:val="auto"/>
                      <w:sz w:val="21"/>
                      <w:szCs w:val="21"/>
                      <w:highlight w:val="none"/>
                    </w:rPr>
                    <w:t>粉尘</w:t>
                  </w:r>
                </w:p>
              </w:tc>
              <w:tc>
                <w:tcPr>
                  <w:tcW w:w="242" w:type="pct"/>
                  <w:vMerge w:val="continue"/>
                  <w:tcBorders>
                    <w:tl2br w:val="nil"/>
                    <w:tr2bl w:val="nil"/>
                  </w:tcBorders>
                  <w:vAlign w:val="center"/>
                </w:tcPr>
                <w:p w14:paraId="63F04A88">
                  <w:pPr>
                    <w:pStyle w:val="49"/>
                    <w:spacing w:before="24" w:after="24" w:line="240" w:lineRule="auto"/>
                    <w:jc w:val="center"/>
                    <w:rPr>
                      <w:rFonts w:ascii="Times New Roman"/>
                      <w:color w:val="auto"/>
                      <w:sz w:val="21"/>
                      <w:szCs w:val="21"/>
                      <w:highlight w:val="none"/>
                    </w:rPr>
                  </w:pPr>
                </w:p>
              </w:tc>
              <w:tc>
                <w:tcPr>
                  <w:tcW w:w="247" w:type="pct"/>
                  <w:tcBorders>
                    <w:tl2br w:val="nil"/>
                    <w:tr2bl w:val="nil"/>
                  </w:tcBorders>
                  <w:vAlign w:val="center"/>
                </w:tcPr>
                <w:p w14:paraId="0493EC15">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颗粒物</w:t>
                  </w:r>
                </w:p>
              </w:tc>
              <w:tc>
                <w:tcPr>
                  <w:tcW w:w="315" w:type="pct"/>
                  <w:tcBorders>
                    <w:tl2br w:val="nil"/>
                    <w:tr2bl w:val="nil"/>
                  </w:tcBorders>
                  <w:vAlign w:val="center"/>
                </w:tcPr>
                <w:p w14:paraId="57E66918">
                  <w:pPr>
                    <w:rPr>
                      <w:rFonts w:hint="default" w:eastAsia="宋体"/>
                      <w:lang w:val="en-US" w:eastAsia="zh-CN"/>
                    </w:rPr>
                  </w:pPr>
                  <w:r>
                    <w:rPr>
                      <w:rFonts w:hint="eastAsia"/>
                      <w:color w:val="auto"/>
                      <w:sz w:val="21"/>
                      <w:szCs w:val="21"/>
                      <w:highlight w:val="none"/>
                      <w:lang w:val="en-US" w:eastAsia="zh-CN"/>
                    </w:rPr>
                    <w:t>251.04</w:t>
                  </w:r>
                </w:p>
              </w:tc>
              <w:tc>
                <w:tcPr>
                  <w:tcW w:w="354" w:type="pct"/>
                  <w:tcBorders>
                    <w:tl2br w:val="nil"/>
                    <w:tr2bl w:val="nil"/>
                  </w:tcBorders>
                  <w:vAlign w:val="center"/>
                </w:tcPr>
                <w:p w14:paraId="4D507A21">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174.33</w:t>
                  </w:r>
                </w:p>
              </w:tc>
              <w:tc>
                <w:tcPr>
                  <w:tcW w:w="578" w:type="pct"/>
                  <w:tcBorders>
                    <w:tl2br w:val="nil"/>
                    <w:tr2bl w:val="nil"/>
                  </w:tcBorders>
                  <w:vAlign w:val="center"/>
                </w:tcPr>
                <w:p w14:paraId="06CECAFD">
                  <w:pPr>
                    <w:pStyle w:val="49"/>
                    <w:spacing w:before="24" w:after="24" w:line="240" w:lineRule="auto"/>
                    <w:jc w:val="center"/>
                    <w:rPr>
                      <w:rFonts w:ascii="Times New Roman"/>
                      <w:color w:val="auto"/>
                      <w:sz w:val="21"/>
                      <w:szCs w:val="21"/>
                      <w:highlight w:val="none"/>
                    </w:rPr>
                  </w:pPr>
                  <w:r>
                    <w:rPr>
                      <w:rFonts w:ascii="Times New Roman"/>
                      <w:color w:val="auto"/>
                      <w:sz w:val="21"/>
                      <w:szCs w:val="21"/>
                      <w:highlight w:val="none"/>
                    </w:rPr>
                    <w:t>脉冲布袋除尘器</w:t>
                  </w:r>
                  <w:r>
                    <w:rPr>
                      <w:rFonts w:hint="eastAsia" w:ascii="Times New Roman"/>
                      <w:color w:val="auto"/>
                      <w:sz w:val="21"/>
                      <w:szCs w:val="21"/>
                      <w:highlight w:val="none"/>
                      <w:lang w:val="en-US" w:eastAsia="zh-CN"/>
                    </w:rPr>
                    <w:t>+管道通回搅拌机</w:t>
                  </w:r>
                </w:p>
              </w:tc>
              <w:tc>
                <w:tcPr>
                  <w:tcW w:w="551" w:type="pct"/>
                  <w:tcBorders>
                    <w:tl2br w:val="nil"/>
                    <w:tr2bl w:val="nil"/>
                  </w:tcBorders>
                  <w:vAlign w:val="center"/>
                </w:tcPr>
                <w:p w14:paraId="118DE9C6">
                  <w:pPr>
                    <w:pStyle w:val="49"/>
                    <w:spacing w:before="24" w:after="24" w:line="240" w:lineRule="auto"/>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是</w:t>
                  </w:r>
                </w:p>
              </w:tc>
              <w:tc>
                <w:tcPr>
                  <w:tcW w:w="255" w:type="pct"/>
                  <w:tcBorders>
                    <w:tl2br w:val="nil"/>
                    <w:tr2bl w:val="nil"/>
                  </w:tcBorders>
                  <w:vAlign w:val="center"/>
                </w:tcPr>
                <w:p w14:paraId="1BF5FC0E">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100%</w:t>
                  </w:r>
                </w:p>
              </w:tc>
              <w:tc>
                <w:tcPr>
                  <w:tcW w:w="268" w:type="pct"/>
                  <w:tcBorders>
                    <w:tl2br w:val="nil"/>
                    <w:tr2bl w:val="nil"/>
                  </w:tcBorders>
                  <w:vAlign w:val="center"/>
                </w:tcPr>
                <w:p w14:paraId="221F8743">
                  <w:pPr>
                    <w:pStyle w:val="49"/>
                    <w:spacing w:before="24" w:after="24" w:line="240" w:lineRule="auto"/>
                    <w:jc w:val="center"/>
                    <w:rPr>
                      <w:rFonts w:ascii="Times New Roman"/>
                      <w:color w:val="auto"/>
                      <w:sz w:val="21"/>
                      <w:szCs w:val="21"/>
                      <w:highlight w:val="none"/>
                    </w:rPr>
                  </w:pPr>
                  <w:r>
                    <w:rPr>
                      <w:rFonts w:hint="eastAsia" w:ascii="Times New Roman"/>
                      <w:color w:val="auto"/>
                      <w:sz w:val="21"/>
                      <w:szCs w:val="21"/>
                      <w:highlight w:val="none"/>
                    </w:rPr>
                    <w:t>99.7%</w:t>
                  </w:r>
                </w:p>
              </w:tc>
              <w:tc>
                <w:tcPr>
                  <w:tcW w:w="282" w:type="pct"/>
                  <w:tcBorders>
                    <w:tl2br w:val="nil"/>
                    <w:tr2bl w:val="nil"/>
                  </w:tcBorders>
                  <w:vAlign w:val="center"/>
                </w:tcPr>
                <w:p w14:paraId="732F4465">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30000</w:t>
                  </w:r>
                </w:p>
              </w:tc>
              <w:tc>
                <w:tcPr>
                  <w:tcW w:w="305" w:type="pct"/>
                  <w:tcBorders>
                    <w:tl2br w:val="nil"/>
                    <w:tr2bl w:val="nil"/>
                  </w:tcBorders>
                  <w:vAlign w:val="center"/>
                </w:tcPr>
                <w:p w14:paraId="43774BF3">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0.753</w:t>
                  </w:r>
                </w:p>
              </w:tc>
              <w:tc>
                <w:tcPr>
                  <w:tcW w:w="330" w:type="pct"/>
                  <w:tcBorders>
                    <w:tl2br w:val="nil"/>
                    <w:tr2bl w:val="nil"/>
                  </w:tcBorders>
                  <w:vAlign w:val="center"/>
                </w:tcPr>
                <w:p w14:paraId="759EC6D5">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17.43</w:t>
                  </w:r>
                </w:p>
              </w:tc>
              <w:tc>
                <w:tcPr>
                  <w:tcW w:w="343" w:type="pct"/>
                  <w:tcBorders>
                    <w:tl2br w:val="nil"/>
                    <w:tr2bl w:val="nil"/>
                  </w:tcBorders>
                  <w:vAlign w:val="center"/>
                </w:tcPr>
                <w:p w14:paraId="32876FEE">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0.523</w:t>
                  </w:r>
                </w:p>
              </w:tc>
              <w:tc>
                <w:tcPr>
                  <w:tcW w:w="411" w:type="pct"/>
                  <w:tcBorders>
                    <w:tl2br w:val="nil"/>
                    <w:tr2bl w:val="nil"/>
                  </w:tcBorders>
                  <w:vAlign w:val="center"/>
                </w:tcPr>
                <w:p w14:paraId="4A36C0AD">
                  <w:pPr>
                    <w:pStyle w:val="49"/>
                    <w:spacing w:before="24" w:after="24" w:line="240" w:lineRule="auto"/>
                    <w:jc w:val="center"/>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20</w:t>
                  </w:r>
                </w:p>
              </w:tc>
              <w:tc>
                <w:tcPr>
                  <w:tcW w:w="222" w:type="pct"/>
                  <w:tcBorders>
                    <w:tl2br w:val="nil"/>
                    <w:tr2bl w:val="nil"/>
                  </w:tcBorders>
                  <w:vAlign w:val="center"/>
                </w:tcPr>
                <w:p w14:paraId="1298DDAE">
                  <w:pPr>
                    <w:pStyle w:val="49"/>
                    <w:spacing w:before="24" w:after="24" w:line="240" w:lineRule="auto"/>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是</w:t>
                  </w:r>
                </w:p>
              </w:tc>
            </w:tr>
          </w:tbl>
          <w:p w14:paraId="07A508FA">
            <w:pPr>
              <w:widowControl/>
              <w:spacing w:line="360" w:lineRule="auto"/>
              <w:jc w:val="left"/>
              <w:rPr>
                <w:rFonts w:hint="default"/>
                <w:b/>
                <w:bCs/>
                <w:color w:val="auto"/>
                <w:sz w:val="24"/>
                <w:lang w:val="en-US" w:eastAsia="zh-CN"/>
              </w:rPr>
            </w:pPr>
            <w:r>
              <w:rPr>
                <w:rFonts w:hint="eastAsia"/>
                <w:b/>
                <w:bCs/>
                <w:color w:val="auto"/>
                <w:sz w:val="24"/>
                <w:lang w:val="en-US" w:eastAsia="zh-CN"/>
              </w:rPr>
              <w:t>1.2 非正常工况分析</w:t>
            </w:r>
          </w:p>
          <w:p w14:paraId="6B2F6981">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lang w:val="en-US" w:eastAsia="zh-CN"/>
              </w:rPr>
            </w:pPr>
            <w:r>
              <w:rPr>
                <w:rFonts w:hint="eastAsia"/>
                <w:color w:val="auto"/>
                <w:lang w:val="en-US" w:eastAsia="zh-CN"/>
              </w:rPr>
              <w:t>根据《环境影响评价技术导则 大气环境》（HJ2.2-2018），非正常排放包括设备检修、工艺设备异常运转、污染物排放控制措施不到位等。本项目非正常工况主要为袋式除尘装置损坏、布袋破损和管道破损，袋式除尘装置发生故障时处理效率为0，管道破损时处理效率为0。在此情况下，污染物排放量即产生量174.33kg/h，风机风量30000m</w:t>
            </w:r>
            <w:r>
              <w:rPr>
                <w:rFonts w:hint="eastAsia"/>
                <w:color w:val="auto"/>
                <w:vertAlign w:val="superscript"/>
                <w:lang w:val="en-US" w:eastAsia="zh-CN"/>
              </w:rPr>
              <w:t>3</w:t>
            </w:r>
            <w:r>
              <w:rPr>
                <w:rFonts w:hint="eastAsia"/>
                <w:color w:val="auto"/>
                <w:lang w:val="en-US" w:eastAsia="zh-CN"/>
              </w:rPr>
              <w:t>/h，排放浓度为5811</w:t>
            </w:r>
            <w:r>
              <w:rPr>
                <w:rFonts w:hint="eastAsia" w:ascii="Times New Roman" w:hAnsi="Times New Roman" w:eastAsia="宋体" w:cs="Times New Roman"/>
                <w:color w:val="auto"/>
                <w:lang w:val="en-US" w:eastAsia="zh-CN"/>
              </w:rPr>
              <w:t>mg/m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w:t>
            </w:r>
            <w:r>
              <w:rPr>
                <w:rFonts w:hint="eastAsia"/>
                <w:color w:val="auto"/>
                <w:lang w:val="en-US" w:eastAsia="zh-CN"/>
              </w:rPr>
              <w:t>发生频次按每年一次，一次1小时计，本项目非正常工况下颗粒物的产生情况和排放情况，具体见下表</w:t>
            </w:r>
          </w:p>
          <w:p w14:paraId="0C05C36B">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bCs/>
                <w:color w:val="auto"/>
                <w:sz w:val="21"/>
                <w:szCs w:val="21"/>
                <w:lang w:val="en-US" w:eastAsia="zh-CN"/>
              </w:rPr>
            </w:pPr>
            <w:r>
              <w:rPr>
                <w:rFonts w:hint="eastAsia"/>
                <w:b/>
                <w:bCs/>
                <w:color w:val="auto"/>
                <w:sz w:val="21"/>
                <w:szCs w:val="21"/>
                <w:lang w:val="en-US" w:eastAsia="zh-CN"/>
              </w:rPr>
              <w:t>表4-4    非正常工况下废气污染物排放情况一览表</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882"/>
              <w:gridCol w:w="869"/>
              <w:gridCol w:w="1110"/>
              <w:gridCol w:w="1202"/>
              <w:gridCol w:w="970"/>
              <w:gridCol w:w="970"/>
              <w:gridCol w:w="970"/>
              <w:gridCol w:w="970"/>
            </w:tblGrid>
            <w:tr w14:paraId="60924260">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555" w:type="pct"/>
                  <w:tcBorders>
                    <w:tl2br w:val="nil"/>
                    <w:tr2bl w:val="nil"/>
                  </w:tcBorders>
                  <w:vAlign w:val="center"/>
                </w:tcPr>
                <w:p w14:paraId="2890FF92">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污染物</w:t>
                  </w:r>
                </w:p>
              </w:tc>
              <w:tc>
                <w:tcPr>
                  <w:tcW w:w="547" w:type="pct"/>
                  <w:tcBorders>
                    <w:tl2br w:val="nil"/>
                    <w:tr2bl w:val="nil"/>
                  </w:tcBorders>
                  <w:vAlign w:val="center"/>
                </w:tcPr>
                <w:p w14:paraId="43A71A6C">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排放方式</w:t>
                  </w:r>
                </w:p>
              </w:tc>
              <w:tc>
                <w:tcPr>
                  <w:tcW w:w="698" w:type="pct"/>
                  <w:tcBorders>
                    <w:tl2br w:val="nil"/>
                    <w:tr2bl w:val="nil"/>
                  </w:tcBorders>
                  <w:vAlign w:val="center"/>
                </w:tcPr>
                <w:p w14:paraId="740BAD01">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污染物产生量</w:t>
                  </w:r>
                </w:p>
              </w:tc>
              <w:tc>
                <w:tcPr>
                  <w:tcW w:w="756" w:type="pct"/>
                  <w:tcBorders>
                    <w:tl2br w:val="nil"/>
                    <w:tr2bl w:val="nil"/>
                  </w:tcBorders>
                  <w:vAlign w:val="center"/>
                </w:tcPr>
                <w:p w14:paraId="70311BF4">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排放浓度（mg/m</w:t>
                  </w:r>
                  <w:r>
                    <w:rPr>
                      <w:rFonts w:hint="eastAsia"/>
                      <w:color w:val="auto"/>
                      <w:sz w:val="21"/>
                      <w:szCs w:val="21"/>
                      <w:highlight w:val="none"/>
                      <w:vertAlign w:val="superscript"/>
                      <w:lang w:val="en-US" w:eastAsia="zh-CN"/>
                    </w:rPr>
                    <w:t>3</w:t>
                  </w:r>
                  <w:r>
                    <w:rPr>
                      <w:rFonts w:hint="eastAsia"/>
                      <w:color w:val="auto"/>
                      <w:sz w:val="21"/>
                      <w:szCs w:val="21"/>
                      <w:highlight w:val="none"/>
                      <w:vertAlign w:val="baseline"/>
                      <w:lang w:val="en-US" w:eastAsia="zh-CN"/>
                    </w:rPr>
                    <w:t>）</w:t>
                  </w:r>
                </w:p>
              </w:tc>
              <w:tc>
                <w:tcPr>
                  <w:tcW w:w="610" w:type="pct"/>
                  <w:tcBorders>
                    <w:tl2br w:val="nil"/>
                    <w:tr2bl w:val="nil"/>
                  </w:tcBorders>
                  <w:vAlign w:val="center"/>
                </w:tcPr>
                <w:p w14:paraId="048EB401">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达标情况</w:t>
                  </w:r>
                </w:p>
              </w:tc>
              <w:tc>
                <w:tcPr>
                  <w:tcW w:w="610" w:type="pct"/>
                  <w:tcBorders>
                    <w:tl2br w:val="nil"/>
                    <w:tr2bl w:val="nil"/>
                  </w:tcBorders>
                  <w:vAlign w:val="center"/>
                </w:tcPr>
                <w:p w14:paraId="6A47C6EC">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持续时间</w:t>
                  </w:r>
                </w:p>
              </w:tc>
              <w:tc>
                <w:tcPr>
                  <w:tcW w:w="610" w:type="pct"/>
                  <w:tcBorders>
                    <w:tl2br w:val="nil"/>
                    <w:tr2bl w:val="nil"/>
                  </w:tcBorders>
                  <w:vAlign w:val="center"/>
                </w:tcPr>
                <w:p w14:paraId="1FF98609">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发生频率</w:t>
                  </w:r>
                </w:p>
              </w:tc>
              <w:tc>
                <w:tcPr>
                  <w:tcW w:w="610" w:type="pct"/>
                  <w:tcBorders>
                    <w:tl2br w:val="nil"/>
                    <w:tr2bl w:val="nil"/>
                  </w:tcBorders>
                  <w:vAlign w:val="center"/>
                </w:tcPr>
                <w:p w14:paraId="6BC01FDF">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应对措施</w:t>
                  </w:r>
                </w:p>
              </w:tc>
            </w:tr>
            <w:tr w14:paraId="2353198E">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555" w:type="pct"/>
                  <w:tcBorders>
                    <w:tl2br w:val="nil"/>
                    <w:tr2bl w:val="nil"/>
                  </w:tcBorders>
                  <w:vAlign w:val="center"/>
                </w:tcPr>
                <w:p w14:paraId="6CB8D462">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颗粒物</w:t>
                  </w:r>
                </w:p>
              </w:tc>
              <w:tc>
                <w:tcPr>
                  <w:tcW w:w="547" w:type="pct"/>
                  <w:tcBorders>
                    <w:tl2br w:val="nil"/>
                    <w:tr2bl w:val="nil"/>
                  </w:tcBorders>
                  <w:vAlign w:val="center"/>
                </w:tcPr>
                <w:p w14:paraId="150CA53A">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698" w:type="pct"/>
                  <w:tcBorders>
                    <w:tl2br w:val="nil"/>
                    <w:tr2bl w:val="nil"/>
                  </w:tcBorders>
                  <w:vAlign w:val="center"/>
                </w:tcPr>
                <w:p w14:paraId="507642DB">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174.33kg</w:t>
                  </w:r>
                </w:p>
              </w:tc>
              <w:tc>
                <w:tcPr>
                  <w:tcW w:w="756" w:type="pct"/>
                  <w:tcBorders>
                    <w:tl2br w:val="nil"/>
                    <w:tr2bl w:val="nil"/>
                  </w:tcBorders>
                  <w:vAlign w:val="center"/>
                </w:tcPr>
                <w:p w14:paraId="4DB263A2">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5811</w:t>
                  </w:r>
                </w:p>
              </w:tc>
              <w:tc>
                <w:tcPr>
                  <w:tcW w:w="610" w:type="pct"/>
                  <w:tcBorders>
                    <w:tl2br w:val="nil"/>
                    <w:tr2bl w:val="nil"/>
                  </w:tcBorders>
                  <w:vAlign w:val="center"/>
                </w:tcPr>
                <w:p w14:paraId="18C02050">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超标</w:t>
                  </w:r>
                </w:p>
              </w:tc>
              <w:tc>
                <w:tcPr>
                  <w:tcW w:w="610" w:type="pct"/>
                  <w:tcBorders>
                    <w:tl2br w:val="nil"/>
                    <w:tr2bl w:val="nil"/>
                  </w:tcBorders>
                  <w:vAlign w:val="center"/>
                </w:tcPr>
                <w:p w14:paraId="1B4E204C">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＜1h</w:t>
                  </w:r>
                </w:p>
              </w:tc>
              <w:tc>
                <w:tcPr>
                  <w:tcW w:w="610" w:type="pct"/>
                  <w:tcBorders>
                    <w:tl2br w:val="nil"/>
                    <w:tr2bl w:val="nil"/>
                  </w:tcBorders>
                  <w:vAlign w:val="center"/>
                </w:tcPr>
                <w:p w14:paraId="7C49AAFB">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1次/a</w:t>
                  </w:r>
                </w:p>
              </w:tc>
              <w:tc>
                <w:tcPr>
                  <w:tcW w:w="610" w:type="pct"/>
                  <w:tcBorders>
                    <w:tl2br w:val="nil"/>
                    <w:tr2bl w:val="nil"/>
                  </w:tcBorders>
                  <w:vAlign w:val="center"/>
                </w:tcPr>
                <w:p w14:paraId="5A317BF6">
                  <w:pPr>
                    <w:pStyle w:val="8"/>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立即停产</w:t>
                  </w:r>
                </w:p>
              </w:tc>
            </w:tr>
          </w:tbl>
          <w:p w14:paraId="66C0B7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lang w:val="en-US" w:eastAsia="zh-CN"/>
              </w:rPr>
              <w:t>由表4-4可知，非正常工况下</w:t>
            </w:r>
            <w:r>
              <w:rPr>
                <w:rFonts w:hint="eastAsia"/>
                <w:color w:val="auto"/>
                <w:sz w:val="24"/>
                <w:szCs w:val="24"/>
                <w:highlight w:val="none"/>
                <w:lang w:val="en-US" w:eastAsia="zh-CN"/>
              </w:rPr>
              <w:t>污染物排放超标，对环境会造成较大的影响和危害，因此需设置应急措施以减小非正常工况下污染物对环境的影响，除了采用先进成熟的设备和工艺技术，还应该加强生产时的监督管理，严格执行操作规程，提高工作人员素质，精心操作仪器，保证防患于未然，将非正常工况出现的可能降到最低。一旦产生非正常工况，要能及时进行检修，并采取相应措施对污染物进行处理，确保此工况产生的污染物对环境造成的影响减到最低。</w:t>
            </w:r>
          </w:p>
          <w:p w14:paraId="6E5C2061">
            <w:pPr>
              <w:pStyle w:val="26"/>
              <w:ind w:left="0" w:leftChars="0"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1.3 排放口设置情况</w:t>
            </w:r>
          </w:p>
          <w:p w14:paraId="70B04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color w:val="auto"/>
                <w:sz w:val="24"/>
                <w:szCs w:val="24"/>
              </w:rPr>
              <w:t>本项目共设置</w:t>
            </w:r>
            <w:r>
              <w:rPr>
                <w:rFonts w:hint="eastAsia"/>
                <w:color w:val="auto"/>
                <w:sz w:val="24"/>
                <w:szCs w:val="24"/>
                <w:lang w:val="en-US" w:eastAsia="zh-CN"/>
              </w:rPr>
              <w:t>1</w:t>
            </w:r>
            <w:r>
              <w:rPr>
                <w:color w:val="auto"/>
                <w:sz w:val="24"/>
                <w:szCs w:val="24"/>
              </w:rPr>
              <w:t>个有组织废气排放口，本项目有组织废气排放口基本情况见表4-</w:t>
            </w:r>
            <w:r>
              <w:rPr>
                <w:rFonts w:hint="eastAsia"/>
                <w:color w:val="auto"/>
                <w:sz w:val="24"/>
                <w:szCs w:val="24"/>
                <w:lang w:val="en-US" w:eastAsia="zh-CN"/>
              </w:rPr>
              <w:t>5</w:t>
            </w:r>
            <w:r>
              <w:rPr>
                <w:color w:val="auto"/>
                <w:sz w:val="24"/>
                <w:szCs w:val="24"/>
              </w:rPr>
              <w:t>。</w:t>
            </w:r>
          </w:p>
          <w:p w14:paraId="1F7E1A8F">
            <w:pPr>
              <w:pStyle w:val="70"/>
              <w:spacing w:line="240" w:lineRule="auto"/>
              <w:ind w:firstLine="405"/>
              <w:rPr>
                <w:color w:val="auto"/>
                <w:szCs w:val="21"/>
              </w:rPr>
            </w:pPr>
            <w:r>
              <w:rPr>
                <w:rFonts w:hint="eastAsia"/>
                <w:b/>
                <w:bCs/>
                <w:color w:val="auto"/>
                <w:szCs w:val="21"/>
              </w:rPr>
              <w:t>表4-</w:t>
            </w:r>
            <w:r>
              <w:rPr>
                <w:rFonts w:hint="eastAsia"/>
                <w:b/>
                <w:bCs/>
                <w:color w:val="auto"/>
                <w:szCs w:val="21"/>
                <w:lang w:val="en-US" w:eastAsia="zh-CN"/>
              </w:rPr>
              <w:t>5</w:t>
            </w:r>
            <w:r>
              <w:rPr>
                <w:rFonts w:hint="eastAsia"/>
                <w:b/>
                <w:bCs/>
                <w:color w:val="auto"/>
                <w:szCs w:val="21"/>
              </w:rPr>
              <w:t xml:space="preserve">    废气排放口设置一览表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15"/>
              <w:gridCol w:w="875"/>
              <w:gridCol w:w="581"/>
              <w:gridCol w:w="800"/>
              <w:gridCol w:w="600"/>
              <w:gridCol w:w="680"/>
              <w:gridCol w:w="667"/>
              <w:gridCol w:w="720"/>
              <w:gridCol w:w="680"/>
              <w:gridCol w:w="718"/>
            </w:tblGrid>
            <w:tr w14:paraId="304281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pct"/>
                  <w:vMerge w:val="restart"/>
                  <w:vAlign w:val="center"/>
                </w:tcPr>
                <w:p w14:paraId="6BE5BD00">
                  <w:pPr>
                    <w:pStyle w:val="59"/>
                    <w:rPr>
                      <w:b/>
                      <w:bCs w:val="0"/>
                      <w:color w:val="auto"/>
                      <w:spacing w:val="-10"/>
                      <w:sz w:val="24"/>
                      <w:szCs w:val="24"/>
                      <w:highlight w:val="none"/>
                    </w:rPr>
                  </w:pPr>
                  <w:r>
                    <w:rPr>
                      <w:b/>
                      <w:bCs w:val="0"/>
                      <w:color w:val="auto"/>
                      <w:spacing w:val="-10"/>
                      <w:sz w:val="24"/>
                      <w:szCs w:val="24"/>
                      <w:highlight w:val="none"/>
                    </w:rPr>
                    <w:t>排放口名称及编号</w:t>
                  </w:r>
                </w:p>
              </w:tc>
              <w:tc>
                <w:tcPr>
                  <w:tcW w:w="1063" w:type="pct"/>
                  <w:gridSpan w:val="2"/>
                  <w:vAlign w:val="center"/>
                </w:tcPr>
                <w:p w14:paraId="4EF1C4F9">
                  <w:pPr>
                    <w:pStyle w:val="59"/>
                    <w:rPr>
                      <w:b/>
                      <w:bCs w:val="0"/>
                      <w:color w:val="auto"/>
                      <w:spacing w:val="-10"/>
                      <w:sz w:val="24"/>
                      <w:szCs w:val="24"/>
                      <w:highlight w:val="none"/>
                    </w:rPr>
                  </w:pPr>
                  <w:r>
                    <w:rPr>
                      <w:b/>
                      <w:bCs w:val="0"/>
                      <w:color w:val="auto"/>
                      <w:spacing w:val="-10"/>
                      <w:sz w:val="24"/>
                      <w:szCs w:val="24"/>
                      <w:highlight w:val="none"/>
                    </w:rPr>
                    <w:t>排气筒底部中心坐标</w:t>
                  </w:r>
                </w:p>
              </w:tc>
              <w:tc>
                <w:tcPr>
                  <w:tcW w:w="1674" w:type="pct"/>
                  <w:gridSpan w:val="4"/>
                  <w:vAlign w:val="center"/>
                </w:tcPr>
                <w:p w14:paraId="7E20AA6D">
                  <w:pPr>
                    <w:pStyle w:val="59"/>
                    <w:rPr>
                      <w:b/>
                      <w:bCs w:val="0"/>
                      <w:color w:val="auto"/>
                      <w:spacing w:val="-10"/>
                      <w:sz w:val="24"/>
                      <w:szCs w:val="24"/>
                      <w:highlight w:val="none"/>
                    </w:rPr>
                  </w:pPr>
                  <w:r>
                    <w:rPr>
                      <w:b/>
                      <w:bCs w:val="0"/>
                      <w:color w:val="auto"/>
                      <w:spacing w:val="-10"/>
                      <w:sz w:val="24"/>
                      <w:szCs w:val="24"/>
                      <w:highlight w:val="none"/>
                    </w:rPr>
                    <w:t>排气筒参数</w:t>
                  </w:r>
                </w:p>
              </w:tc>
              <w:tc>
                <w:tcPr>
                  <w:tcW w:w="872" w:type="pct"/>
                  <w:gridSpan w:val="2"/>
                  <w:vAlign w:val="center"/>
                </w:tcPr>
                <w:p w14:paraId="7AE47BBB">
                  <w:pPr>
                    <w:pStyle w:val="59"/>
                    <w:rPr>
                      <w:b/>
                      <w:bCs w:val="0"/>
                      <w:color w:val="auto"/>
                      <w:spacing w:val="-10"/>
                      <w:sz w:val="24"/>
                      <w:szCs w:val="24"/>
                      <w:highlight w:val="none"/>
                    </w:rPr>
                  </w:pPr>
                  <w:r>
                    <w:rPr>
                      <w:b/>
                      <w:bCs w:val="0"/>
                      <w:color w:val="auto"/>
                      <w:spacing w:val="-10"/>
                      <w:sz w:val="24"/>
                      <w:szCs w:val="24"/>
                      <w:highlight w:val="none"/>
                    </w:rPr>
                    <w:t>运行参数</w:t>
                  </w:r>
                </w:p>
              </w:tc>
              <w:tc>
                <w:tcPr>
                  <w:tcW w:w="879" w:type="pct"/>
                  <w:gridSpan w:val="2"/>
                  <w:vAlign w:val="center"/>
                </w:tcPr>
                <w:p w14:paraId="0D58084E">
                  <w:pPr>
                    <w:pStyle w:val="59"/>
                    <w:rPr>
                      <w:b/>
                      <w:bCs w:val="0"/>
                      <w:color w:val="auto"/>
                      <w:spacing w:val="-10"/>
                      <w:sz w:val="24"/>
                      <w:szCs w:val="24"/>
                      <w:highlight w:val="none"/>
                    </w:rPr>
                  </w:pPr>
                  <w:r>
                    <w:rPr>
                      <w:b/>
                      <w:bCs w:val="0"/>
                      <w:color w:val="auto"/>
                      <w:spacing w:val="-10"/>
                      <w:sz w:val="24"/>
                      <w:szCs w:val="24"/>
                      <w:highlight w:val="none"/>
                    </w:rPr>
                    <w:t>运行参数</w:t>
                  </w:r>
                </w:p>
              </w:tc>
            </w:tr>
            <w:tr w14:paraId="227697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pct"/>
                  <w:vMerge w:val="continue"/>
                  <w:tcBorders>
                    <w:bottom w:val="single" w:color="auto" w:sz="12" w:space="0"/>
                  </w:tcBorders>
                  <w:vAlign w:val="center"/>
                </w:tcPr>
                <w:p w14:paraId="61124ADF">
                  <w:pPr>
                    <w:pStyle w:val="59"/>
                    <w:rPr>
                      <w:b/>
                      <w:bCs w:val="0"/>
                      <w:color w:val="auto"/>
                      <w:spacing w:val="-10"/>
                      <w:sz w:val="24"/>
                      <w:szCs w:val="24"/>
                      <w:highlight w:val="none"/>
                    </w:rPr>
                  </w:pPr>
                </w:p>
              </w:tc>
              <w:tc>
                <w:tcPr>
                  <w:tcW w:w="512" w:type="pct"/>
                  <w:tcBorders>
                    <w:bottom w:val="single" w:color="auto" w:sz="12" w:space="0"/>
                  </w:tcBorders>
                  <w:vAlign w:val="center"/>
                </w:tcPr>
                <w:p w14:paraId="1F22EBD8">
                  <w:pPr>
                    <w:pStyle w:val="59"/>
                    <w:rPr>
                      <w:b/>
                      <w:bCs w:val="0"/>
                      <w:color w:val="auto"/>
                      <w:spacing w:val="-10"/>
                      <w:sz w:val="24"/>
                      <w:szCs w:val="24"/>
                      <w:highlight w:val="none"/>
                    </w:rPr>
                  </w:pPr>
                  <w:r>
                    <w:rPr>
                      <w:b/>
                      <w:bCs w:val="0"/>
                      <w:color w:val="auto"/>
                      <w:spacing w:val="-10"/>
                      <w:sz w:val="24"/>
                      <w:szCs w:val="24"/>
                      <w:highlight w:val="none"/>
                    </w:rPr>
                    <w:t>经度</w:t>
                  </w:r>
                </w:p>
              </w:tc>
              <w:tc>
                <w:tcPr>
                  <w:tcW w:w="550" w:type="pct"/>
                  <w:tcBorders>
                    <w:bottom w:val="single" w:color="auto" w:sz="12" w:space="0"/>
                  </w:tcBorders>
                  <w:vAlign w:val="center"/>
                </w:tcPr>
                <w:p w14:paraId="46CECD11">
                  <w:pPr>
                    <w:pStyle w:val="59"/>
                    <w:rPr>
                      <w:b/>
                      <w:bCs w:val="0"/>
                      <w:color w:val="auto"/>
                      <w:spacing w:val="-10"/>
                      <w:sz w:val="24"/>
                      <w:szCs w:val="24"/>
                      <w:highlight w:val="none"/>
                    </w:rPr>
                  </w:pPr>
                  <w:r>
                    <w:rPr>
                      <w:b/>
                      <w:bCs w:val="0"/>
                      <w:color w:val="auto"/>
                      <w:spacing w:val="-10"/>
                      <w:sz w:val="24"/>
                      <w:szCs w:val="24"/>
                      <w:highlight w:val="none"/>
                    </w:rPr>
                    <w:t>纬度</w:t>
                  </w:r>
                </w:p>
              </w:tc>
              <w:tc>
                <w:tcPr>
                  <w:tcW w:w="365" w:type="pct"/>
                  <w:tcBorders>
                    <w:bottom w:val="single" w:color="auto" w:sz="12" w:space="0"/>
                  </w:tcBorders>
                  <w:vAlign w:val="center"/>
                </w:tcPr>
                <w:p w14:paraId="3799B09F">
                  <w:pPr>
                    <w:pStyle w:val="59"/>
                    <w:rPr>
                      <w:b/>
                      <w:bCs w:val="0"/>
                      <w:color w:val="auto"/>
                      <w:spacing w:val="-10"/>
                      <w:sz w:val="24"/>
                      <w:szCs w:val="24"/>
                      <w:highlight w:val="none"/>
                    </w:rPr>
                  </w:pPr>
                  <w:r>
                    <w:rPr>
                      <w:b/>
                      <w:bCs w:val="0"/>
                      <w:color w:val="auto"/>
                      <w:sz w:val="24"/>
                      <w:szCs w:val="24"/>
                      <w:highlight w:val="none"/>
                    </w:rPr>
                    <w:t>排气筒高度(m)</w:t>
                  </w:r>
                </w:p>
              </w:tc>
              <w:tc>
                <w:tcPr>
                  <w:tcW w:w="503" w:type="pct"/>
                  <w:tcBorders>
                    <w:bottom w:val="single" w:color="auto" w:sz="12" w:space="0"/>
                  </w:tcBorders>
                  <w:vAlign w:val="center"/>
                </w:tcPr>
                <w:p w14:paraId="2E40F75C">
                  <w:pPr>
                    <w:pStyle w:val="59"/>
                    <w:rPr>
                      <w:b/>
                      <w:bCs w:val="0"/>
                      <w:color w:val="auto"/>
                      <w:spacing w:val="-10"/>
                      <w:sz w:val="24"/>
                      <w:szCs w:val="24"/>
                      <w:highlight w:val="none"/>
                    </w:rPr>
                  </w:pPr>
                  <w:r>
                    <w:rPr>
                      <w:b/>
                      <w:bCs w:val="0"/>
                      <w:color w:val="auto"/>
                      <w:spacing w:val="-10"/>
                      <w:sz w:val="24"/>
                      <w:szCs w:val="24"/>
                      <w:highlight w:val="none"/>
                    </w:rPr>
                    <w:t>排气筒出口</w:t>
                  </w:r>
                  <w:r>
                    <w:rPr>
                      <w:rFonts w:hint="eastAsia"/>
                      <w:b/>
                      <w:bCs w:val="0"/>
                      <w:color w:val="auto"/>
                      <w:spacing w:val="-10"/>
                      <w:sz w:val="24"/>
                      <w:szCs w:val="24"/>
                      <w:highlight w:val="none"/>
                      <w:lang w:eastAsia="zh-CN"/>
                    </w:rPr>
                    <w:t>内径</w:t>
                  </w:r>
                  <w:r>
                    <w:rPr>
                      <w:b/>
                      <w:bCs w:val="0"/>
                      <w:color w:val="auto"/>
                      <w:spacing w:val="-10"/>
                      <w:sz w:val="24"/>
                      <w:szCs w:val="24"/>
                      <w:highlight w:val="none"/>
                    </w:rPr>
                    <w:t>(m)</w:t>
                  </w:r>
                </w:p>
              </w:tc>
              <w:tc>
                <w:tcPr>
                  <w:tcW w:w="377" w:type="pct"/>
                  <w:tcBorders>
                    <w:bottom w:val="single" w:color="auto" w:sz="12" w:space="0"/>
                  </w:tcBorders>
                  <w:vAlign w:val="center"/>
                </w:tcPr>
                <w:p w14:paraId="64F58C8D">
                  <w:pPr>
                    <w:pStyle w:val="59"/>
                    <w:rPr>
                      <w:b/>
                      <w:bCs w:val="0"/>
                      <w:color w:val="auto"/>
                      <w:spacing w:val="-10"/>
                      <w:sz w:val="24"/>
                      <w:szCs w:val="24"/>
                      <w:highlight w:val="none"/>
                    </w:rPr>
                  </w:pPr>
                  <w:r>
                    <w:rPr>
                      <w:b/>
                      <w:bCs w:val="0"/>
                      <w:color w:val="auto"/>
                      <w:spacing w:val="-10"/>
                      <w:sz w:val="24"/>
                      <w:szCs w:val="24"/>
                      <w:highlight w:val="none"/>
                    </w:rPr>
                    <w:t>烟气流速(m/s)</w:t>
                  </w:r>
                </w:p>
              </w:tc>
              <w:tc>
                <w:tcPr>
                  <w:tcW w:w="427" w:type="pct"/>
                  <w:tcBorders>
                    <w:bottom w:val="single" w:color="auto" w:sz="12" w:space="0"/>
                  </w:tcBorders>
                  <w:vAlign w:val="center"/>
                </w:tcPr>
                <w:p w14:paraId="6D017902">
                  <w:pPr>
                    <w:pStyle w:val="59"/>
                    <w:rPr>
                      <w:b/>
                      <w:bCs w:val="0"/>
                      <w:color w:val="auto"/>
                      <w:spacing w:val="-10"/>
                      <w:sz w:val="24"/>
                      <w:szCs w:val="24"/>
                      <w:highlight w:val="none"/>
                    </w:rPr>
                  </w:pPr>
                  <w:r>
                    <w:rPr>
                      <w:b/>
                      <w:bCs w:val="0"/>
                      <w:color w:val="auto"/>
                      <w:spacing w:val="-10"/>
                      <w:sz w:val="24"/>
                      <w:szCs w:val="24"/>
                      <w:highlight w:val="none"/>
                    </w:rPr>
                    <w:t>烟气温度(℃)</w:t>
                  </w:r>
                </w:p>
              </w:tc>
              <w:tc>
                <w:tcPr>
                  <w:tcW w:w="419" w:type="pct"/>
                  <w:tcBorders>
                    <w:bottom w:val="single" w:color="auto" w:sz="12" w:space="0"/>
                  </w:tcBorders>
                  <w:vAlign w:val="center"/>
                </w:tcPr>
                <w:p w14:paraId="2B421348">
                  <w:pPr>
                    <w:pStyle w:val="59"/>
                    <w:rPr>
                      <w:b/>
                      <w:bCs w:val="0"/>
                      <w:color w:val="auto"/>
                      <w:spacing w:val="-10"/>
                      <w:sz w:val="24"/>
                      <w:szCs w:val="24"/>
                      <w:highlight w:val="none"/>
                    </w:rPr>
                  </w:pPr>
                  <w:r>
                    <w:rPr>
                      <w:b/>
                      <w:bCs w:val="0"/>
                      <w:color w:val="auto"/>
                      <w:spacing w:val="-10"/>
                      <w:sz w:val="24"/>
                      <w:szCs w:val="24"/>
                      <w:highlight w:val="none"/>
                    </w:rPr>
                    <w:t>年排放小时数(h)</w:t>
                  </w:r>
                </w:p>
              </w:tc>
              <w:tc>
                <w:tcPr>
                  <w:tcW w:w="453" w:type="pct"/>
                  <w:tcBorders>
                    <w:bottom w:val="single" w:color="auto" w:sz="12" w:space="0"/>
                  </w:tcBorders>
                  <w:vAlign w:val="center"/>
                </w:tcPr>
                <w:p w14:paraId="07367868">
                  <w:pPr>
                    <w:pStyle w:val="59"/>
                    <w:rPr>
                      <w:b/>
                      <w:bCs w:val="0"/>
                      <w:color w:val="auto"/>
                      <w:spacing w:val="-10"/>
                      <w:sz w:val="24"/>
                      <w:szCs w:val="24"/>
                      <w:highlight w:val="none"/>
                    </w:rPr>
                  </w:pPr>
                  <w:r>
                    <w:rPr>
                      <w:b/>
                      <w:bCs w:val="0"/>
                      <w:color w:val="auto"/>
                      <w:spacing w:val="-10"/>
                      <w:sz w:val="24"/>
                      <w:szCs w:val="24"/>
                      <w:highlight w:val="none"/>
                    </w:rPr>
                    <w:t>排放工况</w:t>
                  </w:r>
                </w:p>
              </w:tc>
              <w:tc>
                <w:tcPr>
                  <w:tcW w:w="427" w:type="pct"/>
                  <w:tcBorders>
                    <w:bottom w:val="single" w:color="auto" w:sz="12" w:space="0"/>
                  </w:tcBorders>
                  <w:vAlign w:val="center"/>
                </w:tcPr>
                <w:p w14:paraId="2520083B">
                  <w:pPr>
                    <w:pStyle w:val="59"/>
                    <w:rPr>
                      <w:b/>
                      <w:bCs w:val="0"/>
                      <w:color w:val="auto"/>
                      <w:spacing w:val="-10"/>
                      <w:sz w:val="24"/>
                      <w:szCs w:val="24"/>
                      <w:highlight w:val="none"/>
                    </w:rPr>
                  </w:pPr>
                  <w:r>
                    <w:rPr>
                      <w:b/>
                      <w:bCs w:val="0"/>
                      <w:color w:val="auto"/>
                      <w:spacing w:val="-10"/>
                      <w:sz w:val="24"/>
                      <w:szCs w:val="24"/>
                      <w:highlight w:val="none"/>
                    </w:rPr>
                    <w:t>污染源名称</w:t>
                  </w:r>
                </w:p>
              </w:tc>
              <w:tc>
                <w:tcPr>
                  <w:tcW w:w="451" w:type="pct"/>
                  <w:tcBorders>
                    <w:bottom w:val="single" w:color="auto" w:sz="12" w:space="0"/>
                  </w:tcBorders>
                  <w:vAlign w:val="center"/>
                </w:tcPr>
                <w:p w14:paraId="68397F5A">
                  <w:pPr>
                    <w:pStyle w:val="59"/>
                    <w:rPr>
                      <w:b/>
                      <w:bCs w:val="0"/>
                      <w:color w:val="auto"/>
                      <w:spacing w:val="-10"/>
                      <w:sz w:val="24"/>
                      <w:szCs w:val="24"/>
                      <w:highlight w:val="none"/>
                    </w:rPr>
                  </w:pPr>
                  <w:r>
                    <w:rPr>
                      <w:b/>
                      <w:bCs w:val="0"/>
                      <w:color w:val="auto"/>
                      <w:spacing w:val="-10"/>
                      <w:sz w:val="24"/>
                      <w:szCs w:val="24"/>
                      <w:highlight w:val="none"/>
                    </w:rPr>
                    <w:t>污染物排放速率(kg/h)</w:t>
                  </w:r>
                </w:p>
              </w:tc>
            </w:tr>
            <w:tr w14:paraId="12995F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 w:type="pct"/>
                  <w:tcBorders>
                    <w:top w:val="single" w:color="auto" w:sz="12" w:space="0"/>
                    <w:tl2br w:val="nil"/>
                    <w:tr2bl w:val="nil"/>
                  </w:tcBorders>
                  <w:vAlign w:val="center"/>
                </w:tcPr>
                <w:p w14:paraId="51ADA6A8">
                  <w:pPr>
                    <w:pStyle w:val="59"/>
                    <w:rPr>
                      <w:color w:val="auto"/>
                      <w:spacing w:val="-10"/>
                      <w:sz w:val="24"/>
                      <w:szCs w:val="24"/>
                      <w:highlight w:val="none"/>
                    </w:rPr>
                  </w:pPr>
                  <w:r>
                    <w:rPr>
                      <w:rFonts w:hint="eastAsia"/>
                      <w:color w:val="auto"/>
                      <w:spacing w:val="-10"/>
                      <w:sz w:val="24"/>
                      <w:szCs w:val="24"/>
                      <w:highlight w:val="none"/>
                    </w:rPr>
                    <w:t>D</w:t>
                  </w:r>
                  <w:r>
                    <w:rPr>
                      <w:color w:val="auto"/>
                      <w:spacing w:val="-10"/>
                      <w:sz w:val="24"/>
                      <w:szCs w:val="24"/>
                      <w:highlight w:val="none"/>
                    </w:rPr>
                    <w:t>A001</w:t>
                  </w:r>
                </w:p>
              </w:tc>
              <w:tc>
                <w:tcPr>
                  <w:tcW w:w="512" w:type="pct"/>
                  <w:tcBorders>
                    <w:top w:val="single" w:color="auto" w:sz="12" w:space="0"/>
                    <w:tl2br w:val="nil"/>
                    <w:tr2bl w:val="nil"/>
                  </w:tcBorders>
                  <w:vAlign w:val="center"/>
                </w:tcPr>
                <w:p w14:paraId="0F841E14">
                  <w:pPr>
                    <w:pStyle w:val="59"/>
                    <w:rPr>
                      <w:rFonts w:hint="default"/>
                      <w:color w:val="auto"/>
                      <w:spacing w:val="-10"/>
                      <w:sz w:val="24"/>
                      <w:szCs w:val="24"/>
                      <w:highlight w:val="none"/>
                      <w:lang w:val="en-US"/>
                    </w:rPr>
                  </w:pPr>
                  <w:r>
                    <w:rPr>
                      <w:rFonts w:hint="eastAsia"/>
                      <w:color w:val="auto"/>
                      <w:spacing w:val="-10"/>
                      <w:sz w:val="24"/>
                      <w:szCs w:val="24"/>
                      <w:highlight w:val="none"/>
                      <w:lang w:val="en-US" w:eastAsia="zh-CN"/>
                    </w:rPr>
                    <w:t>东经</w:t>
                  </w:r>
                  <w:r>
                    <w:rPr>
                      <w:rFonts w:hint="eastAsia"/>
                      <w:color w:val="auto"/>
                      <w:spacing w:val="-10"/>
                      <w:sz w:val="24"/>
                      <w:szCs w:val="24"/>
                      <w:highlight w:val="none"/>
                    </w:rPr>
                    <w:t>9</w:t>
                  </w:r>
                  <w:r>
                    <w:rPr>
                      <w:rFonts w:hint="eastAsia"/>
                      <w:color w:val="auto"/>
                      <w:spacing w:val="-10"/>
                      <w:sz w:val="24"/>
                      <w:szCs w:val="24"/>
                      <w:highlight w:val="none"/>
                      <w:lang w:val="en-US" w:eastAsia="zh-CN"/>
                    </w:rPr>
                    <w:t>1度5分17.956秒</w:t>
                  </w:r>
                </w:p>
              </w:tc>
              <w:tc>
                <w:tcPr>
                  <w:tcW w:w="550" w:type="pct"/>
                  <w:tcBorders>
                    <w:top w:val="single" w:color="auto" w:sz="12" w:space="0"/>
                    <w:tl2br w:val="nil"/>
                    <w:tr2bl w:val="nil"/>
                  </w:tcBorders>
                  <w:vAlign w:val="center"/>
                </w:tcPr>
                <w:p w14:paraId="40ED97B7">
                  <w:pPr>
                    <w:pStyle w:val="59"/>
                    <w:rPr>
                      <w:rFonts w:hint="default"/>
                      <w:color w:val="auto"/>
                      <w:spacing w:val="-10"/>
                      <w:sz w:val="24"/>
                      <w:szCs w:val="24"/>
                      <w:highlight w:val="none"/>
                      <w:lang w:val="en-US"/>
                    </w:rPr>
                  </w:pPr>
                  <w:r>
                    <w:rPr>
                      <w:rFonts w:hint="eastAsia"/>
                      <w:color w:val="auto"/>
                      <w:sz w:val="24"/>
                      <w:szCs w:val="24"/>
                      <w:highlight w:val="none"/>
                      <w:lang w:val="en-US" w:eastAsia="zh-CN"/>
                    </w:rPr>
                    <w:t>北纬</w:t>
                  </w:r>
                  <w:r>
                    <w:rPr>
                      <w:rFonts w:hint="eastAsia"/>
                      <w:color w:val="auto"/>
                      <w:sz w:val="24"/>
                      <w:szCs w:val="24"/>
                      <w:highlight w:val="none"/>
                    </w:rPr>
                    <w:t>4</w:t>
                  </w:r>
                  <w:r>
                    <w:rPr>
                      <w:rFonts w:hint="eastAsia"/>
                      <w:color w:val="auto"/>
                      <w:sz w:val="24"/>
                      <w:szCs w:val="24"/>
                      <w:highlight w:val="none"/>
                      <w:lang w:val="en-US" w:eastAsia="zh-CN"/>
                    </w:rPr>
                    <w:t>3度45分30.095秒</w:t>
                  </w:r>
                </w:p>
              </w:tc>
              <w:tc>
                <w:tcPr>
                  <w:tcW w:w="365" w:type="pct"/>
                  <w:tcBorders>
                    <w:top w:val="single" w:color="auto" w:sz="12" w:space="0"/>
                    <w:tl2br w:val="nil"/>
                    <w:tr2bl w:val="nil"/>
                  </w:tcBorders>
                  <w:vAlign w:val="center"/>
                </w:tcPr>
                <w:p w14:paraId="2F3E15F1">
                  <w:pPr>
                    <w:pStyle w:val="59"/>
                    <w:rPr>
                      <w:rFonts w:hint="default" w:eastAsia="宋体"/>
                      <w:color w:val="auto"/>
                      <w:spacing w:val="-10"/>
                      <w:sz w:val="24"/>
                      <w:szCs w:val="24"/>
                      <w:highlight w:val="none"/>
                      <w:lang w:val="en-US" w:eastAsia="zh-CN"/>
                    </w:rPr>
                  </w:pPr>
                  <w:r>
                    <w:rPr>
                      <w:rFonts w:hint="eastAsia"/>
                      <w:color w:val="auto"/>
                      <w:spacing w:val="-10"/>
                      <w:sz w:val="24"/>
                      <w:szCs w:val="24"/>
                      <w:highlight w:val="none"/>
                      <w:lang w:val="en-US" w:eastAsia="zh-CN"/>
                    </w:rPr>
                    <w:t>15</w:t>
                  </w:r>
                </w:p>
              </w:tc>
              <w:tc>
                <w:tcPr>
                  <w:tcW w:w="503" w:type="pct"/>
                  <w:tcBorders>
                    <w:top w:val="single" w:color="auto" w:sz="12" w:space="0"/>
                    <w:tl2br w:val="nil"/>
                    <w:tr2bl w:val="nil"/>
                  </w:tcBorders>
                  <w:vAlign w:val="center"/>
                </w:tcPr>
                <w:p w14:paraId="24497A58">
                  <w:pPr>
                    <w:pStyle w:val="59"/>
                    <w:rPr>
                      <w:rFonts w:hint="default" w:eastAsia="宋体"/>
                      <w:color w:val="auto"/>
                      <w:spacing w:val="-10"/>
                      <w:sz w:val="24"/>
                      <w:szCs w:val="24"/>
                      <w:highlight w:val="none"/>
                      <w:lang w:val="en-US" w:eastAsia="zh-CN"/>
                    </w:rPr>
                  </w:pPr>
                  <w:r>
                    <w:rPr>
                      <w:color w:val="auto"/>
                      <w:spacing w:val="-10"/>
                      <w:sz w:val="24"/>
                      <w:szCs w:val="24"/>
                      <w:highlight w:val="none"/>
                    </w:rPr>
                    <w:t>0.</w:t>
                  </w:r>
                  <w:r>
                    <w:rPr>
                      <w:rFonts w:hint="eastAsia"/>
                      <w:color w:val="auto"/>
                      <w:spacing w:val="-10"/>
                      <w:sz w:val="24"/>
                      <w:szCs w:val="24"/>
                      <w:highlight w:val="none"/>
                      <w:lang w:val="en-US" w:eastAsia="zh-CN"/>
                    </w:rPr>
                    <w:t>768</w:t>
                  </w:r>
                </w:p>
              </w:tc>
              <w:tc>
                <w:tcPr>
                  <w:tcW w:w="377" w:type="pct"/>
                  <w:tcBorders>
                    <w:top w:val="single" w:color="auto" w:sz="12" w:space="0"/>
                    <w:tl2br w:val="nil"/>
                    <w:tr2bl w:val="nil"/>
                  </w:tcBorders>
                  <w:vAlign w:val="center"/>
                </w:tcPr>
                <w:p w14:paraId="33893A71">
                  <w:pPr>
                    <w:pStyle w:val="59"/>
                    <w:rPr>
                      <w:rFonts w:hint="default" w:eastAsia="宋体"/>
                      <w:color w:val="auto"/>
                      <w:spacing w:val="-10"/>
                      <w:sz w:val="24"/>
                      <w:szCs w:val="24"/>
                      <w:highlight w:val="none"/>
                      <w:lang w:val="en-US" w:eastAsia="zh-CN"/>
                    </w:rPr>
                  </w:pPr>
                  <w:r>
                    <w:rPr>
                      <w:rFonts w:hint="eastAsia"/>
                      <w:color w:val="auto"/>
                      <w:spacing w:val="-10"/>
                      <w:sz w:val="24"/>
                      <w:szCs w:val="24"/>
                      <w:highlight w:val="none"/>
                      <w:lang w:val="en-US" w:eastAsia="zh-CN"/>
                    </w:rPr>
                    <w:t>15</w:t>
                  </w:r>
                </w:p>
              </w:tc>
              <w:tc>
                <w:tcPr>
                  <w:tcW w:w="427" w:type="pct"/>
                  <w:tcBorders>
                    <w:top w:val="single" w:color="auto" w:sz="12" w:space="0"/>
                    <w:tl2br w:val="nil"/>
                    <w:tr2bl w:val="nil"/>
                  </w:tcBorders>
                  <w:vAlign w:val="center"/>
                </w:tcPr>
                <w:p w14:paraId="3FA80C26">
                  <w:pPr>
                    <w:pStyle w:val="59"/>
                    <w:rPr>
                      <w:rFonts w:hint="default" w:eastAsia="宋体"/>
                      <w:color w:val="auto"/>
                      <w:spacing w:val="-10"/>
                      <w:sz w:val="24"/>
                      <w:szCs w:val="24"/>
                      <w:highlight w:val="none"/>
                      <w:lang w:val="en-US" w:eastAsia="zh-CN"/>
                    </w:rPr>
                  </w:pPr>
                  <w:r>
                    <w:rPr>
                      <w:rFonts w:hint="eastAsia"/>
                      <w:color w:val="auto"/>
                      <w:spacing w:val="-10"/>
                      <w:sz w:val="24"/>
                      <w:szCs w:val="24"/>
                      <w:highlight w:val="none"/>
                      <w:lang w:val="en-US" w:eastAsia="zh-CN"/>
                    </w:rPr>
                    <w:t>25</w:t>
                  </w:r>
                </w:p>
              </w:tc>
              <w:tc>
                <w:tcPr>
                  <w:tcW w:w="419" w:type="pct"/>
                  <w:tcBorders>
                    <w:top w:val="single" w:color="auto" w:sz="12" w:space="0"/>
                    <w:tl2br w:val="nil"/>
                    <w:tr2bl w:val="nil"/>
                  </w:tcBorders>
                  <w:vAlign w:val="center"/>
                </w:tcPr>
                <w:p w14:paraId="5E838610">
                  <w:pPr>
                    <w:pStyle w:val="59"/>
                    <w:rPr>
                      <w:rFonts w:hint="default" w:eastAsia="宋体"/>
                      <w:color w:val="auto"/>
                      <w:spacing w:val="-10"/>
                      <w:sz w:val="24"/>
                      <w:szCs w:val="24"/>
                      <w:highlight w:val="none"/>
                      <w:lang w:val="en-US" w:eastAsia="zh-CN"/>
                    </w:rPr>
                  </w:pPr>
                  <w:r>
                    <w:rPr>
                      <w:rFonts w:hint="eastAsia"/>
                      <w:color w:val="auto"/>
                      <w:spacing w:val="-10"/>
                      <w:sz w:val="24"/>
                      <w:szCs w:val="24"/>
                      <w:highlight w:val="none"/>
                      <w:lang w:val="en-US" w:eastAsia="zh-CN"/>
                    </w:rPr>
                    <w:t>1440</w:t>
                  </w:r>
                </w:p>
              </w:tc>
              <w:tc>
                <w:tcPr>
                  <w:tcW w:w="453" w:type="pct"/>
                  <w:tcBorders>
                    <w:top w:val="single" w:color="auto" w:sz="12" w:space="0"/>
                    <w:tl2br w:val="nil"/>
                    <w:tr2bl w:val="nil"/>
                  </w:tcBorders>
                  <w:vAlign w:val="center"/>
                </w:tcPr>
                <w:p w14:paraId="08472852">
                  <w:pPr>
                    <w:pStyle w:val="59"/>
                    <w:rPr>
                      <w:rFonts w:hint="default" w:eastAsia="宋体"/>
                      <w:color w:val="auto"/>
                      <w:spacing w:val="-10"/>
                      <w:sz w:val="24"/>
                      <w:szCs w:val="24"/>
                      <w:highlight w:val="none"/>
                      <w:lang w:val="en-US" w:eastAsia="zh-CN"/>
                    </w:rPr>
                  </w:pPr>
                  <w:r>
                    <w:rPr>
                      <w:rFonts w:hint="eastAsia"/>
                      <w:color w:val="auto"/>
                      <w:spacing w:val="-10"/>
                      <w:sz w:val="24"/>
                      <w:szCs w:val="24"/>
                      <w:highlight w:val="none"/>
                      <w:lang w:val="en-US" w:eastAsia="zh-CN"/>
                    </w:rPr>
                    <w:t>搅拌工序</w:t>
                  </w:r>
                </w:p>
              </w:tc>
              <w:tc>
                <w:tcPr>
                  <w:tcW w:w="427" w:type="pct"/>
                  <w:tcBorders>
                    <w:top w:val="single" w:color="auto" w:sz="12" w:space="0"/>
                    <w:tl2br w:val="nil"/>
                    <w:tr2bl w:val="nil"/>
                  </w:tcBorders>
                  <w:vAlign w:val="center"/>
                </w:tcPr>
                <w:p w14:paraId="0306A68F">
                  <w:pPr>
                    <w:pStyle w:val="59"/>
                    <w:rPr>
                      <w:color w:val="auto"/>
                      <w:spacing w:val="-10"/>
                      <w:sz w:val="24"/>
                      <w:szCs w:val="24"/>
                      <w:highlight w:val="none"/>
                    </w:rPr>
                  </w:pPr>
                  <w:r>
                    <w:rPr>
                      <w:color w:val="auto"/>
                      <w:sz w:val="24"/>
                      <w:szCs w:val="24"/>
                      <w:highlight w:val="none"/>
                    </w:rPr>
                    <w:t>颗粒物</w:t>
                  </w:r>
                </w:p>
              </w:tc>
              <w:tc>
                <w:tcPr>
                  <w:tcW w:w="451" w:type="pct"/>
                  <w:tcBorders>
                    <w:top w:val="single" w:color="auto" w:sz="12" w:space="0"/>
                    <w:tl2br w:val="nil"/>
                    <w:tr2bl w:val="nil"/>
                  </w:tcBorders>
                  <w:vAlign w:val="center"/>
                </w:tcPr>
                <w:p w14:paraId="04902F84">
                  <w:pPr>
                    <w:pStyle w:val="59"/>
                    <w:rPr>
                      <w:rFonts w:hint="default" w:eastAsia="宋体"/>
                      <w:color w:val="auto"/>
                      <w:spacing w:val="-10"/>
                      <w:sz w:val="24"/>
                      <w:szCs w:val="24"/>
                      <w:highlight w:val="yellow"/>
                      <w:lang w:val="en-US" w:eastAsia="zh-CN"/>
                    </w:rPr>
                  </w:pPr>
                  <w:r>
                    <w:rPr>
                      <w:rFonts w:hint="eastAsia"/>
                      <w:color w:val="auto"/>
                      <w:spacing w:val="-10"/>
                      <w:sz w:val="24"/>
                      <w:szCs w:val="24"/>
                      <w:highlight w:val="none"/>
                      <w:lang w:val="en-US" w:eastAsia="zh-CN"/>
                    </w:rPr>
                    <w:t>0.523</w:t>
                  </w:r>
                </w:p>
              </w:tc>
            </w:tr>
          </w:tbl>
          <w:p w14:paraId="5ED34C2E">
            <w:pPr>
              <w:spacing w:line="360" w:lineRule="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w:t>
            </w:r>
            <w:r>
              <w:rPr>
                <w:rFonts w:hint="eastAsia" w:cs="Times New Roman"/>
                <w:b/>
                <w:bCs/>
                <w:color w:val="auto"/>
                <w:sz w:val="24"/>
                <w:lang w:val="en-US" w:eastAsia="zh-CN"/>
              </w:rPr>
              <w:t xml:space="preserve">4 </w:t>
            </w:r>
            <w:r>
              <w:rPr>
                <w:rFonts w:hint="eastAsia" w:ascii="Times New Roman" w:hAnsi="Times New Roman" w:eastAsia="宋体" w:cs="Times New Roman"/>
                <w:b/>
                <w:bCs/>
                <w:color w:val="auto"/>
                <w:sz w:val="24"/>
              </w:rPr>
              <w:t>废气</w:t>
            </w:r>
            <w:r>
              <w:rPr>
                <w:rFonts w:ascii="Times New Roman" w:hAnsi="Times New Roman" w:eastAsia="宋体" w:cs="Times New Roman"/>
                <w:b/>
                <w:bCs/>
                <w:color w:val="auto"/>
                <w:sz w:val="24"/>
              </w:rPr>
              <w:t>治理措施的可行性分析</w:t>
            </w:r>
          </w:p>
          <w:p w14:paraId="66205A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本项目产生的大气污染物主要为颗粒物</w:t>
            </w:r>
            <w:r>
              <w:rPr>
                <w:rFonts w:hint="eastAsia" w:cs="Times New Roman"/>
                <w:color w:val="auto"/>
                <w:sz w:val="24"/>
                <w:szCs w:val="24"/>
                <w:lang w:val="en-US" w:eastAsia="zh-CN"/>
              </w:rPr>
              <w:t>。</w:t>
            </w:r>
          </w:p>
          <w:p w14:paraId="28D2A495">
            <w:pPr>
              <w:autoSpaceDE w:val="0"/>
              <w:autoSpaceDN w:val="0"/>
              <w:adjustRightInd w:val="0"/>
              <w:snapToGrid w:val="0"/>
              <w:spacing w:line="360" w:lineRule="auto"/>
              <w:ind w:firstLine="480" w:firstLineChars="200"/>
              <w:rPr>
                <w:rFonts w:hint="eastAsia" w:cs="Times New Roman"/>
                <w:color w:val="auto"/>
                <w:kern w:val="0"/>
                <w:sz w:val="24"/>
                <w:lang w:val="en-US" w:eastAsia="zh-CN"/>
              </w:rPr>
            </w:pPr>
            <w:r>
              <w:rPr>
                <w:rFonts w:hint="eastAsia" w:cs="Times New Roman"/>
                <w:color w:val="auto"/>
                <w:sz w:val="24"/>
                <w:szCs w:val="24"/>
                <w:lang w:val="en-US" w:eastAsia="zh-CN"/>
              </w:rPr>
              <w:t>根据《工业料堆场扬尘整治规范》（DB65/T4061-2017），项目所在地常年风速2-4m/s，砂石料的粒度在0.5-13mm，砂石料场面积为1110m</w:t>
            </w:r>
            <w:r>
              <w:rPr>
                <w:rFonts w:hint="eastAsia" w:cs="Times New Roman"/>
                <w:color w:val="auto"/>
                <w:sz w:val="24"/>
                <w:szCs w:val="24"/>
                <w:vertAlign w:val="superscript"/>
                <w:lang w:val="en-US" w:eastAsia="zh-CN"/>
              </w:rPr>
              <w:t>2</w:t>
            </w:r>
            <w:r>
              <w:rPr>
                <w:rFonts w:hint="eastAsia" w:cs="Times New Roman"/>
                <w:color w:val="auto"/>
                <w:sz w:val="24"/>
                <w:szCs w:val="24"/>
                <w:vertAlign w:val="baseline"/>
                <w:lang w:val="en-US" w:eastAsia="zh-CN"/>
              </w:rPr>
              <w:t>，</w:t>
            </w:r>
            <w:r>
              <w:rPr>
                <w:rFonts w:hint="eastAsia" w:cs="Times New Roman"/>
                <w:color w:val="auto"/>
                <w:sz w:val="24"/>
                <w:szCs w:val="24"/>
                <w:lang w:val="en-US" w:eastAsia="zh-CN"/>
              </w:rPr>
              <w:t>因此，</w:t>
            </w:r>
            <w:r>
              <w:rPr>
                <w:rFonts w:hint="eastAsia" w:ascii="Times New Roman" w:hAnsi="Times New Roman" w:eastAsia="宋体" w:cs="Times New Roman"/>
                <w:color w:val="auto"/>
                <w:sz w:val="24"/>
                <w:szCs w:val="24"/>
                <w:lang w:val="en-US" w:eastAsia="zh-CN"/>
              </w:rPr>
              <w:t>项目砂石料料场采取</w:t>
            </w:r>
            <w:r>
              <w:rPr>
                <w:rFonts w:hint="eastAsia" w:cs="Times New Roman"/>
                <w:color w:val="auto"/>
                <w:sz w:val="24"/>
                <w:szCs w:val="24"/>
                <w:lang w:val="en-US" w:eastAsia="zh-CN"/>
              </w:rPr>
              <w:t>半封闭式，砂石料料场主体为钢结构，封闭的三面及顶部采取彩钢板等材料，确保堆场内的砂石料不会受到外部环境的影响。砂石料料场仅料场出料口不封闭，料场进、出料口设置在当地常年风向的下风向，同时料场采取</w:t>
            </w:r>
            <w:r>
              <w:rPr>
                <w:rFonts w:hint="eastAsia" w:ascii="Times New Roman" w:hAnsi="Times New Roman" w:eastAsia="宋体" w:cs="Times New Roman"/>
                <w:color w:val="auto"/>
                <w:sz w:val="24"/>
                <w:szCs w:val="24"/>
                <w:lang w:val="en-US" w:eastAsia="zh-CN"/>
              </w:rPr>
              <w:t>覆盖</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洒水降尘抑尘措施</w:t>
            </w:r>
            <w:r>
              <w:rPr>
                <w:rFonts w:hint="eastAsia" w:cs="Times New Roman"/>
                <w:color w:val="auto"/>
                <w:sz w:val="24"/>
                <w:szCs w:val="24"/>
                <w:lang w:val="en-US" w:eastAsia="zh-CN"/>
              </w:rPr>
              <w:t>，可有效降低砂石料料场的扬尘量。</w:t>
            </w:r>
          </w:p>
          <w:p w14:paraId="53196900">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物料装卸和车辆运输道路及时清扫并洒水降尘；物料输送采用封闭廊道；搅拌设备在密闭的搅拌楼中，搅拌机混合原料时会加水搅拌，并且物料本身含水率较高，因此搅拌过程只会产生少量粉尘，但是砂石、粉料落进搅拌机时会产生少量装料粉尘，搅拌机工作时产生的粉尘经过脉冲布袋除尘器处理后，通过管道回到搅拌机内回用于生产过程；</w:t>
            </w:r>
            <w:r>
              <w:rPr>
                <w:color w:val="auto"/>
                <w:sz w:val="24"/>
              </w:rPr>
              <w:t>水泥、粉煤灰等粉料分别由专用罐车运输进厂，通过罐车自带的管道以负压吸入料斗，再以压缩空气（正压）通过管道吸入</w:t>
            </w:r>
            <w:r>
              <w:rPr>
                <w:rFonts w:hint="eastAsia"/>
                <w:color w:val="auto"/>
                <w:sz w:val="24"/>
                <w:lang w:val="en-US" w:eastAsia="zh-CN"/>
              </w:rPr>
              <w:t>各个筒仓</w:t>
            </w:r>
            <w:r>
              <w:rPr>
                <w:color w:val="auto"/>
                <w:sz w:val="24"/>
              </w:rPr>
              <w:t>，整个输送过程在密闭的管道中完成</w:t>
            </w:r>
            <w:r>
              <w:rPr>
                <w:rFonts w:hint="eastAsia"/>
                <w:color w:val="auto"/>
                <w:sz w:val="24"/>
                <w:lang w:eastAsia="zh-CN"/>
              </w:rPr>
              <w:t>，</w:t>
            </w:r>
            <w:r>
              <w:rPr>
                <w:rFonts w:ascii="Times New Roman" w:hAnsi="Times New Roman" w:eastAsia="宋体" w:cs="Times New Roman"/>
                <w:color w:val="auto"/>
                <w:kern w:val="0"/>
                <w:sz w:val="24"/>
              </w:rPr>
              <w:t>在水泥</w:t>
            </w:r>
            <w:r>
              <w:rPr>
                <w:rFonts w:hint="eastAsia" w:cs="Times New Roman"/>
                <w:color w:val="auto"/>
                <w:kern w:val="0"/>
                <w:sz w:val="24"/>
                <w:lang w:val="en-US" w:eastAsia="zh-CN"/>
              </w:rPr>
              <w:t>和</w:t>
            </w:r>
            <w:r>
              <w:rPr>
                <w:rFonts w:ascii="Times New Roman" w:hAnsi="Times New Roman" w:eastAsia="宋体" w:cs="Times New Roman"/>
                <w:color w:val="auto"/>
                <w:kern w:val="0"/>
                <w:sz w:val="24"/>
              </w:rPr>
              <w:t>粉煤灰落入筒仓内时，其筒仓内的空气将从</w:t>
            </w:r>
            <w:r>
              <w:rPr>
                <w:rFonts w:hint="eastAsia" w:ascii="Times New Roman" w:hAnsi="Times New Roman" w:eastAsia="宋体" w:cs="Times New Roman"/>
                <w:color w:val="auto"/>
                <w:kern w:val="0"/>
                <w:sz w:val="24"/>
              </w:rPr>
              <w:t>呼吸孔口</w:t>
            </w:r>
            <w:r>
              <w:rPr>
                <w:rFonts w:ascii="Times New Roman" w:hAnsi="Times New Roman" w:eastAsia="宋体" w:cs="Times New Roman"/>
                <w:color w:val="auto"/>
                <w:kern w:val="0"/>
                <w:sz w:val="24"/>
              </w:rPr>
              <w:t>排出并带出部分粉尘</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各粉料仓</w:t>
            </w:r>
            <w:r>
              <w:rPr>
                <w:rFonts w:hint="eastAsia" w:ascii="Times New Roman" w:hAnsi="Times New Roman" w:eastAsia="宋体" w:cs="Times New Roman"/>
                <w:color w:val="auto"/>
                <w:kern w:val="0"/>
                <w:sz w:val="24"/>
              </w:rPr>
              <w:t>安装布袋</w:t>
            </w:r>
            <w:r>
              <w:rPr>
                <w:rFonts w:ascii="Times New Roman" w:hAnsi="Times New Roman" w:eastAsia="宋体" w:cs="Times New Roman"/>
                <w:color w:val="auto"/>
                <w:kern w:val="0"/>
                <w:sz w:val="24"/>
              </w:rPr>
              <w:t>除尘器，含尘废气经过除尘后排放</w:t>
            </w:r>
            <w:r>
              <w:rPr>
                <w:rFonts w:hint="eastAsia" w:cs="Times New Roman"/>
                <w:color w:val="auto"/>
                <w:kern w:val="0"/>
                <w:sz w:val="24"/>
                <w:lang w:eastAsia="zh-CN"/>
              </w:rPr>
              <w:t>，</w:t>
            </w:r>
            <w:r>
              <w:rPr>
                <w:rFonts w:hint="eastAsia" w:cs="Times New Roman"/>
                <w:color w:val="auto"/>
                <w:kern w:val="0"/>
                <w:sz w:val="24"/>
                <w:lang w:val="en-US" w:eastAsia="zh-CN"/>
              </w:rPr>
              <w:t>布袋收集的粉尘重新进入筒仓。</w:t>
            </w:r>
          </w:p>
          <w:p w14:paraId="1C3A9B8F">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highlight w:val="yellow"/>
                <w:lang w:val="en-US" w:eastAsia="zh-CN"/>
              </w:rPr>
            </w:pPr>
            <w:r>
              <w:rPr>
                <w:rFonts w:hint="eastAsia" w:ascii="Times New Roman" w:hAnsi="Times New Roman" w:eastAsia="宋体" w:cs="Times New Roman"/>
                <w:color w:val="auto"/>
                <w:kern w:val="0"/>
                <w:sz w:val="24"/>
              </w:rPr>
              <w:t>根据</w:t>
            </w:r>
            <w:r>
              <w:rPr>
                <w:rFonts w:ascii="Times New Roman" w:hAnsi="Times New Roman" w:eastAsia="宋体" w:cs="Times New Roman"/>
                <w:color w:val="auto"/>
                <w:kern w:val="0"/>
                <w:sz w:val="24"/>
              </w:rPr>
              <w:t>《排放源统计调查产排污核算方法和系数手册》</w:t>
            </w:r>
            <w:r>
              <w:rPr>
                <w:rFonts w:hint="eastAsia" w:ascii="Times New Roman" w:hAnsi="Times New Roman" w:eastAsia="宋体" w:cs="Times New Roman"/>
                <w:color w:val="auto"/>
                <w:kern w:val="0"/>
                <w:sz w:val="24"/>
              </w:rPr>
              <w:t>（3021水泥制品制造（含3022砼结构构件制造、3029其他水泥类似制品制造）行业系数手册）中的污染治理措施，脉冲布袋除尘器除尘技术属可行技术，</w:t>
            </w:r>
            <w:r>
              <w:rPr>
                <w:rFonts w:hint="eastAsia" w:cs="Times New Roman"/>
                <w:color w:val="auto"/>
                <w:kern w:val="0"/>
                <w:sz w:val="24"/>
                <w:lang w:val="en-US" w:eastAsia="zh-CN"/>
              </w:rPr>
              <w:t>因此</w:t>
            </w:r>
            <w:r>
              <w:rPr>
                <w:rFonts w:hint="eastAsia" w:ascii="Times New Roman" w:hAnsi="Times New Roman" w:eastAsia="宋体" w:cs="Times New Roman"/>
                <w:color w:val="auto"/>
                <w:kern w:val="0"/>
                <w:sz w:val="24"/>
              </w:rPr>
              <w:t>本项目的颗粒物处理措施可行。</w:t>
            </w:r>
          </w:p>
          <w:p w14:paraId="51D0A579">
            <w:pPr>
              <w:keepNext w:val="0"/>
              <w:keepLines w:val="0"/>
              <w:pageBreakBefore w:val="0"/>
              <w:widowControl/>
              <w:kinsoku/>
              <w:wordWrap/>
              <w:overflowPunct/>
              <w:topLinePunct w:val="0"/>
              <w:autoSpaceDE/>
              <w:autoSpaceDN/>
              <w:bidi w:val="0"/>
              <w:adjustRightInd/>
              <w:snapToGrid/>
              <w:spacing w:line="360" w:lineRule="auto"/>
              <w:jc w:val="left"/>
              <w:textAlignment w:val="auto"/>
              <w:rPr>
                <w:b/>
                <w:bCs/>
                <w:color w:val="auto"/>
                <w:sz w:val="24"/>
              </w:rPr>
            </w:pPr>
            <w:r>
              <w:rPr>
                <w:rFonts w:hint="eastAsia"/>
                <w:b/>
                <w:bCs/>
                <w:color w:val="auto"/>
                <w:sz w:val="24"/>
              </w:rPr>
              <w:t>1.</w:t>
            </w:r>
            <w:r>
              <w:rPr>
                <w:rFonts w:hint="eastAsia"/>
                <w:b/>
                <w:bCs/>
                <w:color w:val="auto"/>
                <w:sz w:val="24"/>
                <w:lang w:val="en-US" w:eastAsia="zh-CN"/>
              </w:rPr>
              <w:t xml:space="preserve">5 </w:t>
            </w:r>
            <w:r>
              <w:rPr>
                <w:rFonts w:hint="eastAsia"/>
                <w:b/>
                <w:bCs/>
                <w:color w:val="auto"/>
                <w:sz w:val="24"/>
              </w:rPr>
              <w:t>废气监测计划</w:t>
            </w:r>
          </w:p>
          <w:p w14:paraId="3E04E4AD">
            <w:pPr>
              <w:pStyle w:val="8"/>
              <w:spacing w:before="0" w:after="0" w:line="360" w:lineRule="auto"/>
              <w:ind w:right="0" w:firstLine="480" w:firstLineChars="200"/>
              <w:rPr>
                <w:rFonts w:ascii="Times New Roman" w:hAnsi="Times New Roman" w:eastAsia="宋体" w:cs="Times New Roman"/>
                <w:color w:val="auto"/>
                <w:kern w:val="0"/>
                <w:sz w:val="24"/>
                <w:szCs w:val="24"/>
                <w:highlight w:val="none"/>
                <w:lang w:val="en-US" w:eastAsia="zh-CN" w:bidi="ar-SA"/>
              </w:rPr>
            </w:pPr>
            <w:r>
              <w:rPr>
                <w:rFonts w:ascii="Times New Roman" w:hAnsi="Times New Roman" w:eastAsia="宋体" w:cs="Times New Roman"/>
                <w:color w:val="auto"/>
                <w:kern w:val="0"/>
                <w:sz w:val="24"/>
                <w:szCs w:val="24"/>
                <w:highlight w:val="none"/>
                <w:lang w:val="en-US" w:eastAsia="zh-CN" w:bidi="ar-SA"/>
              </w:rPr>
              <w:t>根据《排污单位自行监测技术指南 总则》（HJ819-2017），本项目废气监测内容</w:t>
            </w:r>
            <w:r>
              <w:rPr>
                <w:rFonts w:hint="eastAsia" w:ascii="Times New Roman" w:hAnsi="Times New Roman" w:eastAsia="宋体" w:cs="Times New Roman"/>
                <w:color w:val="auto"/>
                <w:kern w:val="0"/>
                <w:sz w:val="24"/>
                <w:szCs w:val="24"/>
                <w:highlight w:val="none"/>
                <w:lang w:val="en-US" w:eastAsia="zh-CN" w:bidi="ar-SA"/>
              </w:rPr>
              <w:t>见</w:t>
            </w:r>
            <w:r>
              <w:rPr>
                <w:rFonts w:ascii="Times New Roman" w:hAnsi="Times New Roman" w:eastAsia="宋体" w:cs="Times New Roman"/>
                <w:color w:val="auto"/>
                <w:kern w:val="0"/>
                <w:sz w:val="24"/>
                <w:szCs w:val="24"/>
                <w:highlight w:val="none"/>
                <w:lang w:val="en-US" w:eastAsia="zh-CN" w:bidi="ar-SA"/>
              </w:rPr>
              <w:t>表</w:t>
            </w:r>
            <w:r>
              <w:rPr>
                <w:rFonts w:hint="eastAsia" w:ascii="Times New Roman" w:hAnsi="Times New Roman" w:eastAsia="宋体" w:cs="Times New Roman"/>
                <w:color w:val="auto"/>
                <w:kern w:val="0"/>
                <w:sz w:val="24"/>
                <w:szCs w:val="24"/>
                <w:highlight w:val="none"/>
                <w:lang w:val="en-US" w:eastAsia="zh-CN" w:bidi="ar-SA"/>
              </w:rPr>
              <w:t>4-</w:t>
            </w:r>
            <w:r>
              <w:rPr>
                <w:rFonts w:hint="eastAsia" w:cs="Times New Roman"/>
                <w:color w:val="auto"/>
                <w:kern w:val="0"/>
                <w:sz w:val="24"/>
                <w:szCs w:val="24"/>
                <w:highlight w:val="none"/>
                <w:lang w:val="en-US" w:eastAsia="zh-CN" w:bidi="ar-SA"/>
              </w:rPr>
              <w:t>6</w:t>
            </w:r>
            <w:r>
              <w:rPr>
                <w:rFonts w:ascii="Times New Roman" w:hAnsi="Times New Roman" w:eastAsia="宋体" w:cs="Times New Roman"/>
                <w:color w:val="auto"/>
                <w:kern w:val="0"/>
                <w:sz w:val="24"/>
                <w:szCs w:val="24"/>
                <w:highlight w:val="none"/>
                <w:lang w:val="en-US" w:eastAsia="zh-CN" w:bidi="ar-SA"/>
              </w:rPr>
              <w:t>。</w:t>
            </w:r>
          </w:p>
          <w:p w14:paraId="49EBFFFC">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eastAsia" w:cs="Times New Roman"/>
                <w:color w:val="auto"/>
                <w:lang w:val="en-US" w:eastAsia="zh-CN"/>
              </w:rPr>
              <w:t>6</w:t>
            </w:r>
            <w:r>
              <w:rPr>
                <w:rFonts w:hint="eastAsia" w:ascii="Times New Roman" w:hAnsi="Times New Roman" w:eastAsia="宋体" w:cs="Times New Roman"/>
                <w:color w:val="auto"/>
              </w:rPr>
              <w:t xml:space="preserve">    废气监测计划</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696"/>
              <w:gridCol w:w="1420"/>
              <w:gridCol w:w="1704"/>
              <w:gridCol w:w="1420"/>
            </w:tblGrid>
            <w:tr w14:paraId="0F108D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72" w:type="pct"/>
                  <w:tcBorders>
                    <w:bottom w:val="single" w:color="auto" w:sz="12" w:space="0"/>
                  </w:tcBorders>
                  <w:vAlign w:val="center"/>
                </w:tcPr>
                <w:p w14:paraId="31CA59B0">
                  <w:pPr>
                    <w:overflowPunct w:val="0"/>
                    <w:adjustRightInd w:val="0"/>
                    <w:snapToGrid w:val="0"/>
                    <w:jc w:val="center"/>
                    <w:rPr>
                      <w:b/>
                      <w:color w:val="auto"/>
                      <w:sz w:val="21"/>
                      <w:szCs w:val="21"/>
                    </w:rPr>
                  </w:pPr>
                  <w:r>
                    <w:rPr>
                      <w:b/>
                      <w:color w:val="auto"/>
                      <w:sz w:val="21"/>
                      <w:szCs w:val="21"/>
                    </w:rPr>
                    <w:t>污染源类别</w:t>
                  </w:r>
                </w:p>
              </w:tc>
              <w:tc>
                <w:tcPr>
                  <w:tcW w:w="1067" w:type="pct"/>
                  <w:tcBorders>
                    <w:bottom w:val="single" w:color="auto" w:sz="12" w:space="0"/>
                  </w:tcBorders>
                  <w:vAlign w:val="center"/>
                </w:tcPr>
                <w:p w14:paraId="72FD655B">
                  <w:pPr>
                    <w:overflowPunct w:val="0"/>
                    <w:adjustRightInd w:val="0"/>
                    <w:snapToGrid w:val="0"/>
                    <w:jc w:val="center"/>
                    <w:rPr>
                      <w:b/>
                      <w:color w:val="auto"/>
                      <w:sz w:val="21"/>
                      <w:szCs w:val="21"/>
                    </w:rPr>
                  </w:pPr>
                  <w:r>
                    <w:rPr>
                      <w:b/>
                      <w:color w:val="auto"/>
                      <w:sz w:val="21"/>
                      <w:szCs w:val="21"/>
                    </w:rPr>
                    <w:t>监测位置</w:t>
                  </w:r>
                </w:p>
              </w:tc>
              <w:tc>
                <w:tcPr>
                  <w:tcW w:w="893" w:type="pct"/>
                  <w:tcBorders>
                    <w:bottom w:val="single" w:color="auto" w:sz="12" w:space="0"/>
                  </w:tcBorders>
                  <w:vAlign w:val="center"/>
                </w:tcPr>
                <w:p w14:paraId="5398B5A1">
                  <w:pPr>
                    <w:overflowPunct w:val="0"/>
                    <w:adjustRightInd w:val="0"/>
                    <w:snapToGrid w:val="0"/>
                    <w:jc w:val="center"/>
                    <w:rPr>
                      <w:b/>
                      <w:color w:val="auto"/>
                      <w:sz w:val="21"/>
                      <w:szCs w:val="21"/>
                    </w:rPr>
                  </w:pPr>
                  <w:r>
                    <w:rPr>
                      <w:b/>
                      <w:color w:val="auto"/>
                      <w:sz w:val="21"/>
                      <w:szCs w:val="21"/>
                    </w:rPr>
                    <w:t>监测项目</w:t>
                  </w:r>
                </w:p>
              </w:tc>
              <w:tc>
                <w:tcPr>
                  <w:tcW w:w="1072" w:type="pct"/>
                  <w:tcBorders>
                    <w:bottom w:val="single" w:color="auto" w:sz="12" w:space="0"/>
                  </w:tcBorders>
                  <w:vAlign w:val="center"/>
                </w:tcPr>
                <w:p w14:paraId="04422157">
                  <w:pPr>
                    <w:overflowPunct w:val="0"/>
                    <w:adjustRightInd w:val="0"/>
                    <w:snapToGrid w:val="0"/>
                    <w:jc w:val="center"/>
                    <w:rPr>
                      <w:b/>
                      <w:color w:val="auto"/>
                      <w:sz w:val="21"/>
                      <w:szCs w:val="21"/>
                      <w:highlight w:val="none"/>
                    </w:rPr>
                  </w:pPr>
                  <w:r>
                    <w:rPr>
                      <w:b/>
                      <w:color w:val="auto"/>
                      <w:sz w:val="21"/>
                      <w:szCs w:val="21"/>
                      <w:highlight w:val="none"/>
                    </w:rPr>
                    <w:t>监测频率</w:t>
                  </w:r>
                </w:p>
              </w:tc>
              <w:tc>
                <w:tcPr>
                  <w:tcW w:w="893" w:type="pct"/>
                  <w:tcBorders>
                    <w:bottom w:val="single" w:color="auto" w:sz="12" w:space="0"/>
                  </w:tcBorders>
                  <w:vAlign w:val="center"/>
                </w:tcPr>
                <w:p w14:paraId="148D584B">
                  <w:pPr>
                    <w:overflowPunct w:val="0"/>
                    <w:adjustRightInd w:val="0"/>
                    <w:snapToGrid w:val="0"/>
                    <w:jc w:val="center"/>
                    <w:rPr>
                      <w:b/>
                      <w:color w:val="auto"/>
                      <w:sz w:val="21"/>
                      <w:szCs w:val="21"/>
                    </w:rPr>
                  </w:pPr>
                  <w:r>
                    <w:rPr>
                      <w:b/>
                      <w:color w:val="auto"/>
                      <w:sz w:val="21"/>
                      <w:szCs w:val="21"/>
                    </w:rPr>
                    <w:t>标准限值</w:t>
                  </w:r>
                </w:p>
              </w:tc>
            </w:tr>
            <w:tr w14:paraId="101767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72" w:type="pct"/>
                  <w:vAlign w:val="center"/>
                </w:tcPr>
                <w:p w14:paraId="0D42491B">
                  <w:pPr>
                    <w:overflowPunct w:val="0"/>
                    <w:adjustRightInd w:val="0"/>
                    <w:snapToGrid w:val="0"/>
                    <w:jc w:val="center"/>
                    <w:rPr>
                      <w:bCs/>
                      <w:color w:val="auto"/>
                      <w:sz w:val="21"/>
                      <w:szCs w:val="21"/>
                    </w:rPr>
                  </w:pPr>
                  <w:r>
                    <w:rPr>
                      <w:bCs/>
                      <w:color w:val="auto"/>
                      <w:sz w:val="21"/>
                      <w:szCs w:val="21"/>
                    </w:rPr>
                    <w:t>无组织</w:t>
                  </w:r>
                </w:p>
              </w:tc>
              <w:tc>
                <w:tcPr>
                  <w:tcW w:w="1067" w:type="pct"/>
                  <w:vAlign w:val="center"/>
                </w:tcPr>
                <w:p w14:paraId="614F861A">
                  <w:pPr>
                    <w:overflowPunct w:val="0"/>
                    <w:adjustRightInd w:val="0"/>
                    <w:snapToGrid w:val="0"/>
                    <w:jc w:val="center"/>
                    <w:rPr>
                      <w:bCs/>
                      <w:color w:val="auto"/>
                      <w:sz w:val="21"/>
                      <w:szCs w:val="21"/>
                    </w:rPr>
                  </w:pPr>
                  <w:r>
                    <w:rPr>
                      <w:bCs/>
                      <w:color w:val="auto"/>
                      <w:sz w:val="21"/>
                      <w:szCs w:val="21"/>
                    </w:rPr>
                    <w:t>厂界</w:t>
                  </w:r>
                </w:p>
              </w:tc>
              <w:tc>
                <w:tcPr>
                  <w:tcW w:w="893" w:type="pct"/>
                  <w:vAlign w:val="center"/>
                </w:tcPr>
                <w:p w14:paraId="2711BD53">
                  <w:pPr>
                    <w:overflowPunct w:val="0"/>
                    <w:adjustRightInd w:val="0"/>
                    <w:snapToGrid w:val="0"/>
                    <w:jc w:val="center"/>
                    <w:rPr>
                      <w:bCs/>
                      <w:color w:val="auto"/>
                      <w:sz w:val="21"/>
                      <w:szCs w:val="21"/>
                    </w:rPr>
                  </w:pPr>
                  <w:r>
                    <w:rPr>
                      <w:bCs/>
                      <w:color w:val="auto"/>
                      <w:sz w:val="21"/>
                      <w:szCs w:val="21"/>
                    </w:rPr>
                    <w:t>颗粒物</w:t>
                  </w:r>
                </w:p>
              </w:tc>
              <w:tc>
                <w:tcPr>
                  <w:tcW w:w="1072" w:type="pct"/>
                  <w:vAlign w:val="center"/>
                </w:tcPr>
                <w:p w14:paraId="35870A52">
                  <w:pPr>
                    <w:overflowPunct w:val="0"/>
                    <w:adjustRightInd w:val="0"/>
                    <w:snapToGrid w:val="0"/>
                    <w:jc w:val="center"/>
                    <w:rPr>
                      <w:bCs/>
                      <w:color w:val="auto"/>
                      <w:sz w:val="21"/>
                      <w:szCs w:val="21"/>
                      <w:highlight w:val="none"/>
                    </w:rPr>
                  </w:pPr>
                  <w:r>
                    <w:rPr>
                      <w:bCs/>
                      <w:color w:val="auto"/>
                      <w:sz w:val="21"/>
                      <w:szCs w:val="21"/>
                      <w:highlight w:val="none"/>
                    </w:rPr>
                    <w:t>1次/每</w:t>
                  </w:r>
                  <w:r>
                    <w:rPr>
                      <w:rFonts w:hint="eastAsia"/>
                      <w:bCs/>
                      <w:color w:val="auto"/>
                      <w:sz w:val="21"/>
                      <w:szCs w:val="21"/>
                      <w:highlight w:val="none"/>
                      <w:lang w:val="en-US" w:eastAsia="zh-CN"/>
                    </w:rPr>
                    <w:t>半</w:t>
                  </w:r>
                  <w:r>
                    <w:rPr>
                      <w:bCs/>
                      <w:color w:val="auto"/>
                      <w:sz w:val="21"/>
                      <w:szCs w:val="21"/>
                      <w:highlight w:val="none"/>
                    </w:rPr>
                    <w:t>年</w:t>
                  </w:r>
                </w:p>
              </w:tc>
              <w:tc>
                <w:tcPr>
                  <w:tcW w:w="893" w:type="pct"/>
                  <w:vAlign w:val="center"/>
                </w:tcPr>
                <w:p w14:paraId="061F634E">
                  <w:pPr>
                    <w:overflowPunct w:val="0"/>
                    <w:adjustRightInd w:val="0"/>
                    <w:snapToGrid w:val="0"/>
                    <w:jc w:val="center"/>
                    <w:rPr>
                      <w:bCs/>
                      <w:color w:val="auto"/>
                      <w:sz w:val="21"/>
                      <w:szCs w:val="21"/>
                    </w:rPr>
                  </w:pPr>
                  <w:r>
                    <w:rPr>
                      <w:rFonts w:hint="eastAsia"/>
                      <w:bCs/>
                      <w:color w:val="auto"/>
                      <w:sz w:val="21"/>
                      <w:szCs w:val="21"/>
                      <w:lang w:val="en-US" w:eastAsia="zh-CN"/>
                    </w:rPr>
                    <w:t>0.5</w:t>
                  </w:r>
                  <w:r>
                    <w:rPr>
                      <w:bCs/>
                      <w:color w:val="auto"/>
                      <w:sz w:val="21"/>
                      <w:szCs w:val="21"/>
                    </w:rPr>
                    <w:t>mg/m</w:t>
                  </w:r>
                  <w:r>
                    <w:rPr>
                      <w:bCs/>
                      <w:color w:val="auto"/>
                      <w:sz w:val="21"/>
                      <w:szCs w:val="21"/>
                      <w:vertAlign w:val="superscript"/>
                    </w:rPr>
                    <w:t>3</w:t>
                  </w:r>
                </w:p>
              </w:tc>
            </w:tr>
            <w:tr w14:paraId="515D13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72" w:type="pct"/>
                  <w:vAlign w:val="center"/>
                </w:tcPr>
                <w:p w14:paraId="2A545F3E">
                  <w:pPr>
                    <w:overflowPunct w:val="0"/>
                    <w:adjustRightInd w:val="0"/>
                    <w:snapToGrid w:val="0"/>
                    <w:jc w:val="center"/>
                    <w:rPr>
                      <w:rFonts w:hint="eastAsia" w:eastAsia="宋体"/>
                      <w:bCs/>
                      <w:color w:val="auto"/>
                      <w:sz w:val="21"/>
                      <w:szCs w:val="21"/>
                      <w:lang w:val="en-US" w:eastAsia="zh-CN"/>
                    </w:rPr>
                  </w:pPr>
                  <w:r>
                    <w:rPr>
                      <w:rFonts w:hint="eastAsia"/>
                      <w:bCs/>
                      <w:color w:val="auto"/>
                      <w:sz w:val="21"/>
                      <w:szCs w:val="21"/>
                      <w:lang w:val="en-US" w:eastAsia="zh-CN"/>
                    </w:rPr>
                    <w:t>有组织</w:t>
                  </w:r>
                </w:p>
              </w:tc>
              <w:tc>
                <w:tcPr>
                  <w:tcW w:w="1067" w:type="pct"/>
                  <w:vAlign w:val="center"/>
                </w:tcPr>
                <w:p w14:paraId="7B20DA2A">
                  <w:pPr>
                    <w:overflowPunct w:val="0"/>
                    <w:adjustRightInd w:val="0"/>
                    <w:snapToGrid w:val="0"/>
                    <w:jc w:val="center"/>
                    <w:rPr>
                      <w:rFonts w:hint="default" w:eastAsia="宋体"/>
                      <w:bCs/>
                      <w:color w:val="auto"/>
                      <w:sz w:val="21"/>
                      <w:szCs w:val="21"/>
                      <w:lang w:val="en-US" w:eastAsia="zh-CN"/>
                    </w:rPr>
                  </w:pPr>
                  <w:r>
                    <w:rPr>
                      <w:rFonts w:hint="eastAsia"/>
                      <w:bCs/>
                      <w:color w:val="auto"/>
                      <w:sz w:val="21"/>
                      <w:szCs w:val="21"/>
                      <w:lang w:val="en-US" w:eastAsia="zh-CN"/>
                    </w:rPr>
                    <w:t>排气筒</w:t>
                  </w:r>
                </w:p>
              </w:tc>
              <w:tc>
                <w:tcPr>
                  <w:tcW w:w="893" w:type="pct"/>
                  <w:vAlign w:val="center"/>
                </w:tcPr>
                <w:p w14:paraId="102DE602">
                  <w:pPr>
                    <w:overflowPunct w:val="0"/>
                    <w:adjustRightInd w:val="0"/>
                    <w:snapToGrid w:val="0"/>
                    <w:jc w:val="center"/>
                    <w:rPr>
                      <w:rFonts w:hint="eastAsia" w:eastAsia="宋体"/>
                      <w:bCs/>
                      <w:color w:val="auto"/>
                      <w:sz w:val="21"/>
                      <w:szCs w:val="21"/>
                      <w:lang w:val="en-US" w:eastAsia="zh-CN"/>
                    </w:rPr>
                  </w:pPr>
                  <w:r>
                    <w:rPr>
                      <w:rFonts w:hint="eastAsia"/>
                      <w:bCs/>
                      <w:color w:val="auto"/>
                      <w:sz w:val="21"/>
                      <w:szCs w:val="21"/>
                      <w:lang w:val="en-US" w:eastAsia="zh-CN"/>
                    </w:rPr>
                    <w:t>颗粒物</w:t>
                  </w:r>
                </w:p>
              </w:tc>
              <w:tc>
                <w:tcPr>
                  <w:tcW w:w="1072" w:type="pct"/>
                  <w:vAlign w:val="center"/>
                </w:tcPr>
                <w:p w14:paraId="7FCC34E4">
                  <w:pPr>
                    <w:overflowPunct w:val="0"/>
                    <w:adjustRightInd w:val="0"/>
                    <w:snapToGrid w:val="0"/>
                    <w:jc w:val="center"/>
                    <w:rPr>
                      <w:bCs/>
                      <w:color w:val="auto"/>
                      <w:sz w:val="21"/>
                      <w:szCs w:val="21"/>
                      <w:highlight w:val="none"/>
                    </w:rPr>
                  </w:pPr>
                  <w:r>
                    <w:rPr>
                      <w:bCs/>
                      <w:color w:val="auto"/>
                      <w:sz w:val="21"/>
                      <w:szCs w:val="21"/>
                      <w:highlight w:val="none"/>
                    </w:rPr>
                    <w:t>1次/每</w:t>
                  </w:r>
                  <w:r>
                    <w:rPr>
                      <w:rFonts w:hint="eastAsia"/>
                      <w:bCs/>
                      <w:color w:val="auto"/>
                      <w:sz w:val="21"/>
                      <w:szCs w:val="21"/>
                      <w:highlight w:val="none"/>
                      <w:lang w:val="en-US" w:eastAsia="zh-CN"/>
                    </w:rPr>
                    <w:t>半</w:t>
                  </w:r>
                  <w:r>
                    <w:rPr>
                      <w:bCs/>
                      <w:color w:val="auto"/>
                      <w:sz w:val="21"/>
                      <w:szCs w:val="21"/>
                      <w:highlight w:val="none"/>
                    </w:rPr>
                    <w:t>年</w:t>
                  </w:r>
                </w:p>
              </w:tc>
              <w:tc>
                <w:tcPr>
                  <w:tcW w:w="893" w:type="pct"/>
                  <w:vAlign w:val="center"/>
                </w:tcPr>
                <w:p w14:paraId="6832624F">
                  <w:pPr>
                    <w:overflowPunct w:val="0"/>
                    <w:adjustRightInd w:val="0"/>
                    <w:snapToGrid w:val="0"/>
                    <w:jc w:val="center"/>
                    <w:rPr>
                      <w:rFonts w:hint="eastAsia"/>
                      <w:bCs/>
                      <w:color w:val="auto"/>
                      <w:sz w:val="21"/>
                      <w:szCs w:val="21"/>
                      <w:lang w:val="en-US" w:eastAsia="zh-CN"/>
                    </w:rPr>
                  </w:pPr>
                  <w:r>
                    <w:rPr>
                      <w:rFonts w:hint="eastAsia"/>
                      <w:bCs/>
                      <w:color w:val="auto"/>
                      <w:sz w:val="21"/>
                      <w:szCs w:val="21"/>
                      <w:lang w:val="en-US" w:eastAsia="zh-CN"/>
                    </w:rPr>
                    <w:t>20</w:t>
                  </w:r>
                  <w:r>
                    <w:rPr>
                      <w:bCs/>
                      <w:color w:val="auto"/>
                      <w:sz w:val="21"/>
                      <w:szCs w:val="21"/>
                    </w:rPr>
                    <w:t>mg/m</w:t>
                  </w:r>
                  <w:r>
                    <w:rPr>
                      <w:bCs/>
                      <w:color w:val="auto"/>
                      <w:sz w:val="21"/>
                      <w:szCs w:val="21"/>
                      <w:vertAlign w:val="superscript"/>
                    </w:rPr>
                    <w:t>3</w:t>
                  </w:r>
                </w:p>
              </w:tc>
            </w:tr>
          </w:tbl>
          <w:p w14:paraId="230A0816">
            <w:pPr>
              <w:pStyle w:val="23"/>
              <w:keepNext w:val="0"/>
              <w:keepLines w:val="0"/>
              <w:pageBreakBefore w:val="0"/>
              <w:widowControl w:val="0"/>
              <w:kinsoku/>
              <w:wordWrap/>
              <w:overflowPunct/>
              <w:topLinePunct w:val="0"/>
              <w:autoSpaceDE/>
              <w:autoSpaceDN/>
              <w:bidi w:val="0"/>
              <w:adjustRightInd/>
              <w:snapToGrid/>
              <w:spacing w:before="157" w:beforeLines="50"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综上所述，本项目产生的废气污染物可以满足《水泥工业大气污染物排放标准》（GB4915-2013）中大气污染物无组织</w:t>
            </w:r>
            <w:r>
              <w:rPr>
                <w:rFonts w:hint="eastAsia" w:cs="Times New Roman"/>
                <w:color w:val="auto"/>
                <w:kern w:val="0"/>
                <w:sz w:val="24"/>
                <w:szCs w:val="24"/>
                <w:lang w:val="en-US" w:eastAsia="zh-CN" w:bidi="ar-SA"/>
              </w:rPr>
              <w:t>和有组织</w:t>
            </w:r>
            <w:r>
              <w:rPr>
                <w:rFonts w:hint="eastAsia" w:ascii="Times New Roman" w:hAnsi="Times New Roman" w:eastAsia="宋体" w:cs="Times New Roman"/>
                <w:color w:val="auto"/>
                <w:kern w:val="0"/>
                <w:sz w:val="24"/>
                <w:szCs w:val="24"/>
                <w:lang w:val="en-US" w:eastAsia="zh-CN" w:bidi="ar-SA"/>
              </w:rPr>
              <w:t>排放限值要求，对周围环境影响较小。其</w:t>
            </w:r>
            <w:r>
              <w:rPr>
                <w:rFonts w:hint="eastAsia" w:ascii="Times New Roman" w:hAnsi="Times New Roman" w:eastAsia="宋体" w:cs="Times New Roman"/>
                <w:color w:val="auto"/>
                <w:sz w:val="24"/>
                <w:szCs w:val="24"/>
                <w:vertAlign w:val="baseline"/>
                <w:lang w:val="en-US" w:eastAsia="zh-CN"/>
              </w:rPr>
              <w:t>中无组织排放限值0.5mg/m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，限值含义：监控点与参照点总悬浮颗粒物（TSP）1小时浓度值的差值。无组织排放监控位置：厂界外20m处上风向设参照点，下风向设监控点。</w:t>
            </w:r>
          </w:p>
          <w:p w14:paraId="0CB9957D">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kern w:val="2"/>
                <w:sz w:val="24"/>
                <w:szCs w:val="24"/>
                <w:lang w:val="en-US" w:eastAsia="zh-CN" w:bidi="ar-SA"/>
              </w:rPr>
              <w:t>2.</w:t>
            </w:r>
            <w:r>
              <w:rPr>
                <w:rFonts w:hint="eastAsia" w:ascii="Times New Roman" w:hAnsi="Times New Roman" w:eastAsia="宋体" w:cs="Times New Roman"/>
                <w:b/>
                <w:bCs/>
                <w:color w:val="auto"/>
                <w:sz w:val="24"/>
              </w:rPr>
              <w:t>废水</w:t>
            </w:r>
          </w:p>
          <w:p w14:paraId="706BF8E4">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本项目废水污染主要来源于</w:t>
            </w:r>
            <w:r>
              <w:rPr>
                <w:rFonts w:hint="eastAsia" w:cs="Times New Roman"/>
                <w:color w:val="auto"/>
                <w:kern w:val="0"/>
                <w:sz w:val="24"/>
                <w:szCs w:val="24"/>
                <w:lang w:val="en-US" w:eastAsia="zh-CN" w:bidi="ar-SA"/>
              </w:rPr>
              <w:t>生产废水和工作人员的日常生活所产生的生活污水。</w:t>
            </w:r>
          </w:p>
          <w:p w14:paraId="0D94EF27">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2.1</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生产废水</w:t>
            </w:r>
          </w:p>
          <w:p w14:paraId="201A8DE6">
            <w:pPr>
              <w:spacing w:line="360" w:lineRule="auto"/>
              <w:ind w:firstLine="480" w:firstLineChars="200"/>
              <w:rPr>
                <w:rFonts w:hint="eastAsia"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搅拌机在停机时或更换生产不同型号的混凝土时，需要清洗搅拌机和盛装混凝土的罐体，将附着在搅拌机和罐体内的混凝土清洗干净，同时混凝土运输车的罐体也要进行</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清洗。为</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防止将泥沙带到外</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环境中</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造成粉尘二次污染</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本项目在搅拌站内</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废水沉淀池旁</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设置洗车平台，对出站的混凝土运输罐车、水泥及粉煤灰运输罐车、砂石料运输车辆车轮、车厢外部进行冲洗，</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冲洗后的废水</w:t>
            </w:r>
            <w:r>
              <w:rPr>
                <w:rFonts w:hint="eastAsia" w:cs="Times New Roman"/>
                <w:color w:val="000000" w:themeColor="text1"/>
                <w:kern w:val="0"/>
                <w:sz w:val="24"/>
                <w:lang w:val="en-US" w:eastAsia="zh-CN"/>
                <w14:textFill>
                  <w14:solidFill>
                    <w14:schemeClr w14:val="tx1"/>
                  </w14:solidFill>
                </w14:textFill>
              </w:rPr>
              <w:t>通过排水槽</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流入</w:t>
            </w:r>
            <w:r>
              <w:rPr>
                <w:rFonts w:hint="eastAsia" w:cs="Times New Roman"/>
                <w:color w:val="000000" w:themeColor="text1"/>
                <w:kern w:val="0"/>
                <w:sz w:val="24"/>
                <w:lang w:val="en-US" w:eastAsia="zh-CN"/>
                <w14:textFill>
                  <w14:solidFill>
                    <w14:schemeClr w14:val="tx1"/>
                  </w14:solidFill>
                </w14:textFill>
              </w:rPr>
              <w:t>50m</w:t>
            </w:r>
            <w:r>
              <w:rPr>
                <w:rFonts w:hint="eastAsia" w:cs="Times New Roman"/>
                <w:color w:val="000000" w:themeColor="text1"/>
                <w:kern w:val="0"/>
                <w:sz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沉淀池</w:t>
            </w:r>
            <w:r>
              <w:rPr>
                <w:rFonts w:hint="eastAsia" w:cs="Times New Roman"/>
                <w:color w:val="000000" w:themeColor="text1"/>
                <w:kern w:val="0"/>
                <w:sz w:val="24"/>
                <w:lang w:val="en-US" w:eastAsia="zh-CN"/>
                <w14:textFill>
                  <w14:solidFill>
                    <w14:schemeClr w14:val="tx1"/>
                  </w14:solidFill>
                </w14:textFill>
              </w:rPr>
              <w:t>，经沉淀后上清液回用于车辆清洗，沉淀池沉渣回用于生产</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w:t>
            </w:r>
          </w:p>
          <w:p w14:paraId="14C052D5">
            <w:pPr>
              <w:pStyle w:val="26"/>
              <w:numPr>
                <w:ilvl w:val="0"/>
                <w:numId w:val="0"/>
              </w:numPr>
              <w:spacing w:line="360" w:lineRule="auto"/>
              <w:ind w:left="0" w:leftChars="0" w:firstLine="480" w:firstLineChars="20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1）搅拌机每次清洗用水1m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，每天清洗2次，2台搅拌机用水4m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/d，共720m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/a。</w:t>
            </w:r>
          </w:p>
          <w:p w14:paraId="063F190C">
            <w:pPr>
              <w:pStyle w:val="26"/>
              <w:numPr>
                <w:ilvl w:val="0"/>
                <w:numId w:val="0"/>
              </w:numPr>
              <w:spacing w:line="360" w:lineRule="auto"/>
              <w:ind w:left="0" w:leftChars="0" w:firstLine="480" w:firstLineChars="200"/>
              <w:rPr>
                <w:color w:val="auto"/>
                <w:sz w:val="24"/>
              </w:rPr>
            </w:pPr>
            <w:r>
              <w:rPr>
                <w:rFonts w:ascii="Calibri" w:hAnsi="Calibri" w:eastAsia="宋体" w:cstheme="minorBidi"/>
                <w:color w:val="auto"/>
                <w:kern w:val="0"/>
                <w:sz w:val="24"/>
                <w:szCs w:val="22"/>
                <w:lang w:val="en-US" w:eastAsia="zh-CN" w:bidi="ar-SA"/>
              </w:rPr>
              <w:t>2）</w:t>
            </w:r>
            <w:r>
              <w:rPr>
                <w:rFonts w:hint="eastAsia" w:ascii="Times New Roman" w:hAnsi="Times New Roman" w:eastAsia="宋体" w:cs="Times New Roman"/>
                <w:color w:val="auto"/>
                <w:kern w:val="0"/>
                <w:sz w:val="24"/>
                <w:szCs w:val="24"/>
                <w:lang w:val="en-US" w:eastAsia="zh-CN" w:bidi="ar-SA"/>
              </w:rPr>
              <w:t>原料运输</w:t>
            </w:r>
            <w:r>
              <w:rPr>
                <w:rFonts w:hint="eastAsia" w:ascii="Times New Roman" w:hAnsi="Times New Roman" w:cs="Times New Roman"/>
                <w:color w:val="auto"/>
                <w:kern w:val="0"/>
                <w:sz w:val="24"/>
                <w:szCs w:val="24"/>
                <w:lang w:val="en-US" w:eastAsia="zh-CN" w:bidi="ar-SA"/>
              </w:rPr>
              <w:t>车辆、</w:t>
            </w:r>
            <w:r>
              <w:rPr>
                <w:rFonts w:hint="eastAsia" w:ascii="Times New Roman" w:hAnsi="Times New Roman" w:eastAsia="宋体" w:cs="Times New Roman"/>
                <w:color w:val="auto"/>
                <w:kern w:val="0"/>
                <w:sz w:val="24"/>
                <w:szCs w:val="24"/>
                <w:lang w:val="en-US" w:eastAsia="zh-CN" w:bidi="ar-SA"/>
              </w:rPr>
              <w:t>混凝土运输罐车每次清洗用水1m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，每天清洗</w:t>
            </w:r>
            <w:r>
              <w:rPr>
                <w:rFonts w:hint="eastAsia" w:ascii="Times New Roman" w:hAnsi="Times New Roman" w:cs="Times New Roman"/>
                <w:color w:val="auto"/>
                <w:kern w:val="0"/>
                <w:sz w:val="24"/>
                <w:szCs w:val="24"/>
                <w:lang w:val="en-US" w:eastAsia="zh-CN" w:bidi="ar-SA"/>
              </w:rPr>
              <w:t>约</w:t>
            </w:r>
            <w:r>
              <w:rPr>
                <w:rFonts w:hint="eastAsia" w:ascii="Times New Roman" w:hAnsi="Times New Roman" w:eastAsia="宋体" w:cs="Times New Roman"/>
                <w:color w:val="auto"/>
                <w:kern w:val="0"/>
                <w:sz w:val="24"/>
                <w:szCs w:val="24"/>
                <w:lang w:val="en-US" w:eastAsia="zh-CN" w:bidi="ar-SA"/>
              </w:rPr>
              <w:t>2</w:t>
            </w:r>
            <w:r>
              <w:rPr>
                <w:rFonts w:hint="eastAsia" w:ascii="Times New Roman" w:hAnsi="Times New Roman" w:cs="Times New Roman"/>
                <w:color w:val="auto"/>
                <w:kern w:val="0"/>
                <w:sz w:val="24"/>
                <w:szCs w:val="24"/>
                <w:lang w:val="en-US" w:eastAsia="zh-CN" w:bidi="ar-SA"/>
              </w:rPr>
              <w:t>4</w:t>
            </w:r>
            <w:r>
              <w:rPr>
                <w:rFonts w:hint="eastAsia" w:ascii="Times New Roman" w:hAnsi="Times New Roman" w:eastAsia="宋体" w:cs="Times New Roman"/>
                <w:color w:val="auto"/>
                <w:kern w:val="0"/>
                <w:sz w:val="24"/>
                <w:szCs w:val="24"/>
                <w:lang w:val="en-US" w:eastAsia="zh-CN" w:bidi="ar-SA"/>
              </w:rPr>
              <w:t>次，用水2</w:t>
            </w:r>
            <w:r>
              <w:rPr>
                <w:rFonts w:hint="eastAsia" w:ascii="Times New Roman" w:hAnsi="Times New Roman" w:cs="Times New Roman"/>
                <w:color w:val="auto"/>
                <w:kern w:val="0"/>
                <w:sz w:val="24"/>
                <w:szCs w:val="24"/>
                <w:lang w:val="en-US" w:eastAsia="zh-CN" w:bidi="ar-SA"/>
              </w:rPr>
              <w:t>4</w:t>
            </w:r>
            <w:r>
              <w:rPr>
                <w:rFonts w:hint="eastAsia" w:ascii="Times New Roman" w:hAnsi="Times New Roman" w:eastAsia="宋体" w:cs="Times New Roman"/>
                <w:color w:val="auto"/>
                <w:kern w:val="0"/>
                <w:sz w:val="24"/>
                <w:szCs w:val="24"/>
                <w:lang w:val="en-US" w:eastAsia="zh-CN" w:bidi="ar-SA"/>
              </w:rPr>
              <w:t>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/d，共</w:t>
            </w:r>
            <w:r>
              <w:rPr>
                <w:rFonts w:hint="eastAsia" w:ascii="Times New Roman" w:hAnsi="Times New Roman" w:cs="Times New Roman"/>
                <w:color w:val="auto"/>
                <w:kern w:val="0"/>
                <w:sz w:val="24"/>
                <w:szCs w:val="24"/>
                <w:lang w:val="en-US" w:eastAsia="zh-CN" w:bidi="ar-SA"/>
              </w:rPr>
              <w:t>432</w:t>
            </w:r>
            <w:r>
              <w:rPr>
                <w:rFonts w:hint="eastAsia" w:ascii="Times New Roman" w:hAnsi="Times New Roman" w:eastAsia="宋体" w:cs="Times New Roman"/>
                <w:color w:val="auto"/>
                <w:kern w:val="0"/>
                <w:sz w:val="24"/>
                <w:szCs w:val="24"/>
                <w:lang w:val="en-US" w:eastAsia="zh-CN" w:bidi="ar-SA"/>
              </w:rPr>
              <w:t>0m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/a。</w:t>
            </w:r>
          </w:p>
          <w:p w14:paraId="4F417924">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3</w:t>
            </w:r>
            <w:r>
              <w:rPr>
                <w:rFonts w:hint="eastAsia" w:ascii="Times New Roman" w:hAnsi="Times New Roman" w:eastAsia="宋体" w:cs="Times New Roman"/>
                <w:color w:val="auto"/>
                <w:kern w:val="0"/>
                <w:sz w:val="24"/>
                <w:szCs w:val="24"/>
                <w:lang w:val="en-US" w:eastAsia="zh-CN" w:bidi="ar-SA"/>
              </w:rPr>
              <w:t>）厂区地面清洁每2日进行1</w:t>
            </w:r>
            <w:r>
              <w:rPr>
                <w:rFonts w:hint="eastAsia" w:ascii="Times New Roman" w:hAnsi="Times New Roman" w:eastAsia="宋体" w:cs="Times New Roman"/>
                <w:color w:val="auto"/>
                <w:kern w:val="0"/>
                <w:sz w:val="24"/>
                <w:szCs w:val="24"/>
                <w:highlight w:val="none"/>
                <w:lang w:val="en-US" w:eastAsia="zh-CN" w:bidi="ar-SA"/>
              </w:rPr>
              <w:t>次，需清洁地面约为</w:t>
            </w:r>
            <w:r>
              <w:rPr>
                <w:rFonts w:hint="eastAsia" w:cs="Times New Roman"/>
                <w:color w:val="auto"/>
                <w:kern w:val="0"/>
                <w:sz w:val="24"/>
                <w:szCs w:val="24"/>
                <w:highlight w:val="none"/>
                <w:lang w:val="en-US" w:eastAsia="zh-CN" w:bidi="ar-SA"/>
              </w:rPr>
              <w:t>6</w:t>
            </w:r>
            <w:r>
              <w:rPr>
                <w:rFonts w:hint="eastAsia" w:ascii="Times New Roman" w:hAnsi="Times New Roman" w:eastAsia="宋体" w:cs="Times New Roman"/>
                <w:color w:val="auto"/>
                <w:kern w:val="0"/>
                <w:sz w:val="24"/>
                <w:szCs w:val="24"/>
                <w:highlight w:val="none"/>
                <w:lang w:val="en-US" w:eastAsia="zh-CN" w:bidi="ar-SA"/>
              </w:rPr>
              <w:t>000</w:t>
            </w:r>
            <w:r>
              <w:rPr>
                <w:rFonts w:hint="eastAsia" w:ascii="Times New Roman" w:hAnsi="Times New Roman" w:eastAsia="宋体" w:cs="Times New Roman"/>
                <w:color w:val="auto"/>
                <w:kern w:val="0"/>
                <w:sz w:val="24"/>
                <w:szCs w:val="24"/>
                <w:lang w:val="en-US" w:eastAsia="zh-CN" w:bidi="ar-SA"/>
              </w:rPr>
              <w:t>m</w:t>
            </w:r>
            <w:r>
              <w:rPr>
                <w:rFonts w:hint="eastAsia" w:ascii="Times New Roman" w:hAnsi="Times New Roman" w:eastAsia="宋体" w:cs="Times New Roman"/>
                <w:color w:val="auto"/>
                <w:kern w:val="0"/>
                <w:sz w:val="24"/>
                <w:szCs w:val="24"/>
                <w:vertAlign w:val="superscript"/>
                <w:lang w:val="en-US" w:eastAsia="zh-CN" w:bidi="ar-SA"/>
              </w:rPr>
              <w:t>2</w:t>
            </w:r>
            <w:r>
              <w:rPr>
                <w:rFonts w:hint="eastAsia" w:ascii="Times New Roman" w:hAnsi="Times New Roman" w:eastAsia="宋体" w:cs="Times New Roman"/>
                <w:color w:val="auto"/>
                <w:kern w:val="0"/>
                <w:sz w:val="24"/>
                <w:szCs w:val="24"/>
                <w:vertAlign w:val="baseline"/>
                <w:lang w:val="en-US" w:eastAsia="zh-CN" w:bidi="ar-SA"/>
              </w:rPr>
              <w:t>，每平方米用水2L，用水</w:t>
            </w:r>
            <w:r>
              <w:rPr>
                <w:rFonts w:hint="eastAsia" w:cs="Times New Roman"/>
                <w:color w:val="auto"/>
                <w:kern w:val="0"/>
                <w:sz w:val="24"/>
                <w:szCs w:val="24"/>
                <w:vertAlign w:val="baseline"/>
                <w:lang w:val="en-US" w:eastAsia="zh-CN" w:bidi="ar-SA"/>
              </w:rPr>
              <w:t>6</w:t>
            </w:r>
            <w:r>
              <w:rPr>
                <w:rFonts w:hint="eastAsia" w:ascii="Times New Roman" w:hAnsi="Times New Roman" w:eastAsia="宋体" w:cs="Times New Roman"/>
                <w:color w:val="auto"/>
                <w:kern w:val="0"/>
                <w:sz w:val="24"/>
                <w:szCs w:val="24"/>
                <w:highlight w:val="none"/>
                <w:lang w:val="en-US" w:eastAsia="zh-CN" w:bidi="ar-SA"/>
              </w:rPr>
              <w:t>m</w:t>
            </w:r>
            <w:r>
              <w:rPr>
                <w:rFonts w:hint="eastAsia" w:ascii="Times New Roman" w:hAnsi="Times New Roman" w:eastAsia="宋体" w:cs="Times New Roman"/>
                <w:color w:val="auto"/>
                <w:kern w:val="0"/>
                <w:sz w:val="24"/>
                <w:szCs w:val="24"/>
                <w:highlight w:val="none"/>
                <w:vertAlign w:val="superscript"/>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/d，</w:t>
            </w:r>
            <w:r>
              <w:rPr>
                <w:rFonts w:hint="eastAsia" w:ascii="Times New Roman" w:hAnsi="Times New Roman" w:eastAsia="宋体" w:cs="Times New Roman"/>
                <w:color w:val="auto"/>
                <w:kern w:val="0"/>
                <w:sz w:val="24"/>
                <w:szCs w:val="24"/>
                <w:lang w:val="en-US" w:eastAsia="zh-CN" w:bidi="ar-SA"/>
              </w:rPr>
              <w:t>共</w:t>
            </w:r>
            <w:r>
              <w:rPr>
                <w:rFonts w:hint="eastAsia" w:cs="Times New Roman"/>
                <w:color w:val="auto"/>
                <w:kern w:val="0"/>
                <w:sz w:val="24"/>
                <w:szCs w:val="24"/>
                <w:lang w:val="en-US" w:eastAsia="zh-CN" w:bidi="ar-SA"/>
              </w:rPr>
              <w:t>108</w:t>
            </w:r>
            <w:r>
              <w:rPr>
                <w:rFonts w:hint="eastAsia" w:ascii="Times New Roman" w:hAnsi="Times New Roman" w:eastAsia="宋体" w:cs="Times New Roman"/>
                <w:color w:val="auto"/>
                <w:kern w:val="0"/>
                <w:sz w:val="24"/>
                <w:szCs w:val="24"/>
                <w:lang w:val="en-US" w:eastAsia="zh-CN" w:bidi="ar-SA"/>
              </w:rPr>
              <w:t>0m</w:t>
            </w:r>
            <w:r>
              <w:rPr>
                <w:rFonts w:hint="eastAsia" w:ascii="Times New Roman" w:hAnsi="Times New Roman" w:eastAsia="宋体" w:cs="Times New Roman"/>
                <w:color w:val="auto"/>
                <w:kern w:val="0"/>
                <w:sz w:val="24"/>
                <w:szCs w:val="24"/>
                <w:vertAlign w:val="superscript"/>
                <w:lang w:val="en-US" w:eastAsia="zh-CN" w:bidi="ar-SA"/>
              </w:rPr>
              <w:t>3</w:t>
            </w:r>
            <w:r>
              <w:rPr>
                <w:rFonts w:hint="eastAsia" w:ascii="Times New Roman" w:hAnsi="Times New Roman" w:eastAsia="宋体" w:cs="Times New Roman"/>
                <w:color w:val="auto"/>
                <w:kern w:val="0"/>
                <w:sz w:val="24"/>
                <w:szCs w:val="24"/>
                <w:lang w:val="en-US" w:eastAsia="zh-CN" w:bidi="ar-SA"/>
              </w:rPr>
              <w:t>/a。</w:t>
            </w:r>
          </w:p>
          <w:p w14:paraId="0A93FB7D">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color w:val="auto"/>
                <w:sz w:val="24"/>
              </w:rPr>
            </w:pPr>
            <w:r>
              <w:rPr>
                <w:rFonts w:hint="eastAsia" w:ascii="Times New Roman" w:hAnsi="Times New Roman" w:eastAsia="宋体" w:cs="Times New Roman"/>
                <w:color w:val="auto"/>
                <w:kern w:val="0"/>
                <w:sz w:val="24"/>
                <w:szCs w:val="24"/>
                <w:lang w:val="en-US" w:eastAsia="zh-CN" w:bidi="ar-SA"/>
              </w:rPr>
              <w:t>清洗用水总量</w:t>
            </w:r>
            <w:r>
              <w:rPr>
                <w:rFonts w:hint="eastAsia" w:ascii="Times New Roman" w:hAnsi="Times New Roman" w:eastAsia="宋体" w:cs="Times New Roman"/>
                <w:color w:val="auto"/>
                <w:kern w:val="0"/>
                <w:sz w:val="24"/>
                <w:szCs w:val="24"/>
                <w:highlight w:val="none"/>
                <w:lang w:val="en-US" w:eastAsia="zh-CN" w:bidi="ar-SA"/>
              </w:rPr>
              <w:t>为</w:t>
            </w:r>
            <w:r>
              <w:rPr>
                <w:rFonts w:hint="eastAsia" w:cs="Times New Roman"/>
                <w:color w:val="auto"/>
                <w:kern w:val="0"/>
                <w:sz w:val="24"/>
                <w:szCs w:val="24"/>
                <w:highlight w:val="none"/>
                <w:lang w:val="en-US" w:eastAsia="zh-CN" w:bidi="ar-SA"/>
              </w:rPr>
              <w:t>6120</w:t>
            </w:r>
            <w:r>
              <w:rPr>
                <w:rFonts w:ascii="Times New Roman" w:hAnsi="Times New Roman" w:eastAsia="宋体" w:cs="Times New Roman"/>
                <w:color w:val="auto"/>
                <w:kern w:val="0"/>
                <w:sz w:val="24"/>
                <w:highlight w:val="none"/>
              </w:rPr>
              <w:t>m</w:t>
            </w:r>
            <w:r>
              <w:rPr>
                <w:rFonts w:ascii="Times New Roman" w:hAnsi="Times New Roman" w:eastAsia="宋体" w:cs="Times New Roman"/>
                <w:color w:val="auto"/>
                <w:kern w:val="0"/>
                <w:sz w:val="24"/>
                <w:highlight w:val="none"/>
                <w:vertAlign w:val="superscript"/>
              </w:rPr>
              <w:t>3</w:t>
            </w:r>
            <w:r>
              <w:rPr>
                <w:rFonts w:ascii="Times New Roman" w:hAnsi="Times New Roman" w:eastAsia="宋体" w:cs="Times New Roman"/>
                <w:color w:val="auto"/>
                <w:kern w:val="0"/>
                <w:sz w:val="24"/>
                <w:highlight w:val="none"/>
              </w:rPr>
              <w:t>/a</w:t>
            </w:r>
            <w:r>
              <w:rPr>
                <w:rFonts w:hint="eastAsia" w:ascii="Times New Roman" w:hAnsi="Times New Roman" w:eastAsia="宋体" w:cs="Times New Roman"/>
                <w:color w:val="auto"/>
                <w:kern w:val="0"/>
                <w:sz w:val="24"/>
                <w:highlight w:val="none"/>
              </w:rPr>
              <w:t>（</w:t>
            </w:r>
            <w:r>
              <w:rPr>
                <w:rFonts w:hint="eastAsia" w:cs="Times New Roman"/>
                <w:color w:val="auto"/>
                <w:kern w:val="0"/>
                <w:sz w:val="24"/>
                <w:highlight w:val="none"/>
                <w:lang w:val="en-US" w:eastAsia="zh-CN"/>
              </w:rPr>
              <w:t>34</w:t>
            </w:r>
            <w:r>
              <w:rPr>
                <w:rFonts w:ascii="Times New Roman" w:hAnsi="Times New Roman" w:eastAsia="宋体" w:cs="Times New Roman"/>
                <w:color w:val="auto"/>
                <w:kern w:val="0"/>
                <w:sz w:val="24"/>
                <w:highlight w:val="none"/>
              </w:rPr>
              <w:t>m</w:t>
            </w:r>
            <w:r>
              <w:rPr>
                <w:rFonts w:ascii="Times New Roman" w:hAnsi="Times New Roman" w:eastAsia="宋体" w:cs="Times New Roman"/>
                <w:color w:val="auto"/>
                <w:kern w:val="0"/>
                <w:sz w:val="24"/>
                <w:highlight w:val="none"/>
                <w:vertAlign w:val="superscript"/>
              </w:rPr>
              <w:t>3</w:t>
            </w:r>
            <w:r>
              <w:rPr>
                <w:rFonts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rPr>
              <w:t>d），</w:t>
            </w:r>
            <w:r>
              <w:rPr>
                <w:rFonts w:hint="eastAsia" w:ascii="Times New Roman" w:hAnsi="Times New Roman" w:eastAsia="宋体" w:cs="Times New Roman"/>
                <w:color w:val="auto"/>
                <w:kern w:val="0"/>
                <w:sz w:val="24"/>
                <w:highlight w:val="none"/>
                <w:lang w:val="en-US" w:eastAsia="zh-CN"/>
              </w:rPr>
              <w:t>由于</w:t>
            </w:r>
            <w:r>
              <w:rPr>
                <w:rFonts w:hint="eastAsia" w:ascii="Times New Roman" w:hAnsi="Times New Roman" w:eastAsia="宋体" w:cs="Times New Roman"/>
                <w:color w:val="auto"/>
                <w:kern w:val="0"/>
                <w:sz w:val="24"/>
                <w:lang w:val="en-US" w:eastAsia="zh-CN"/>
              </w:rPr>
              <w:t>站区地面清洗水无法回用，均蒸发消耗，因此</w:t>
            </w:r>
            <w:r>
              <w:rPr>
                <w:rFonts w:ascii="Times New Roman" w:hAnsi="Times New Roman" w:eastAsia="宋体" w:cs="Times New Roman"/>
                <w:color w:val="auto"/>
                <w:kern w:val="0"/>
                <w:sz w:val="24"/>
              </w:rPr>
              <w:t>生产废水产生量</w:t>
            </w:r>
            <w:r>
              <w:rPr>
                <w:rFonts w:hint="eastAsia" w:ascii="Times New Roman" w:hAnsi="Times New Roman" w:eastAsia="宋体" w:cs="Times New Roman"/>
                <w:color w:val="auto"/>
                <w:kern w:val="0"/>
                <w:sz w:val="24"/>
                <w:lang w:val="en-US" w:eastAsia="zh-CN"/>
              </w:rPr>
              <w:t>为5040</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val="en-US" w:eastAsia="zh-CN"/>
              </w:rPr>
              <w:t>28</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d），</w:t>
            </w:r>
            <w:r>
              <w:rPr>
                <w:rFonts w:hint="eastAsia" w:cs="Times New Roman"/>
                <w:color w:val="auto"/>
                <w:kern w:val="0"/>
                <w:sz w:val="24"/>
                <w:lang w:val="en-US" w:eastAsia="zh-CN"/>
              </w:rPr>
              <w:t>最大日产生量为</w:t>
            </w:r>
            <w:r>
              <w:rPr>
                <w:rFonts w:hint="eastAsia" w:ascii="Times New Roman" w:hAnsi="Times New Roman" w:eastAsia="宋体" w:cs="Times New Roman"/>
                <w:color w:val="auto"/>
                <w:kern w:val="0"/>
                <w:sz w:val="24"/>
                <w:lang w:val="en-US" w:eastAsia="zh-CN"/>
              </w:rPr>
              <w:t>28</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d</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rPr>
              <w:t>生产废水主要污染物为混凝土废料。生产废水收集全部排入</w:t>
            </w:r>
            <w:r>
              <w:rPr>
                <w:rFonts w:hint="eastAsia" w:ascii="Times New Roman" w:hAnsi="Times New Roman" w:eastAsia="宋体" w:cs="Times New Roman"/>
                <w:color w:val="auto"/>
                <w:kern w:val="0"/>
                <w:sz w:val="24"/>
                <w:lang w:val="en-US" w:eastAsia="zh-CN"/>
              </w:rPr>
              <w:t>50</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三级沉淀池处理，</w:t>
            </w:r>
            <w:r>
              <w:rPr>
                <w:rFonts w:hint="eastAsia" w:ascii="Times New Roman" w:hAnsi="Times New Roman" w:eastAsia="宋体" w:cs="Times New Roman"/>
                <w:color w:val="auto"/>
                <w:kern w:val="0"/>
                <w:sz w:val="24"/>
                <w:lang w:val="en-US" w:eastAsia="zh-CN"/>
              </w:rPr>
              <w:t>50</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沉淀池</w:t>
            </w:r>
            <w:r>
              <w:rPr>
                <w:rFonts w:hint="default" w:ascii="Times New Roman" w:hAnsi="Times New Roman" w:cs="Times New Roman"/>
                <w:color w:val="auto"/>
                <w:kern w:val="0"/>
                <w:sz w:val="24"/>
                <w:lang w:val="en-US" w:eastAsia="zh-CN"/>
              </w:rPr>
              <w:t>可以满足生产废水的处理要求</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上清液全部回用不外排，废料沉降在沉淀池池底，废料中主要固体为砂子和</w:t>
            </w:r>
            <w:r>
              <w:rPr>
                <w:rFonts w:hint="eastAsia" w:cs="Times New Roman"/>
                <w:color w:val="auto"/>
                <w:kern w:val="0"/>
                <w:sz w:val="24"/>
                <w:lang w:val="en-US" w:eastAsia="zh-CN"/>
              </w:rPr>
              <w:t>碎石</w:t>
            </w:r>
            <w:r>
              <w:rPr>
                <w:rFonts w:hint="eastAsia" w:ascii="Times New Roman" w:hAnsi="Times New Roman" w:eastAsia="宋体" w:cs="Times New Roman"/>
                <w:color w:val="auto"/>
                <w:kern w:val="0"/>
                <w:sz w:val="24"/>
              </w:rPr>
              <w:t>，池底废料定期清理，回收利用。</w:t>
            </w:r>
          </w:p>
          <w:p w14:paraId="1FE2D0BF">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2.2</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生活污水</w:t>
            </w:r>
          </w:p>
          <w:p w14:paraId="180D80DE">
            <w:pPr>
              <w:adjustRightInd w:val="0"/>
              <w:snapToGrid w:val="0"/>
              <w:spacing w:line="360" w:lineRule="auto"/>
              <w:ind w:firstLine="480" w:firstLineChars="200"/>
              <w:rPr>
                <w:color w:val="auto"/>
                <w:sz w:val="24"/>
              </w:rPr>
            </w:pPr>
            <w:r>
              <w:rPr>
                <w:rFonts w:hint="eastAsia" w:ascii="Times New Roman" w:hAnsi="Times New Roman" w:eastAsia="宋体" w:cs="Times New Roman"/>
                <w:color w:val="auto"/>
                <w:kern w:val="0"/>
                <w:sz w:val="24"/>
              </w:rPr>
              <w:t>根据工程分析，项目</w:t>
            </w:r>
            <w:r>
              <w:rPr>
                <w:rFonts w:ascii="Times New Roman" w:hAnsi="Times New Roman" w:eastAsia="宋体" w:cs="Times New Roman"/>
                <w:color w:val="auto"/>
                <w:kern w:val="0"/>
                <w:sz w:val="24"/>
              </w:rPr>
              <w:t>生活用水量为</w:t>
            </w:r>
            <w:r>
              <w:rPr>
                <w:rFonts w:hint="eastAsia" w:cs="Times New Roman"/>
                <w:color w:val="auto"/>
                <w:kern w:val="0"/>
                <w:sz w:val="24"/>
                <w:lang w:val="en-US" w:eastAsia="zh-CN"/>
              </w:rPr>
              <w:t>622.4</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val="en-US" w:eastAsia="zh-CN"/>
              </w:rPr>
              <w:t>3.46</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/d</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，生活污水排水总量为</w:t>
            </w:r>
            <w:r>
              <w:rPr>
                <w:rFonts w:hint="eastAsia" w:cs="Times New Roman"/>
                <w:color w:val="auto"/>
                <w:kern w:val="0"/>
                <w:sz w:val="24"/>
                <w:lang w:val="en-US" w:eastAsia="zh-CN"/>
              </w:rPr>
              <w:t>497.95</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eastAsia="zh-CN"/>
              </w:rPr>
              <w:t>（</w:t>
            </w:r>
            <w:r>
              <w:rPr>
                <w:rFonts w:hint="eastAsia" w:cs="Times New Roman"/>
                <w:color w:val="auto"/>
                <w:kern w:val="0"/>
                <w:sz w:val="24"/>
                <w:lang w:val="en-US" w:eastAsia="zh-CN"/>
              </w:rPr>
              <w:t>2.766</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w:t>
            </w:r>
            <w:r>
              <w:rPr>
                <w:rFonts w:hint="eastAsia" w:cs="Times New Roman"/>
                <w:color w:val="auto"/>
                <w:kern w:val="0"/>
                <w:sz w:val="24"/>
                <w:lang w:val="en-US" w:eastAsia="zh-CN"/>
              </w:rPr>
              <w:t>d</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生活污水经过污水一体化处理设备达标后用于料场洒水降尘</w:t>
            </w:r>
            <w:r>
              <w:rPr>
                <w:rFonts w:hint="eastAsia" w:ascii="Times New Roman" w:hAnsi="Times New Roman" w:eastAsia="宋体" w:cs="Times New Roman"/>
                <w:color w:val="auto"/>
                <w:kern w:val="0"/>
                <w:sz w:val="24"/>
              </w:rPr>
              <w:t>。本项目</w:t>
            </w:r>
            <w:r>
              <w:rPr>
                <w:rFonts w:hint="eastAsia" w:cs="Times New Roman"/>
                <w:color w:val="auto"/>
                <w:kern w:val="0"/>
                <w:sz w:val="24"/>
                <w:lang w:val="en-US" w:eastAsia="zh-CN"/>
              </w:rPr>
              <w:t>生活污水在一体化处理设备中的</w:t>
            </w:r>
            <w:r>
              <w:rPr>
                <w:rFonts w:hint="eastAsia" w:ascii="Times New Roman" w:hAnsi="Times New Roman" w:eastAsia="宋体" w:cs="Times New Roman"/>
                <w:color w:val="auto"/>
                <w:kern w:val="0"/>
                <w:sz w:val="24"/>
              </w:rPr>
              <w:t>产排情况见表4-</w:t>
            </w:r>
            <w:r>
              <w:rPr>
                <w:rFonts w:hint="eastAsia" w:cs="Times New Roman"/>
                <w:color w:val="auto"/>
                <w:kern w:val="0"/>
                <w:sz w:val="24"/>
                <w:lang w:val="en-US" w:eastAsia="zh-CN"/>
              </w:rPr>
              <w:t>7</w:t>
            </w:r>
            <w:r>
              <w:rPr>
                <w:rFonts w:hint="eastAsia" w:ascii="Times New Roman" w:hAnsi="Times New Roman" w:eastAsia="宋体" w:cs="Times New Roman"/>
                <w:color w:val="auto"/>
                <w:kern w:val="0"/>
                <w:sz w:val="24"/>
              </w:rPr>
              <w:t>。</w:t>
            </w:r>
          </w:p>
          <w:p w14:paraId="61360962">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w:t>
            </w:r>
            <w:r>
              <w:rPr>
                <w:rFonts w:hint="eastAsia" w:cs="Times New Roman"/>
                <w:color w:val="auto"/>
                <w:lang w:val="en-US" w:eastAsia="zh-CN"/>
              </w:rPr>
              <w:t>7</w:t>
            </w:r>
            <w:r>
              <w:rPr>
                <w:rFonts w:hint="default" w:ascii="Times New Roman" w:hAnsi="Times New Roman" w:eastAsia="宋体" w:cs="Times New Roman"/>
                <w:color w:val="auto"/>
              </w:rPr>
              <w:t xml:space="preserve">    本项目废水产排情况表</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54"/>
              <w:gridCol w:w="884"/>
              <w:gridCol w:w="693"/>
              <w:gridCol w:w="1075"/>
              <w:gridCol w:w="717"/>
              <w:gridCol w:w="897"/>
              <w:gridCol w:w="910"/>
              <w:gridCol w:w="1288"/>
            </w:tblGrid>
            <w:tr w14:paraId="651314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93" w:type="pct"/>
                  <w:vMerge w:val="restart"/>
                  <w:tcBorders>
                    <w:bottom w:val="single" w:color="auto" w:sz="12" w:space="0"/>
                  </w:tcBorders>
                  <w:vAlign w:val="center"/>
                </w:tcPr>
                <w:p w14:paraId="49ADC996">
                  <w:pPr>
                    <w:pStyle w:val="8"/>
                    <w:spacing w:before="0" w:after="0" w:line="240" w:lineRule="auto"/>
                    <w:ind w:right="0"/>
                    <w:jc w:val="center"/>
                    <w:rPr>
                      <w:b/>
                      <w:bCs/>
                      <w:color w:val="auto"/>
                      <w:sz w:val="21"/>
                      <w:szCs w:val="21"/>
                      <w:highlight w:val="none"/>
                    </w:rPr>
                  </w:pPr>
                  <w:r>
                    <w:rPr>
                      <w:rFonts w:hint="eastAsia"/>
                      <w:b/>
                      <w:bCs/>
                      <w:color w:val="auto"/>
                      <w:sz w:val="21"/>
                      <w:szCs w:val="21"/>
                      <w:highlight w:val="none"/>
                    </w:rPr>
                    <w:t>污染源</w:t>
                  </w:r>
                </w:p>
              </w:tc>
              <w:tc>
                <w:tcPr>
                  <w:tcW w:w="537" w:type="pct"/>
                  <w:vMerge w:val="restart"/>
                  <w:tcBorders>
                    <w:bottom w:val="single" w:color="auto" w:sz="12" w:space="0"/>
                  </w:tcBorders>
                  <w:vAlign w:val="center"/>
                </w:tcPr>
                <w:p w14:paraId="2D85F2EE">
                  <w:pPr>
                    <w:pStyle w:val="8"/>
                    <w:spacing w:before="0" w:after="0" w:line="240" w:lineRule="auto"/>
                    <w:ind w:right="0"/>
                    <w:jc w:val="center"/>
                    <w:rPr>
                      <w:b/>
                      <w:bCs/>
                      <w:color w:val="auto"/>
                      <w:sz w:val="21"/>
                      <w:szCs w:val="21"/>
                      <w:highlight w:val="none"/>
                    </w:rPr>
                  </w:pPr>
                  <w:r>
                    <w:rPr>
                      <w:rFonts w:hint="eastAsia"/>
                      <w:b/>
                      <w:bCs/>
                      <w:color w:val="auto"/>
                      <w:sz w:val="21"/>
                      <w:szCs w:val="21"/>
                      <w:highlight w:val="none"/>
                    </w:rPr>
                    <w:t>污染物</w:t>
                  </w:r>
                </w:p>
              </w:tc>
              <w:tc>
                <w:tcPr>
                  <w:tcW w:w="992" w:type="pct"/>
                  <w:gridSpan w:val="2"/>
                  <w:tcBorders>
                    <w:bottom w:val="single" w:color="auto" w:sz="12" w:space="0"/>
                  </w:tcBorders>
                  <w:vAlign w:val="center"/>
                </w:tcPr>
                <w:p w14:paraId="2FB31533">
                  <w:pPr>
                    <w:pStyle w:val="8"/>
                    <w:spacing w:before="0" w:after="0" w:line="240" w:lineRule="auto"/>
                    <w:ind w:right="0"/>
                    <w:jc w:val="center"/>
                    <w:rPr>
                      <w:b/>
                      <w:bCs/>
                      <w:color w:val="auto"/>
                      <w:sz w:val="21"/>
                      <w:szCs w:val="21"/>
                      <w:highlight w:val="none"/>
                    </w:rPr>
                  </w:pPr>
                  <w:r>
                    <w:rPr>
                      <w:rFonts w:hint="eastAsia"/>
                      <w:b/>
                      <w:bCs/>
                      <w:color w:val="auto"/>
                      <w:sz w:val="21"/>
                      <w:szCs w:val="21"/>
                      <w:highlight w:val="none"/>
                    </w:rPr>
                    <w:t>产生情况</w:t>
                  </w:r>
                </w:p>
              </w:tc>
              <w:tc>
                <w:tcPr>
                  <w:tcW w:w="676" w:type="pct"/>
                  <w:vMerge w:val="restart"/>
                  <w:tcBorders>
                    <w:bottom w:val="single" w:color="auto" w:sz="12" w:space="0"/>
                  </w:tcBorders>
                  <w:vAlign w:val="center"/>
                </w:tcPr>
                <w:p w14:paraId="4E052D99">
                  <w:pPr>
                    <w:pStyle w:val="8"/>
                    <w:spacing w:before="0" w:after="0" w:line="240" w:lineRule="auto"/>
                    <w:ind w:right="0"/>
                    <w:jc w:val="center"/>
                    <w:rPr>
                      <w:b/>
                      <w:bCs/>
                      <w:color w:val="auto"/>
                      <w:sz w:val="21"/>
                      <w:szCs w:val="21"/>
                      <w:highlight w:val="none"/>
                    </w:rPr>
                  </w:pPr>
                  <w:r>
                    <w:rPr>
                      <w:rFonts w:hint="eastAsia"/>
                      <w:b/>
                      <w:bCs/>
                      <w:color w:val="auto"/>
                      <w:sz w:val="21"/>
                      <w:szCs w:val="21"/>
                      <w:highlight w:val="none"/>
                    </w:rPr>
                    <w:t>治理措施</w:t>
                  </w:r>
                </w:p>
              </w:tc>
              <w:tc>
                <w:tcPr>
                  <w:tcW w:w="451" w:type="pct"/>
                  <w:vMerge w:val="restart"/>
                  <w:tcBorders>
                    <w:bottom w:val="single" w:color="auto" w:sz="12" w:space="0"/>
                  </w:tcBorders>
                  <w:vAlign w:val="center"/>
                </w:tcPr>
                <w:p w14:paraId="6D2A0183">
                  <w:pPr>
                    <w:pStyle w:val="8"/>
                    <w:spacing w:before="0" w:after="0" w:line="240" w:lineRule="auto"/>
                    <w:ind w:right="0"/>
                    <w:jc w:val="center"/>
                    <w:rPr>
                      <w:b/>
                      <w:bCs/>
                      <w:color w:val="auto"/>
                      <w:sz w:val="21"/>
                      <w:szCs w:val="21"/>
                      <w:highlight w:val="none"/>
                    </w:rPr>
                  </w:pPr>
                  <w:r>
                    <w:rPr>
                      <w:rFonts w:hint="eastAsia"/>
                      <w:b/>
                      <w:bCs/>
                      <w:color w:val="auto"/>
                      <w:sz w:val="21"/>
                      <w:szCs w:val="21"/>
                      <w:highlight w:val="none"/>
                    </w:rPr>
                    <w:t>处理效率</w:t>
                  </w:r>
                </w:p>
              </w:tc>
              <w:tc>
                <w:tcPr>
                  <w:tcW w:w="1137" w:type="pct"/>
                  <w:gridSpan w:val="2"/>
                  <w:tcBorders>
                    <w:bottom w:val="single" w:color="auto" w:sz="12" w:space="0"/>
                  </w:tcBorders>
                  <w:vAlign w:val="center"/>
                </w:tcPr>
                <w:p w14:paraId="1481AF13">
                  <w:pPr>
                    <w:pStyle w:val="8"/>
                    <w:spacing w:before="0" w:after="0" w:line="240" w:lineRule="auto"/>
                    <w:ind w:right="0"/>
                    <w:jc w:val="center"/>
                    <w:rPr>
                      <w:b/>
                      <w:bCs/>
                      <w:color w:val="auto"/>
                      <w:sz w:val="21"/>
                      <w:szCs w:val="21"/>
                      <w:highlight w:val="none"/>
                    </w:rPr>
                  </w:pPr>
                  <w:r>
                    <w:rPr>
                      <w:rFonts w:hint="eastAsia"/>
                      <w:b/>
                      <w:bCs/>
                      <w:color w:val="auto"/>
                      <w:sz w:val="21"/>
                      <w:szCs w:val="21"/>
                      <w:highlight w:val="none"/>
                    </w:rPr>
                    <w:t>排放情况</w:t>
                  </w:r>
                </w:p>
              </w:tc>
              <w:tc>
                <w:tcPr>
                  <w:tcW w:w="810" w:type="pct"/>
                  <w:vMerge w:val="restart"/>
                  <w:tcBorders>
                    <w:bottom w:val="single" w:color="auto" w:sz="12" w:space="0"/>
                  </w:tcBorders>
                  <w:vAlign w:val="center"/>
                </w:tcPr>
                <w:p w14:paraId="380BF748">
                  <w:pPr>
                    <w:pStyle w:val="8"/>
                    <w:spacing w:before="0" w:after="0" w:line="240" w:lineRule="auto"/>
                    <w:ind w:right="0"/>
                    <w:jc w:val="center"/>
                    <w:rPr>
                      <w:b/>
                      <w:bCs/>
                      <w:color w:val="auto"/>
                      <w:sz w:val="21"/>
                      <w:szCs w:val="21"/>
                      <w:highlight w:val="none"/>
                    </w:rPr>
                  </w:pPr>
                  <w:r>
                    <w:rPr>
                      <w:rFonts w:hint="eastAsia"/>
                      <w:b/>
                      <w:bCs/>
                      <w:color w:val="auto"/>
                      <w:sz w:val="21"/>
                      <w:szCs w:val="21"/>
                      <w:highlight w:val="none"/>
                    </w:rPr>
                    <w:t>排放标准mg/L</w:t>
                  </w:r>
                </w:p>
              </w:tc>
            </w:tr>
            <w:tr w14:paraId="6471FF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93" w:type="pct"/>
                  <w:vMerge w:val="continue"/>
                  <w:tcBorders>
                    <w:top w:val="single" w:color="auto" w:sz="12" w:space="0"/>
                    <w:tl2br w:val="nil"/>
                    <w:tr2bl w:val="nil"/>
                  </w:tcBorders>
                  <w:vAlign w:val="center"/>
                </w:tcPr>
                <w:p w14:paraId="4F9E127F">
                  <w:pPr>
                    <w:pStyle w:val="8"/>
                    <w:spacing w:before="0" w:after="0" w:line="240" w:lineRule="auto"/>
                    <w:ind w:right="0"/>
                    <w:jc w:val="center"/>
                    <w:rPr>
                      <w:color w:val="auto"/>
                      <w:sz w:val="21"/>
                      <w:szCs w:val="21"/>
                      <w:highlight w:val="none"/>
                    </w:rPr>
                  </w:pPr>
                </w:p>
              </w:tc>
              <w:tc>
                <w:tcPr>
                  <w:tcW w:w="537" w:type="pct"/>
                  <w:vMerge w:val="continue"/>
                  <w:tcBorders>
                    <w:top w:val="single" w:color="auto" w:sz="12" w:space="0"/>
                    <w:tl2br w:val="nil"/>
                    <w:tr2bl w:val="nil"/>
                  </w:tcBorders>
                  <w:vAlign w:val="center"/>
                </w:tcPr>
                <w:p w14:paraId="1BD9F654">
                  <w:pPr>
                    <w:pStyle w:val="8"/>
                    <w:spacing w:before="0" w:after="0" w:line="240" w:lineRule="auto"/>
                    <w:ind w:right="0"/>
                    <w:jc w:val="center"/>
                    <w:rPr>
                      <w:color w:val="auto"/>
                      <w:sz w:val="21"/>
                      <w:szCs w:val="21"/>
                      <w:highlight w:val="none"/>
                    </w:rPr>
                  </w:pPr>
                </w:p>
              </w:tc>
              <w:tc>
                <w:tcPr>
                  <w:tcW w:w="556" w:type="pct"/>
                  <w:tcBorders>
                    <w:top w:val="single" w:color="auto" w:sz="12" w:space="0"/>
                    <w:tl2br w:val="nil"/>
                    <w:tr2bl w:val="nil"/>
                  </w:tcBorders>
                  <w:vAlign w:val="center"/>
                </w:tcPr>
                <w:p w14:paraId="780FBAAB">
                  <w:pPr>
                    <w:pStyle w:val="8"/>
                    <w:spacing w:before="0" w:after="0" w:line="240" w:lineRule="auto"/>
                    <w:ind w:right="0"/>
                    <w:jc w:val="center"/>
                    <w:rPr>
                      <w:b/>
                      <w:bCs/>
                      <w:color w:val="auto"/>
                      <w:sz w:val="21"/>
                      <w:szCs w:val="21"/>
                      <w:highlight w:val="none"/>
                    </w:rPr>
                  </w:pPr>
                  <w:r>
                    <w:rPr>
                      <w:rFonts w:hint="eastAsia"/>
                      <w:b/>
                      <w:bCs/>
                      <w:color w:val="auto"/>
                      <w:sz w:val="21"/>
                      <w:szCs w:val="21"/>
                      <w:highlight w:val="none"/>
                    </w:rPr>
                    <w:t>产生量</w:t>
                  </w:r>
                  <w:r>
                    <w:rPr>
                      <w:rFonts w:hint="eastAsia"/>
                      <w:b/>
                      <w:bCs/>
                      <w:color w:val="auto"/>
                      <w:sz w:val="21"/>
                      <w:szCs w:val="21"/>
                      <w:highlight w:val="none"/>
                      <w:lang w:val="en-US" w:eastAsia="zh-CN"/>
                    </w:rPr>
                    <w:t>kg</w:t>
                  </w:r>
                  <w:r>
                    <w:rPr>
                      <w:rFonts w:hint="eastAsia"/>
                      <w:b/>
                      <w:bCs/>
                      <w:color w:val="auto"/>
                      <w:sz w:val="21"/>
                      <w:szCs w:val="21"/>
                      <w:highlight w:val="none"/>
                    </w:rPr>
                    <w:t>/a</w:t>
                  </w:r>
                </w:p>
              </w:tc>
              <w:tc>
                <w:tcPr>
                  <w:tcW w:w="436" w:type="pct"/>
                  <w:tcBorders>
                    <w:top w:val="single" w:color="auto" w:sz="12" w:space="0"/>
                    <w:tl2br w:val="nil"/>
                    <w:tr2bl w:val="nil"/>
                  </w:tcBorders>
                  <w:vAlign w:val="center"/>
                </w:tcPr>
                <w:p w14:paraId="13FD30F6">
                  <w:pPr>
                    <w:pStyle w:val="8"/>
                    <w:spacing w:before="0" w:after="0" w:line="240" w:lineRule="auto"/>
                    <w:ind w:right="0"/>
                    <w:jc w:val="center"/>
                    <w:rPr>
                      <w:b/>
                      <w:bCs/>
                      <w:color w:val="auto"/>
                      <w:sz w:val="21"/>
                      <w:szCs w:val="21"/>
                      <w:highlight w:val="none"/>
                    </w:rPr>
                  </w:pPr>
                  <w:r>
                    <w:rPr>
                      <w:rFonts w:hint="eastAsia"/>
                      <w:b/>
                      <w:bCs/>
                      <w:color w:val="auto"/>
                      <w:sz w:val="21"/>
                      <w:szCs w:val="21"/>
                      <w:highlight w:val="none"/>
                    </w:rPr>
                    <w:t>产生浓度mg/L</w:t>
                  </w:r>
                </w:p>
              </w:tc>
              <w:tc>
                <w:tcPr>
                  <w:tcW w:w="676" w:type="pct"/>
                  <w:vMerge w:val="continue"/>
                  <w:tcBorders>
                    <w:top w:val="single" w:color="auto" w:sz="12" w:space="0"/>
                    <w:tl2br w:val="nil"/>
                    <w:tr2bl w:val="nil"/>
                  </w:tcBorders>
                  <w:vAlign w:val="center"/>
                </w:tcPr>
                <w:p w14:paraId="2A309E7D">
                  <w:pPr>
                    <w:pStyle w:val="8"/>
                    <w:spacing w:before="0" w:after="0" w:line="240" w:lineRule="auto"/>
                    <w:ind w:right="0"/>
                    <w:jc w:val="center"/>
                    <w:rPr>
                      <w:color w:val="auto"/>
                      <w:sz w:val="21"/>
                      <w:szCs w:val="21"/>
                      <w:highlight w:val="none"/>
                    </w:rPr>
                  </w:pPr>
                </w:p>
              </w:tc>
              <w:tc>
                <w:tcPr>
                  <w:tcW w:w="451" w:type="pct"/>
                  <w:vMerge w:val="continue"/>
                  <w:tcBorders>
                    <w:top w:val="single" w:color="auto" w:sz="12" w:space="0"/>
                    <w:tl2br w:val="nil"/>
                    <w:tr2bl w:val="nil"/>
                  </w:tcBorders>
                  <w:vAlign w:val="center"/>
                </w:tcPr>
                <w:p w14:paraId="5B9A4C03">
                  <w:pPr>
                    <w:pStyle w:val="8"/>
                    <w:spacing w:before="0" w:after="0" w:line="240" w:lineRule="auto"/>
                    <w:ind w:right="0"/>
                    <w:jc w:val="center"/>
                    <w:rPr>
                      <w:color w:val="auto"/>
                      <w:sz w:val="21"/>
                      <w:szCs w:val="21"/>
                      <w:highlight w:val="none"/>
                    </w:rPr>
                  </w:pPr>
                </w:p>
              </w:tc>
              <w:tc>
                <w:tcPr>
                  <w:tcW w:w="564" w:type="pct"/>
                  <w:tcBorders>
                    <w:top w:val="single" w:color="auto" w:sz="12" w:space="0"/>
                    <w:tl2br w:val="nil"/>
                    <w:tr2bl w:val="nil"/>
                  </w:tcBorders>
                  <w:vAlign w:val="center"/>
                </w:tcPr>
                <w:p w14:paraId="6BE06A34">
                  <w:pPr>
                    <w:pStyle w:val="8"/>
                    <w:spacing w:before="0" w:after="0" w:line="240" w:lineRule="auto"/>
                    <w:ind w:right="0"/>
                    <w:jc w:val="center"/>
                    <w:rPr>
                      <w:b/>
                      <w:bCs/>
                      <w:color w:val="auto"/>
                      <w:sz w:val="21"/>
                      <w:szCs w:val="21"/>
                      <w:highlight w:val="none"/>
                    </w:rPr>
                  </w:pPr>
                  <w:r>
                    <w:rPr>
                      <w:rFonts w:hint="eastAsia"/>
                      <w:b/>
                      <w:bCs/>
                      <w:color w:val="auto"/>
                      <w:sz w:val="21"/>
                      <w:szCs w:val="21"/>
                      <w:highlight w:val="none"/>
                    </w:rPr>
                    <w:t>排放量</w:t>
                  </w:r>
                  <w:r>
                    <w:rPr>
                      <w:rFonts w:hint="eastAsia"/>
                      <w:b/>
                      <w:bCs/>
                      <w:color w:val="auto"/>
                      <w:sz w:val="21"/>
                      <w:szCs w:val="21"/>
                      <w:highlight w:val="none"/>
                      <w:lang w:val="en-US" w:eastAsia="zh-CN"/>
                    </w:rPr>
                    <w:t>kg</w:t>
                  </w:r>
                  <w:r>
                    <w:rPr>
                      <w:rFonts w:hint="eastAsia"/>
                      <w:b/>
                      <w:bCs/>
                      <w:color w:val="auto"/>
                      <w:sz w:val="21"/>
                      <w:szCs w:val="21"/>
                      <w:highlight w:val="none"/>
                    </w:rPr>
                    <w:t>/a</w:t>
                  </w:r>
                </w:p>
              </w:tc>
              <w:tc>
                <w:tcPr>
                  <w:tcW w:w="572" w:type="pct"/>
                  <w:tcBorders>
                    <w:top w:val="single" w:color="auto" w:sz="12" w:space="0"/>
                    <w:tl2br w:val="nil"/>
                    <w:tr2bl w:val="nil"/>
                  </w:tcBorders>
                  <w:vAlign w:val="center"/>
                </w:tcPr>
                <w:p w14:paraId="3385FF8F">
                  <w:pPr>
                    <w:pStyle w:val="8"/>
                    <w:spacing w:before="0" w:after="0" w:line="240" w:lineRule="auto"/>
                    <w:ind w:right="0"/>
                    <w:jc w:val="center"/>
                    <w:rPr>
                      <w:b/>
                      <w:bCs/>
                      <w:color w:val="auto"/>
                      <w:sz w:val="21"/>
                      <w:szCs w:val="21"/>
                      <w:highlight w:val="none"/>
                    </w:rPr>
                  </w:pPr>
                  <w:r>
                    <w:rPr>
                      <w:rFonts w:hint="eastAsia"/>
                      <w:b/>
                      <w:bCs/>
                      <w:color w:val="auto"/>
                      <w:sz w:val="21"/>
                      <w:szCs w:val="21"/>
                      <w:highlight w:val="none"/>
                    </w:rPr>
                    <w:t>排放浓度mg/L</w:t>
                  </w:r>
                </w:p>
              </w:tc>
              <w:tc>
                <w:tcPr>
                  <w:tcW w:w="810" w:type="pct"/>
                  <w:vMerge w:val="continue"/>
                  <w:tcBorders>
                    <w:top w:val="single" w:color="auto" w:sz="12" w:space="0"/>
                    <w:tl2br w:val="nil"/>
                    <w:tr2bl w:val="nil"/>
                  </w:tcBorders>
                  <w:vAlign w:val="center"/>
                </w:tcPr>
                <w:p w14:paraId="614CA396">
                  <w:pPr>
                    <w:pStyle w:val="8"/>
                    <w:spacing w:before="0" w:after="0" w:line="240" w:lineRule="auto"/>
                    <w:ind w:right="0"/>
                    <w:jc w:val="center"/>
                    <w:rPr>
                      <w:color w:val="auto"/>
                      <w:sz w:val="21"/>
                      <w:szCs w:val="21"/>
                      <w:highlight w:val="none"/>
                    </w:rPr>
                  </w:pPr>
                </w:p>
              </w:tc>
            </w:tr>
            <w:tr w14:paraId="3CCB9B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93" w:type="pct"/>
                  <w:vMerge w:val="restart"/>
                  <w:tcBorders>
                    <w:tl2br w:val="nil"/>
                    <w:tr2bl w:val="nil"/>
                  </w:tcBorders>
                  <w:vAlign w:val="center"/>
                </w:tcPr>
                <w:p w14:paraId="07536C44">
                  <w:pPr>
                    <w:pStyle w:val="8"/>
                    <w:spacing w:before="0" w:after="0" w:line="240" w:lineRule="auto"/>
                    <w:ind w:right="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生活污水</w:t>
                  </w:r>
                </w:p>
              </w:tc>
              <w:tc>
                <w:tcPr>
                  <w:tcW w:w="537" w:type="pct"/>
                  <w:tcBorders>
                    <w:tl2br w:val="nil"/>
                    <w:tr2bl w:val="nil"/>
                  </w:tcBorders>
                  <w:vAlign w:val="center"/>
                </w:tcPr>
                <w:p w14:paraId="3EE9D9B5">
                  <w:pPr>
                    <w:pStyle w:val="8"/>
                    <w:spacing w:before="0" w:after="0" w:line="240" w:lineRule="auto"/>
                    <w:ind w:right="0"/>
                    <w:jc w:val="center"/>
                    <w:rPr>
                      <w:color w:val="auto"/>
                      <w:sz w:val="21"/>
                      <w:szCs w:val="21"/>
                      <w:highlight w:val="none"/>
                    </w:rPr>
                  </w:pPr>
                  <w:r>
                    <w:rPr>
                      <w:rFonts w:hint="eastAsia"/>
                      <w:color w:val="auto"/>
                      <w:sz w:val="21"/>
                      <w:szCs w:val="21"/>
                      <w:highlight w:val="none"/>
                      <w:lang w:val="en-US" w:eastAsia="zh-CN"/>
                    </w:rPr>
                    <w:t>C</w:t>
                  </w:r>
                  <w:r>
                    <w:rPr>
                      <w:color w:val="auto"/>
                      <w:sz w:val="21"/>
                      <w:szCs w:val="21"/>
                      <w:highlight w:val="none"/>
                    </w:rPr>
                    <w:t>OD</w:t>
                  </w:r>
                  <w:r>
                    <w:rPr>
                      <w:rFonts w:hint="eastAsia"/>
                      <w:color w:val="auto"/>
                      <w:sz w:val="21"/>
                      <w:szCs w:val="21"/>
                      <w:highlight w:val="none"/>
                      <w:vertAlign w:val="subscript"/>
                      <w:lang w:val="en-US" w:eastAsia="zh-CN"/>
                    </w:rPr>
                    <w:t>Cr</w:t>
                  </w:r>
                </w:p>
              </w:tc>
              <w:tc>
                <w:tcPr>
                  <w:tcW w:w="556" w:type="pct"/>
                  <w:tcBorders>
                    <w:tl2br w:val="nil"/>
                    <w:tr2bl w:val="nil"/>
                  </w:tcBorders>
                  <w:vAlign w:val="center"/>
                </w:tcPr>
                <w:p w14:paraId="41D5A367">
                  <w:pPr>
                    <w:pStyle w:val="8"/>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149.39</w:t>
                  </w:r>
                </w:p>
              </w:tc>
              <w:tc>
                <w:tcPr>
                  <w:tcW w:w="436" w:type="pct"/>
                  <w:tcBorders>
                    <w:tl2br w:val="nil"/>
                    <w:tr2bl w:val="nil"/>
                  </w:tcBorders>
                  <w:vAlign w:val="center"/>
                </w:tcPr>
                <w:p w14:paraId="6C3659F9">
                  <w:pPr>
                    <w:pStyle w:val="8"/>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300</w:t>
                  </w:r>
                </w:p>
              </w:tc>
              <w:tc>
                <w:tcPr>
                  <w:tcW w:w="676" w:type="pct"/>
                  <w:vMerge w:val="restart"/>
                  <w:tcBorders>
                    <w:tl2br w:val="nil"/>
                    <w:tr2bl w:val="nil"/>
                  </w:tcBorders>
                  <w:vAlign w:val="center"/>
                </w:tcPr>
                <w:p w14:paraId="518D4973">
                  <w:pPr>
                    <w:pStyle w:val="8"/>
                    <w:spacing w:before="0" w:after="0" w:line="240" w:lineRule="auto"/>
                    <w:ind w:right="0"/>
                    <w:jc w:val="center"/>
                    <w:rPr>
                      <w:color w:val="auto"/>
                      <w:sz w:val="21"/>
                      <w:szCs w:val="21"/>
                      <w:highlight w:val="none"/>
                    </w:rPr>
                  </w:pPr>
                  <w:r>
                    <w:rPr>
                      <w:rFonts w:hint="eastAsia"/>
                      <w:color w:val="auto"/>
                      <w:sz w:val="21"/>
                      <w:szCs w:val="21"/>
                      <w:highlight w:val="none"/>
                    </w:rPr>
                    <w:t>地埋式一体化污水处理系统</w:t>
                  </w:r>
                </w:p>
              </w:tc>
              <w:tc>
                <w:tcPr>
                  <w:tcW w:w="451" w:type="pct"/>
                  <w:vMerge w:val="restart"/>
                  <w:tcBorders>
                    <w:tl2br w:val="nil"/>
                    <w:tr2bl w:val="nil"/>
                  </w:tcBorders>
                  <w:vAlign w:val="center"/>
                </w:tcPr>
                <w:p w14:paraId="54EA125A">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70%</w:t>
                  </w:r>
                </w:p>
              </w:tc>
              <w:tc>
                <w:tcPr>
                  <w:tcW w:w="564" w:type="pct"/>
                  <w:tcBorders>
                    <w:tl2br w:val="nil"/>
                    <w:tr2bl w:val="nil"/>
                  </w:tcBorders>
                  <w:vAlign w:val="center"/>
                </w:tcPr>
                <w:p w14:paraId="5883AFD6">
                  <w:pPr>
                    <w:pStyle w:val="8"/>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44.82</w:t>
                  </w:r>
                </w:p>
              </w:tc>
              <w:tc>
                <w:tcPr>
                  <w:tcW w:w="572" w:type="pct"/>
                  <w:tcBorders>
                    <w:tl2br w:val="nil"/>
                    <w:tr2bl w:val="nil"/>
                  </w:tcBorders>
                  <w:vAlign w:val="center"/>
                </w:tcPr>
                <w:p w14:paraId="6B441468">
                  <w:pPr>
                    <w:pStyle w:val="8"/>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90</w:t>
                  </w:r>
                </w:p>
              </w:tc>
              <w:tc>
                <w:tcPr>
                  <w:tcW w:w="810" w:type="pct"/>
                  <w:tcBorders>
                    <w:tl2br w:val="nil"/>
                    <w:tr2bl w:val="nil"/>
                  </w:tcBorders>
                  <w:vAlign w:val="center"/>
                </w:tcPr>
                <w:p w14:paraId="15DF2485">
                  <w:pPr>
                    <w:pStyle w:val="8"/>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200</w:t>
                  </w:r>
                </w:p>
              </w:tc>
            </w:tr>
            <w:tr w14:paraId="68AFDE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93" w:type="pct"/>
                  <w:vMerge w:val="continue"/>
                  <w:tcBorders>
                    <w:tl2br w:val="nil"/>
                    <w:tr2bl w:val="nil"/>
                  </w:tcBorders>
                  <w:vAlign w:val="center"/>
                </w:tcPr>
                <w:p w14:paraId="002360DF">
                  <w:pPr>
                    <w:pStyle w:val="8"/>
                    <w:spacing w:before="0" w:after="0" w:line="240" w:lineRule="auto"/>
                    <w:ind w:right="0"/>
                    <w:jc w:val="center"/>
                    <w:rPr>
                      <w:rFonts w:hint="eastAsia" w:eastAsia="宋体"/>
                      <w:color w:val="auto"/>
                      <w:sz w:val="21"/>
                      <w:szCs w:val="21"/>
                      <w:highlight w:val="none"/>
                      <w:lang w:val="en-US" w:eastAsia="zh-CN"/>
                    </w:rPr>
                  </w:pPr>
                </w:p>
              </w:tc>
              <w:tc>
                <w:tcPr>
                  <w:tcW w:w="537" w:type="pct"/>
                  <w:tcBorders>
                    <w:tl2br w:val="nil"/>
                    <w:tr2bl w:val="nil"/>
                  </w:tcBorders>
                  <w:vAlign w:val="center"/>
                </w:tcPr>
                <w:p w14:paraId="73C37896">
                  <w:pPr>
                    <w:pStyle w:val="8"/>
                    <w:spacing w:before="0" w:after="0" w:line="240" w:lineRule="auto"/>
                    <w:ind w:right="0"/>
                    <w:jc w:val="center"/>
                    <w:rPr>
                      <w:color w:val="auto"/>
                      <w:sz w:val="21"/>
                      <w:szCs w:val="21"/>
                      <w:highlight w:val="none"/>
                    </w:rPr>
                  </w:pPr>
                  <w:r>
                    <w:rPr>
                      <w:color w:val="auto"/>
                      <w:sz w:val="21"/>
                      <w:szCs w:val="21"/>
                      <w:highlight w:val="none"/>
                    </w:rPr>
                    <w:t>BOD</w:t>
                  </w:r>
                  <w:r>
                    <w:rPr>
                      <w:color w:val="auto"/>
                      <w:sz w:val="21"/>
                      <w:szCs w:val="21"/>
                      <w:highlight w:val="none"/>
                      <w:vertAlign w:val="subscript"/>
                    </w:rPr>
                    <w:t>5</w:t>
                  </w:r>
                </w:p>
              </w:tc>
              <w:tc>
                <w:tcPr>
                  <w:tcW w:w="556" w:type="pct"/>
                  <w:tcBorders>
                    <w:tl2br w:val="nil"/>
                    <w:tr2bl w:val="nil"/>
                  </w:tcBorders>
                  <w:vAlign w:val="center"/>
                </w:tcPr>
                <w:p w14:paraId="4665C637">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74.69</w:t>
                  </w:r>
                </w:p>
              </w:tc>
              <w:tc>
                <w:tcPr>
                  <w:tcW w:w="436" w:type="pct"/>
                  <w:tcBorders>
                    <w:tl2br w:val="nil"/>
                    <w:tr2bl w:val="nil"/>
                  </w:tcBorders>
                  <w:vAlign w:val="center"/>
                </w:tcPr>
                <w:p w14:paraId="60C9176D">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150</w:t>
                  </w:r>
                </w:p>
              </w:tc>
              <w:tc>
                <w:tcPr>
                  <w:tcW w:w="676" w:type="pct"/>
                  <w:vMerge w:val="continue"/>
                  <w:tcBorders>
                    <w:tl2br w:val="nil"/>
                    <w:tr2bl w:val="nil"/>
                  </w:tcBorders>
                  <w:vAlign w:val="center"/>
                </w:tcPr>
                <w:p w14:paraId="1F3DC9A8">
                  <w:pPr>
                    <w:pStyle w:val="8"/>
                    <w:spacing w:before="0" w:after="0" w:line="240" w:lineRule="auto"/>
                    <w:ind w:right="0"/>
                    <w:jc w:val="center"/>
                    <w:rPr>
                      <w:color w:val="auto"/>
                      <w:sz w:val="21"/>
                      <w:szCs w:val="21"/>
                      <w:highlight w:val="none"/>
                    </w:rPr>
                  </w:pPr>
                </w:p>
              </w:tc>
              <w:tc>
                <w:tcPr>
                  <w:tcW w:w="451" w:type="pct"/>
                  <w:vMerge w:val="continue"/>
                  <w:tcBorders>
                    <w:tl2br w:val="nil"/>
                    <w:tr2bl w:val="nil"/>
                  </w:tcBorders>
                  <w:vAlign w:val="center"/>
                </w:tcPr>
                <w:p w14:paraId="5C509D24">
                  <w:pPr>
                    <w:pStyle w:val="8"/>
                    <w:spacing w:before="0" w:after="0" w:line="240" w:lineRule="auto"/>
                    <w:ind w:right="0"/>
                    <w:jc w:val="center"/>
                    <w:rPr>
                      <w:rFonts w:hint="default" w:eastAsia="宋体"/>
                      <w:color w:val="auto"/>
                      <w:sz w:val="21"/>
                      <w:szCs w:val="21"/>
                      <w:highlight w:val="none"/>
                      <w:lang w:val="en-US" w:eastAsia="zh-CN"/>
                    </w:rPr>
                  </w:pPr>
                </w:p>
              </w:tc>
              <w:tc>
                <w:tcPr>
                  <w:tcW w:w="564" w:type="pct"/>
                  <w:tcBorders>
                    <w:tl2br w:val="nil"/>
                    <w:tr2bl w:val="nil"/>
                  </w:tcBorders>
                  <w:vAlign w:val="center"/>
                </w:tcPr>
                <w:p w14:paraId="0790DBB0">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22.41</w:t>
                  </w:r>
                </w:p>
              </w:tc>
              <w:tc>
                <w:tcPr>
                  <w:tcW w:w="572" w:type="pct"/>
                  <w:tcBorders>
                    <w:tl2br w:val="nil"/>
                    <w:tr2bl w:val="nil"/>
                  </w:tcBorders>
                  <w:vAlign w:val="center"/>
                </w:tcPr>
                <w:p w14:paraId="0FF41BAB">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45</w:t>
                  </w:r>
                </w:p>
              </w:tc>
              <w:tc>
                <w:tcPr>
                  <w:tcW w:w="810" w:type="pct"/>
                  <w:tcBorders>
                    <w:tl2br w:val="nil"/>
                    <w:tr2bl w:val="nil"/>
                  </w:tcBorders>
                  <w:vAlign w:val="center"/>
                </w:tcPr>
                <w:p w14:paraId="308C0D53">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14:paraId="7FB650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93" w:type="pct"/>
                  <w:vMerge w:val="continue"/>
                  <w:tcBorders>
                    <w:tl2br w:val="nil"/>
                    <w:tr2bl w:val="nil"/>
                  </w:tcBorders>
                  <w:vAlign w:val="center"/>
                </w:tcPr>
                <w:p w14:paraId="1225302F">
                  <w:pPr>
                    <w:pStyle w:val="8"/>
                    <w:spacing w:before="0" w:after="0" w:line="240" w:lineRule="auto"/>
                    <w:ind w:right="0"/>
                    <w:jc w:val="center"/>
                    <w:rPr>
                      <w:color w:val="auto"/>
                      <w:sz w:val="21"/>
                      <w:szCs w:val="21"/>
                      <w:highlight w:val="none"/>
                    </w:rPr>
                  </w:pPr>
                </w:p>
              </w:tc>
              <w:tc>
                <w:tcPr>
                  <w:tcW w:w="537" w:type="pct"/>
                  <w:tcBorders>
                    <w:tl2br w:val="nil"/>
                    <w:tr2bl w:val="nil"/>
                  </w:tcBorders>
                  <w:vAlign w:val="center"/>
                </w:tcPr>
                <w:p w14:paraId="4429D36C">
                  <w:pPr>
                    <w:pStyle w:val="8"/>
                    <w:spacing w:before="0" w:after="0" w:line="240" w:lineRule="auto"/>
                    <w:ind w:right="0"/>
                    <w:jc w:val="center"/>
                    <w:rPr>
                      <w:color w:val="auto"/>
                      <w:sz w:val="21"/>
                      <w:szCs w:val="21"/>
                      <w:highlight w:val="none"/>
                    </w:rPr>
                  </w:pPr>
                  <w:r>
                    <w:rPr>
                      <w:color w:val="auto"/>
                      <w:sz w:val="21"/>
                      <w:szCs w:val="21"/>
                      <w:highlight w:val="none"/>
                    </w:rPr>
                    <w:t>NH</w:t>
                  </w:r>
                  <w:r>
                    <w:rPr>
                      <w:color w:val="auto"/>
                      <w:sz w:val="21"/>
                      <w:szCs w:val="21"/>
                      <w:highlight w:val="none"/>
                      <w:vertAlign w:val="subscript"/>
                    </w:rPr>
                    <w:t>3</w:t>
                  </w:r>
                  <w:r>
                    <w:rPr>
                      <w:color w:val="auto"/>
                      <w:sz w:val="21"/>
                      <w:szCs w:val="21"/>
                      <w:highlight w:val="none"/>
                    </w:rPr>
                    <w:t>-N</w:t>
                  </w:r>
                </w:p>
              </w:tc>
              <w:tc>
                <w:tcPr>
                  <w:tcW w:w="556" w:type="pct"/>
                  <w:tcBorders>
                    <w:tl2br w:val="nil"/>
                    <w:tr2bl w:val="nil"/>
                  </w:tcBorders>
                  <w:vAlign w:val="center"/>
                </w:tcPr>
                <w:p w14:paraId="21CA82BE">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19.92</w:t>
                  </w:r>
                </w:p>
              </w:tc>
              <w:tc>
                <w:tcPr>
                  <w:tcW w:w="436" w:type="pct"/>
                  <w:tcBorders>
                    <w:tl2br w:val="nil"/>
                    <w:tr2bl w:val="nil"/>
                  </w:tcBorders>
                  <w:vAlign w:val="center"/>
                </w:tcPr>
                <w:p w14:paraId="25589D84">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40</w:t>
                  </w:r>
                </w:p>
              </w:tc>
              <w:tc>
                <w:tcPr>
                  <w:tcW w:w="676" w:type="pct"/>
                  <w:vMerge w:val="continue"/>
                  <w:tcBorders>
                    <w:tl2br w:val="nil"/>
                    <w:tr2bl w:val="nil"/>
                  </w:tcBorders>
                  <w:vAlign w:val="center"/>
                </w:tcPr>
                <w:p w14:paraId="6301E467">
                  <w:pPr>
                    <w:pStyle w:val="8"/>
                    <w:spacing w:before="0" w:after="0" w:line="240" w:lineRule="auto"/>
                    <w:ind w:right="0"/>
                    <w:jc w:val="center"/>
                    <w:rPr>
                      <w:color w:val="auto"/>
                      <w:sz w:val="21"/>
                      <w:szCs w:val="21"/>
                      <w:highlight w:val="none"/>
                    </w:rPr>
                  </w:pPr>
                </w:p>
              </w:tc>
              <w:tc>
                <w:tcPr>
                  <w:tcW w:w="451" w:type="pct"/>
                  <w:vMerge w:val="continue"/>
                  <w:tcBorders>
                    <w:tl2br w:val="nil"/>
                    <w:tr2bl w:val="nil"/>
                  </w:tcBorders>
                  <w:vAlign w:val="center"/>
                </w:tcPr>
                <w:p w14:paraId="70CE88AD">
                  <w:pPr>
                    <w:pStyle w:val="8"/>
                    <w:spacing w:before="0" w:after="0" w:line="240" w:lineRule="auto"/>
                    <w:ind w:right="0"/>
                    <w:jc w:val="center"/>
                    <w:rPr>
                      <w:color w:val="auto"/>
                      <w:sz w:val="21"/>
                      <w:szCs w:val="21"/>
                      <w:highlight w:val="none"/>
                    </w:rPr>
                  </w:pPr>
                </w:p>
              </w:tc>
              <w:tc>
                <w:tcPr>
                  <w:tcW w:w="564" w:type="pct"/>
                  <w:tcBorders>
                    <w:tl2br w:val="nil"/>
                    <w:tr2bl w:val="nil"/>
                  </w:tcBorders>
                  <w:vAlign w:val="center"/>
                </w:tcPr>
                <w:p w14:paraId="73009870">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5.98</w:t>
                  </w:r>
                </w:p>
              </w:tc>
              <w:tc>
                <w:tcPr>
                  <w:tcW w:w="572" w:type="pct"/>
                  <w:tcBorders>
                    <w:tl2br w:val="nil"/>
                    <w:tr2bl w:val="nil"/>
                  </w:tcBorders>
                  <w:vAlign w:val="center"/>
                </w:tcPr>
                <w:p w14:paraId="7CBDFB2E">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12</w:t>
                  </w:r>
                </w:p>
              </w:tc>
              <w:tc>
                <w:tcPr>
                  <w:tcW w:w="810" w:type="pct"/>
                  <w:tcBorders>
                    <w:tl2br w:val="nil"/>
                    <w:tr2bl w:val="nil"/>
                  </w:tcBorders>
                  <w:vAlign w:val="center"/>
                </w:tcPr>
                <w:p w14:paraId="4D9EB16B">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14:paraId="7D3B8F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93" w:type="pct"/>
                  <w:vMerge w:val="continue"/>
                  <w:tcBorders>
                    <w:tl2br w:val="nil"/>
                    <w:tr2bl w:val="nil"/>
                  </w:tcBorders>
                  <w:vAlign w:val="center"/>
                </w:tcPr>
                <w:p w14:paraId="0C5090DF">
                  <w:pPr>
                    <w:pStyle w:val="8"/>
                    <w:spacing w:before="0" w:after="0" w:line="240" w:lineRule="auto"/>
                    <w:ind w:right="0"/>
                    <w:jc w:val="center"/>
                    <w:rPr>
                      <w:color w:val="auto"/>
                      <w:sz w:val="21"/>
                      <w:szCs w:val="21"/>
                      <w:highlight w:val="none"/>
                    </w:rPr>
                  </w:pPr>
                </w:p>
              </w:tc>
              <w:tc>
                <w:tcPr>
                  <w:tcW w:w="537" w:type="pct"/>
                  <w:tcBorders>
                    <w:tl2br w:val="nil"/>
                    <w:tr2bl w:val="nil"/>
                  </w:tcBorders>
                  <w:vAlign w:val="center"/>
                </w:tcPr>
                <w:p w14:paraId="17912D77">
                  <w:pPr>
                    <w:pStyle w:val="8"/>
                    <w:spacing w:before="0" w:after="0" w:line="240" w:lineRule="auto"/>
                    <w:ind w:right="0"/>
                    <w:jc w:val="center"/>
                    <w:rPr>
                      <w:color w:val="auto"/>
                      <w:sz w:val="21"/>
                      <w:szCs w:val="21"/>
                      <w:highlight w:val="none"/>
                    </w:rPr>
                  </w:pPr>
                  <w:r>
                    <w:rPr>
                      <w:color w:val="auto"/>
                      <w:sz w:val="21"/>
                      <w:szCs w:val="21"/>
                      <w:highlight w:val="none"/>
                    </w:rPr>
                    <w:t>SS</w:t>
                  </w:r>
                </w:p>
              </w:tc>
              <w:tc>
                <w:tcPr>
                  <w:tcW w:w="556" w:type="pct"/>
                  <w:tcBorders>
                    <w:tl2br w:val="nil"/>
                    <w:tr2bl w:val="nil"/>
                  </w:tcBorders>
                  <w:vAlign w:val="center"/>
                </w:tcPr>
                <w:p w14:paraId="4686D113">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99.59</w:t>
                  </w:r>
                </w:p>
              </w:tc>
              <w:tc>
                <w:tcPr>
                  <w:tcW w:w="436" w:type="pct"/>
                  <w:tcBorders>
                    <w:tl2br w:val="nil"/>
                    <w:tr2bl w:val="nil"/>
                  </w:tcBorders>
                  <w:vAlign w:val="center"/>
                </w:tcPr>
                <w:p w14:paraId="2D33BE15">
                  <w:pPr>
                    <w:pStyle w:val="8"/>
                    <w:spacing w:before="0" w:after="0" w:line="240" w:lineRule="auto"/>
                    <w:ind w:right="0"/>
                    <w:jc w:val="center"/>
                    <w:rPr>
                      <w:color w:val="auto"/>
                      <w:sz w:val="21"/>
                      <w:szCs w:val="21"/>
                      <w:highlight w:val="none"/>
                    </w:rPr>
                  </w:pPr>
                  <w:r>
                    <w:rPr>
                      <w:rFonts w:hint="eastAsia"/>
                      <w:color w:val="auto"/>
                      <w:sz w:val="21"/>
                      <w:szCs w:val="21"/>
                      <w:highlight w:val="none"/>
                    </w:rPr>
                    <w:t>200</w:t>
                  </w:r>
                </w:p>
              </w:tc>
              <w:tc>
                <w:tcPr>
                  <w:tcW w:w="676" w:type="pct"/>
                  <w:vMerge w:val="continue"/>
                  <w:tcBorders>
                    <w:tl2br w:val="nil"/>
                    <w:tr2bl w:val="nil"/>
                  </w:tcBorders>
                  <w:vAlign w:val="center"/>
                </w:tcPr>
                <w:p w14:paraId="50F3918F">
                  <w:pPr>
                    <w:pStyle w:val="8"/>
                    <w:spacing w:before="0" w:after="0" w:line="240" w:lineRule="auto"/>
                    <w:ind w:right="0"/>
                    <w:jc w:val="center"/>
                    <w:rPr>
                      <w:color w:val="auto"/>
                      <w:sz w:val="21"/>
                      <w:szCs w:val="21"/>
                      <w:highlight w:val="none"/>
                    </w:rPr>
                  </w:pPr>
                </w:p>
              </w:tc>
              <w:tc>
                <w:tcPr>
                  <w:tcW w:w="451" w:type="pct"/>
                  <w:vMerge w:val="continue"/>
                  <w:tcBorders>
                    <w:tl2br w:val="nil"/>
                    <w:tr2bl w:val="nil"/>
                  </w:tcBorders>
                  <w:vAlign w:val="center"/>
                </w:tcPr>
                <w:p w14:paraId="7981DA00">
                  <w:pPr>
                    <w:pStyle w:val="8"/>
                    <w:spacing w:before="0" w:after="0" w:line="240" w:lineRule="auto"/>
                    <w:ind w:right="0"/>
                    <w:jc w:val="center"/>
                    <w:rPr>
                      <w:color w:val="auto"/>
                      <w:sz w:val="21"/>
                      <w:szCs w:val="21"/>
                      <w:highlight w:val="none"/>
                    </w:rPr>
                  </w:pPr>
                </w:p>
              </w:tc>
              <w:tc>
                <w:tcPr>
                  <w:tcW w:w="564" w:type="pct"/>
                  <w:tcBorders>
                    <w:tl2br w:val="nil"/>
                    <w:tr2bl w:val="nil"/>
                  </w:tcBorders>
                  <w:vAlign w:val="center"/>
                </w:tcPr>
                <w:p w14:paraId="2A2CA57A">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29.88</w:t>
                  </w:r>
                </w:p>
              </w:tc>
              <w:tc>
                <w:tcPr>
                  <w:tcW w:w="572" w:type="pct"/>
                  <w:tcBorders>
                    <w:tl2br w:val="nil"/>
                    <w:tr2bl w:val="nil"/>
                  </w:tcBorders>
                  <w:vAlign w:val="center"/>
                </w:tcPr>
                <w:p w14:paraId="682B1D2F">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60</w:t>
                  </w:r>
                </w:p>
              </w:tc>
              <w:tc>
                <w:tcPr>
                  <w:tcW w:w="810" w:type="pct"/>
                  <w:tcBorders>
                    <w:tl2br w:val="nil"/>
                    <w:tr2bl w:val="nil"/>
                  </w:tcBorders>
                  <w:vAlign w:val="center"/>
                </w:tcPr>
                <w:p w14:paraId="068D066C">
                  <w:pPr>
                    <w:pStyle w:val="8"/>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100</w:t>
                  </w:r>
                </w:p>
              </w:tc>
            </w:tr>
          </w:tbl>
          <w:p w14:paraId="53B34AE5">
            <w:pPr>
              <w:spacing w:line="360" w:lineRule="auto"/>
              <w:ind w:firstLine="0" w:firstLineChars="0"/>
            </w:pPr>
            <w:r>
              <w:rPr>
                <w:b/>
                <w:bCs/>
                <w:color w:val="auto"/>
                <w:sz w:val="24"/>
                <w:szCs w:val="32"/>
                <w:highlight w:val="none"/>
              </w:rPr>
              <w:t>2.</w:t>
            </w:r>
            <w:r>
              <w:rPr>
                <w:rFonts w:hint="eastAsia"/>
                <w:b/>
                <w:bCs/>
                <w:color w:val="auto"/>
                <w:sz w:val="24"/>
                <w:szCs w:val="32"/>
                <w:highlight w:val="none"/>
                <w:lang w:val="en-US" w:eastAsia="zh-CN"/>
              </w:rPr>
              <w:t>3</w:t>
            </w:r>
            <w:r>
              <w:rPr>
                <w:b/>
                <w:bCs/>
                <w:color w:val="auto"/>
                <w:sz w:val="24"/>
                <w:szCs w:val="32"/>
                <w:highlight w:val="none"/>
              </w:rPr>
              <w:t xml:space="preserve"> 排放口设置情况</w:t>
            </w:r>
          </w:p>
          <w:p w14:paraId="40060F17">
            <w:pPr>
              <w:spacing w:line="360" w:lineRule="auto"/>
              <w:ind w:firstLine="480" w:firstLineChars="200"/>
              <w:rPr>
                <w:color w:val="auto"/>
                <w:sz w:val="24"/>
                <w:szCs w:val="32"/>
                <w:highlight w:val="none"/>
              </w:rPr>
            </w:pPr>
            <w:r>
              <w:rPr>
                <w:color w:val="auto"/>
                <w:sz w:val="24"/>
                <w:szCs w:val="32"/>
                <w:highlight w:val="none"/>
              </w:rPr>
              <w:t>本项目</w:t>
            </w:r>
            <w:r>
              <w:rPr>
                <w:rFonts w:hint="eastAsia"/>
                <w:color w:val="auto"/>
                <w:sz w:val="24"/>
                <w:szCs w:val="32"/>
                <w:highlight w:val="none"/>
                <w:lang w:val="en-US" w:eastAsia="zh-CN"/>
              </w:rPr>
              <w:t>生产废水循环使用不外排，</w:t>
            </w:r>
            <w:r>
              <w:rPr>
                <w:color w:val="auto"/>
                <w:sz w:val="24"/>
                <w:szCs w:val="32"/>
                <w:highlight w:val="none"/>
              </w:rPr>
              <w:t>生活污水</w:t>
            </w:r>
            <w:r>
              <w:rPr>
                <w:rFonts w:hint="eastAsia"/>
                <w:color w:val="auto"/>
                <w:sz w:val="24"/>
                <w:szCs w:val="32"/>
                <w:highlight w:val="none"/>
                <w:lang w:val="en-US" w:eastAsia="zh-CN"/>
              </w:rPr>
              <w:t>经地埋式一体化污水处理设施处理后用于厂区绿化。</w:t>
            </w:r>
            <w:r>
              <w:rPr>
                <w:color w:val="auto"/>
                <w:sz w:val="24"/>
                <w:szCs w:val="32"/>
                <w:highlight w:val="none"/>
              </w:rPr>
              <w:t>本项目废水污染治理设施情况见下表</w:t>
            </w:r>
            <w:r>
              <w:rPr>
                <w:rFonts w:hint="eastAsia"/>
                <w:color w:val="auto"/>
                <w:sz w:val="24"/>
                <w:szCs w:val="32"/>
                <w:highlight w:val="none"/>
                <w:lang w:val="en-US" w:eastAsia="zh-CN"/>
              </w:rPr>
              <w:t>4-8</w:t>
            </w:r>
            <w:r>
              <w:rPr>
                <w:color w:val="auto"/>
                <w:sz w:val="24"/>
                <w:szCs w:val="32"/>
                <w:highlight w:val="none"/>
              </w:rPr>
              <w:t>。</w:t>
            </w:r>
          </w:p>
          <w:p w14:paraId="77F7192B">
            <w:pPr>
              <w:spacing w:line="240" w:lineRule="auto"/>
              <w:jc w:val="center"/>
              <w:rPr>
                <w:b/>
                <w:bCs/>
                <w:color w:val="auto"/>
                <w:sz w:val="22"/>
                <w:szCs w:val="28"/>
                <w:highlight w:val="none"/>
              </w:rPr>
            </w:pPr>
            <w:r>
              <w:rPr>
                <w:b/>
                <w:bCs/>
                <w:color w:val="auto"/>
                <w:sz w:val="21"/>
                <w:szCs w:val="24"/>
                <w:highlight w:val="none"/>
              </w:rPr>
              <w:t>表</w:t>
            </w:r>
            <w:r>
              <w:rPr>
                <w:rFonts w:hint="eastAsia"/>
                <w:b/>
                <w:bCs/>
                <w:color w:val="auto"/>
                <w:sz w:val="21"/>
                <w:szCs w:val="24"/>
                <w:highlight w:val="none"/>
                <w:lang w:val="en-US" w:eastAsia="zh-CN"/>
              </w:rPr>
              <w:t>4-8</w:t>
            </w:r>
            <w:r>
              <w:rPr>
                <w:b/>
                <w:bCs/>
                <w:color w:val="auto"/>
                <w:sz w:val="21"/>
                <w:szCs w:val="24"/>
                <w:highlight w:val="none"/>
              </w:rPr>
              <w:t xml:space="preserve">  废水类别、污染物及污染治理设施信息表</w:t>
            </w:r>
          </w:p>
          <w:tbl>
            <w:tblPr>
              <w:tblStyle w:val="28"/>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33"/>
              <w:gridCol w:w="829"/>
              <w:gridCol w:w="417"/>
              <w:gridCol w:w="654"/>
              <w:gridCol w:w="365"/>
              <w:gridCol w:w="679"/>
              <w:gridCol w:w="733"/>
              <w:gridCol w:w="625"/>
              <w:gridCol w:w="649"/>
              <w:gridCol w:w="865"/>
              <w:gridCol w:w="848"/>
            </w:tblGrid>
            <w:tr w14:paraId="26460C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pct"/>
                  <w:vMerge w:val="restart"/>
                  <w:tcBorders>
                    <w:bottom w:val="single" w:color="auto" w:sz="12" w:space="0"/>
                  </w:tcBorders>
                  <w:vAlign w:val="center"/>
                </w:tcPr>
                <w:p w14:paraId="574F6DC2">
                  <w:pPr>
                    <w:bidi w:val="0"/>
                    <w:spacing w:line="240" w:lineRule="auto"/>
                    <w:rPr>
                      <w:sz w:val="21"/>
                      <w:szCs w:val="21"/>
                    </w:rPr>
                  </w:pPr>
                  <w:r>
                    <w:rPr>
                      <w:sz w:val="21"/>
                      <w:szCs w:val="21"/>
                    </w:rPr>
                    <w:t>编号</w:t>
                  </w:r>
                  <w:r>
                    <w:rPr>
                      <w:rFonts w:hint="eastAsia"/>
                      <w:sz w:val="21"/>
                      <w:szCs w:val="21"/>
                      <w:lang w:val="en-US" w:eastAsia="zh-CN"/>
                    </w:rPr>
                    <w:t>及名称</w:t>
                  </w:r>
                </w:p>
              </w:tc>
              <w:tc>
                <w:tcPr>
                  <w:tcW w:w="272" w:type="pct"/>
                  <w:vMerge w:val="restart"/>
                  <w:tcBorders>
                    <w:bottom w:val="single" w:color="auto" w:sz="12" w:space="0"/>
                  </w:tcBorders>
                  <w:vAlign w:val="center"/>
                </w:tcPr>
                <w:p w14:paraId="3735C341">
                  <w:pPr>
                    <w:bidi w:val="0"/>
                    <w:spacing w:line="240" w:lineRule="auto"/>
                    <w:rPr>
                      <w:sz w:val="21"/>
                      <w:szCs w:val="21"/>
                    </w:rPr>
                  </w:pPr>
                  <w:r>
                    <w:rPr>
                      <w:sz w:val="21"/>
                      <w:szCs w:val="21"/>
                    </w:rPr>
                    <w:t>类别</w:t>
                  </w:r>
                </w:p>
              </w:tc>
              <w:tc>
                <w:tcPr>
                  <w:tcW w:w="521" w:type="pct"/>
                  <w:vMerge w:val="restart"/>
                  <w:tcBorders>
                    <w:bottom w:val="single" w:color="auto" w:sz="12" w:space="0"/>
                  </w:tcBorders>
                  <w:vAlign w:val="center"/>
                </w:tcPr>
                <w:p w14:paraId="70E82CC3">
                  <w:pPr>
                    <w:bidi w:val="0"/>
                    <w:spacing w:line="240" w:lineRule="auto"/>
                    <w:rPr>
                      <w:sz w:val="21"/>
                      <w:szCs w:val="21"/>
                    </w:rPr>
                  </w:pPr>
                  <w:r>
                    <w:rPr>
                      <w:sz w:val="21"/>
                      <w:szCs w:val="21"/>
                    </w:rPr>
                    <w:t>污染物</w:t>
                  </w:r>
                </w:p>
              </w:tc>
              <w:tc>
                <w:tcPr>
                  <w:tcW w:w="903" w:type="pct"/>
                  <w:gridSpan w:val="3"/>
                  <w:tcBorders>
                    <w:bottom w:val="single" w:color="auto" w:sz="12" w:space="0"/>
                  </w:tcBorders>
                  <w:vAlign w:val="center"/>
                </w:tcPr>
                <w:p w14:paraId="4C77ED05">
                  <w:pPr>
                    <w:bidi w:val="0"/>
                    <w:spacing w:line="240" w:lineRule="auto"/>
                    <w:jc w:val="center"/>
                    <w:rPr>
                      <w:sz w:val="21"/>
                      <w:szCs w:val="21"/>
                    </w:rPr>
                  </w:pPr>
                  <w:r>
                    <w:rPr>
                      <w:sz w:val="21"/>
                      <w:szCs w:val="21"/>
                    </w:rPr>
                    <w:t>污染防治措施</w:t>
                  </w:r>
                </w:p>
              </w:tc>
              <w:tc>
                <w:tcPr>
                  <w:tcW w:w="888" w:type="pct"/>
                  <w:gridSpan w:val="2"/>
                  <w:tcBorders>
                    <w:bottom w:val="single" w:color="auto" w:sz="12" w:space="0"/>
                  </w:tcBorders>
                  <w:vAlign w:val="center"/>
                </w:tcPr>
                <w:p w14:paraId="3C8EE552">
                  <w:pPr>
                    <w:bidi w:val="0"/>
                    <w:spacing w:line="240" w:lineRule="auto"/>
                    <w:jc w:val="center"/>
                    <w:rPr>
                      <w:sz w:val="21"/>
                      <w:szCs w:val="21"/>
                    </w:rPr>
                  </w:pPr>
                  <w:r>
                    <w:rPr>
                      <w:sz w:val="21"/>
                      <w:szCs w:val="21"/>
                    </w:rPr>
                    <w:t>排放口</w:t>
                  </w:r>
                </w:p>
              </w:tc>
              <w:tc>
                <w:tcPr>
                  <w:tcW w:w="393" w:type="pct"/>
                  <w:vMerge w:val="restart"/>
                  <w:tcBorders>
                    <w:bottom w:val="single" w:color="auto" w:sz="12" w:space="0"/>
                  </w:tcBorders>
                  <w:vAlign w:val="center"/>
                </w:tcPr>
                <w:p w14:paraId="49F7C0C8">
                  <w:pPr>
                    <w:bidi w:val="0"/>
                    <w:spacing w:line="240" w:lineRule="auto"/>
                    <w:jc w:val="center"/>
                    <w:rPr>
                      <w:sz w:val="21"/>
                      <w:szCs w:val="21"/>
                    </w:rPr>
                  </w:pPr>
                  <w:r>
                    <w:rPr>
                      <w:sz w:val="21"/>
                      <w:szCs w:val="21"/>
                    </w:rPr>
                    <w:t>排放去向</w:t>
                  </w:r>
                </w:p>
              </w:tc>
              <w:tc>
                <w:tcPr>
                  <w:tcW w:w="408" w:type="pct"/>
                  <w:vMerge w:val="restart"/>
                  <w:tcBorders>
                    <w:bottom w:val="single" w:color="auto" w:sz="12" w:space="0"/>
                  </w:tcBorders>
                  <w:vAlign w:val="center"/>
                </w:tcPr>
                <w:p w14:paraId="0B82CD52">
                  <w:pPr>
                    <w:bidi w:val="0"/>
                    <w:spacing w:line="240" w:lineRule="auto"/>
                    <w:rPr>
                      <w:sz w:val="21"/>
                      <w:szCs w:val="21"/>
                    </w:rPr>
                  </w:pPr>
                  <w:r>
                    <w:rPr>
                      <w:sz w:val="21"/>
                      <w:szCs w:val="21"/>
                    </w:rPr>
                    <w:t>排放方式</w:t>
                  </w:r>
                </w:p>
              </w:tc>
              <w:tc>
                <w:tcPr>
                  <w:tcW w:w="544" w:type="pct"/>
                  <w:vMerge w:val="restart"/>
                  <w:tcBorders>
                    <w:bottom w:val="single" w:color="auto" w:sz="12" w:space="0"/>
                  </w:tcBorders>
                  <w:vAlign w:val="center"/>
                </w:tcPr>
                <w:p w14:paraId="688919E5">
                  <w:pPr>
                    <w:bidi w:val="0"/>
                    <w:spacing w:line="240" w:lineRule="auto"/>
                    <w:rPr>
                      <w:sz w:val="21"/>
                      <w:szCs w:val="21"/>
                    </w:rPr>
                  </w:pPr>
                  <w:r>
                    <w:rPr>
                      <w:sz w:val="21"/>
                      <w:szCs w:val="21"/>
                    </w:rPr>
                    <w:t>排放规律</w:t>
                  </w:r>
                </w:p>
              </w:tc>
              <w:tc>
                <w:tcPr>
                  <w:tcW w:w="533" w:type="pct"/>
                  <w:vMerge w:val="restart"/>
                  <w:tcBorders>
                    <w:bottom w:val="single" w:color="auto" w:sz="12" w:space="0"/>
                  </w:tcBorders>
                  <w:vAlign w:val="center"/>
                </w:tcPr>
                <w:p w14:paraId="51B7AA5B">
                  <w:pPr>
                    <w:bidi w:val="0"/>
                    <w:spacing w:line="240" w:lineRule="auto"/>
                    <w:rPr>
                      <w:sz w:val="21"/>
                      <w:szCs w:val="21"/>
                    </w:rPr>
                  </w:pPr>
                  <w:r>
                    <w:rPr>
                      <w:sz w:val="21"/>
                      <w:szCs w:val="21"/>
                    </w:rPr>
                    <w:t>排放口类型</w:t>
                  </w:r>
                </w:p>
              </w:tc>
            </w:tr>
            <w:tr w14:paraId="5EBEF5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pct"/>
                  <w:vMerge w:val="continue"/>
                  <w:tcBorders>
                    <w:top w:val="single" w:color="auto" w:sz="12" w:space="0"/>
                    <w:bottom w:val="single" w:color="auto" w:sz="12" w:space="0"/>
                    <w:tl2br w:val="nil"/>
                    <w:tr2bl w:val="nil"/>
                  </w:tcBorders>
                  <w:vAlign w:val="center"/>
                </w:tcPr>
                <w:p w14:paraId="184F8049">
                  <w:pPr>
                    <w:bidi w:val="0"/>
                    <w:spacing w:line="240" w:lineRule="auto"/>
                    <w:rPr>
                      <w:sz w:val="21"/>
                      <w:szCs w:val="21"/>
                    </w:rPr>
                  </w:pPr>
                </w:p>
              </w:tc>
              <w:tc>
                <w:tcPr>
                  <w:tcW w:w="272" w:type="pct"/>
                  <w:vMerge w:val="continue"/>
                  <w:tcBorders>
                    <w:top w:val="single" w:color="auto" w:sz="12" w:space="0"/>
                    <w:bottom w:val="single" w:color="auto" w:sz="12" w:space="0"/>
                    <w:tl2br w:val="nil"/>
                    <w:tr2bl w:val="nil"/>
                  </w:tcBorders>
                  <w:vAlign w:val="center"/>
                </w:tcPr>
                <w:p w14:paraId="0AB0DAA6">
                  <w:pPr>
                    <w:bidi w:val="0"/>
                    <w:spacing w:line="240" w:lineRule="auto"/>
                    <w:rPr>
                      <w:sz w:val="21"/>
                      <w:szCs w:val="21"/>
                    </w:rPr>
                  </w:pPr>
                </w:p>
              </w:tc>
              <w:tc>
                <w:tcPr>
                  <w:tcW w:w="521" w:type="pct"/>
                  <w:vMerge w:val="continue"/>
                  <w:tcBorders>
                    <w:top w:val="single" w:color="auto" w:sz="12" w:space="0"/>
                    <w:bottom w:val="single" w:color="auto" w:sz="12" w:space="0"/>
                    <w:tl2br w:val="nil"/>
                    <w:tr2bl w:val="nil"/>
                  </w:tcBorders>
                  <w:vAlign w:val="center"/>
                </w:tcPr>
                <w:p w14:paraId="136AE6F7">
                  <w:pPr>
                    <w:bidi w:val="0"/>
                    <w:spacing w:line="240" w:lineRule="auto"/>
                    <w:rPr>
                      <w:sz w:val="21"/>
                      <w:szCs w:val="21"/>
                    </w:rPr>
                  </w:pPr>
                </w:p>
              </w:tc>
              <w:tc>
                <w:tcPr>
                  <w:tcW w:w="264" w:type="pct"/>
                  <w:tcBorders>
                    <w:top w:val="single" w:color="auto" w:sz="12" w:space="0"/>
                    <w:bottom w:val="single" w:color="auto" w:sz="12" w:space="0"/>
                    <w:tl2br w:val="nil"/>
                    <w:tr2bl w:val="nil"/>
                  </w:tcBorders>
                  <w:vAlign w:val="center"/>
                </w:tcPr>
                <w:p w14:paraId="2F686F22">
                  <w:pPr>
                    <w:bidi w:val="0"/>
                    <w:spacing w:line="240" w:lineRule="auto"/>
                    <w:rPr>
                      <w:sz w:val="21"/>
                      <w:szCs w:val="21"/>
                    </w:rPr>
                  </w:pPr>
                  <w:r>
                    <w:rPr>
                      <w:sz w:val="21"/>
                      <w:szCs w:val="21"/>
                    </w:rPr>
                    <w:t>工艺</w:t>
                  </w:r>
                </w:p>
              </w:tc>
              <w:tc>
                <w:tcPr>
                  <w:tcW w:w="412" w:type="pct"/>
                  <w:tcBorders>
                    <w:top w:val="single" w:color="auto" w:sz="12" w:space="0"/>
                    <w:bottom w:val="single" w:color="auto" w:sz="12" w:space="0"/>
                    <w:tl2br w:val="nil"/>
                    <w:tr2bl w:val="nil"/>
                  </w:tcBorders>
                  <w:vAlign w:val="center"/>
                </w:tcPr>
                <w:p w14:paraId="795EE9E1">
                  <w:pPr>
                    <w:bidi w:val="0"/>
                    <w:spacing w:line="240" w:lineRule="auto"/>
                    <w:rPr>
                      <w:sz w:val="21"/>
                      <w:szCs w:val="21"/>
                    </w:rPr>
                  </w:pPr>
                  <w:r>
                    <w:rPr>
                      <w:sz w:val="21"/>
                      <w:szCs w:val="21"/>
                    </w:rPr>
                    <w:t>是否为可行技术</w:t>
                  </w:r>
                </w:p>
              </w:tc>
              <w:tc>
                <w:tcPr>
                  <w:tcW w:w="226" w:type="pct"/>
                  <w:tcBorders>
                    <w:top w:val="single" w:color="auto" w:sz="12" w:space="0"/>
                    <w:bottom w:val="single" w:color="auto" w:sz="12" w:space="0"/>
                    <w:tl2br w:val="nil"/>
                    <w:tr2bl w:val="nil"/>
                  </w:tcBorders>
                  <w:vAlign w:val="center"/>
                </w:tcPr>
                <w:p w14:paraId="2C9F686B">
                  <w:pPr>
                    <w:bidi w:val="0"/>
                    <w:spacing w:line="240" w:lineRule="auto"/>
                    <w:rPr>
                      <w:sz w:val="21"/>
                      <w:szCs w:val="21"/>
                    </w:rPr>
                  </w:pPr>
                  <w:r>
                    <w:rPr>
                      <w:sz w:val="21"/>
                      <w:szCs w:val="21"/>
                    </w:rPr>
                    <w:t>处理能力</w:t>
                  </w:r>
                </w:p>
              </w:tc>
              <w:tc>
                <w:tcPr>
                  <w:tcW w:w="430" w:type="pct"/>
                  <w:tcBorders>
                    <w:top w:val="single" w:color="auto" w:sz="12" w:space="0"/>
                    <w:bottom w:val="single" w:color="auto" w:sz="12" w:space="0"/>
                    <w:tl2br w:val="nil"/>
                    <w:tr2bl w:val="nil"/>
                  </w:tcBorders>
                  <w:vAlign w:val="center"/>
                </w:tcPr>
                <w:p w14:paraId="46DB4990">
                  <w:pPr>
                    <w:bidi w:val="0"/>
                    <w:spacing w:line="240" w:lineRule="auto"/>
                    <w:jc w:val="center"/>
                    <w:rPr>
                      <w:sz w:val="21"/>
                      <w:szCs w:val="21"/>
                    </w:rPr>
                  </w:pPr>
                  <w:r>
                    <w:rPr>
                      <w:sz w:val="21"/>
                      <w:szCs w:val="21"/>
                    </w:rPr>
                    <w:t>经度</w:t>
                  </w:r>
                </w:p>
              </w:tc>
              <w:tc>
                <w:tcPr>
                  <w:tcW w:w="457" w:type="pct"/>
                  <w:tcBorders>
                    <w:top w:val="single" w:color="auto" w:sz="12" w:space="0"/>
                    <w:bottom w:val="single" w:color="auto" w:sz="12" w:space="0"/>
                    <w:tl2br w:val="nil"/>
                    <w:tr2bl w:val="nil"/>
                  </w:tcBorders>
                  <w:vAlign w:val="center"/>
                </w:tcPr>
                <w:p w14:paraId="6AAD9477">
                  <w:pPr>
                    <w:bidi w:val="0"/>
                    <w:spacing w:line="240" w:lineRule="auto"/>
                    <w:jc w:val="center"/>
                    <w:rPr>
                      <w:sz w:val="21"/>
                      <w:szCs w:val="21"/>
                    </w:rPr>
                  </w:pPr>
                  <w:r>
                    <w:rPr>
                      <w:sz w:val="21"/>
                      <w:szCs w:val="21"/>
                    </w:rPr>
                    <w:t>纬度</w:t>
                  </w:r>
                </w:p>
              </w:tc>
              <w:tc>
                <w:tcPr>
                  <w:tcW w:w="393" w:type="pct"/>
                  <w:vMerge w:val="continue"/>
                  <w:tcBorders>
                    <w:top w:val="single" w:color="auto" w:sz="12" w:space="0"/>
                    <w:bottom w:val="single" w:color="auto" w:sz="12" w:space="0"/>
                    <w:tl2br w:val="nil"/>
                    <w:tr2bl w:val="nil"/>
                  </w:tcBorders>
                  <w:vAlign w:val="center"/>
                </w:tcPr>
                <w:p w14:paraId="2EEAE6E9">
                  <w:pPr>
                    <w:bidi w:val="0"/>
                    <w:spacing w:line="240" w:lineRule="auto"/>
                    <w:rPr>
                      <w:sz w:val="21"/>
                      <w:szCs w:val="21"/>
                    </w:rPr>
                  </w:pPr>
                </w:p>
              </w:tc>
              <w:tc>
                <w:tcPr>
                  <w:tcW w:w="408" w:type="pct"/>
                  <w:vMerge w:val="continue"/>
                  <w:tcBorders>
                    <w:top w:val="single" w:color="auto" w:sz="12" w:space="0"/>
                    <w:bottom w:val="single" w:color="auto" w:sz="12" w:space="0"/>
                    <w:tl2br w:val="nil"/>
                    <w:tr2bl w:val="nil"/>
                  </w:tcBorders>
                  <w:vAlign w:val="center"/>
                </w:tcPr>
                <w:p w14:paraId="44B78706">
                  <w:pPr>
                    <w:bidi w:val="0"/>
                    <w:spacing w:line="240" w:lineRule="auto"/>
                    <w:rPr>
                      <w:sz w:val="21"/>
                      <w:szCs w:val="21"/>
                    </w:rPr>
                  </w:pPr>
                </w:p>
              </w:tc>
              <w:tc>
                <w:tcPr>
                  <w:tcW w:w="544" w:type="pct"/>
                  <w:vMerge w:val="continue"/>
                  <w:tcBorders>
                    <w:top w:val="single" w:color="auto" w:sz="12" w:space="0"/>
                    <w:bottom w:val="single" w:color="auto" w:sz="12" w:space="0"/>
                    <w:tl2br w:val="nil"/>
                    <w:tr2bl w:val="nil"/>
                  </w:tcBorders>
                  <w:vAlign w:val="center"/>
                </w:tcPr>
                <w:p w14:paraId="4B76BF45">
                  <w:pPr>
                    <w:bidi w:val="0"/>
                    <w:spacing w:line="240" w:lineRule="auto"/>
                    <w:rPr>
                      <w:sz w:val="21"/>
                      <w:szCs w:val="21"/>
                    </w:rPr>
                  </w:pPr>
                </w:p>
              </w:tc>
              <w:tc>
                <w:tcPr>
                  <w:tcW w:w="533" w:type="pct"/>
                  <w:vMerge w:val="continue"/>
                  <w:tcBorders>
                    <w:top w:val="single" w:color="auto" w:sz="12" w:space="0"/>
                    <w:bottom w:val="single" w:color="auto" w:sz="12" w:space="0"/>
                    <w:tl2br w:val="nil"/>
                    <w:tr2bl w:val="nil"/>
                  </w:tcBorders>
                  <w:vAlign w:val="center"/>
                </w:tcPr>
                <w:p w14:paraId="5EE69C80">
                  <w:pPr>
                    <w:bidi w:val="0"/>
                    <w:spacing w:line="240" w:lineRule="auto"/>
                    <w:rPr>
                      <w:sz w:val="21"/>
                      <w:szCs w:val="21"/>
                    </w:rPr>
                  </w:pPr>
                </w:p>
              </w:tc>
            </w:tr>
            <w:tr w14:paraId="31773F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pct"/>
                  <w:tcBorders>
                    <w:top w:val="single" w:color="auto" w:sz="12" w:space="0"/>
                  </w:tcBorders>
                  <w:vAlign w:val="center"/>
                </w:tcPr>
                <w:p w14:paraId="718AC256">
                  <w:pPr>
                    <w:bidi w:val="0"/>
                    <w:spacing w:line="240" w:lineRule="auto"/>
                    <w:jc w:val="left"/>
                    <w:rPr>
                      <w:sz w:val="21"/>
                      <w:szCs w:val="21"/>
                    </w:rPr>
                  </w:pPr>
                  <w:r>
                    <w:rPr>
                      <w:sz w:val="21"/>
                      <w:szCs w:val="21"/>
                    </w:rPr>
                    <w:t>DW001</w:t>
                  </w:r>
                  <w:r>
                    <w:rPr>
                      <w:rFonts w:hint="eastAsia"/>
                      <w:sz w:val="21"/>
                      <w:szCs w:val="21"/>
                      <w:lang w:val="en-US" w:eastAsia="zh-CN"/>
                    </w:rPr>
                    <w:t>总</w:t>
                  </w:r>
                  <w:r>
                    <w:rPr>
                      <w:sz w:val="21"/>
                      <w:szCs w:val="21"/>
                    </w:rPr>
                    <w:t>排放口</w:t>
                  </w:r>
                </w:p>
              </w:tc>
              <w:tc>
                <w:tcPr>
                  <w:tcW w:w="272" w:type="pct"/>
                  <w:tcBorders>
                    <w:top w:val="single" w:color="auto" w:sz="12" w:space="0"/>
                  </w:tcBorders>
                  <w:vAlign w:val="center"/>
                </w:tcPr>
                <w:p w14:paraId="621C0818">
                  <w:pPr>
                    <w:bidi w:val="0"/>
                    <w:spacing w:line="240" w:lineRule="auto"/>
                    <w:jc w:val="left"/>
                    <w:rPr>
                      <w:rFonts w:hint="default"/>
                      <w:sz w:val="21"/>
                      <w:szCs w:val="21"/>
                      <w:lang w:val="en-US" w:eastAsia="zh-CN"/>
                    </w:rPr>
                  </w:pPr>
                  <w:r>
                    <w:rPr>
                      <w:sz w:val="21"/>
                      <w:szCs w:val="21"/>
                    </w:rPr>
                    <w:t>生活污水</w:t>
                  </w:r>
                </w:p>
              </w:tc>
              <w:tc>
                <w:tcPr>
                  <w:tcW w:w="521" w:type="pct"/>
                  <w:tcBorders>
                    <w:top w:val="single" w:color="auto" w:sz="12" w:space="0"/>
                  </w:tcBorders>
                  <w:vAlign w:val="center"/>
                </w:tcPr>
                <w:p w14:paraId="7840C89A">
                  <w:pPr>
                    <w:bidi w:val="0"/>
                    <w:spacing w:line="240" w:lineRule="auto"/>
                    <w:jc w:val="left"/>
                    <w:rPr>
                      <w:rFonts w:hint="eastAsia"/>
                      <w:sz w:val="21"/>
                      <w:szCs w:val="21"/>
                      <w:lang w:eastAsia="zh-CN"/>
                    </w:rPr>
                  </w:pPr>
                  <w:r>
                    <w:rPr>
                      <w:rFonts w:hint="eastAsia"/>
                      <w:sz w:val="21"/>
                      <w:szCs w:val="21"/>
                      <w:lang w:eastAsia="zh-CN"/>
                    </w:rPr>
                    <w:t>CODcr</w:t>
                  </w:r>
                </w:p>
                <w:p w14:paraId="3BC100C8">
                  <w:pPr>
                    <w:bidi w:val="0"/>
                    <w:spacing w:line="240" w:lineRule="auto"/>
                    <w:jc w:val="left"/>
                    <w:rPr>
                      <w:sz w:val="21"/>
                      <w:szCs w:val="21"/>
                    </w:rPr>
                  </w:pPr>
                  <w:r>
                    <w:rPr>
                      <w:sz w:val="21"/>
                      <w:szCs w:val="21"/>
                    </w:rPr>
                    <w:t>BOD</w:t>
                  </w:r>
                  <w:r>
                    <w:rPr>
                      <w:sz w:val="21"/>
                      <w:szCs w:val="21"/>
                      <w:vertAlign w:val="subscript"/>
                    </w:rPr>
                    <w:t>5</w:t>
                  </w:r>
                </w:p>
                <w:p w14:paraId="177FD193">
                  <w:pPr>
                    <w:bidi w:val="0"/>
                    <w:spacing w:line="240" w:lineRule="auto"/>
                    <w:jc w:val="left"/>
                    <w:rPr>
                      <w:sz w:val="21"/>
                      <w:szCs w:val="21"/>
                    </w:rPr>
                  </w:pPr>
                  <w:r>
                    <w:rPr>
                      <w:sz w:val="21"/>
                      <w:szCs w:val="21"/>
                    </w:rPr>
                    <w:t>SS</w:t>
                  </w:r>
                </w:p>
                <w:p w14:paraId="082E4176">
                  <w:pPr>
                    <w:bidi w:val="0"/>
                    <w:spacing w:line="240" w:lineRule="auto"/>
                    <w:jc w:val="left"/>
                    <w:rPr>
                      <w:rFonts w:hint="eastAsia"/>
                      <w:sz w:val="21"/>
                      <w:szCs w:val="21"/>
                      <w:lang w:val="en-US" w:eastAsia="zh-CN"/>
                    </w:rPr>
                  </w:pPr>
                  <w:r>
                    <w:rPr>
                      <w:sz w:val="21"/>
                      <w:szCs w:val="21"/>
                    </w:rPr>
                    <w:t>氨氮</w:t>
                  </w:r>
                </w:p>
              </w:tc>
              <w:tc>
                <w:tcPr>
                  <w:tcW w:w="264" w:type="pct"/>
                  <w:tcBorders>
                    <w:top w:val="single" w:color="auto" w:sz="12" w:space="0"/>
                  </w:tcBorders>
                  <w:vAlign w:val="center"/>
                </w:tcPr>
                <w:p w14:paraId="4244F00D">
                  <w:pPr>
                    <w:bidi w:val="0"/>
                    <w:spacing w:line="240" w:lineRule="auto"/>
                    <w:jc w:val="left"/>
                    <w:rPr>
                      <w:rFonts w:hint="default"/>
                      <w:sz w:val="21"/>
                      <w:szCs w:val="21"/>
                      <w:lang w:val="en-US" w:eastAsia="zh-CN"/>
                    </w:rPr>
                  </w:pPr>
                  <w:r>
                    <w:rPr>
                      <w:rFonts w:hint="eastAsia"/>
                      <w:sz w:val="21"/>
                      <w:szCs w:val="21"/>
                      <w:lang w:val="en-US" w:eastAsia="zh-CN"/>
                    </w:rPr>
                    <w:t>一体化污水处理设施</w:t>
                  </w:r>
                </w:p>
              </w:tc>
              <w:tc>
                <w:tcPr>
                  <w:tcW w:w="412" w:type="pct"/>
                  <w:tcBorders>
                    <w:top w:val="single" w:color="auto" w:sz="12" w:space="0"/>
                  </w:tcBorders>
                  <w:vAlign w:val="center"/>
                </w:tcPr>
                <w:p w14:paraId="733BE66C">
                  <w:pPr>
                    <w:bidi w:val="0"/>
                    <w:spacing w:line="240" w:lineRule="auto"/>
                    <w:jc w:val="center"/>
                    <w:rPr>
                      <w:rFonts w:hint="eastAsia"/>
                      <w:sz w:val="21"/>
                      <w:szCs w:val="21"/>
                      <w:lang w:eastAsia="zh-CN"/>
                    </w:rPr>
                  </w:pPr>
                  <w:r>
                    <w:rPr>
                      <w:rFonts w:hint="eastAsia"/>
                      <w:sz w:val="21"/>
                      <w:szCs w:val="21"/>
                      <w:lang w:val="en-US" w:eastAsia="zh-CN"/>
                    </w:rPr>
                    <w:t>是</w:t>
                  </w:r>
                </w:p>
              </w:tc>
              <w:tc>
                <w:tcPr>
                  <w:tcW w:w="226" w:type="pct"/>
                  <w:tcBorders>
                    <w:top w:val="single" w:color="auto" w:sz="12" w:space="0"/>
                  </w:tcBorders>
                  <w:vAlign w:val="center"/>
                </w:tcPr>
                <w:p w14:paraId="634C1F5D">
                  <w:pPr>
                    <w:bidi w:val="0"/>
                    <w:spacing w:line="240" w:lineRule="auto"/>
                    <w:jc w:val="left"/>
                    <w:rPr>
                      <w:sz w:val="21"/>
                      <w:szCs w:val="21"/>
                    </w:rPr>
                  </w:pPr>
                  <w:r>
                    <w:rPr>
                      <w:sz w:val="21"/>
                      <w:szCs w:val="21"/>
                    </w:rPr>
                    <w:t>/</w:t>
                  </w:r>
                </w:p>
              </w:tc>
              <w:tc>
                <w:tcPr>
                  <w:tcW w:w="430" w:type="pct"/>
                  <w:tcBorders>
                    <w:top w:val="single" w:color="auto" w:sz="12" w:space="0"/>
                  </w:tcBorders>
                  <w:vAlign w:val="center"/>
                </w:tcPr>
                <w:p w14:paraId="7BFDD2D6">
                  <w:pPr>
                    <w:bidi w:val="0"/>
                    <w:spacing w:line="240" w:lineRule="auto"/>
                    <w:jc w:val="left"/>
                    <w:rPr>
                      <w:sz w:val="21"/>
                      <w:szCs w:val="21"/>
                      <w:highlight w:val="none"/>
                    </w:rPr>
                  </w:pPr>
                  <w:r>
                    <w:rPr>
                      <w:rFonts w:hint="eastAsia" w:cs="Times New Roman"/>
                      <w:sz w:val="21"/>
                      <w:szCs w:val="21"/>
                      <w:highlight w:val="none"/>
                      <w:lang w:val="en-US" w:eastAsia="zh-CN"/>
                    </w:rPr>
                    <w:t>东经</w:t>
                  </w:r>
                  <w:r>
                    <w:rPr>
                      <w:rFonts w:hint="eastAsia" w:ascii="Times New Roman" w:hAnsi="Times New Roman" w:cs="Times New Roman"/>
                      <w:sz w:val="21"/>
                      <w:szCs w:val="21"/>
                      <w:highlight w:val="none"/>
                      <w:lang w:val="en-US" w:eastAsia="zh-CN"/>
                    </w:rPr>
                    <w:t>91°</w:t>
                  </w:r>
                  <w:r>
                    <w:rPr>
                      <w:rFonts w:hint="eastAsia" w:cs="Times New Roman"/>
                      <w:sz w:val="21"/>
                      <w:szCs w:val="21"/>
                      <w:highlight w:val="none"/>
                      <w:lang w:val="en-US" w:eastAsia="zh-CN"/>
                    </w:rPr>
                    <w:t>5</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17.956</w:t>
                  </w:r>
                  <w:r>
                    <w:rPr>
                      <w:rFonts w:hint="eastAsia" w:ascii="Times New Roman" w:hAnsi="Times New Roman" w:cs="Times New Roman"/>
                      <w:sz w:val="21"/>
                      <w:szCs w:val="21"/>
                      <w:highlight w:val="none"/>
                      <w:lang w:val="en-US" w:eastAsia="zh-CN"/>
                    </w:rPr>
                    <w:t>"</w:t>
                  </w:r>
                </w:p>
              </w:tc>
              <w:tc>
                <w:tcPr>
                  <w:tcW w:w="457" w:type="pct"/>
                  <w:tcBorders>
                    <w:top w:val="single" w:color="auto" w:sz="12" w:space="0"/>
                  </w:tcBorders>
                  <w:vAlign w:val="center"/>
                </w:tcPr>
                <w:p w14:paraId="07CC83E6">
                  <w:pPr>
                    <w:bidi w:val="0"/>
                    <w:spacing w:line="240" w:lineRule="auto"/>
                    <w:jc w:val="left"/>
                    <w:rPr>
                      <w:sz w:val="21"/>
                      <w:szCs w:val="21"/>
                      <w:highlight w:val="none"/>
                    </w:rPr>
                  </w:pPr>
                  <w:r>
                    <w:rPr>
                      <w:rFonts w:hint="eastAsia" w:cs="Times New Roman"/>
                      <w:sz w:val="21"/>
                      <w:szCs w:val="21"/>
                      <w:highlight w:val="none"/>
                      <w:lang w:val="en-US" w:eastAsia="zh-CN"/>
                    </w:rPr>
                    <w:t>北纬</w:t>
                  </w:r>
                  <w:r>
                    <w:rPr>
                      <w:rFonts w:hint="eastAsia" w:ascii="Times New Roman" w:hAnsi="Times New Roman" w:cs="Times New Roman"/>
                      <w:sz w:val="21"/>
                      <w:szCs w:val="21"/>
                      <w:highlight w:val="none"/>
                      <w:lang w:val="en-US" w:eastAsia="zh-CN"/>
                    </w:rPr>
                    <w:t>4</w:t>
                  </w:r>
                  <w:r>
                    <w:rPr>
                      <w:rFonts w:hint="eastAsia" w:cs="Times New Roman"/>
                      <w:sz w:val="21"/>
                      <w:szCs w:val="21"/>
                      <w:highlight w:val="none"/>
                      <w:lang w:val="en-US" w:eastAsia="zh-CN"/>
                    </w:rPr>
                    <w:t>3</w:t>
                  </w:r>
                  <w:r>
                    <w:rPr>
                      <w:rFonts w:hint="eastAsia" w:ascii="Times New Roman" w:hAnsi="Times New Roman" w:cs="Times New Roman"/>
                      <w:sz w:val="21"/>
                      <w:szCs w:val="21"/>
                      <w:highlight w:val="none"/>
                      <w:lang w:val="en-US" w:eastAsia="zh-CN"/>
                    </w:rPr>
                    <w:t>°4</w:t>
                  </w:r>
                  <w:r>
                    <w:rPr>
                      <w:rFonts w:hint="eastAsia" w:cs="Times New Roman"/>
                      <w:sz w:val="21"/>
                      <w:szCs w:val="21"/>
                      <w:highlight w:val="none"/>
                      <w:lang w:val="en-US" w:eastAsia="zh-CN"/>
                    </w:rPr>
                    <w:t>5</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30.095</w:t>
                  </w:r>
                  <w:r>
                    <w:rPr>
                      <w:rFonts w:hint="eastAsia" w:ascii="Times New Roman" w:hAnsi="Times New Roman" w:cs="Times New Roman"/>
                      <w:sz w:val="21"/>
                      <w:szCs w:val="21"/>
                      <w:highlight w:val="none"/>
                      <w:lang w:val="en-US" w:eastAsia="zh-CN"/>
                    </w:rPr>
                    <w:t>"</w:t>
                  </w:r>
                </w:p>
              </w:tc>
              <w:tc>
                <w:tcPr>
                  <w:tcW w:w="393" w:type="pct"/>
                  <w:tcBorders>
                    <w:top w:val="single" w:color="auto" w:sz="12" w:space="0"/>
                  </w:tcBorders>
                  <w:vAlign w:val="center"/>
                </w:tcPr>
                <w:p w14:paraId="14811A30">
                  <w:pPr>
                    <w:bidi w:val="0"/>
                    <w:spacing w:line="240" w:lineRule="auto"/>
                    <w:jc w:val="center"/>
                    <w:rPr>
                      <w:rFonts w:hint="default"/>
                      <w:sz w:val="21"/>
                      <w:szCs w:val="21"/>
                      <w:lang w:val="en-US" w:eastAsia="zh-CN"/>
                    </w:rPr>
                  </w:pPr>
                  <w:r>
                    <w:rPr>
                      <w:rFonts w:hint="eastAsia"/>
                      <w:sz w:val="21"/>
                      <w:szCs w:val="21"/>
                      <w:lang w:val="en-US" w:eastAsia="zh-CN"/>
                    </w:rPr>
                    <w:t>厂区降尘</w:t>
                  </w:r>
                </w:p>
              </w:tc>
              <w:tc>
                <w:tcPr>
                  <w:tcW w:w="408" w:type="pct"/>
                  <w:tcBorders>
                    <w:top w:val="single" w:color="auto" w:sz="12" w:space="0"/>
                  </w:tcBorders>
                  <w:vAlign w:val="center"/>
                </w:tcPr>
                <w:p w14:paraId="77BEF617">
                  <w:pPr>
                    <w:bidi w:val="0"/>
                    <w:spacing w:line="240" w:lineRule="auto"/>
                    <w:jc w:val="left"/>
                    <w:rPr>
                      <w:sz w:val="21"/>
                      <w:szCs w:val="21"/>
                    </w:rPr>
                  </w:pPr>
                  <w:r>
                    <w:rPr>
                      <w:sz w:val="21"/>
                      <w:szCs w:val="21"/>
                    </w:rPr>
                    <w:t>间接排放</w:t>
                  </w:r>
                </w:p>
              </w:tc>
              <w:tc>
                <w:tcPr>
                  <w:tcW w:w="544" w:type="pct"/>
                  <w:tcBorders>
                    <w:top w:val="single" w:color="auto" w:sz="12" w:space="0"/>
                  </w:tcBorders>
                  <w:vAlign w:val="center"/>
                </w:tcPr>
                <w:p w14:paraId="5E0C37FE">
                  <w:pPr>
                    <w:bidi w:val="0"/>
                    <w:spacing w:line="240" w:lineRule="auto"/>
                    <w:jc w:val="left"/>
                    <w:rPr>
                      <w:sz w:val="21"/>
                      <w:szCs w:val="21"/>
                    </w:rPr>
                  </w:pPr>
                  <w:r>
                    <w:rPr>
                      <w:rFonts w:hint="eastAsia"/>
                      <w:sz w:val="21"/>
                      <w:szCs w:val="21"/>
                      <w:lang w:val="en-US" w:eastAsia="zh-CN"/>
                    </w:rPr>
                    <w:t>间断</w:t>
                  </w:r>
                  <w:r>
                    <w:rPr>
                      <w:sz w:val="21"/>
                      <w:szCs w:val="21"/>
                    </w:rPr>
                    <w:t>排放，流量不稳定且无规律，但不属于冲击型排放</w:t>
                  </w:r>
                </w:p>
              </w:tc>
              <w:tc>
                <w:tcPr>
                  <w:tcW w:w="533" w:type="pct"/>
                  <w:tcBorders>
                    <w:top w:val="single" w:color="auto" w:sz="12" w:space="0"/>
                  </w:tcBorders>
                  <w:vAlign w:val="center"/>
                </w:tcPr>
                <w:p w14:paraId="69A5786A">
                  <w:pPr>
                    <w:bidi w:val="0"/>
                    <w:spacing w:line="240" w:lineRule="auto"/>
                    <w:jc w:val="left"/>
                    <w:rPr>
                      <w:sz w:val="21"/>
                      <w:szCs w:val="21"/>
                    </w:rPr>
                  </w:pPr>
                  <w:r>
                    <w:rPr>
                      <w:sz w:val="21"/>
                      <w:szCs w:val="21"/>
                    </w:rPr>
                    <w:t>企业总排口</w:t>
                  </w:r>
                </w:p>
                <w:p w14:paraId="08D5A74A">
                  <w:pPr>
                    <w:bidi w:val="0"/>
                    <w:spacing w:line="240" w:lineRule="auto"/>
                    <w:jc w:val="left"/>
                    <w:rPr>
                      <w:sz w:val="21"/>
                      <w:szCs w:val="21"/>
                    </w:rPr>
                  </w:pPr>
                  <w:r>
                    <w:rPr>
                      <w:rFonts w:hint="eastAsia"/>
                      <w:sz w:val="21"/>
                      <w:szCs w:val="21"/>
                      <w:lang w:eastAsia="zh-CN"/>
                    </w:rPr>
                    <w:t>，</w:t>
                  </w:r>
                  <w:r>
                    <w:rPr>
                      <w:sz w:val="21"/>
                      <w:szCs w:val="21"/>
                    </w:rPr>
                    <w:t>一般排放口</w:t>
                  </w:r>
                </w:p>
              </w:tc>
            </w:tr>
          </w:tbl>
          <w:p w14:paraId="6076533B">
            <w:pPr>
              <w:pStyle w:val="4"/>
              <w:spacing w:line="360" w:lineRule="auto"/>
              <w:rPr>
                <w:color w:val="auto"/>
                <w:highlight w:val="none"/>
              </w:rPr>
            </w:pPr>
            <w:r>
              <w:rPr>
                <w:color w:val="auto"/>
                <w:highlight w:val="none"/>
              </w:rPr>
              <w:t>2.</w:t>
            </w:r>
            <w:r>
              <w:rPr>
                <w:rFonts w:hint="eastAsia"/>
                <w:color w:val="auto"/>
                <w:highlight w:val="none"/>
                <w:lang w:val="en-US" w:eastAsia="zh-CN"/>
              </w:rPr>
              <w:t>4</w:t>
            </w:r>
            <w:r>
              <w:rPr>
                <w:color w:val="auto"/>
                <w:highlight w:val="none"/>
              </w:rPr>
              <w:t xml:space="preserve"> 监测计划及要求</w:t>
            </w:r>
          </w:p>
          <w:p w14:paraId="1C38895A">
            <w:pPr>
              <w:wordWrap w:val="0"/>
              <w:spacing w:line="360" w:lineRule="auto"/>
              <w:ind w:firstLine="482"/>
              <w:jc w:val="left"/>
              <w:rPr>
                <w:color w:val="auto"/>
                <w:sz w:val="21"/>
                <w:szCs w:val="21"/>
                <w:highlight w:val="none"/>
              </w:rPr>
            </w:pPr>
            <w:r>
              <w:rPr>
                <w:rFonts w:ascii="宋体" w:hAnsi="宋体" w:eastAsia="宋体" w:cs="宋体"/>
                <w:b w:val="0"/>
                <w:bCs w:val="0"/>
                <w:color w:val="000000"/>
                <w:sz w:val="24"/>
                <w:szCs w:val="24"/>
              </w:rPr>
              <w:t>根据《排污单位自行监测技术指南 总则》（</w:t>
            </w:r>
            <w:r>
              <w:rPr>
                <w:rFonts w:ascii="TimesNewRomanPSMT" w:hAnsi="TimesNewRomanPSMT" w:eastAsia="TimesNewRomanPSMT" w:cs="TimesNewRomanPSMT"/>
                <w:b w:val="0"/>
                <w:bCs w:val="0"/>
                <w:color w:val="000000"/>
                <w:sz w:val="24"/>
                <w:szCs w:val="24"/>
              </w:rPr>
              <w:t>HJ819-2017</w:t>
            </w:r>
            <w:r>
              <w:rPr>
                <w:rFonts w:ascii="宋体" w:hAnsi="宋体" w:eastAsia="宋体" w:cs="宋体"/>
                <w:b w:val="0"/>
                <w:bCs w:val="0"/>
                <w:color w:val="000000"/>
                <w:sz w:val="24"/>
                <w:szCs w:val="24"/>
              </w:rPr>
              <w:t xml:space="preserve">）及《排污许可证申请与核发技术规范 </w:t>
            </w:r>
            <w:r>
              <w:rPr>
                <w:rFonts w:hint="eastAsia" w:ascii="宋体" w:hAnsi="宋体" w:eastAsia="宋体" w:cs="宋体"/>
                <w:b w:val="0"/>
                <w:bCs w:val="0"/>
                <w:color w:val="000000"/>
                <w:sz w:val="24"/>
                <w:szCs w:val="24"/>
                <w:lang w:val="en-US" w:eastAsia="zh-CN"/>
              </w:rPr>
              <w:t>水泥</w:t>
            </w:r>
            <w:r>
              <w:rPr>
                <w:rFonts w:ascii="宋体" w:hAnsi="宋体" w:eastAsia="宋体" w:cs="宋体"/>
                <w:b w:val="0"/>
                <w:bCs w:val="0"/>
                <w:color w:val="000000"/>
                <w:sz w:val="24"/>
                <w:szCs w:val="24"/>
              </w:rPr>
              <w:t>工业》（</w:t>
            </w:r>
            <w:r>
              <w:rPr>
                <w:rFonts w:hint="default" w:ascii="TimesNewRomanPSMT" w:hAnsi="TimesNewRomanPSMT" w:eastAsia="TimesNewRomanPSMT" w:cs="TimesNewRomanPSMT"/>
                <w:b w:val="0"/>
                <w:bCs w:val="0"/>
                <w:color w:val="000000"/>
                <w:sz w:val="24"/>
                <w:szCs w:val="24"/>
              </w:rPr>
              <w:t>HJ</w:t>
            </w:r>
            <w:r>
              <w:rPr>
                <w:rFonts w:hint="eastAsia" w:ascii="TimesNewRomanPSMT" w:hAnsi="TimesNewRomanPSMT" w:eastAsia="宋体" w:cs="TimesNewRomanPSMT"/>
                <w:b w:val="0"/>
                <w:bCs w:val="0"/>
                <w:color w:val="000000"/>
                <w:sz w:val="24"/>
                <w:szCs w:val="24"/>
                <w:lang w:val="en-US" w:eastAsia="zh-CN"/>
              </w:rPr>
              <w:t>847</w:t>
            </w:r>
            <w:r>
              <w:rPr>
                <w:rFonts w:hint="default" w:ascii="TimesNewRomanPSMT" w:hAnsi="TimesNewRomanPSMT" w:eastAsia="TimesNewRomanPSMT" w:cs="TimesNewRomanPSMT"/>
                <w:b w:val="0"/>
                <w:bCs w:val="0"/>
                <w:color w:val="000000"/>
                <w:sz w:val="24"/>
                <w:szCs w:val="24"/>
              </w:rPr>
              <w:t>-201</w:t>
            </w:r>
            <w:r>
              <w:rPr>
                <w:rFonts w:hint="eastAsia" w:ascii="TimesNewRomanPSMT" w:hAnsi="TimesNewRomanPSMT" w:eastAsia="宋体" w:cs="TimesNewRomanPSMT"/>
                <w:b w:val="0"/>
                <w:bCs w:val="0"/>
                <w:color w:val="000000"/>
                <w:sz w:val="24"/>
                <w:szCs w:val="24"/>
                <w:lang w:val="en-US" w:eastAsia="zh-CN"/>
              </w:rPr>
              <w:t>7</w:t>
            </w:r>
            <w:r>
              <w:rPr>
                <w:rFonts w:ascii="宋体" w:hAnsi="宋体" w:eastAsia="宋体" w:cs="宋体"/>
                <w:b w:val="0"/>
                <w:bCs w:val="0"/>
                <w:color w:val="000000"/>
                <w:sz w:val="24"/>
                <w:szCs w:val="24"/>
              </w:rPr>
              <w:t>），本项目监测计划见表</w:t>
            </w:r>
            <w:r>
              <w:rPr>
                <w:rFonts w:hint="default" w:ascii="Times New Roman" w:hAnsi="Times New Roman" w:eastAsia="宋体" w:cs="Times New Roman"/>
                <w:b w:val="0"/>
                <w:bCs w:val="0"/>
                <w:color w:val="000000"/>
                <w:sz w:val="24"/>
                <w:szCs w:val="24"/>
                <w:lang w:val="en-US" w:eastAsia="zh-CN"/>
              </w:rPr>
              <w:t>4-9</w:t>
            </w:r>
            <w:r>
              <w:rPr>
                <w:color w:val="auto"/>
                <w:sz w:val="24"/>
                <w:highlight w:val="none"/>
              </w:rPr>
              <w:t>。</w:t>
            </w:r>
          </w:p>
          <w:p w14:paraId="34909557">
            <w:pPr>
              <w:pStyle w:val="6"/>
              <w:spacing w:line="240" w:lineRule="auto"/>
              <w:rPr>
                <w:rFonts w:hint="default" w:eastAsia="宋体"/>
                <w:color w:val="auto"/>
                <w:sz w:val="21"/>
                <w:szCs w:val="21"/>
                <w:highlight w:val="none"/>
                <w:lang w:val="en-US" w:eastAsia="zh-CN"/>
              </w:rPr>
            </w:pPr>
            <w:r>
              <w:rPr>
                <w:color w:val="auto"/>
                <w:sz w:val="21"/>
                <w:szCs w:val="21"/>
                <w:highlight w:val="none"/>
              </w:rPr>
              <w:t>表</w:t>
            </w:r>
            <w:r>
              <w:rPr>
                <w:rFonts w:hint="eastAsia"/>
                <w:color w:val="auto"/>
                <w:sz w:val="21"/>
                <w:szCs w:val="21"/>
                <w:highlight w:val="none"/>
                <w:lang w:val="en-US" w:eastAsia="zh-CN"/>
              </w:rPr>
              <w:t>4-9</w:t>
            </w:r>
            <w:r>
              <w:rPr>
                <w:color w:val="auto"/>
                <w:sz w:val="21"/>
                <w:szCs w:val="21"/>
                <w:highlight w:val="none"/>
              </w:rPr>
              <w:t xml:space="preserve">    </w:t>
            </w:r>
            <w:r>
              <w:rPr>
                <w:rFonts w:hint="eastAsia"/>
                <w:color w:val="auto"/>
                <w:sz w:val="21"/>
                <w:szCs w:val="21"/>
                <w:highlight w:val="none"/>
                <w:lang w:val="en-US" w:eastAsia="zh-CN"/>
              </w:rPr>
              <w:t>监测计划一览表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946"/>
              <w:gridCol w:w="1187"/>
              <w:gridCol w:w="841"/>
              <w:gridCol w:w="2969"/>
              <w:gridCol w:w="1543"/>
            </w:tblGrid>
            <w:tr w14:paraId="24BD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2" w:type="pct"/>
                  <w:vMerge w:val="restart"/>
                  <w:vAlign w:val="center"/>
                </w:tcPr>
                <w:p w14:paraId="237D3F4F">
                  <w:pPr>
                    <w:adjustRightInd w:val="0"/>
                    <w:snapToGrid w:val="0"/>
                    <w:jc w:val="center"/>
                    <w:rPr>
                      <w:b/>
                      <w:bCs/>
                      <w:color w:val="auto"/>
                      <w:sz w:val="21"/>
                      <w:szCs w:val="21"/>
                      <w:highlight w:val="none"/>
                    </w:rPr>
                  </w:pPr>
                  <w:r>
                    <w:rPr>
                      <w:b/>
                      <w:bCs/>
                      <w:color w:val="auto"/>
                      <w:sz w:val="21"/>
                      <w:szCs w:val="21"/>
                      <w:highlight w:val="none"/>
                    </w:rPr>
                    <w:t>序号</w:t>
                  </w:r>
                </w:p>
              </w:tc>
              <w:tc>
                <w:tcPr>
                  <w:tcW w:w="596" w:type="pct"/>
                  <w:vMerge w:val="restart"/>
                  <w:vAlign w:val="center"/>
                </w:tcPr>
                <w:p w14:paraId="5CC1FB18">
                  <w:pPr>
                    <w:adjustRightInd w:val="0"/>
                    <w:snapToGrid w:val="0"/>
                    <w:jc w:val="center"/>
                    <w:rPr>
                      <w:b/>
                      <w:bCs/>
                      <w:color w:val="auto"/>
                      <w:sz w:val="21"/>
                      <w:szCs w:val="21"/>
                      <w:highlight w:val="none"/>
                    </w:rPr>
                  </w:pPr>
                  <w:r>
                    <w:rPr>
                      <w:b/>
                      <w:bCs/>
                      <w:color w:val="auto"/>
                      <w:sz w:val="21"/>
                      <w:szCs w:val="21"/>
                      <w:highlight w:val="none"/>
                    </w:rPr>
                    <w:t>排放口编号</w:t>
                  </w:r>
                </w:p>
              </w:tc>
              <w:tc>
                <w:tcPr>
                  <w:tcW w:w="748" w:type="pct"/>
                  <w:vMerge w:val="restart"/>
                  <w:vAlign w:val="center"/>
                </w:tcPr>
                <w:p w14:paraId="43387EE1">
                  <w:pPr>
                    <w:adjustRightInd w:val="0"/>
                    <w:snapToGrid w:val="0"/>
                    <w:jc w:val="center"/>
                    <w:rPr>
                      <w:b/>
                      <w:bCs/>
                      <w:color w:val="auto"/>
                      <w:sz w:val="21"/>
                      <w:szCs w:val="21"/>
                      <w:highlight w:val="none"/>
                    </w:rPr>
                  </w:pPr>
                  <w:r>
                    <w:rPr>
                      <w:b/>
                      <w:bCs/>
                      <w:color w:val="auto"/>
                      <w:sz w:val="21"/>
                      <w:szCs w:val="21"/>
                      <w:highlight w:val="none"/>
                    </w:rPr>
                    <w:t>污染物种类</w:t>
                  </w:r>
                </w:p>
              </w:tc>
              <w:tc>
                <w:tcPr>
                  <w:tcW w:w="530" w:type="pct"/>
                  <w:vMerge w:val="restart"/>
                  <w:vAlign w:val="center"/>
                </w:tcPr>
                <w:p w14:paraId="6309B042">
                  <w:pPr>
                    <w:adjustRightInd w:val="0"/>
                    <w:snapToGrid w:val="0"/>
                    <w:jc w:val="center"/>
                    <w:rPr>
                      <w:b/>
                      <w:bCs/>
                      <w:color w:val="auto"/>
                      <w:sz w:val="21"/>
                      <w:szCs w:val="21"/>
                      <w:highlight w:val="none"/>
                    </w:rPr>
                  </w:pPr>
                  <w:r>
                    <w:rPr>
                      <w:b/>
                      <w:bCs/>
                      <w:color w:val="auto"/>
                      <w:sz w:val="21"/>
                      <w:szCs w:val="21"/>
                      <w:highlight w:val="none"/>
                    </w:rPr>
                    <w:t>监测频次</w:t>
                  </w:r>
                </w:p>
              </w:tc>
              <w:tc>
                <w:tcPr>
                  <w:tcW w:w="2843" w:type="pct"/>
                  <w:gridSpan w:val="2"/>
                  <w:vAlign w:val="center"/>
                </w:tcPr>
                <w:p w14:paraId="2C78593B">
                  <w:pPr>
                    <w:adjustRightInd w:val="0"/>
                    <w:snapToGrid w:val="0"/>
                    <w:jc w:val="center"/>
                    <w:rPr>
                      <w:b/>
                      <w:bCs/>
                      <w:color w:val="auto"/>
                      <w:sz w:val="21"/>
                      <w:szCs w:val="21"/>
                      <w:highlight w:val="none"/>
                    </w:rPr>
                  </w:pPr>
                  <w:r>
                    <w:rPr>
                      <w:b/>
                      <w:bCs/>
                      <w:color w:val="auto"/>
                      <w:sz w:val="21"/>
                      <w:szCs w:val="21"/>
                      <w:highlight w:val="none"/>
                    </w:rPr>
                    <w:t>国家或地方污染物排放标准及其他按规定商定的排放协议</w:t>
                  </w:r>
                </w:p>
              </w:tc>
            </w:tr>
            <w:tr w14:paraId="3EC2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2" w:type="pct"/>
                  <w:vMerge w:val="continue"/>
                  <w:vAlign w:val="center"/>
                </w:tcPr>
                <w:p w14:paraId="15242C3A">
                  <w:pPr>
                    <w:adjustRightInd w:val="0"/>
                    <w:snapToGrid w:val="0"/>
                    <w:jc w:val="center"/>
                    <w:rPr>
                      <w:b/>
                      <w:bCs/>
                      <w:color w:val="auto"/>
                      <w:sz w:val="21"/>
                      <w:szCs w:val="21"/>
                      <w:highlight w:val="none"/>
                    </w:rPr>
                  </w:pPr>
                </w:p>
              </w:tc>
              <w:tc>
                <w:tcPr>
                  <w:tcW w:w="596" w:type="pct"/>
                  <w:vMerge w:val="continue"/>
                  <w:vAlign w:val="center"/>
                </w:tcPr>
                <w:p w14:paraId="67E023D2">
                  <w:pPr>
                    <w:adjustRightInd w:val="0"/>
                    <w:snapToGrid w:val="0"/>
                    <w:jc w:val="center"/>
                    <w:rPr>
                      <w:b/>
                      <w:bCs/>
                      <w:color w:val="auto"/>
                      <w:sz w:val="21"/>
                      <w:szCs w:val="21"/>
                      <w:highlight w:val="none"/>
                    </w:rPr>
                  </w:pPr>
                </w:p>
              </w:tc>
              <w:tc>
                <w:tcPr>
                  <w:tcW w:w="748" w:type="pct"/>
                  <w:vMerge w:val="continue"/>
                  <w:vAlign w:val="center"/>
                </w:tcPr>
                <w:p w14:paraId="1820508B">
                  <w:pPr>
                    <w:adjustRightInd w:val="0"/>
                    <w:snapToGrid w:val="0"/>
                    <w:jc w:val="center"/>
                    <w:rPr>
                      <w:b/>
                      <w:bCs/>
                      <w:color w:val="auto"/>
                      <w:sz w:val="21"/>
                      <w:szCs w:val="21"/>
                      <w:highlight w:val="none"/>
                    </w:rPr>
                  </w:pPr>
                </w:p>
              </w:tc>
              <w:tc>
                <w:tcPr>
                  <w:tcW w:w="530" w:type="pct"/>
                  <w:vMerge w:val="continue"/>
                  <w:vAlign w:val="center"/>
                </w:tcPr>
                <w:p w14:paraId="287F432A">
                  <w:pPr>
                    <w:adjustRightInd w:val="0"/>
                    <w:snapToGrid w:val="0"/>
                    <w:jc w:val="center"/>
                    <w:rPr>
                      <w:b/>
                      <w:bCs/>
                      <w:color w:val="auto"/>
                      <w:sz w:val="21"/>
                      <w:szCs w:val="21"/>
                      <w:highlight w:val="none"/>
                    </w:rPr>
                  </w:pPr>
                </w:p>
              </w:tc>
              <w:tc>
                <w:tcPr>
                  <w:tcW w:w="1871" w:type="pct"/>
                  <w:vAlign w:val="center"/>
                </w:tcPr>
                <w:p w14:paraId="57962E3D">
                  <w:pPr>
                    <w:adjustRightInd w:val="0"/>
                    <w:snapToGrid w:val="0"/>
                    <w:jc w:val="center"/>
                    <w:rPr>
                      <w:b/>
                      <w:bCs/>
                      <w:color w:val="auto"/>
                      <w:sz w:val="21"/>
                      <w:szCs w:val="21"/>
                      <w:highlight w:val="none"/>
                    </w:rPr>
                  </w:pPr>
                  <w:r>
                    <w:rPr>
                      <w:b/>
                      <w:bCs/>
                      <w:color w:val="auto"/>
                      <w:sz w:val="21"/>
                      <w:szCs w:val="21"/>
                      <w:highlight w:val="none"/>
                    </w:rPr>
                    <w:t>名称</w:t>
                  </w:r>
                </w:p>
              </w:tc>
              <w:tc>
                <w:tcPr>
                  <w:tcW w:w="971" w:type="pct"/>
                  <w:vAlign w:val="center"/>
                </w:tcPr>
                <w:p w14:paraId="3C18FE69">
                  <w:pPr>
                    <w:adjustRightInd w:val="0"/>
                    <w:snapToGrid w:val="0"/>
                    <w:jc w:val="center"/>
                    <w:rPr>
                      <w:b/>
                      <w:bCs/>
                      <w:color w:val="auto"/>
                      <w:sz w:val="21"/>
                      <w:szCs w:val="21"/>
                      <w:highlight w:val="none"/>
                    </w:rPr>
                  </w:pPr>
                  <w:r>
                    <w:rPr>
                      <w:b/>
                      <w:bCs/>
                      <w:color w:val="auto"/>
                      <w:sz w:val="21"/>
                      <w:szCs w:val="21"/>
                      <w:highlight w:val="none"/>
                    </w:rPr>
                    <w:t>浓度限值(mg/L)</w:t>
                  </w:r>
                </w:p>
              </w:tc>
            </w:tr>
            <w:tr w14:paraId="2B29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82" w:type="pct"/>
                  <w:vMerge w:val="restart"/>
                  <w:tcBorders>
                    <w:tl2br w:val="nil"/>
                    <w:tr2bl w:val="nil"/>
                  </w:tcBorders>
                  <w:vAlign w:val="center"/>
                </w:tcPr>
                <w:p w14:paraId="565D1AD5">
                  <w:pPr>
                    <w:adjustRightInd w:val="0"/>
                    <w:snapToGrid w:val="0"/>
                    <w:jc w:val="center"/>
                    <w:rPr>
                      <w:color w:val="auto"/>
                      <w:sz w:val="21"/>
                      <w:szCs w:val="21"/>
                      <w:highlight w:val="none"/>
                    </w:rPr>
                  </w:pPr>
                  <w:r>
                    <w:rPr>
                      <w:color w:val="auto"/>
                      <w:sz w:val="21"/>
                      <w:szCs w:val="21"/>
                      <w:highlight w:val="none"/>
                    </w:rPr>
                    <w:t>1</w:t>
                  </w:r>
                </w:p>
              </w:tc>
              <w:tc>
                <w:tcPr>
                  <w:tcW w:w="596" w:type="pct"/>
                  <w:vMerge w:val="restart"/>
                  <w:tcBorders>
                    <w:tl2br w:val="nil"/>
                    <w:tr2bl w:val="nil"/>
                  </w:tcBorders>
                  <w:vAlign w:val="center"/>
                </w:tcPr>
                <w:p w14:paraId="1E3FCF77">
                  <w:pPr>
                    <w:adjustRightInd w:val="0"/>
                    <w:snapToGrid w:val="0"/>
                    <w:jc w:val="center"/>
                    <w:rPr>
                      <w:color w:val="auto"/>
                      <w:sz w:val="21"/>
                      <w:szCs w:val="21"/>
                      <w:highlight w:val="none"/>
                    </w:rPr>
                  </w:pPr>
                  <w:r>
                    <w:rPr>
                      <w:color w:val="auto"/>
                      <w:sz w:val="21"/>
                      <w:szCs w:val="21"/>
                      <w:highlight w:val="none"/>
                    </w:rPr>
                    <w:t>DW001</w:t>
                  </w:r>
                  <w:r>
                    <w:rPr>
                      <w:rFonts w:hint="default" w:ascii="Times New Roman" w:hAnsi="Times New Roman" w:cs="Times New Roman"/>
                      <w:iCs/>
                      <w:sz w:val="21"/>
                      <w:szCs w:val="21"/>
                      <w:highlight w:val="none"/>
                    </w:rPr>
                    <w:t>企业废水总排放口</w:t>
                  </w:r>
                </w:p>
              </w:tc>
              <w:tc>
                <w:tcPr>
                  <w:tcW w:w="748" w:type="pct"/>
                  <w:tcBorders>
                    <w:tl2br w:val="nil"/>
                    <w:tr2bl w:val="nil"/>
                  </w:tcBorders>
                  <w:vAlign w:val="center"/>
                </w:tcPr>
                <w:p w14:paraId="165C4060">
                  <w:pPr>
                    <w:adjustRightInd w:val="0"/>
                    <w:snapToGrid w:val="0"/>
                    <w:jc w:val="center"/>
                    <w:rPr>
                      <w:rFonts w:hint="eastAsia" w:eastAsia="宋体"/>
                      <w:color w:val="auto"/>
                      <w:sz w:val="21"/>
                      <w:szCs w:val="21"/>
                      <w:highlight w:val="none"/>
                      <w:lang w:eastAsia="zh-CN"/>
                    </w:rPr>
                  </w:pPr>
                  <w:r>
                    <w:rPr>
                      <w:rFonts w:hint="eastAsia"/>
                      <w:color w:val="auto"/>
                      <w:sz w:val="21"/>
                      <w:szCs w:val="21"/>
                      <w:highlight w:val="none"/>
                      <w:lang w:eastAsia="zh-CN"/>
                    </w:rPr>
                    <w:t>CODcr</w:t>
                  </w:r>
                </w:p>
              </w:tc>
              <w:tc>
                <w:tcPr>
                  <w:tcW w:w="530" w:type="pct"/>
                  <w:vMerge w:val="restart"/>
                  <w:tcBorders>
                    <w:tl2br w:val="nil"/>
                    <w:tr2bl w:val="nil"/>
                  </w:tcBorders>
                  <w:vAlign w:val="center"/>
                </w:tcPr>
                <w:p w14:paraId="49394C04">
                  <w:pPr>
                    <w:adjustRightInd w:val="0"/>
                    <w:snapToGrid w:val="0"/>
                    <w:jc w:val="center"/>
                    <w:rPr>
                      <w:color w:val="auto"/>
                      <w:sz w:val="21"/>
                      <w:szCs w:val="21"/>
                      <w:highlight w:val="none"/>
                    </w:rPr>
                  </w:pPr>
                  <w:r>
                    <w:rPr>
                      <w:color w:val="auto"/>
                      <w:sz w:val="21"/>
                      <w:szCs w:val="21"/>
                      <w:highlight w:val="none"/>
                    </w:rPr>
                    <w:t>半年/次</w:t>
                  </w:r>
                </w:p>
              </w:tc>
              <w:tc>
                <w:tcPr>
                  <w:tcW w:w="1871" w:type="pct"/>
                  <w:vMerge w:val="restart"/>
                  <w:tcBorders>
                    <w:tl2br w:val="nil"/>
                    <w:tr2bl w:val="nil"/>
                  </w:tcBorders>
                  <w:vAlign w:val="center"/>
                </w:tcPr>
                <w:p w14:paraId="50C3F80A">
                  <w:pPr>
                    <w:adjustRightInd w:val="0"/>
                    <w:snapToGrid w:val="0"/>
                    <w:jc w:val="center"/>
                    <w:rPr>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农村生活污水处理排放标准</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DB65/4275-2019</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表2中C级排放浓度限值</w:t>
                  </w:r>
                </w:p>
              </w:tc>
              <w:tc>
                <w:tcPr>
                  <w:tcW w:w="971" w:type="pct"/>
                  <w:tcBorders>
                    <w:tl2br w:val="nil"/>
                    <w:tr2bl w:val="nil"/>
                  </w:tcBorders>
                  <w:vAlign w:val="center"/>
                </w:tcPr>
                <w:p w14:paraId="42F36233">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200</w:t>
                  </w:r>
                </w:p>
              </w:tc>
            </w:tr>
            <w:tr w14:paraId="270E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2" w:type="pct"/>
                  <w:vMerge w:val="continue"/>
                  <w:tcBorders>
                    <w:tl2br w:val="nil"/>
                    <w:tr2bl w:val="nil"/>
                  </w:tcBorders>
                  <w:vAlign w:val="center"/>
                </w:tcPr>
                <w:p w14:paraId="777E439E">
                  <w:pPr>
                    <w:adjustRightInd w:val="0"/>
                    <w:snapToGrid w:val="0"/>
                    <w:jc w:val="center"/>
                    <w:rPr>
                      <w:color w:val="auto"/>
                      <w:sz w:val="21"/>
                      <w:szCs w:val="21"/>
                      <w:highlight w:val="none"/>
                    </w:rPr>
                  </w:pPr>
                </w:p>
              </w:tc>
              <w:tc>
                <w:tcPr>
                  <w:tcW w:w="596" w:type="pct"/>
                  <w:vMerge w:val="continue"/>
                  <w:tcBorders>
                    <w:tl2br w:val="nil"/>
                    <w:tr2bl w:val="nil"/>
                  </w:tcBorders>
                  <w:vAlign w:val="center"/>
                </w:tcPr>
                <w:p w14:paraId="4A65E841">
                  <w:pPr>
                    <w:adjustRightInd w:val="0"/>
                    <w:snapToGrid w:val="0"/>
                    <w:jc w:val="center"/>
                    <w:rPr>
                      <w:color w:val="auto"/>
                      <w:sz w:val="21"/>
                      <w:szCs w:val="21"/>
                      <w:highlight w:val="none"/>
                    </w:rPr>
                  </w:pPr>
                </w:p>
              </w:tc>
              <w:tc>
                <w:tcPr>
                  <w:tcW w:w="748" w:type="pct"/>
                  <w:tcBorders>
                    <w:tl2br w:val="nil"/>
                    <w:tr2bl w:val="nil"/>
                  </w:tcBorders>
                  <w:vAlign w:val="center"/>
                </w:tcPr>
                <w:p w14:paraId="027F24B8">
                  <w:pPr>
                    <w:adjustRightInd w:val="0"/>
                    <w:snapToGrid w:val="0"/>
                    <w:jc w:val="center"/>
                    <w:rPr>
                      <w:color w:val="auto"/>
                      <w:kern w:val="0"/>
                      <w:sz w:val="21"/>
                      <w:szCs w:val="21"/>
                      <w:highlight w:val="none"/>
                    </w:rPr>
                  </w:pPr>
                  <w:r>
                    <w:rPr>
                      <w:color w:val="auto"/>
                      <w:kern w:val="0"/>
                      <w:sz w:val="21"/>
                      <w:szCs w:val="21"/>
                      <w:highlight w:val="none"/>
                    </w:rPr>
                    <w:t>BOD</w:t>
                  </w:r>
                  <w:r>
                    <w:rPr>
                      <w:color w:val="auto"/>
                      <w:kern w:val="0"/>
                      <w:sz w:val="21"/>
                      <w:szCs w:val="21"/>
                      <w:highlight w:val="none"/>
                      <w:vertAlign w:val="subscript"/>
                    </w:rPr>
                    <w:t>5</w:t>
                  </w:r>
                </w:p>
              </w:tc>
              <w:tc>
                <w:tcPr>
                  <w:tcW w:w="530" w:type="pct"/>
                  <w:vMerge w:val="continue"/>
                  <w:tcBorders>
                    <w:tl2br w:val="nil"/>
                    <w:tr2bl w:val="nil"/>
                  </w:tcBorders>
                  <w:vAlign w:val="center"/>
                </w:tcPr>
                <w:p w14:paraId="2817C10E">
                  <w:pPr>
                    <w:adjustRightInd w:val="0"/>
                    <w:snapToGrid w:val="0"/>
                    <w:jc w:val="center"/>
                    <w:rPr>
                      <w:color w:val="auto"/>
                      <w:kern w:val="0"/>
                      <w:sz w:val="21"/>
                      <w:szCs w:val="21"/>
                      <w:highlight w:val="none"/>
                    </w:rPr>
                  </w:pPr>
                </w:p>
              </w:tc>
              <w:tc>
                <w:tcPr>
                  <w:tcW w:w="1871" w:type="pct"/>
                  <w:vMerge w:val="continue"/>
                  <w:tcBorders>
                    <w:tl2br w:val="nil"/>
                    <w:tr2bl w:val="nil"/>
                  </w:tcBorders>
                  <w:vAlign w:val="center"/>
                </w:tcPr>
                <w:p w14:paraId="0C705CF0">
                  <w:pPr>
                    <w:adjustRightInd w:val="0"/>
                    <w:snapToGrid w:val="0"/>
                    <w:jc w:val="center"/>
                    <w:rPr>
                      <w:color w:val="auto"/>
                      <w:sz w:val="21"/>
                      <w:szCs w:val="21"/>
                      <w:highlight w:val="none"/>
                    </w:rPr>
                  </w:pPr>
                </w:p>
              </w:tc>
              <w:tc>
                <w:tcPr>
                  <w:tcW w:w="971" w:type="pct"/>
                  <w:tcBorders>
                    <w:tl2br w:val="nil"/>
                    <w:tr2bl w:val="nil"/>
                  </w:tcBorders>
                  <w:vAlign w:val="center"/>
                </w:tcPr>
                <w:p w14:paraId="4E8A5077">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14:paraId="1C40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2" w:type="pct"/>
                  <w:vMerge w:val="continue"/>
                  <w:tcBorders>
                    <w:tl2br w:val="nil"/>
                    <w:tr2bl w:val="nil"/>
                  </w:tcBorders>
                  <w:vAlign w:val="center"/>
                </w:tcPr>
                <w:p w14:paraId="79A180B0">
                  <w:pPr>
                    <w:adjustRightInd w:val="0"/>
                    <w:snapToGrid w:val="0"/>
                    <w:jc w:val="center"/>
                    <w:rPr>
                      <w:color w:val="auto"/>
                      <w:sz w:val="21"/>
                      <w:szCs w:val="21"/>
                      <w:highlight w:val="none"/>
                    </w:rPr>
                  </w:pPr>
                </w:p>
              </w:tc>
              <w:tc>
                <w:tcPr>
                  <w:tcW w:w="596" w:type="pct"/>
                  <w:vMerge w:val="continue"/>
                  <w:tcBorders>
                    <w:tl2br w:val="nil"/>
                    <w:tr2bl w:val="nil"/>
                  </w:tcBorders>
                  <w:vAlign w:val="center"/>
                </w:tcPr>
                <w:p w14:paraId="2FA5B687">
                  <w:pPr>
                    <w:adjustRightInd w:val="0"/>
                    <w:snapToGrid w:val="0"/>
                    <w:jc w:val="center"/>
                    <w:rPr>
                      <w:color w:val="auto"/>
                      <w:sz w:val="21"/>
                      <w:szCs w:val="21"/>
                      <w:highlight w:val="none"/>
                    </w:rPr>
                  </w:pPr>
                </w:p>
              </w:tc>
              <w:tc>
                <w:tcPr>
                  <w:tcW w:w="748" w:type="pct"/>
                  <w:tcBorders>
                    <w:tl2br w:val="nil"/>
                    <w:tr2bl w:val="nil"/>
                  </w:tcBorders>
                  <w:vAlign w:val="center"/>
                </w:tcPr>
                <w:p w14:paraId="25E399C1">
                  <w:pPr>
                    <w:adjustRightInd w:val="0"/>
                    <w:snapToGrid w:val="0"/>
                    <w:jc w:val="center"/>
                    <w:rPr>
                      <w:color w:val="auto"/>
                      <w:kern w:val="0"/>
                      <w:sz w:val="21"/>
                      <w:szCs w:val="21"/>
                      <w:highlight w:val="none"/>
                    </w:rPr>
                  </w:pPr>
                  <w:r>
                    <w:rPr>
                      <w:bCs/>
                      <w:color w:val="auto"/>
                      <w:sz w:val="21"/>
                      <w:szCs w:val="21"/>
                      <w:highlight w:val="none"/>
                    </w:rPr>
                    <w:t>NH</w:t>
                  </w:r>
                  <w:r>
                    <w:rPr>
                      <w:bCs/>
                      <w:color w:val="auto"/>
                      <w:sz w:val="21"/>
                      <w:szCs w:val="21"/>
                      <w:highlight w:val="none"/>
                      <w:vertAlign w:val="subscript"/>
                    </w:rPr>
                    <w:t>3</w:t>
                  </w:r>
                  <w:r>
                    <w:rPr>
                      <w:bCs/>
                      <w:color w:val="auto"/>
                      <w:sz w:val="21"/>
                      <w:szCs w:val="21"/>
                      <w:highlight w:val="none"/>
                    </w:rPr>
                    <w:t>-N</w:t>
                  </w:r>
                </w:p>
              </w:tc>
              <w:tc>
                <w:tcPr>
                  <w:tcW w:w="530" w:type="pct"/>
                  <w:vMerge w:val="continue"/>
                  <w:tcBorders>
                    <w:tl2br w:val="nil"/>
                    <w:tr2bl w:val="nil"/>
                  </w:tcBorders>
                  <w:vAlign w:val="center"/>
                </w:tcPr>
                <w:p w14:paraId="4C0AE9D5">
                  <w:pPr>
                    <w:adjustRightInd w:val="0"/>
                    <w:snapToGrid w:val="0"/>
                    <w:jc w:val="center"/>
                    <w:rPr>
                      <w:color w:val="auto"/>
                      <w:kern w:val="0"/>
                      <w:sz w:val="21"/>
                      <w:szCs w:val="21"/>
                      <w:highlight w:val="none"/>
                    </w:rPr>
                  </w:pPr>
                </w:p>
              </w:tc>
              <w:tc>
                <w:tcPr>
                  <w:tcW w:w="1871" w:type="pct"/>
                  <w:vMerge w:val="continue"/>
                  <w:tcBorders>
                    <w:tl2br w:val="nil"/>
                    <w:tr2bl w:val="nil"/>
                  </w:tcBorders>
                  <w:vAlign w:val="center"/>
                </w:tcPr>
                <w:p w14:paraId="553E5E9F">
                  <w:pPr>
                    <w:adjustRightInd w:val="0"/>
                    <w:snapToGrid w:val="0"/>
                    <w:jc w:val="center"/>
                    <w:rPr>
                      <w:color w:val="auto"/>
                      <w:sz w:val="21"/>
                      <w:szCs w:val="21"/>
                      <w:highlight w:val="none"/>
                    </w:rPr>
                  </w:pPr>
                </w:p>
              </w:tc>
              <w:tc>
                <w:tcPr>
                  <w:tcW w:w="971" w:type="pct"/>
                  <w:tcBorders>
                    <w:tl2br w:val="nil"/>
                    <w:tr2bl w:val="nil"/>
                  </w:tcBorders>
                  <w:vAlign w:val="center"/>
                </w:tcPr>
                <w:p w14:paraId="6ED75CFC">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14:paraId="67BE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2" w:type="pct"/>
                  <w:vMerge w:val="continue"/>
                  <w:tcBorders>
                    <w:tl2br w:val="nil"/>
                    <w:tr2bl w:val="nil"/>
                  </w:tcBorders>
                  <w:vAlign w:val="center"/>
                </w:tcPr>
                <w:p w14:paraId="3647EE9B">
                  <w:pPr>
                    <w:adjustRightInd w:val="0"/>
                    <w:snapToGrid w:val="0"/>
                    <w:jc w:val="center"/>
                    <w:rPr>
                      <w:color w:val="auto"/>
                      <w:sz w:val="21"/>
                      <w:szCs w:val="21"/>
                      <w:highlight w:val="none"/>
                    </w:rPr>
                  </w:pPr>
                </w:p>
              </w:tc>
              <w:tc>
                <w:tcPr>
                  <w:tcW w:w="596" w:type="pct"/>
                  <w:vMerge w:val="continue"/>
                  <w:tcBorders>
                    <w:tl2br w:val="nil"/>
                    <w:tr2bl w:val="nil"/>
                  </w:tcBorders>
                  <w:vAlign w:val="center"/>
                </w:tcPr>
                <w:p w14:paraId="1747061B">
                  <w:pPr>
                    <w:adjustRightInd w:val="0"/>
                    <w:snapToGrid w:val="0"/>
                    <w:jc w:val="center"/>
                    <w:rPr>
                      <w:color w:val="auto"/>
                      <w:sz w:val="21"/>
                      <w:szCs w:val="21"/>
                      <w:highlight w:val="none"/>
                    </w:rPr>
                  </w:pPr>
                </w:p>
              </w:tc>
              <w:tc>
                <w:tcPr>
                  <w:tcW w:w="748" w:type="pct"/>
                  <w:tcBorders>
                    <w:tl2br w:val="nil"/>
                    <w:tr2bl w:val="nil"/>
                  </w:tcBorders>
                  <w:vAlign w:val="center"/>
                </w:tcPr>
                <w:p w14:paraId="31A8930C">
                  <w:pPr>
                    <w:adjustRightInd w:val="0"/>
                    <w:snapToGrid w:val="0"/>
                    <w:jc w:val="center"/>
                    <w:rPr>
                      <w:color w:val="auto"/>
                      <w:kern w:val="0"/>
                      <w:sz w:val="21"/>
                      <w:szCs w:val="21"/>
                      <w:highlight w:val="none"/>
                    </w:rPr>
                  </w:pPr>
                  <w:r>
                    <w:rPr>
                      <w:color w:val="auto"/>
                      <w:kern w:val="0"/>
                      <w:sz w:val="21"/>
                      <w:szCs w:val="21"/>
                      <w:highlight w:val="none"/>
                    </w:rPr>
                    <w:t>SS</w:t>
                  </w:r>
                </w:p>
              </w:tc>
              <w:tc>
                <w:tcPr>
                  <w:tcW w:w="530" w:type="pct"/>
                  <w:vMerge w:val="continue"/>
                  <w:tcBorders>
                    <w:tl2br w:val="nil"/>
                    <w:tr2bl w:val="nil"/>
                  </w:tcBorders>
                  <w:vAlign w:val="center"/>
                </w:tcPr>
                <w:p w14:paraId="3FB7E9ED">
                  <w:pPr>
                    <w:adjustRightInd w:val="0"/>
                    <w:snapToGrid w:val="0"/>
                    <w:jc w:val="center"/>
                    <w:rPr>
                      <w:bCs/>
                      <w:color w:val="auto"/>
                      <w:sz w:val="21"/>
                      <w:szCs w:val="21"/>
                      <w:highlight w:val="none"/>
                    </w:rPr>
                  </w:pPr>
                </w:p>
              </w:tc>
              <w:tc>
                <w:tcPr>
                  <w:tcW w:w="1871" w:type="pct"/>
                  <w:vMerge w:val="continue"/>
                  <w:tcBorders>
                    <w:tl2br w:val="nil"/>
                    <w:tr2bl w:val="nil"/>
                  </w:tcBorders>
                  <w:vAlign w:val="center"/>
                </w:tcPr>
                <w:p w14:paraId="046F05DC">
                  <w:pPr>
                    <w:adjustRightInd w:val="0"/>
                    <w:snapToGrid w:val="0"/>
                    <w:jc w:val="center"/>
                    <w:rPr>
                      <w:color w:val="auto"/>
                      <w:sz w:val="21"/>
                      <w:szCs w:val="21"/>
                      <w:highlight w:val="none"/>
                    </w:rPr>
                  </w:pPr>
                </w:p>
              </w:tc>
              <w:tc>
                <w:tcPr>
                  <w:tcW w:w="971" w:type="pct"/>
                  <w:tcBorders>
                    <w:tl2br w:val="nil"/>
                    <w:tr2bl w:val="nil"/>
                  </w:tcBorders>
                  <w:vAlign w:val="center"/>
                </w:tcPr>
                <w:p w14:paraId="70484AFE">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100</w:t>
                  </w:r>
                </w:p>
              </w:tc>
            </w:tr>
          </w:tbl>
          <w:p w14:paraId="424EFDA0">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p>
          <w:p w14:paraId="54B4D82F">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2.</w:t>
            </w:r>
            <w:r>
              <w:rPr>
                <w:rFonts w:hint="eastAsia" w:cs="Times New Roman"/>
                <w:b/>
                <w:bCs/>
                <w:color w:val="auto"/>
                <w:sz w:val="24"/>
                <w:lang w:val="en-US" w:eastAsia="zh-CN"/>
              </w:rPr>
              <w:t xml:space="preserve">5 </w:t>
            </w:r>
            <w:r>
              <w:rPr>
                <w:rFonts w:hint="eastAsia" w:ascii="Times New Roman" w:hAnsi="Times New Roman" w:eastAsia="宋体" w:cs="Times New Roman"/>
                <w:b/>
                <w:bCs/>
                <w:color w:val="auto"/>
                <w:sz w:val="24"/>
              </w:rPr>
              <w:t>废水处理可行性分析</w:t>
            </w:r>
          </w:p>
          <w:p w14:paraId="4B8C3683">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ascii="Times New Roman" w:hAnsi="Times New Roman" w:eastAsia="宋体" w:cs="Times New Roman"/>
                <w:color w:val="auto"/>
                <w:kern w:val="0"/>
                <w:sz w:val="24"/>
              </w:rPr>
              <w:t>本项目产生的废水水质满足</w:t>
            </w:r>
            <w:r>
              <w:rPr>
                <w:rFonts w:hint="eastAsia" w:cs="Times New Roman"/>
                <w:color w:val="auto"/>
                <w:kern w:val="0"/>
                <w:sz w:val="24"/>
                <w:lang w:eastAsia="zh-CN"/>
              </w:rPr>
              <w:t>《</w:t>
            </w:r>
            <w:r>
              <w:rPr>
                <w:rFonts w:hint="eastAsia" w:cs="Times New Roman"/>
                <w:color w:val="auto"/>
                <w:kern w:val="0"/>
                <w:sz w:val="24"/>
                <w:szCs w:val="24"/>
                <w:highlight w:val="none"/>
                <w:lang w:val="en-US" w:eastAsia="zh-CN" w:bidi="ar-SA"/>
              </w:rPr>
              <w:t>农村生活污水处理排放标准</w:t>
            </w:r>
            <w:r>
              <w:rPr>
                <w:rFonts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DB65/4275-2019</w:t>
            </w:r>
            <w:r>
              <w:rPr>
                <w:rFonts w:ascii="Times New Roman" w:hAnsi="Times New Roman" w:eastAsia="宋体" w:cs="Times New Roman"/>
                <w:color w:val="auto"/>
                <w:kern w:val="0"/>
                <w:sz w:val="24"/>
                <w:szCs w:val="24"/>
                <w:highlight w:val="none"/>
                <w:lang w:val="en-US" w:eastAsia="zh-CN" w:bidi="ar-SA"/>
              </w:rPr>
              <w:t>）表</w:t>
            </w:r>
            <w:r>
              <w:rPr>
                <w:rFonts w:hint="eastAsia" w:cs="Times New Roman"/>
                <w:color w:val="auto"/>
                <w:kern w:val="0"/>
                <w:sz w:val="24"/>
                <w:szCs w:val="24"/>
                <w:highlight w:val="none"/>
                <w:lang w:val="en-US" w:eastAsia="zh-CN" w:bidi="ar-SA"/>
              </w:rPr>
              <w:t>2</w:t>
            </w:r>
            <w:r>
              <w:rPr>
                <w:rFonts w:ascii="Times New Roman" w:hAnsi="Times New Roman" w:eastAsia="宋体" w:cs="Times New Roman"/>
                <w:color w:val="auto"/>
                <w:kern w:val="0"/>
                <w:sz w:val="24"/>
                <w:szCs w:val="24"/>
                <w:highlight w:val="none"/>
                <w:lang w:val="en-US" w:eastAsia="zh-CN" w:bidi="ar-SA"/>
              </w:rPr>
              <w:t>中</w:t>
            </w:r>
            <w:r>
              <w:rPr>
                <w:rFonts w:hint="eastAsia" w:cs="Times New Roman"/>
                <w:color w:val="auto"/>
                <w:kern w:val="0"/>
                <w:sz w:val="24"/>
                <w:szCs w:val="24"/>
                <w:highlight w:val="none"/>
                <w:lang w:val="en-US" w:eastAsia="zh-CN" w:bidi="ar-SA"/>
              </w:rPr>
              <w:t>C级标准</w:t>
            </w:r>
            <w:r>
              <w:rPr>
                <w:rFonts w:ascii="Times New Roman" w:hAnsi="Times New Roman" w:eastAsia="宋体" w:cs="Times New Roman"/>
                <w:color w:val="auto"/>
                <w:kern w:val="0"/>
                <w:sz w:val="24"/>
              </w:rPr>
              <w:t>，废水总排放量为</w:t>
            </w:r>
            <w:r>
              <w:rPr>
                <w:rFonts w:hint="eastAsia" w:cs="Times New Roman"/>
                <w:color w:val="auto"/>
                <w:kern w:val="0"/>
                <w:sz w:val="24"/>
                <w:lang w:val="en-US" w:eastAsia="zh-CN"/>
              </w:rPr>
              <w:t>497.95</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/a</w:t>
            </w:r>
            <w:r>
              <w:rPr>
                <w:rFonts w:hint="eastAsia" w:cs="Times New Roman"/>
                <w:color w:val="auto"/>
                <w:kern w:val="0"/>
                <w:sz w:val="24"/>
                <w:lang w:eastAsia="zh-CN"/>
              </w:rPr>
              <w:t>（</w:t>
            </w:r>
            <w:r>
              <w:rPr>
                <w:rFonts w:hint="eastAsia" w:cs="Times New Roman"/>
                <w:color w:val="auto"/>
                <w:kern w:val="0"/>
                <w:sz w:val="24"/>
                <w:lang w:val="en-US" w:eastAsia="zh-CN"/>
              </w:rPr>
              <w:t>2.766</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w:t>
            </w:r>
            <w:r>
              <w:rPr>
                <w:rFonts w:hint="eastAsia" w:cs="Times New Roman"/>
                <w:color w:val="auto"/>
                <w:kern w:val="0"/>
                <w:sz w:val="24"/>
                <w:lang w:val="en-US" w:eastAsia="zh-CN"/>
              </w:rPr>
              <w:t>d</w:t>
            </w:r>
            <w:r>
              <w:rPr>
                <w:rFonts w:hint="eastAsia" w:cs="Times New Roman"/>
                <w:color w:val="auto"/>
                <w:kern w:val="0"/>
                <w:sz w:val="24"/>
                <w:lang w:eastAsia="zh-CN"/>
              </w:rPr>
              <w:t>）</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本项目产生的生产废水循环利用，不外排；项目产生的生活污水经</w:t>
            </w:r>
            <w:r>
              <w:rPr>
                <w:rFonts w:hint="eastAsia" w:cs="Times New Roman"/>
                <w:color w:val="auto"/>
                <w:kern w:val="0"/>
                <w:sz w:val="24"/>
                <w:lang w:val="en-US" w:eastAsia="zh-CN"/>
              </w:rPr>
              <w:t>地埋式</w:t>
            </w:r>
            <w:r>
              <w:rPr>
                <w:rFonts w:hint="eastAsia" w:ascii="Times New Roman" w:hAnsi="Times New Roman" w:eastAsia="宋体" w:cs="Times New Roman"/>
                <w:color w:val="auto"/>
                <w:kern w:val="0"/>
                <w:sz w:val="24"/>
              </w:rPr>
              <w:t>一体化污水处理</w:t>
            </w:r>
            <w:r>
              <w:rPr>
                <w:rFonts w:hint="eastAsia" w:cs="Times New Roman"/>
                <w:color w:val="auto"/>
                <w:kern w:val="0"/>
                <w:sz w:val="24"/>
                <w:lang w:val="en-US" w:eastAsia="zh-CN"/>
              </w:rPr>
              <w:t>设施</w:t>
            </w:r>
            <w:r>
              <w:rPr>
                <w:rFonts w:hint="eastAsia" w:ascii="Times New Roman" w:hAnsi="Times New Roman" w:eastAsia="宋体" w:cs="Times New Roman"/>
                <w:color w:val="auto"/>
                <w:kern w:val="0"/>
                <w:sz w:val="24"/>
              </w:rPr>
              <w:t>处理达标后用于</w:t>
            </w:r>
            <w:r>
              <w:rPr>
                <w:rFonts w:hint="eastAsia" w:cs="Times New Roman"/>
                <w:color w:val="auto"/>
                <w:kern w:val="0"/>
                <w:sz w:val="24"/>
                <w:lang w:val="en-US" w:eastAsia="zh-CN"/>
              </w:rPr>
              <w:t>料场洒水降尘</w:t>
            </w:r>
            <w:r>
              <w:rPr>
                <w:rFonts w:hint="eastAsia" w:ascii="Times New Roman" w:hAnsi="Times New Roman" w:eastAsia="宋体" w:cs="Times New Roman"/>
                <w:color w:val="auto"/>
                <w:kern w:val="0"/>
                <w:sz w:val="24"/>
              </w:rPr>
              <w:t>。</w:t>
            </w:r>
          </w:p>
          <w:p w14:paraId="31C9FA55">
            <w:pPr>
              <w:pStyle w:val="26"/>
              <w:spacing w:line="360" w:lineRule="auto"/>
              <w:ind w:left="0" w:leftChars="0" w:firstLine="480" w:firstLineChars="200"/>
              <w:rPr>
                <w:rFonts w:hint="eastAsia"/>
                <w:b/>
                <w:bCs/>
                <w:color w:val="auto"/>
                <w:lang w:val="en-US" w:eastAsia="zh-CN"/>
              </w:rPr>
            </w:pPr>
            <w:r>
              <w:rPr>
                <w:rFonts w:hint="eastAsia" w:cs="Times New Roman"/>
                <w:color w:val="auto"/>
                <w:kern w:val="0"/>
                <w:sz w:val="24"/>
                <w:lang w:val="en-US" w:eastAsia="zh-CN"/>
              </w:rPr>
              <w:t>污水处理工艺见下图</w:t>
            </w:r>
          </w:p>
          <w:p w14:paraId="42FB93D1">
            <w:pPr>
              <w:jc w:val="center"/>
              <w:rPr>
                <w:rFonts w:hint="eastAsia"/>
                <w:b/>
                <w:bCs/>
                <w:color w:val="auto"/>
                <w:lang w:val="en-US" w:eastAsia="zh-CN"/>
              </w:rPr>
            </w:pPr>
            <w:r>
              <w:rPr>
                <w:rFonts w:hint="eastAsia"/>
                <w:b/>
                <w:bCs/>
                <w:color w:val="auto"/>
                <w:lang w:val="en-US" w:eastAsia="zh-CN"/>
              </w:rPr>
              <w:drawing>
                <wp:inline distT="0" distB="0" distL="114300" distR="114300">
                  <wp:extent cx="4925695" cy="757555"/>
                  <wp:effectExtent l="0" t="0" r="0" b="0"/>
                  <wp:docPr id="3" name="ECB019B1-382A-4266-B25C-5B523AA43C14-3" descr="C:/Users/哥哥/AppData/Local/Temp/wps.armdIh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C:/Users/哥哥/AppData/Local/Temp/wps.armdIhwps"/>
                          <pic:cNvPicPr>
                            <a:picLocks noChangeAspect="1"/>
                          </pic:cNvPicPr>
                        </pic:nvPicPr>
                        <pic:blipFill>
                          <a:blip r:embed="rId12"/>
                          <a:stretch>
                            <a:fillRect/>
                          </a:stretch>
                        </pic:blipFill>
                        <pic:spPr>
                          <a:xfrm>
                            <a:off x="0" y="0"/>
                            <a:ext cx="4925695" cy="757555"/>
                          </a:xfrm>
                          <a:prstGeom prst="rect">
                            <a:avLst/>
                          </a:prstGeom>
                        </pic:spPr>
                      </pic:pic>
                    </a:graphicData>
                  </a:graphic>
                </wp:inline>
              </w:drawing>
            </w:r>
          </w:p>
          <w:p w14:paraId="1215DD33">
            <w:pPr>
              <w:jc w:val="center"/>
              <w:rPr>
                <w:rFonts w:hint="default" w:eastAsia="宋体"/>
                <w:color w:val="auto"/>
                <w:lang w:val="en-US" w:eastAsia="zh-CN"/>
              </w:rPr>
            </w:pPr>
            <w:r>
              <w:rPr>
                <w:rFonts w:hint="eastAsia"/>
                <w:b/>
                <w:bCs/>
                <w:color w:val="auto"/>
                <w:lang w:val="en-US" w:eastAsia="zh-CN"/>
              </w:rPr>
              <w:t>图4-1    污水处理工艺</w:t>
            </w:r>
          </w:p>
          <w:p w14:paraId="25FF25D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rPr>
              <w:t>污水处理工艺流程</w:t>
            </w:r>
            <w:r>
              <w:rPr>
                <w:rFonts w:hint="eastAsia" w:ascii="Times New Roman" w:hAnsi="Times New Roman" w:eastAsia="宋体" w:cs="Times New Roman"/>
                <w:color w:val="auto"/>
                <w:kern w:val="0"/>
                <w:sz w:val="24"/>
                <w:lang w:eastAsia="zh-CN"/>
              </w:rPr>
              <w:t>简述：</w:t>
            </w:r>
          </w:p>
          <w:p w14:paraId="687336DD">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本项目食堂污水和生活污水经过管道流入一体化处理设备，一体化处理设备将初沉池、调节池、接触氧化池、二沉池、污泥池和风机房集中为一体。主体工艺采用A/O（厌氧-好氧活性污泥法）工艺为主，生活污水经初沉池进行沉淀流入调节池后，由污水泵抽送至A级生物处理池(厌氧池)，厌氧池内挂有弹性填料，通过吸附在填料上的厌氧细菌的吸附水解作用，使污水中对生物细菌有抑制作用和难以生物降解的有机物水解，大分子的有机物水解为小分子的有机物，并对固体有机物进行降解，减少了污泥量，降低污水中悬浮固体的含量，并利用污水中的有机物作为碳源，使从后级好氧段回流的硝化液中的硝酸盐氮和亚硝酸盐氮在厌氧脱氮菌的作用下形成气态氮从污水中逸出，达到脱氮的目的，从而降解污水中有机污染物，提高污水的生化可降解性，并去除污水中的氨氮和悬浮物。厌氧池出水进入O级好氧接触氧化池，好氧池内好氧微生物在水体中有充足溶解氧的情况下，利用污水中的可溶性污染物进行新陈代谢，从而达到去除污水中可溶解性污染物的目的。好氧池出水自流入二沉池，污水中大部分悬浮物能在此得以有效去除。二沉池处理之后的清液被收集回用，污泥进入污泥池。</w:t>
            </w:r>
          </w:p>
          <w:p w14:paraId="5B752192">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综上所述，</w:t>
            </w:r>
            <w:r>
              <w:rPr>
                <w:rFonts w:hint="eastAsia" w:ascii="Times New Roman" w:hAnsi="Times New Roman" w:eastAsia="宋体" w:cs="Times New Roman"/>
                <w:color w:val="auto"/>
                <w:kern w:val="0"/>
                <w:sz w:val="24"/>
                <w:highlight w:val="none"/>
              </w:rPr>
              <w:t>本项目水质、水量情况都满足要求，产生的废水能满足</w:t>
            </w:r>
            <w:r>
              <w:rPr>
                <w:rFonts w:hint="eastAsia" w:cs="Times New Roman"/>
                <w:color w:val="auto"/>
                <w:kern w:val="0"/>
                <w:sz w:val="24"/>
                <w:lang w:eastAsia="zh-CN"/>
              </w:rPr>
              <w:t>《</w:t>
            </w:r>
            <w:r>
              <w:rPr>
                <w:rFonts w:hint="eastAsia" w:cs="Times New Roman"/>
                <w:color w:val="auto"/>
                <w:kern w:val="0"/>
                <w:sz w:val="24"/>
                <w:szCs w:val="24"/>
                <w:highlight w:val="none"/>
                <w:lang w:val="en-US" w:eastAsia="zh-CN" w:bidi="ar-SA"/>
              </w:rPr>
              <w:t>农村生活污水处理排放标准</w:t>
            </w:r>
            <w:r>
              <w:rPr>
                <w:rFonts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DB65/4275-2019</w:t>
            </w:r>
            <w:r>
              <w:rPr>
                <w:rFonts w:ascii="Times New Roman" w:hAnsi="Times New Roman" w:eastAsia="宋体" w:cs="Times New Roman"/>
                <w:color w:val="auto"/>
                <w:kern w:val="0"/>
                <w:sz w:val="24"/>
                <w:szCs w:val="24"/>
                <w:highlight w:val="none"/>
                <w:lang w:val="en-US" w:eastAsia="zh-CN" w:bidi="ar-SA"/>
              </w:rPr>
              <w:t>）表</w:t>
            </w:r>
            <w:r>
              <w:rPr>
                <w:rFonts w:hint="eastAsia" w:cs="Times New Roman"/>
                <w:color w:val="auto"/>
                <w:kern w:val="0"/>
                <w:sz w:val="24"/>
                <w:szCs w:val="24"/>
                <w:highlight w:val="none"/>
                <w:lang w:val="en-US" w:eastAsia="zh-CN" w:bidi="ar-SA"/>
              </w:rPr>
              <w:t>2</w:t>
            </w:r>
            <w:r>
              <w:rPr>
                <w:rFonts w:ascii="Times New Roman" w:hAnsi="Times New Roman" w:eastAsia="宋体" w:cs="Times New Roman"/>
                <w:color w:val="auto"/>
                <w:kern w:val="0"/>
                <w:sz w:val="24"/>
                <w:szCs w:val="24"/>
                <w:highlight w:val="none"/>
                <w:lang w:val="en-US" w:eastAsia="zh-CN" w:bidi="ar-SA"/>
              </w:rPr>
              <w:t>中</w:t>
            </w:r>
            <w:r>
              <w:rPr>
                <w:rFonts w:hint="eastAsia" w:cs="Times New Roman"/>
                <w:color w:val="auto"/>
                <w:kern w:val="0"/>
                <w:sz w:val="24"/>
                <w:szCs w:val="24"/>
                <w:highlight w:val="none"/>
                <w:lang w:val="en-US" w:eastAsia="zh-CN" w:bidi="ar-SA"/>
              </w:rPr>
              <w:t>C级标准</w:t>
            </w:r>
            <w:r>
              <w:rPr>
                <w:rFonts w:hint="eastAsia" w:ascii="Times New Roman" w:hAnsi="Times New Roman" w:eastAsia="宋体" w:cs="Times New Roman"/>
                <w:color w:val="auto"/>
                <w:kern w:val="0"/>
                <w:sz w:val="24"/>
              </w:rPr>
              <w:t>。</w:t>
            </w:r>
          </w:p>
          <w:p w14:paraId="7267A53C">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kern w:val="2"/>
                <w:sz w:val="24"/>
                <w:szCs w:val="24"/>
                <w:lang w:val="en-US" w:eastAsia="zh-CN" w:bidi="ar-SA"/>
              </w:rPr>
              <w:t>3.</w:t>
            </w:r>
            <w:r>
              <w:rPr>
                <w:rFonts w:hint="eastAsia" w:ascii="Times New Roman" w:hAnsi="Times New Roman" w:eastAsia="宋体" w:cs="Times New Roman"/>
                <w:b/>
                <w:bCs/>
                <w:color w:val="auto"/>
                <w:sz w:val="24"/>
              </w:rPr>
              <w:t>噪声</w:t>
            </w:r>
          </w:p>
          <w:p w14:paraId="0A7C7432">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3.1</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噪声声源分析</w:t>
            </w:r>
          </w:p>
          <w:p w14:paraId="13479484">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本项目噪声来自</w:t>
            </w:r>
            <w:r>
              <w:rPr>
                <w:rFonts w:hint="eastAsia" w:cs="Times New Roman"/>
                <w:color w:val="auto"/>
                <w:kern w:val="0"/>
                <w:sz w:val="24"/>
                <w:szCs w:val="24"/>
                <w:lang w:val="en-US" w:eastAsia="zh-CN" w:bidi="ar-SA"/>
              </w:rPr>
              <w:t>搅拌机、输送设备、泵类、空压机和运输车辆等产生</w:t>
            </w:r>
            <w:r>
              <w:rPr>
                <w:rFonts w:ascii="Times New Roman" w:hAnsi="Times New Roman" w:eastAsia="宋体" w:cs="Times New Roman"/>
                <w:color w:val="auto"/>
                <w:kern w:val="0"/>
                <w:sz w:val="24"/>
                <w:szCs w:val="24"/>
                <w:lang w:val="en-US" w:eastAsia="zh-CN" w:bidi="ar-SA"/>
              </w:rPr>
              <w:t>。声压级为</w:t>
            </w:r>
            <w:r>
              <w:rPr>
                <w:rFonts w:ascii="Times New Roman" w:hAnsi="Times New Roman" w:eastAsia="宋体" w:cs="Times New Roman"/>
                <w:color w:val="auto"/>
                <w:kern w:val="0"/>
                <w:sz w:val="24"/>
                <w:szCs w:val="24"/>
                <w:highlight w:val="none"/>
                <w:lang w:val="en-US" w:eastAsia="zh-CN" w:bidi="ar-SA"/>
              </w:rPr>
              <w:t>7</w:t>
            </w:r>
            <w:r>
              <w:rPr>
                <w:rFonts w:hint="eastAsia" w:ascii="Times New Roman" w:hAnsi="Times New Roman" w:eastAsia="宋体" w:cs="Times New Roman"/>
                <w:color w:val="auto"/>
                <w:kern w:val="0"/>
                <w:sz w:val="24"/>
                <w:szCs w:val="24"/>
                <w:highlight w:val="none"/>
                <w:lang w:val="en-US" w:eastAsia="zh-CN" w:bidi="ar-SA"/>
              </w:rPr>
              <w:t>5</w:t>
            </w:r>
            <w:r>
              <w:rPr>
                <w:rFonts w:ascii="Times New Roman" w:hAnsi="Times New Roman" w:eastAsia="宋体"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90</w:t>
            </w:r>
            <w:r>
              <w:rPr>
                <w:rFonts w:ascii="Times New Roman" w:hAnsi="Times New Roman" w:eastAsia="宋体" w:cs="Times New Roman"/>
                <w:color w:val="auto"/>
                <w:kern w:val="0"/>
                <w:sz w:val="24"/>
                <w:szCs w:val="24"/>
                <w:highlight w:val="none"/>
                <w:lang w:val="en-US" w:eastAsia="zh-CN" w:bidi="ar-SA"/>
              </w:rPr>
              <w:t>dB（A）。声源集中在</w:t>
            </w:r>
            <w:r>
              <w:rPr>
                <w:rFonts w:hint="eastAsia" w:cs="Times New Roman"/>
                <w:color w:val="auto"/>
                <w:kern w:val="0"/>
                <w:sz w:val="24"/>
                <w:szCs w:val="24"/>
                <w:highlight w:val="none"/>
                <w:lang w:val="en-US" w:eastAsia="zh-CN" w:bidi="ar-SA"/>
              </w:rPr>
              <w:t>搅拌楼</w:t>
            </w:r>
            <w:r>
              <w:rPr>
                <w:rFonts w:ascii="Times New Roman" w:hAnsi="Times New Roman" w:eastAsia="宋体" w:cs="Times New Roman"/>
                <w:color w:val="auto"/>
                <w:kern w:val="0"/>
                <w:sz w:val="24"/>
                <w:szCs w:val="24"/>
                <w:highlight w:val="none"/>
                <w:lang w:val="en-US" w:eastAsia="zh-CN" w:bidi="ar-SA"/>
              </w:rPr>
              <w:t>，</w:t>
            </w:r>
            <w:r>
              <w:rPr>
                <w:rFonts w:ascii="Times New Roman" w:hAnsi="Times New Roman" w:eastAsia="宋体" w:cs="Times New Roman"/>
                <w:color w:val="auto"/>
                <w:kern w:val="0"/>
                <w:sz w:val="24"/>
                <w:szCs w:val="24"/>
                <w:lang w:val="en-US" w:eastAsia="zh-CN" w:bidi="ar-SA"/>
              </w:rPr>
              <w:t>其噪声源强见表</w:t>
            </w:r>
            <w:r>
              <w:rPr>
                <w:rFonts w:hint="eastAsia" w:ascii="Times New Roman" w:hAnsi="Times New Roman" w:eastAsia="宋体" w:cs="Times New Roman"/>
                <w:color w:val="auto"/>
                <w:kern w:val="0"/>
                <w:sz w:val="24"/>
                <w:szCs w:val="24"/>
                <w:lang w:val="en-US" w:eastAsia="zh-CN" w:bidi="ar-SA"/>
              </w:rPr>
              <w:t>4-</w:t>
            </w:r>
            <w:r>
              <w:rPr>
                <w:rFonts w:hint="eastAsia" w:cs="Times New Roman"/>
                <w:color w:val="auto"/>
                <w:kern w:val="0"/>
                <w:sz w:val="24"/>
                <w:szCs w:val="24"/>
                <w:lang w:val="en-US" w:eastAsia="zh-CN" w:bidi="ar-SA"/>
              </w:rPr>
              <w:t>10</w:t>
            </w:r>
            <w:r>
              <w:rPr>
                <w:rFonts w:ascii="Times New Roman" w:hAnsi="Times New Roman" w:eastAsia="宋体" w:cs="Times New Roman"/>
                <w:color w:val="auto"/>
                <w:kern w:val="0"/>
                <w:sz w:val="24"/>
                <w:szCs w:val="24"/>
                <w:lang w:val="en-US" w:eastAsia="zh-CN" w:bidi="ar-SA"/>
              </w:rPr>
              <w:t>。</w:t>
            </w:r>
          </w:p>
          <w:p w14:paraId="2838DFC9">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w:t>
            </w:r>
            <w:r>
              <w:rPr>
                <w:rFonts w:hint="eastAsia" w:cs="Times New Roman"/>
                <w:color w:val="auto"/>
                <w:lang w:val="en-US" w:eastAsia="zh-CN"/>
              </w:rPr>
              <w:t>10</w:t>
            </w:r>
            <w:r>
              <w:rPr>
                <w:rFonts w:hint="default" w:ascii="Times New Roman" w:hAnsi="Times New Roman" w:eastAsia="宋体" w:cs="Times New Roman"/>
                <w:color w:val="auto"/>
              </w:rPr>
              <w:t xml:space="preserve">    本项目主要噪声一览表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979"/>
              <w:gridCol w:w="397"/>
              <w:gridCol w:w="551"/>
              <w:gridCol w:w="471"/>
              <w:gridCol w:w="530"/>
              <w:gridCol w:w="1638"/>
              <w:gridCol w:w="1895"/>
              <w:gridCol w:w="1075"/>
            </w:tblGrid>
            <w:tr w14:paraId="7D51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 w:type="pct"/>
                  <w:vMerge w:val="restart"/>
                  <w:vAlign w:val="center"/>
                </w:tcPr>
                <w:p w14:paraId="05AE3EE3">
                  <w:pPr>
                    <w:jc w:val="center"/>
                    <w:rPr>
                      <w:rFonts w:hint="eastAsia" w:eastAsia="宋体"/>
                      <w:vertAlign w:val="baseline"/>
                      <w:lang w:val="en-US" w:eastAsia="zh-CN"/>
                    </w:rPr>
                  </w:pPr>
                  <w:r>
                    <w:rPr>
                      <w:rFonts w:hint="eastAsia"/>
                      <w:vertAlign w:val="baseline"/>
                      <w:lang w:val="en-US" w:eastAsia="zh-CN"/>
                    </w:rPr>
                    <w:t>序号</w:t>
                  </w:r>
                </w:p>
              </w:tc>
              <w:tc>
                <w:tcPr>
                  <w:tcW w:w="617" w:type="pct"/>
                  <w:vMerge w:val="restart"/>
                  <w:vAlign w:val="center"/>
                </w:tcPr>
                <w:p w14:paraId="6D8C89E0">
                  <w:pPr>
                    <w:jc w:val="center"/>
                    <w:rPr>
                      <w:rFonts w:hint="eastAsia" w:eastAsia="宋体"/>
                      <w:vertAlign w:val="baseline"/>
                      <w:lang w:val="en-US" w:eastAsia="zh-CN"/>
                    </w:rPr>
                  </w:pPr>
                  <w:r>
                    <w:rPr>
                      <w:rFonts w:hint="eastAsia"/>
                      <w:vertAlign w:val="baseline"/>
                      <w:lang w:val="en-US" w:eastAsia="zh-CN"/>
                    </w:rPr>
                    <w:t>声源名称</w:t>
                  </w:r>
                </w:p>
              </w:tc>
              <w:tc>
                <w:tcPr>
                  <w:tcW w:w="250" w:type="pct"/>
                  <w:vMerge w:val="restart"/>
                  <w:vAlign w:val="center"/>
                </w:tcPr>
                <w:p w14:paraId="258D1958">
                  <w:pPr>
                    <w:jc w:val="center"/>
                    <w:rPr>
                      <w:rFonts w:hint="eastAsia" w:eastAsia="宋体"/>
                      <w:vertAlign w:val="baseline"/>
                      <w:lang w:val="en-US" w:eastAsia="zh-CN"/>
                    </w:rPr>
                  </w:pPr>
                  <w:r>
                    <w:rPr>
                      <w:rFonts w:hint="eastAsia"/>
                      <w:vertAlign w:val="baseline"/>
                      <w:lang w:val="en-US" w:eastAsia="zh-CN"/>
                    </w:rPr>
                    <w:t>型号</w:t>
                  </w:r>
                </w:p>
              </w:tc>
              <w:tc>
                <w:tcPr>
                  <w:tcW w:w="978" w:type="pct"/>
                  <w:gridSpan w:val="3"/>
                  <w:vAlign w:val="center"/>
                </w:tcPr>
                <w:p w14:paraId="5331781C">
                  <w:pPr>
                    <w:jc w:val="center"/>
                    <w:rPr>
                      <w:rFonts w:hint="default"/>
                      <w:vertAlign w:val="baseline"/>
                    </w:rPr>
                  </w:pPr>
                  <w:r>
                    <w:rPr>
                      <w:rFonts w:hint="eastAsia" w:cs="Times New Roman"/>
                      <w:kern w:val="2"/>
                      <w:sz w:val="21"/>
                      <w:szCs w:val="24"/>
                      <w:lang w:val="en-US" w:eastAsia="zh-CN" w:bidi="ar-SA"/>
                    </w:rPr>
                    <w:t>空间相对位置/m</w:t>
                  </w:r>
                </w:p>
              </w:tc>
              <w:tc>
                <w:tcPr>
                  <w:tcW w:w="1032" w:type="pct"/>
                  <w:vAlign w:val="center"/>
                </w:tcPr>
                <w:p w14:paraId="203F679F">
                  <w:pPr>
                    <w:jc w:val="center"/>
                    <w:rPr>
                      <w:rFonts w:hint="eastAsia" w:eastAsia="宋体"/>
                      <w:vertAlign w:val="baseline"/>
                      <w:lang w:val="en-US" w:eastAsia="zh-CN"/>
                    </w:rPr>
                  </w:pPr>
                  <w:r>
                    <w:rPr>
                      <w:rFonts w:hint="eastAsia"/>
                      <w:vertAlign w:val="baseline"/>
                      <w:lang w:val="en-US" w:eastAsia="zh-CN"/>
                    </w:rPr>
                    <w:t>声源源强</w:t>
                  </w:r>
                </w:p>
              </w:tc>
              <w:tc>
                <w:tcPr>
                  <w:tcW w:w="1194" w:type="pct"/>
                  <w:vMerge w:val="restart"/>
                  <w:vAlign w:val="center"/>
                </w:tcPr>
                <w:p w14:paraId="2D5F844E">
                  <w:pPr>
                    <w:jc w:val="center"/>
                    <w:rPr>
                      <w:rFonts w:hint="default" w:eastAsia="宋体"/>
                      <w:vertAlign w:val="baseline"/>
                      <w:lang w:val="en-US" w:eastAsia="zh-CN"/>
                    </w:rPr>
                  </w:pPr>
                  <w:r>
                    <w:rPr>
                      <w:rFonts w:hint="eastAsia"/>
                      <w:vertAlign w:val="baseline"/>
                      <w:lang w:val="en-US" w:eastAsia="zh-CN"/>
                    </w:rPr>
                    <w:t>声源控制措施</w:t>
                  </w:r>
                </w:p>
              </w:tc>
              <w:tc>
                <w:tcPr>
                  <w:tcW w:w="677" w:type="pct"/>
                  <w:vMerge w:val="restart"/>
                  <w:vAlign w:val="center"/>
                </w:tcPr>
                <w:p w14:paraId="442A41E8">
                  <w:pPr>
                    <w:jc w:val="center"/>
                    <w:rPr>
                      <w:rFonts w:hint="eastAsia" w:eastAsia="宋体"/>
                      <w:vertAlign w:val="baseline"/>
                      <w:lang w:val="en-US" w:eastAsia="zh-CN"/>
                    </w:rPr>
                  </w:pPr>
                  <w:r>
                    <w:rPr>
                      <w:rFonts w:hint="eastAsia"/>
                      <w:vertAlign w:val="baseline"/>
                      <w:lang w:val="en-US" w:eastAsia="zh-CN"/>
                    </w:rPr>
                    <w:t>运行时段</w:t>
                  </w:r>
                </w:p>
              </w:tc>
            </w:tr>
            <w:tr w14:paraId="7610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continue"/>
                  <w:vAlign w:val="center"/>
                </w:tcPr>
                <w:p w14:paraId="1AFA55D2">
                  <w:pPr>
                    <w:jc w:val="center"/>
                    <w:rPr>
                      <w:rFonts w:hint="default"/>
                      <w:vertAlign w:val="baseline"/>
                    </w:rPr>
                  </w:pPr>
                </w:p>
              </w:tc>
              <w:tc>
                <w:tcPr>
                  <w:tcW w:w="617" w:type="pct"/>
                  <w:vMerge w:val="continue"/>
                  <w:vAlign w:val="center"/>
                </w:tcPr>
                <w:p w14:paraId="16E30EEB">
                  <w:pPr>
                    <w:jc w:val="center"/>
                    <w:rPr>
                      <w:rFonts w:hint="default"/>
                      <w:vertAlign w:val="baseline"/>
                    </w:rPr>
                  </w:pPr>
                </w:p>
              </w:tc>
              <w:tc>
                <w:tcPr>
                  <w:tcW w:w="250" w:type="pct"/>
                  <w:vMerge w:val="continue"/>
                  <w:vAlign w:val="center"/>
                </w:tcPr>
                <w:p w14:paraId="5C5EA45F">
                  <w:pPr>
                    <w:jc w:val="center"/>
                    <w:rPr>
                      <w:rFonts w:hint="default"/>
                      <w:vertAlign w:val="baseline"/>
                    </w:rPr>
                  </w:pPr>
                </w:p>
              </w:tc>
              <w:tc>
                <w:tcPr>
                  <w:tcW w:w="347" w:type="pct"/>
                  <w:vAlign w:val="center"/>
                </w:tcPr>
                <w:p w14:paraId="3AC7DC59">
                  <w:pPr>
                    <w:jc w:val="center"/>
                    <w:rPr>
                      <w:rFonts w:hint="eastAsia" w:eastAsia="宋体"/>
                      <w:vertAlign w:val="baseline"/>
                      <w:lang w:val="en-US" w:eastAsia="zh-CN"/>
                    </w:rPr>
                  </w:pPr>
                  <w:r>
                    <w:rPr>
                      <w:rFonts w:hint="eastAsia"/>
                      <w:vertAlign w:val="baseline"/>
                      <w:lang w:val="en-US" w:eastAsia="zh-CN"/>
                    </w:rPr>
                    <w:t>X</w:t>
                  </w:r>
                </w:p>
              </w:tc>
              <w:tc>
                <w:tcPr>
                  <w:tcW w:w="297" w:type="pct"/>
                  <w:vAlign w:val="center"/>
                </w:tcPr>
                <w:p w14:paraId="3647A609">
                  <w:pPr>
                    <w:jc w:val="center"/>
                    <w:rPr>
                      <w:rFonts w:hint="eastAsia" w:eastAsia="宋体"/>
                      <w:vertAlign w:val="baseline"/>
                      <w:lang w:val="en-US" w:eastAsia="zh-CN"/>
                    </w:rPr>
                  </w:pPr>
                  <w:r>
                    <w:rPr>
                      <w:rFonts w:hint="eastAsia"/>
                      <w:vertAlign w:val="baseline"/>
                      <w:lang w:val="en-US" w:eastAsia="zh-CN"/>
                    </w:rPr>
                    <w:t>Y</w:t>
                  </w:r>
                </w:p>
              </w:tc>
              <w:tc>
                <w:tcPr>
                  <w:tcW w:w="334" w:type="pct"/>
                  <w:vAlign w:val="center"/>
                </w:tcPr>
                <w:p w14:paraId="70A4BECF">
                  <w:pPr>
                    <w:jc w:val="center"/>
                    <w:rPr>
                      <w:rFonts w:hint="default" w:eastAsia="宋体"/>
                      <w:vertAlign w:val="baseline"/>
                      <w:lang w:val="en-US" w:eastAsia="zh-CN"/>
                    </w:rPr>
                  </w:pPr>
                  <w:r>
                    <w:rPr>
                      <w:rFonts w:hint="eastAsia"/>
                      <w:vertAlign w:val="baseline"/>
                      <w:lang w:val="en-US" w:eastAsia="zh-CN"/>
                    </w:rPr>
                    <w:t>Z</w:t>
                  </w:r>
                </w:p>
              </w:tc>
              <w:tc>
                <w:tcPr>
                  <w:tcW w:w="1032" w:type="pct"/>
                  <w:vAlign w:val="center"/>
                </w:tcPr>
                <w:p w14:paraId="77034DDB">
                  <w:pPr>
                    <w:jc w:val="center"/>
                    <w:rPr>
                      <w:rFonts w:hint="default" w:eastAsia="宋体"/>
                      <w:vertAlign w:val="baseline"/>
                      <w:lang w:val="en-US" w:eastAsia="zh-CN"/>
                    </w:rPr>
                  </w:pPr>
                  <w:r>
                    <w:rPr>
                      <w:rFonts w:hint="eastAsia"/>
                      <w:vertAlign w:val="baseline"/>
                      <w:lang w:val="en-US" w:eastAsia="zh-CN"/>
                    </w:rPr>
                    <w:t>声功率级/dB（A）</w:t>
                  </w:r>
                </w:p>
              </w:tc>
              <w:tc>
                <w:tcPr>
                  <w:tcW w:w="1194" w:type="pct"/>
                  <w:vMerge w:val="continue"/>
                  <w:vAlign w:val="center"/>
                </w:tcPr>
                <w:p w14:paraId="301F4FF2">
                  <w:pPr>
                    <w:jc w:val="center"/>
                    <w:rPr>
                      <w:rFonts w:hint="default"/>
                      <w:vertAlign w:val="baseline"/>
                    </w:rPr>
                  </w:pPr>
                </w:p>
              </w:tc>
              <w:tc>
                <w:tcPr>
                  <w:tcW w:w="677" w:type="pct"/>
                  <w:vMerge w:val="continue"/>
                  <w:vAlign w:val="center"/>
                </w:tcPr>
                <w:p w14:paraId="14CC390E">
                  <w:pPr>
                    <w:jc w:val="center"/>
                    <w:rPr>
                      <w:rFonts w:hint="default"/>
                      <w:vertAlign w:val="baseline"/>
                    </w:rPr>
                  </w:pPr>
                </w:p>
              </w:tc>
            </w:tr>
            <w:tr w14:paraId="0CE0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37C0BA34">
                  <w:pPr>
                    <w:jc w:val="center"/>
                    <w:rPr>
                      <w:rFonts w:hint="eastAsia" w:eastAsia="宋体"/>
                      <w:vertAlign w:val="baseline"/>
                      <w:lang w:val="en-US" w:eastAsia="zh-CN"/>
                    </w:rPr>
                  </w:pPr>
                  <w:r>
                    <w:rPr>
                      <w:rFonts w:hint="eastAsia"/>
                      <w:vertAlign w:val="baseline"/>
                      <w:lang w:val="en-US" w:eastAsia="zh-CN"/>
                    </w:rPr>
                    <w:t>1</w:t>
                  </w:r>
                </w:p>
              </w:tc>
              <w:tc>
                <w:tcPr>
                  <w:tcW w:w="617" w:type="pct"/>
                  <w:vAlign w:val="center"/>
                </w:tcPr>
                <w:p w14:paraId="5926A808">
                  <w:pPr>
                    <w:jc w:val="center"/>
                    <w:rPr>
                      <w:rFonts w:hint="default" w:eastAsia="宋体"/>
                      <w:vertAlign w:val="baseline"/>
                      <w:lang w:val="en-US" w:eastAsia="zh-CN"/>
                    </w:rPr>
                  </w:pPr>
                  <w:r>
                    <w:rPr>
                      <w:rFonts w:hint="eastAsia"/>
                      <w:vertAlign w:val="baseline"/>
                      <w:lang w:val="en-US" w:eastAsia="zh-CN"/>
                    </w:rPr>
                    <w:t>搅拌机</w:t>
                  </w:r>
                </w:p>
              </w:tc>
              <w:tc>
                <w:tcPr>
                  <w:tcW w:w="250" w:type="pct"/>
                  <w:vAlign w:val="center"/>
                </w:tcPr>
                <w:p w14:paraId="34860149">
                  <w:pPr>
                    <w:jc w:val="center"/>
                    <w:rPr>
                      <w:rFonts w:hint="eastAsia" w:eastAsia="宋体"/>
                      <w:vertAlign w:val="baseline"/>
                      <w:lang w:val="en-US" w:eastAsia="zh-CN"/>
                    </w:rPr>
                  </w:pPr>
                  <w:r>
                    <w:rPr>
                      <w:rFonts w:hint="eastAsia"/>
                      <w:vertAlign w:val="baseline"/>
                      <w:lang w:val="en-US" w:eastAsia="zh-CN"/>
                    </w:rPr>
                    <w:t>/</w:t>
                  </w:r>
                </w:p>
              </w:tc>
              <w:tc>
                <w:tcPr>
                  <w:tcW w:w="347" w:type="pct"/>
                  <w:vAlign w:val="center"/>
                </w:tcPr>
                <w:p w14:paraId="3D799176">
                  <w:pPr>
                    <w:jc w:val="center"/>
                    <w:rPr>
                      <w:rFonts w:hint="default" w:eastAsia="宋体"/>
                      <w:vertAlign w:val="baseline"/>
                      <w:lang w:val="en-US" w:eastAsia="zh-CN"/>
                    </w:rPr>
                  </w:pPr>
                  <w:r>
                    <w:rPr>
                      <w:rFonts w:hint="eastAsia"/>
                      <w:vertAlign w:val="baseline"/>
                      <w:lang w:val="en-US" w:eastAsia="zh-CN"/>
                    </w:rPr>
                    <w:t>40</w:t>
                  </w:r>
                </w:p>
              </w:tc>
              <w:tc>
                <w:tcPr>
                  <w:tcW w:w="297" w:type="pct"/>
                  <w:vAlign w:val="center"/>
                </w:tcPr>
                <w:p w14:paraId="706B84EC">
                  <w:pPr>
                    <w:jc w:val="center"/>
                    <w:rPr>
                      <w:rFonts w:hint="default" w:eastAsia="宋体"/>
                      <w:vertAlign w:val="baseline"/>
                      <w:lang w:val="en-US" w:eastAsia="zh-CN"/>
                    </w:rPr>
                  </w:pPr>
                  <w:r>
                    <w:rPr>
                      <w:rFonts w:hint="eastAsia"/>
                      <w:vertAlign w:val="baseline"/>
                      <w:lang w:val="en-US" w:eastAsia="zh-CN"/>
                    </w:rPr>
                    <w:t>55</w:t>
                  </w:r>
                </w:p>
              </w:tc>
              <w:tc>
                <w:tcPr>
                  <w:tcW w:w="334" w:type="pct"/>
                  <w:vAlign w:val="center"/>
                </w:tcPr>
                <w:p w14:paraId="5C44A4C1">
                  <w:pPr>
                    <w:jc w:val="center"/>
                    <w:rPr>
                      <w:rFonts w:hint="eastAsia" w:eastAsia="宋体"/>
                      <w:vertAlign w:val="baseline"/>
                      <w:lang w:val="en-US" w:eastAsia="zh-CN"/>
                    </w:rPr>
                  </w:pPr>
                  <w:r>
                    <w:rPr>
                      <w:rFonts w:hint="eastAsia"/>
                      <w:vertAlign w:val="baseline"/>
                      <w:lang w:val="en-US" w:eastAsia="zh-CN"/>
                    </w:rPr>
                    <w:t>5</w:t>
                  </w:r>
                </w:p>
              </w:tc>
              <w:tc>
                <w:tcPr>
                  <w:tcW w:w="1032" w:type="pct"/>
                  <w:vAlign w:val="center"/>
                </w:tcPr>
                <w:p w14:paraId="377A530D">
                  <w:pPr>
                    <w:jc w:val="center"/>
                    <w:rPr>
                      <w:rFonts w:hint="default" w:eastAsia="宋体"/>
                      <w:vertAlign w:val="baseline"/>
                      <w:lang w:val="en-US" w:eastAsia="zh-CN"/>
                    </w:rPr>
                  </w:pPr>
                  <w:r>
                    <w:rPr>
                      <w:rFonts w:hint="eastAsia"/>
                      <w:vertAlign w:val="baseline"/>
                      <w:lang w:val="en-US" w:eastAsia="zh-CN"/>
                    </w:rPr>
                    <w:t>75-85</w:t>
                  </w:r>
                </w:p>
              </w:tc>
              <w:tc>
                <w:tcPr>
                  <w:tcW w:w="1194" w:type="pct"/>
                  <w:vMerge w:val="restart"/>
                  <w:vAlign w:val="center"/>
                </w:tcPr>
                <w:p w14:paraId="11CE0313">
                  <w:pPr>
                    <w:jc w:val="center"/>
                    <w:rPr>
                      <w:rFonts w:hint="default"/>
                      <w:vertAlign w:val="baseline"/>
                    </w:rPr>
                  </w:pPr>
                  <w:r>
                    <w:rPr>
                      <w:rFonts w:hint="eastAsia"/>
                      <w:color w:val="auto"/>
                      <w:sz w:val="21"/>
                      <w:szCs w:val="21"/>
                    </w:rPr>
                    <w:t>基础减震+</w:t>
                  </w:r>
                  <w:r>
                    <w:rPr>
                      <w:rFonts w:hint="eastAsia"/>
                      <w:color w:val="auto"/>
                      <w:sz w:val="21"/>
                      <w:szCs w:val="21"/>
                      <w:lang w:val="en-US" w:eastAsia="zh-CN"/>
                    </w:rPr>
                    <w:t>搅拌楼</w:t>
                  </w:r>
                  <w:r>
                    <w:rPr>
                      <w:rFonts w:hint="eastAsia"/>
                      <w:color w:val="auto"/>
                      <w:sz w:val="21"/>
                      <w:szCs w:val="21"/>
                    </w:rPr>
                    <w:t>隔声+设备</w:t>
                  </w:r>
                  <w:r>
                    <w:rPr>
                      <w:color w:val="auto"/>
                      <w:sz w:val="21"/>
                      <w:szCs w:val="21"/>
                    </w:rPr>
                    <w:t>定期维护保养</w:t>
                  </w:r>
                </w:p>
              </w:tc>
              <w:tc>
                <w:tcPr>
                  <w:tcW w:w="677" w:type="pct"/>
                  <w:vMerge w:val="restart"/>
                  <w:vAlign w:val="center"/>
                </w:tcPr>
                <w:p w14:paraId="63714B83">
                  <w:pPr>
                    <w:jc w:val="left"/>
                    <w:rPr>
                      <w:rFonts w:hint="eastAsia"/>
                      <w:vertAlign w:val="baseline"/>
                      <w:lang w:val="en-US" w:eastAsia="zh-CN"/>
                    </w:rPr>
                  </w:pPr>
                  <w:r>
                    <w:rPr>
                      <w:rFonts w:hint="eastAsia"/>
                      <w:vertAlign w:val="baseline"/>
                      <w:lang w:val="en-US" w:eastAsia="zh-CN"/>
                    </w:rPr>
                    <w:t>10</w:t>
                  </w:r>
                  <w:r>
                    <w:rPr>
                      <w:rFonts w:hint="eastAsia"/>
                      <w:vertAlign w:val="baseline"/>
                      <w:lang w:eastAsia="zh-CN"/>
                    </w:rPr>
                    <w:t>：</w:t>
                  </w:r>
                  <w:r>
                    <w:rPr>
                      <w:rFonts w:hint="eastAsia"/>
                      <w:vertAlign w:val="baseline"/>
                      <w:lang w:val="en-US" w:eastAsia="zh-CN"/>
                    </w:rPr>
                    <w:t>00至14：00；</w:t>
                  </w:r>
                </w:p>
                <w:p w14:paraId="20C9DF2F">
                  <w:pPr>
                    <w:jc w:val="left"/>
                    <w:rPr>
                      <w:rFonts w:hint="default"/>
                      <w:vertAlign w:val="baseline"/>
                      <w:lang w:val="en-US" w:eastAsia="zh-CN"/>
                    </w:rPr>
                  </w:pPr>
                  <w:r>
                    <w:rPr>
                      <w:rFonts w:hint="eastAsia"/>
                      <w:vertAlign w:val="baseline"/>
                      <w:lang w:val="en-US" w:eastAsia="zh-CN"/>
                    </w:rPr>
                    <w:t>16：00至20：00</w:t>
                  </w:r>
                </w:p>
              </w:tc>
            </w:tr>
            <w:tr w14:paraId="5269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3ED614AD">
                  <w:pPr>
                    <w:jc w:val="center"/>
                    <w:rPr>
                      <w:rFonts w:hint="eastAsia" w:eastAsia="宋体"/>
                      <w:vertAlign w:val="baseline"/>
                      <w:lang w:val="en-US" w:eastAsia="zh-CN"/>
                    </w:rPr>
                  </w:pPr>
                  <w:r>
                    <w:rPr>
                      <w:rFonts w:hint="eastAsia"/>
                      <w:vertAlign w:val="baseline"/>
                      <w:lang w:val="en-US" w:eastAsia="zh-CN"/>
                    </w:rPr>
                    <w:t>2</w:t>
                  </w:r>
                </w:p>
              </w:tc>
              <w:tc>
                <w:tcPr>
                  <w:tcW w:w="617" w:type="pct"/>
                  <w:vAlign w:val="center"/>
                </w:tcPr>
                <w:p w14:paraId="03DAC040">
                  <w:pPr>
                    <w:jc w:val="center"/>
                    <w:rPr>
                      <w:rFonts w:hint="default" w:eastAsia="宋体"/>
                      <w:vertAlign w:val="baseline"/>
                      <w:lang w:val="en-US" w:eastAsia="zh-CN"/>
                    </w:rPr>
                  </w:pPr>
                  <w:r>
                    <w:rPr>
                      <w:rFonts w:hint="eastAsia"/>
                      <w:vertAlign w:val="baseline"/>
                      <w:lang w:val="en-US" w:eastAsia="zh-CN"/>
                    </w:rPr>
                    <w:t>泵类</w:t>
                  </w:r>
                </w:p>
              </w:tc>
              <w:tc>
                <w:tcPr>
                  <w:tcW w:w="250" w:type="pct"/>
                  <w:vAlign w:val="center"/>
                </w:tcPr>
                <w:p w14:paraId="761FA21B">
                  <w:pPr>
                    <w:jc w:val="center"/>
                    <w:rPr>
                      <w:rFonts w:hint="eastAsia" w:eastAsia="宋体"/>
                      <w:vertAlign w:val="baseline"/>
                      <w:lang w:val="en-US" w:eastAsia="zh-CN"/>
                    </w:rPr>
                  </w:pPr>
                  <w:r>
                    <w:rPr>
                      <w:rFonts w:hint="eastAsia"/>
                      <w:vertAlign w:val="baseline"/>
                      <w:lang w:val="en-US" w:eastAsia="zh-CN"/>
                    </w:rPr>
                    <w:t>/</w:t>
                  </w:r>
                </w:p>
              </w:tc>
              <w:tc>
                <w:tcPr>
                  <w:tcW w:w="347" w:type="pct"/>
                  <w:vAlign w:val="center"/>
                </w:tcPr>
                <w:p w14:paraId="3CFC638C">
                  <w:pPr>
                    <w:jc w:val="center"/>
                    <w:rPr>
                      <w:rFonts w:hint="default" w:eastAsia="宋体"/>
                      <w:vertAlign w:val="baseline"/>
                      <w:lang w:val="en-US" w:eastAsia="zh-CN"/>
                    </w:rPr>
                  </w:pPr>
                  <w:r>
                    <w:rPr>
                      <w:rFonts w:hint="eastAsia"/>
                      <w:vertAlign w:val="baseline"/>
                      <w:lang w:val="en-US" w:eastAsia="zh-CN"/>
                    </w:rPr>
                    <w:t>41</w:t>
                  </w:r>
                </w:p>
              </w:tc>
              <w:tc>
                <w:tcPr>
                  <w:tcW w:w="297" w:type="pct"/>
                  <w:vAlign w:val="center"/>
                </w:tcPr>
                <w:p w14:paraId="647CF439">
                  <w:pPr>
                    <w:jc w:val="center"/>
                    <w:rPr>
                      <w:rFonts w:hint="default" w:eastAsia="宋体"/>
                      <w:vertAlign w:val="baseline"/>
                      <w:lang w:val="en-US" w:eastAsia="zh-CN"/>
                    </w:rPr>
                  </w:pPr>
                  <w:r>
                    <w:rPr>
                      <w:rFonts w:hint="eastAsia"/>
                      <w:vertAlign w:val="baseline"/>
                      <w:lang w:val="en-US" w:eastAsia="zh-CN"/>
                    </w:rPr>
                    <w:t>52</w:t>
                  </w:r>
                </w:p>
              </w:tc>
              <w:tc>
                <w:tcPr>
                  <w:tcW w:w="334" w:type="pct"/>
                  <w:vAlign w:val="center"/>
                </w:tcPr>
                <w:p w14:paraId="1CDF0D99">
                  <w:pPr>
                    <w:jc w:val="center"/>
                    <w:rPr>
                      <w:rFonts w:hint="eastAsia" w:eastAsia="宋体"/>
                      <w:vertAlign w:val="baseline"/>
                      <w:lang w:val="en-US" w:eastAsia="zh-CN"/>
                    </w:rPr>
                  </w:pPr>
                  <w:r>
                    <w:rPr>
                      <w:rFonts w:hint="eastAsia"/>
                      <w:vertAlign w:val="baseline"/>
                      <w:lang w:val="en-US" w:eastAsia="zh-CN"/>
                    </w:rPr>
                    <w:t>2</w:t>
                  </w:r>
                </w:p>
              </w:tc>
              <w:tc>
                <w:tcPr>
                  <w:tcW w:w="1032" w:type="pct"/>
                  <w:vAlign w:val="center"/>
                </w:tcPr>
                <w:p w14:paraId="3EA836C2">
                  <w:pPr>
                    <w:jc w:val="center"/>
                    <w:rPr>
                      <w:rFonts w:hint="default" w:eastAsia="宋体"/>
                      <w:vertAlign w:val="baseline"/>
                      <w:lang w:val="en-US" w:eastAsia="zh-CN"/>
                    </w:rPr>
                  </w:pPr>
                  <w:r>
                    <w:rPr>
                      <w:rFonts w:hint="eastAsia"/>
                      <w:vertAlign w:val="baseline"/>
                      <w:lang w:val="en-US" w:eastAsia="zh-CN"/>
                    </w:rPr>
                    <w:t>85-90</w:t>
                  </w:r>
                </w:p>
              </w:tc>
              <w:tc>
                <w:tcPr>
                  <w:tcW w:w="1194" w:type="pct"/>
                  <w:vMerge w:val="continue"/>
                  <w:vAlign w:val="center"/>
                </w:tcPr>
                <w:p w14:paraId="78AFDF98">
                  <w:pPr>
                    <w:jc w:val="center"/>
                    <w:rPr>
                      <w:rFonts w:hint="default"/>
                      <w:vertAlign w:val="baseline"/>
                    </w:rPr>
                  </w:pPr>
                </w:p>
              </w:tc>
              <w:tc>
                <w:tcPr>
                  <w:tcW w:w="677" w:type="pct"/>
                  <w:vMerge w:val="continue"/>
                  <w:vAlign w:val="center"/>
                </w:tcPr>
                <w:p w14:paraId="441D9EE9">
                  <w:pPr>
                    <w:jc w:val="center"/>
                    <w:rPr>
                      <w:rFonts w:hint="default"/>
                      <w:vertAlign w:val="baseline"/>
                    </w:rPr>
                  </w:pPr>
                </w:p>
              </w:tc>
            </w:tr>
            <w:tr w14:paraId="1402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5A854668">
                  <w:pPr>
                    <w:jc w:val="center"/>
                    <w:rPr>
                      <w:rFonts w:hint="default"/>
                      <w:vertAlign w:val="baseline"/>
                      <w:lang w:val="en-US" w:eastAsia="zh-CN"/>
                    </w:rPr>
                  </w:pPr>
                  <w:r>
                    <w:rPr>
                      <w:rFonts w:hint="eastAsia"/>
                      <w:vertAlign w:val="baseline"/>
                      <w:lang w:val="en-US" w:eastAsia="zh-CN"/>
                    </w:rPr>
                    <w:t>3</w:t>
                  </w:r>
                </w:p>
              </w:tc>
              <w:tc>
                <w:tcPr>
                  <w:tcW w:w="617" w:type="pct"/>
                  <w:vAlign w:val="center"/>
                </w:tcPr>
                <w:p w14:paraId="51BBD271">
                  <w:pPr>
                    <w:jc w:val="center"/>
                    <w:rPr>
                      <w:rFonts w:hint="default"/>
                      <w:vertAlign w:val="baseline"/>
                      <w:lang w:val="en-US" w:eastAsia="zh-CN"/>
                    </w:rPr>
                  </w:pPr>
                  <w:r>
                    <w:rPr>
                      <w:rFonts w:hint="eastAsia"/>
                      <w:vertAlign w:val="baseline"/>
                      <w:lang w:val="en-US" w:eastAsia="zh-CN"/>
                    </w:rPr>
                    <w:t>空压机</w:t>
                  </w:r>
                </w:p>
              </w:tc>
              <w:tc>
                <w:tcPr>
                  <w:tcW w:w="250" w:type="pct"/>
                  <w:vAlign w:val="center"/>
                </w:tcPr>
                <w:p w14:paraId="074F2F99">
                  <w:pPr>
                    <w:jc w:val="center"/>
                    <w:rPr>
                      <w:rFonts w:hint="default"/>
                      <w:vertAlign w:val="baseline"/>
                      <w:lang w:val="en-US" w:eastAsia="zh-CN"/>
                    </w:rPr>
                  </w:pPr>
                  <w:r>
                    <w:rPr>
                      <w:rFonts w:hint="eastAsia"/>
                      <w:vertAlign w:val="baseline"/>
                      <w:lang w:val="en-US" w:eastAsia="zh-CN"/>
                    </w:rPr>
                    <w:t>/</w:t>
                  </w:r>
                </w:p>
              </w:tc>
              <w:tc>
                <w:tcPr>
                  <w:tcW w:w="347" w:type="pct"/>
                  <w:vAlign w:val="center"/>
                </w:tcPr>
                <w:p w14:paraId="7F87CCCC">
                  <w:pPr>
                    <w:jc w:val="center"/>
                    <w:rPr>
                      <w:rFonts w:hint="default"/>
                      <w:vertAlign w:val="baseline"/>
                      <w:lang w:val="en-US" w:eastAsia="zh-CN"/>
                    </w:rPr>
                  </w:pPr>
                  <w:r>
                    <w:rPr>
                      <w:rFonts w:hint="eastAsia"/>
                      <w:vertAlign w:val="baseline"/>
                      <w:lang w:val="en-US" w:eastAsia="zh-CN"/>
                    </w:rPr>
                    <w:t>42</w:t>
                  </w:r>
                </w:p>
              </w:tc>
              <w:tc>
                <w:tcPr>
                  <w:tcW w:w="297" w:type="pct"/>
                  <w:vAlign w:val="center"/>
                </w:tcPr>
                <w:p w14:paraId="697FFD2E">
                  <w:pPr>
                    <w:jc w:val="center"/>
                    <w:rPr>
                      <w:rFonts w:hint="default"/>
                      <w:vertAlign w:val="baseline"/>
                      <w:lang w:val="en-US" w:eastAsia="zh-CN"/>
                    </w:rPr>
                  </w:pPr>
                  <w:r>
                    <w:rPr>
                      <w:rFonts w:hint="eastAsia"/>
                      <w:vertAlign w:val="baseline"/>
                      <w:lang w:val="en-US" w:eastAsia="zh-CN"/>
                    </w:rPr>
                    <w:t>56</w:t>
                  </w:r>
                </w:p>
              </w:tc>
              <w:tc>
                <w:tcPr>
                  <w:tcW w:w="334" w:type="pct"/>
                  <w:vAlign w:val="center"/>
                </w:tcPr>
                <w:p w14:paraId="3EACA6C4">
                  <w:pPr>
                    <w:jc w:val="center"/>
                    <w:rPr>
                      <w:rFonts w:hint="default"/>
                      <w:vertAlign w:val="baseline"/>
                      <w:lang w:val="en-US" w:eastAsia="zh-CN"/>
                    </w:rPr>
                  </w:pPr>
                  <w:r>
                    <w:rPr>
                      <w:rFonts w:hint="eastAsia"/>
                      <w:vertAlign w:val="baseline"/>
                      <w:lang w:val="en-US" w:eastAsia="zh-CN"/>
                    </w:rPr>
                    <w:t>2</w:t>
                  </w:r>
                </w:p>
              </w:tc>
              <w:tc>
                <w:tcPr>
                  <w:tcW w:w="1032" w:type="pct"/>
                  <w:vAlign w:val="center"/>
                </w:tcPr>
                <w:p w14:paraId="2EB8982B">
                  <w:pPr>
                    <w:jc w:val="center"/>
                    <w:rPr>
                      <w:rFonts w:hint="default" w:eastAsia="宋体"/>
                      <w:vertAlign w:val="baseline"/>
                      <w:lang w:val="en-US" w:eastAsia="zh-CN"/>
                    </w:rPr>
                  </w:pPr>
                  <w:r>
                    <w:rPr>
                      <w:rFonts w:hint="eastAsia"/>
                      <w:vertAlign w:val="baseline"/>
                      <w:lang w:val="en-US" w:eastAsia="zh-CN"/>
                    </w:rPr>
                    <w:t>85-90</w:t>
                  </w:r>
                </w:p>
              </w:tc>
              <w:tc>
                <w:tcPr>
                  <w:tcW w:w="1194" w:type="pct"/>
                  <w:vMerge w:val="continue"/>
                  <w:vAlign w:val="center"/>
                </w:tcPr>
                <w:p w14:paraId="7A77452A">
                  <w:pPr>
                    <w:jc w:val="center"/>
                    <w:rPr>
                      <w:rFonts w:hint="default"/>
                      <w:vertAlign w:val="baseline"/>
                    </w:rPr>
                  </w:pPr>
                </w:p>
              </w:tc>
              <w:tc>
                <w:tcPr>
                  <w:tcW w:w="677" w:type="pct"/>
                  <w:vMerge w:val="continue"/>
                  <w:vAlign w:val="center"/>
                </w:tcPr>
                <w:p w14:paraId="616E91B0">
                  <w:pPr>
                    <w:jc w:val="center"/>
                    <w:rPr>
                      <w:rFonts w:hint="default"/>
                      <w:vertAlign w:val="baseline"/>
                    </w:rPr>
                  </w:pPr>
                </w:p>
              </w:tc>
            </w:tr>
            <w:tr w14:paraId="4268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4A7402AC">
                  <w:pPr>
                    <w:jc w:val="center"/>
                    <w:rPr>
                      <w:rFonts w:hint="default"/>
                      <w:vertAlign w:val="baseline"/>
                      <w:lang w:val="en-US" w:eastAsia="zh-CN"/>
                    </w:rPr>
                  </w:pPr>
                  <w:r>
                    <w:rPr>
                      <w:rFonts w:hint="eastAsia"/>
                      <w:vertAlign w:val="baseline"/>
                      <w:lang w:val="en-US" w:eastAsia="zh-CN"/>
                    </w:rPr>
                    <w:t>4</w:t>
                  </w:r>
                </w:p>
              </w:tc>
              <w:tc>
                <w:tcPr>
                  <w:tcW w:w="617" w:type="pct"/>
                  <w:vAlign w:val="center"/>
                </w:tcPr>
                <w:p w14:paraId="3B3FE513">
                  <w:pPr>
                    <w:jc w:val="center"/>
                    <w:rPr>
                      <w:rFonts w:hint="default"/>
                      <w:vertAlign w:val="baseline"/>
                      <w:lang w:val="en-US" w:eastAsia="zh-CN"/>
                    </w:rPr>
                  </w:pPr>
                  <w:r>
                    <w:rPr>
                      <w:rFonts w:hint="eastAsia"/>
                      <w:vertAlign w:val="baseline"/>
                      <w:lang w:val="en-US" w:eastAsia="zh-CN"/>
                    </w:rPr>
                    <w:t>输送设备</w:t>
                  </w:r>
                </w:p>
              </w:tc>
              <w:tc>
                <w:tcPr>
                  <w:tcW w:w="250" w:type="pct"/>
                  <w:vAlign w:val="center"/>
                </w:tcPr>
                <w:p w14:paraId="20F1D665">
                  <w:pPr>
                    <w:jc w:val="center"/>
                    <w:rPr>
                      <w:rFonts w:hint="default"/>
                      <w:vertAlign w:val="baseline"/>
                      <w:lang w:val="en-US" w:eastAsia="zh-CN"/>
                    </w:rPr>
                  </w:pPr>
                  <w:r>
                    <w:rPr>
                      <w:rFonts w:hint="eastAsia"/>
                      <w:vertAlign w:val="baseline"/>
                      <w:lang w:val="en-US" w:eastAsia="zh-CN"/>
                    </w:rPr>
                    <w:t>/</w:t>
                  </w:r>
                </w:p>
              </w:tc>
              <w:tc>
                <w:tcPr>
                  <w:tcW w:w="347" w:type="pct"/>
                  <w:vAlign w:val="center"/>
                </w:tcPr>
                <w:p w14:paraId="7EB348E5">
                  <w:pPr>
                    <w:jc w:val="center"/>
                    <w:rPr>
                      <w:rFonts w:hint="default"/>
                      <w:vertAlign w:val="baseline"/>
                      <w:lang w:val="en-US" w:eastAsia="zh-CN"/>
                    </w:rPr>
                  </w:pPr>
                  <w:r>
                    <w:rPr>
                      <w:rFonts w:hint="eastAsia"/>
                      <w:vertAlign w:val="baseline"/>
                      <w:lang w:val="en-US" w:eastAsia="zh-CN"/>
                    </w:rPr>
                    <w:t>40</w:t>
                  </w:r>
                </w:p>
              </w:tc>
              <w:tc>
                <w:tcPr>
                  <w:tcW w:w="297" w:type="pct"/>
                  <w:vAlign w:val="center"/>
                </w:tcPr>
                <w:p w14:paraId="34023CFC">
                  <w:pPr>
                    <w:jc w:val="center"/>
                    <w:rPr>
                      <w:rFonts w:hint="default"/>
                      <w:vertAlign w:val="baseline"/>
                      <w:lang w:val="en-US" w:eastAsia="zh-CN"/>
                    </w:rPr>
                  </w:pPr>
                  <w:r>
                    <w:rPr>
                      <w:rFonts w:hint="eastAsia"/>
                      <w:vertAlign w:val="baseline"/>
                      <w:lang w:val="en-US" w:eastAsia="zh-CN"/>
                    </w:rPr>
                    <w:t>45</w:t>
                  </w:r>
                </w:p>
              </w:tc>
              <w:tc>
                <w:tcPr>
                  <w:tcW w:w="334" w:type="pct"/>
                  <w:vAlign w:val="center"/>
                </w:tcPr>
                <w:p w14:paraId="7A0D3928">
                  <w:pPr>
                    <w:jc w:val="center"/>
                    <w:rPr>
                      <w:rFonts w:hint="default"/>
                      <w:vertAlign w:val="baseline"/>
                      <w:lang w:val="en-US" w:eastAsia="zh-CN"/>
                    </w:rPr>
                  </w:pPr>
                  <w:r>
                    <w:rPr>
                      <w:rFonts w:hint="eastAsia"/>
                      <w:vertAlign w:val="baseline"/>
                      <w:lang w:val="en-US" w:eastAsia="zh-CN"/>
                    </w:rPr>
                    <w:t>2</w:t>
                  </w:r>
                </w:p>
              </w:tc>
              <w:tc>
                <w:tcPr>
                  <w:tcW w:w="1032" w:type="pct"/>
                  <w:vAlign w:val="center"/>
                </w:tcPr>
                <w:p w14:paraId="0AE49732">
                  <w:pPr>
                    <w:jc w:val="center"/>
                    <w:rPr>
                      <w:rFonts w:hint="default" w:eastAsia="宋体"/>
                      <w:vertAlign w:val="baseline"/>
                      <w:lang w:val="en-US" w:eastAsia="zh-CN"/>
                    </w:rPr>
                  </w:pPr>
                  <w:r>
                    <w:rPr>
                      <w:rFonts w:hint="eastAsia"/>
                      <w:vertAlign w:val="baseline"/>
                      <w:lang w:val="en-US" w:eastAsia="zh-CN"/>
                    </w:rPr>
                    <w:t>75-85</w:t>
                  </w:r>
                </w:p>
              </w:tc>
              <w:tc>
                <w:tcPr>
                  <w:tcW w:w="1194" w:type="pct"/>
                  <w:vMerge w:val="continue"/>
                  <w:vAlign w:val="center"/>
                </w:tcPr>
                <w:p w14:paraId="759F524A">
                  <w:pPr>
                    <w:jc w:val="center"/>
                    <w:rPr>
                      <w:rFonts w:hint="default"/>
                      <w:vertAlign w:val="baseline"/>
                    </w:rPr>
                  </w:pPr>
                </w:p>
              </w:tc>
              <w:tc>
                <w:tcPr>
                  <w:tcW w:w="677" w:type="pct"/>
                  <w:vMerge w:val="continue"/>
                  <w:vAlign w:val="center"/>
                </w:tcPr>
                <w:p w14:paraId="70CD9811">
                  <w:pPr>
                    <w:jc w:val="center"/>
                    <w:rPr>
                      <w:rFonts w:hint="default"/>
                      <w:vertAlign w:val="baseline"/>
                    </w:rPr>
                  </w:pPr>
                </w:p>
              </w:tc>
            </w:tr>
            <w:tr w14:paraId="3EAE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7A26B6E4">
                  <w:pPr>
                    <w:jc w:val="center"/>
                    <w:rPr>
                      <w:rFonts w:hint="default"/>
                      <w:vertAlign w:val="baseline"/>
                      <w:lang w:val="en-US" w:eastAsia="zh-CN"/>
                    </w:rPr>
                  </w:pPr>
                  <w:r>
                    <w:rPr>
                      <w:rFonts w:hint="eastAsia"/>
                      <w:vertAlign w:val="baseline"/>
                      <w:lang w:val="en-US" w:eastAsia="zh-CN"/>
                    </w:rPr>
                    <w:t>5</w:t>
                  </w:r>
                </w:p>
              </w:tc>
              <w:tc>
                <w:tcPr>
                  <w:tcW w:w="617" w:type="pct"/>
                  <w:vAlign w:val="center"/>
                </w:tcPr>
                <w:p w14:paraId="1BC26E72">
                  <w:pPr>
                    <w:jc w:val="center"/>
                    <w:rPr>
                      <w:rFonts w:hint="default"/>
                      <w:vertAlign w:val="baseline"/>
                      <w:lang w:val="en-US" w:eastAsia="zh-CN"/>
                    </w:rPr>
                  </w:pPr>
                  <w:r>
                    <w:rPr>
                      <w:rFonts w:hint="eastAsia"/>
                      <w:vertAlign w:val="baseline"/>
                      <w:lang w:val="en-US" w:eastAsia="zh-CN"/>
                    </w:rPr>
                    <w:t>运输车辆</w:t>
                  </w:r>
                </w:p>
              </w:tc>
              <w:tc>
                <w:tcPr>
                  <w:tcW w:w="250" w:type="pct"/>
                  <w:vAlign w:val="center"/>
                </w:tcPr>
                <w:p w14:paraId="5F734EE5">
                  <w:pPr>
                    <w:jc w:val="center"/>
                    <w:rPr>
                      <w:rFonts w:hint="default"/>
                      <w:vertAlign w:val="baseline"/>
                      <w:lang w:val="en-US" w:eastAsia="zh-CN"/>
                    </w:rPr>
                  </w:pPr>
                  <w:r>
                    <w:rPr>
                      <w:rFonts w:hint="eastAsia"/>
                      <w:vertAlign w:val="baseline"/>
                      <w:lang w:val="en-US" w:eastAsia="zh-CN"/>
                    </w:rPr>
                    <w:t>/</w:t>
                  </w:r>
                </w:p>
              </w:tc>
              <w:tc>
                <w:tcPr>
                  <w:tcW w:w="347" w:type="pct"/>
                  <w:vAlign w:val="center"/>
                </w:tcPr>
                <w:p w14:paraId="4C5F73E9">
                  <w:pPr>
                    <w:jc w:val="center"/>
                    <w:rPr>
                      <w:rFonts w:hint="default"/>
                      <w:vertAlign w:val="baseline"/>
                      <w:lang w:val="en-US" w:eastAsia="zh-CN"/>
                    </w:rPr>
                  </w:pPr>
                  <w:r>
                    <w:rPr>
                      <w:rFonts w:hint="eastAsia"/>
                      <w:vertAlign w:val="baseline"/>
                      <w:lang w:val="en-US" w:eastAsia="zh-CN"/>
                    </w:rPr>
                    <w:t>20</w:t>
                  </w:r>
                </w:p>
              </w:tc>
              <w:tc>
                <w:tcPr>
                  <w:tcW w:w="297" w:type="pct"/>
                  <w:vAlign w:val="center"/>
                </w:tcPr>
                <w:p w14:paraId="631730A8">
                  <w:pPr>
                    <w:jc w:val="center"/>
                    <w:rPr>
                      <w:rFonts w:hint="default"/>
                      <w:vertAlign w:val="baseline"/>
                      <w:lang w:val="en-US" w:eastAsia="zh-CN"/>
                    </w:rPr>
                  </w:pPr>
                  <w:r>
                    <w:rPr>
                      <w:rFonts w:hint="eastAsia"/>
                      <w:vertAlign w:val="baseline"/>
                      <w:lang w:val="en-US" w:eastAsia="zh-CN"/>
                    </w:rPr>
                    <w:t>30</w:t>
                  </w:r>
                </w:p>
              </w:tc>
              <w:tc>
                <w:tcPr>
                  <w:tcW w:w="334" w:type="pct"/>
                  <w:vAlign w:val="center"/>
                </w:tcPr>
                <w:p w14:paraId="3103E4F3">
                  <w:pPr>
                    <w:jc w:val="center"/>
                    <w:rPr>
                      <w:rFonts w:hint="default"/>
                      <w:vertAlign w:val="baseline"/>
                      <w:lang w:val="en-US" w:eastAsia="zh-CN"/>
                    </w:rPr>
                  </w:pPr>
                  <w:r>
                    <w:rPr>
                      <w:rFonts w:hint="eastAsia"/>
                      <w:vertAlign w:val="baseline"/>
                      <w:lang w:val="en-US" w:eastAsia="zh-CN"/>
                    </w:rPr>
                    <w:t>1</w:t>
                  </w:r>
                </w:p>
              </w:tc>
              <w:tc>
                <w:tcPr>
                  <w:tcW w:w="1032" w:type="pct"/>
                  <w:vAlign w:val="center"/>
                </w:tcPr>
                <w:p w14:paraId="2846BF10">
                  <w:pPr>
                    <w:jc w:val="center"/>
                    <w:rPr>
                      <w:rFonts w:hint="default" w:eastAsia="宋体"/>
                      <w:vertAlign w:val="baseline"/>
                      <w:lang w:val="en-US" w:eastAsia="zh-CN"/>
                    </w:rPr>
                  </w:pPr>
                  <w:r>
                    <w:rPr>
                      <w:rFonts w:hint="eastAsia"/>
                      <w:vertAlign w:val="baseline"/>
                      <w:lang w:val="en-US" w:eastAsia="zh-CN"/>
                    </w:rPr>
                    <w:t>75-80</w:t>
                  </w:r>
                </w:p>
              </w:tc>
              <w:tc>
                <w:tcPr>
                  <w:tcW w:w="1194" w:type="pct"/>
                  <w:vAlign w:val="center"/>
                </w:tcPr>
                <w:p w14:paraId="009CD8B2">
                  <w:pPr>
                    <w:jc w:val="center"/>
                    <w:rPr>
                      <w:rFonts w:hint="default"/>
                      <w:vertAlign w:val="baseline"/>
                    </w:rPr>
                  </w:pPr>
                  <w:r>
                    <w:rPr>
                      <w:color w:val="auto"/>
                      <w:sz w:val="21"/>
                      <w:szCs w:val="21"/>
                    </w:rPr>
                    <w:t>强化行车管理制度，严禁鸣号，低速行驶</w:t>
                  </w:r>
                </w:p>
              </w:tc>
              <w:tc>
                <w:tcPr>
                  <w:tcW w:w="677" w:type="pct"/>
                  <w:vMerge w:val="continue"/>
                  <w:vAlign w:val="center"/>
                </w:tcPr>
                <w:p w14:paraId="457EA2FF">
                  <w:pPr>
                    <w:jc w:val="center"/>
                    <w:rPr>
                      <w:rFonts w:hint="default"/>
                      <w:vertAlign w:val="baseline"/>
                      <w:lang w:val="en-US"/>
                    </w:rPr>
                  </w:pPr>
                </w:p>
              </w:tc>
            </w:tr>
          </w:tbl>
          <w:p w14:paraId="3D3CDBFE">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3.2</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防治措施</w:t>
            </w:r>
          </w:p>
          <w:p w14:paraId="09E2A12A">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s="Times New Roman"/>
                <w:color w:val="auto"/>
                <w:kern w:val="0"/>
                <w:sz w:val="24"/>
                <w:szCs w:val="24"/>
                <w:lang w:val="en-US" w:eastAsia="zh-CN" w:bidi="ar-SA"/>
              </w:rPr>
            </w:pPr>
            <w:r>
              <w:rPr>
                <w:rFonts w:hint="eastAsia" w:cs="Times New Roman"/>
                <w:color w:val="auto"/>
                <w:kern w:val="0"/>
                <w:sz w:val="24"/>
                <w:szCs w:val="24"/>
                <w:lang w:val="en-US" w:eastAsia="zh-CN" w:bidi="ar-SA"/>
              </w:rPr>
              <w:t>为降低噪声对周围声环境的影响，建设单位计划采取以下措施：</w:t>
            </w:r>
          </w:p>
          <w:p w14:paraId="6468AD78">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s="Times New Roman"/>
                <w:color w:val="auto"/>
                <w:kern w:val="0"/>
                <w:sz w:val="24"/>
                <w:szCs w:val="24"/>
                <w:lang w:val="en-US" w:eastAsia="zh-CN" w:bidi="ar-SA"/>
              </w:rPr>
            </w:pPr>
            <w:r>
              <w:rPr>
                <w:rFonts w:hint="eastAsia" w:cs="Times New Roman"/>
                <w:color w:val="auto"/>
                <w:kern w:val="0"/>
                <w:sz w:val="24"/>
                <w:szCs w:val="24"/>
                <w:lang w:val="en-US" w:eastAsia="zh-CN" w:bidi="ar-SA"/>
              </w:rPr>
              <w:t>（1）设备维护和升级：定期对机械设备进行维护和升级，对设备进行保养、修理或更换老旧部件可以减少因磨损而产生的噪音。</w:t>
            </w:r>
          </w:p>
          <w:p w14:paraId="65761770">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s="Times New Roman"/>
                <w:color w:val="auto"/>
                <w:kern w:val="0"/>
                <w:sz w:val="24"/>
                <w:szCs w:val="24"/>
                <w:lang w:val="en-US" w:eastAsia="zh-CN" w:bidi="ar-SA"/>
              </w:rPr>
            </w:pPr>
            <w:r>
              <w:rPr>
                <w:rFonts w:hint="eastAsia" w:cs="Times New Roman"/>
                <w:color w:val="auto"/>
                <w:kern w:val="0"/>
                <w:sz w:val="24"/>
                <w:szCs w:val="24"/>
                <w:lang w:val="en-US" w:eastAsia="zh-CN" w:bidi="ar-SA"/>
              </w:rPr>
              <w:t>（2）使用低噪音设备：使用低噪音设备是减少噪音的有效方法，优先选用高效、低噪音的设备。</w:t>
            </w:r>
          </w:p>
          <w:p w14:paraId="16535918">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s="Times New Roman"/>
                <w:color w:val="auto"/>
                <w:kern w:val="0"/>
                <w:sz w:val="24"/>
                <w:szCs w:val="24"/>
                <w:lang w:val="en-US" w:eastAsia="zh-CN" w:bidi="ar-SA"/>
              </w:rPr>
            </w:pPr>
            <w:r>
              <w:rPr>
                <w:rFonts w:hint="eastAsia" w:cs="Times New Roman"/>
                <w:color w:val="auto"/>
                <w:kern w:val="0"/>
                <w:sz w:val="24"/>
                <w:szCs w:val="24"/>
                <w:lang w:val="en-US" w:eastAsia="zh-CN" w:bidi="ar-SA"/>
              </w:rPr>
              <w:t>（3）声音隔离和减震：修建厂房时选用吸声材料，机械设备下可以使用减震垫以减少噪音的产生。</w:t>
            </w:r>
          </w:p>
          <w:p w14:paraId="3AAAA5A1">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s="Times New Roman"/>
                <w:color w:val="auto"/>
                <w:kern w:val="0"/>
                <w:sz w:val="24"/>
                <w:szCs w:val="24"/>
                <w:lang w:val="en-US" w:eastAsia="zh-CN" w:bidi="ar-SA"/>
              </w:rPr>
            </w:pPr>
            <w:r>
              <w:rPr>
                <w:rFonts w:hint="eastAsia" w:cs="Times New Roman"/>
                <w:color w:val="auto"/>
                <w:kern w:val="0"/>
                <w:sz w:val="24"/>
                <w:szCs w:val="24"/>
                <w:lang w:val="en-US" w:eastAsia="zh-CN" w:bidi="ar-SA"/>
              </w:rPr>
              <w:t>（4）控制流动噪声源：流动噪声源主要为车辆，对车辆实行严格管控，低速慢行，禁止鸣笛。</w:t>
            </w:r>
          </w:p>
          <w:p w14:paraId="239320C8">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default" w:ascii="Times New Roman" w:hAnsi="Times New Roman" w:eastAsia="宋体" w:cs="宋体"/>
                <w:b w:val="0"/>
                <w:bCs w:val="0"/>
                <w:sz w:val="24"/>
                <w:szCs w:val="24"/>
                <w:lang w:val="en-US" w:eastAsia="zh-CN"/>
              </w:rPr>
              <w:t>空压机房设置于搅拌楼内部，</w:t>
            </w:r>
            <w:r>
              <w:rPr>
                <w:rFonts w:hint="eastAsia" w:cs="宋体"/>
                <w:b w:val="0"/>
                <w:bCs w:val="0"/>
                <w:sz w:val="24"/>
                <w:szCs w:val="24"/>
                <w:lang w:val="en-US" w:eastAsia="zh-CN"/>
              </w:rPr>
              <w:t>空压机</w:t>
            </w:r>
            <w:r>
              <w:rPr>
                <w:rFonts w:hint="default" w:ascii="Times New Roman" w:hAnsi="Times New Roman" w:eastAsia="宋体" w:cs="宋体"/>
                <w:b w:val="0"/>
                <w:bCs w:val="0"/>
                <w:sz w:val="24"/>
                <w:szCs w:val="24"/>
                <w:lang w:val="en-US" w:eastAsia="zh-CN"/>
              </w:rPr>
              <w:t>噪音污染控制措施包括以下方面：</w:t>
            </w:r>
          </w:p>
          <w:p w14:paraId="0EC409A5">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eastAsia" w:cs="宋体"/>
                <w:b w:val="0"/>
                <w:bCs w:val="0"/>
                <w:sz w:val="24"/>
                <w:szCs w:val="24"/>
                <w:lang w:val="en-US" w:eastAsia="zh-CN"/>
              </w:rPr>
              <w:t>（1）</w:t>
            </w:r>
            <w:r>
              <w:rPr>
                <w:rFonts w:hint="default" w:ascii="Times New Roman" w:hAnsi="Times New Roman" w:eastAsia="宋体" w:cs="宋体"/>
                <w:b w:val="0"/>
                <w:bCs w:val="0"/>
                <w:sz w:val="24"/>
                <w:szCs w:val="24"/>
                <w:lang w:val="en-US" w:eastAsia="zh-CN"/>
              </w:rPr>
              <w:t>选择低噪音空压机：在购买空压机时，可以选择低噪音设计的产品，这些产品通常采用隔音材料和优化设计，减少了噪音的产生。</w:t>
            </w:r>
          </w:p>
          <w:p w14:paraId="168AD5AA">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eastAsia" w:cs="宋体"/>
                <w:b w:val="0"/>
                <w:bCs w:val="0"/>
                <w:sz w:val="24"/>
                <w:szCs w:val="24"/>
                <w:lang w:val="en-US" w:eastAsia="zh-CN"/>
              </w:rPr>
              <w:t>（2）</w:t>
            </w:r>
            <w:r>
              <w:rPr>
                <w:rFonts w:hint="default" w:ascii="Times New Roman" w:hAnsi="Times New Roman" w:eastAsia="宋体" w:cs="宋体"/>
                <w:b w:val="0"/>
                <w:bCs w:val="0"/>
                <w:sz w:val="24"/>
                <w:szCs w:val="24"/>
                <w:lang w:val="en-US" w:eastAsia="zh-CN"/>
              </w:rPr>
              <w:t>定期维护保养：定期对空压机进行维护保养，包括清洁、润滑、紧固零部件等，确保设备运行平稳，减少噪音的产生。</w:t>
            </w:r>
          </w:p>
          <w:p w14:paraId="2DA48EF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宋体"/>
                <w:b w:val="0"/>
                <w:bCs w:val="0"/>
                <w:sz w:val="24"/>
                <w:szCs w:val="24"/>
                <w:lang w:val="en-US" w:eastAsia="zh-CN"/>
              </w:rPr>
            </w:pPr>
            <w:r>
              <w:rPr>
                <w:rFonts w:hint="eastAsia" w:cs="宋体"/>
                <w:b w:val="0"/>
                <w:bCs w:val="0"/>
                <w:sz w:val="24"/>
                <w:szCs w:val="24"/>
                <w:lang w:val="en-US" w:eastAsia="zh-CN"/>
              </w:rPr>
              <w:t>（3）</w:t>
            </w:r>
            <w:r>
              <w:rPr>
                <w:rFonts w:hint="default" w:ascii="Times New Roman" w:hAnsi="Times New Roman" w:eastAsia="宋体" w:cs="宋体"/>
                <w:b w:val="0"/>
                <w:bCs w:val="0"/>
                <w:sz w:val="24"/>
                <w:szCs w:val="24"/>
                <w:lang w:val="en-US" w:eastAsia="zh-CN"/>
              </w:rPr>
              <w:t>隔音措施：在空压机周围设置隔音罩，利用隔音材料将噪音隔离，减少传播到周围环境中。</w:t>
            </w:r>
          </w:p>
          <w:p w14:paraId="12C2ACE6">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s="Times New Roman"/>
                <w:color w:val="auto"/>
                <w:kern w:val="0"/>
                <w:sz w:val="24"/>
                <w:szCs w:val="24"/>
                <w:lang w:val="en-US" w:eastAsia="zh-CN" w:bidi="ar-SA"/>
              </w:rPr>
            </w:pPr>
            <w:r>
              <w:rPr>
                <w:rFonts w:hint="eastAsia" w:cs="宋体"/>
                <w:b w:val="0"/>
                <w:bCs w:val="0"/>
                <w:sz w:val="24"/>
                <w:szCs w:val="24"/>
                <w:lang w:val="en-US" w:eastAsia="zh-CN"/>
              </w:rPr>
              <w:t>（4）</w:t>
            </w:r>
            <w:r>
              <w:rPr>
                <w:rFonts w:hint="default" w:ascii="Times New Roman" w:hAnsi="Times New Roman" w:eastAsia="宋体" w:cs="宋体"/>
                <w:b w:val="0"/>
                <w:bCs w:val="0"/>
                <w:sz w:val="24"/>
                <w:szCs w:val="24"/>
                <w:lang w:val="en-US" w:eastAsia="zh-CN"/>
              </w:rPr>
              <w:t>噪音监测与评估：空压机的噪音等效声级约85~90dB，噪声分布于搅拌楼，由于搅拌楼全封闭，因此可以将噪音控制在搅拌楼内部，不会对周围环境造成影响。</w:t>
            </w:r>
          </w:p>
          <w:p w14:paraId="1FF118AF">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3.3</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预测模式</w:t>
            </w:r>
          </w:p>
          <w:p w14:paraId="14B63CD6">
            <w:pPr>
              <w:pStyle w:val="23"/>
              <w:spacing w:line="360" w:lineRule="auto"/>
              <w:ind w:firstLine="480" w:firstLineChars="200"/>
              <w:rPr>
                <w:rFonts w:ascii="Times New Roman" w:hAnsi="Times New Roman" w:eastAsia="宋体" w:cs="Times New Roman"/>
                <w:color w:val="auto"/>
                <w:kern w:val="0"/>
                <w:sz w:val="24"/>
                <w:szCs w:val="24"/>
                <w:highlight w:val="yellow"/>
                <w:lang w:val="en-US" w:eastAsia="zh-CN" w:bidi="ar-SA"/>
              </w:rPr>
            </w:pPr>
            <w:r>
              <w:rPr>
                <w:rFonts w:ascii="Times New Roman" w:hAnsi="Times New Roman" w:eastAsia="宋体" w:cs="Times New Roman"/>
                <w:color w:val="auto"/>
                <w:kern w:val="0"/>
                <w:sz w:val="24"/>
                <w:szCs w:val="24"/>
                <w:lang w:val="en-US" w:eastAsia="zh-CN" w:bidi="ar-SA"/>
              </w:rPr>
              <w:t>采用《环境影响评价技术导则 声环境》（HJ2.4-20</w:t>
            </w:r>
            <w:r>
              <w:rPr>
                <w:rFonts w:hint="eastAsia" w:cs="Times New Roman"/>
                <w:color w:val="auto"/>
                <w:kern w:val="0"/>
                <w:sz w:val="24"/>
                <w:szCs w:val="24"/>
                <w:lang w:val="en-US" w:eastAsia="zh-CN" w:bidi="ar-SA"/>
              </w:rPr>
              <w:t>21</w:t>
            </w:r>
            <w:r>
              <w:rPr>
                <w:rFonts w:ascii="Times New Roman" w:hAnsi="Times New Roman" w:eastAsia="宋体" w:cs="Times New Roman"/>
                <w:color w:val="auto"/>
                <w:kern w:val="0"/>
                <w:sz w:val="24"/>
                <w:szCs w:val="24"/>
                <w:lang w:val="en-US" w:eastAsia="zh-CN" w:bidi="ar-SA"/>
              </w:rPr>
              <w:t>）中的工业噪声预测模式。</w:t>
            </w:r>
            <w:r>
              <w:rPr>
                <w:rFonts w:ascii="Times New Roman" w:hAnsi="Times New Roman" w:eastAsia="宋体" w:cs="Times New Roman"/>
                <w:color w:val="auto"/>
                <w:kern w:val="0"/>
                <w:sz w:val="24"/>
                <w:szCs w:val="24"/>
                <w:highlight w:val="none"/>
                <w:lang w:val="en-US" w:eastAsia="zh-CN" w:bidi="ar-SA"/>
              </w:rPr>
              <w:t>根据拟建项目对声环境产生影响的主要设备噪声源噪声辐射和结构特点，安装位置的环境条件以及噪声源至预测点的距离等因素。本项目采用点声源衰减预测模式和声压级叠加模式，预测噪声源对各厂界噪声评价点的贡献值。</w:t>
            </w:r>
          </w:p>
          <w:p w14:paraId="7438C1B8">
            <w:pPr>
              <w:autoSpaceDE w:val="0"/>
              <w:autoSpaceDN w:val="0"/>
              <w:adjustRightInd w:val="0"/>
              <w:spacing w:line="360" w:lineRule="auto"/>
              <w:ind w:firstLine="480" w:firstLineChars="200"/>
              <w:jc w:val="left"/>
              <w:rPr>
                <w:rFonts w:ascii="Times New Roman" w:hAnsi="Times New Roman"/>
                <w:bCs/>
                <w:color w:val="auto"/>
                <w:sz w:val="24"/>
              </w:rPr>
            </w:pPr>
            <w:r>
              <w:rPr>
                <w:rFonts w:hint="eastAsia" w:ascii="宋体" w:hAnsi="宋体" w:cs="宋体"/>
                <w:bCs/>
                <w:color w:val="auto"/>
                <w:sz w:val="24"/>
              </w:rPr>
              <w:t>①</w:t>
            </w:r>
            <w:r>
              <w:rPr>
                <w:rFonts w:ascii="Times New Roman" w:hAnsi="Times New Roman"/>
                <w:bCs/>
                <w:color w:val="auto"/>
                <w:sz w:val="24"/>
              </w:rPr>
              <w:t xml:space="preserve"> 计算某个声源在预测点的倍频带声压级</w:t>
            </w:r>
          </w:p>
          <w:p w14:paraId="4D66C937">
            <w:pPr>
              <w:autoSpaceDE w:val="0"/>
              <w:autoSpaceDN w:val="0"/>
              <w:adjustRightInd w:val="0"/>
              <w:spacing w:line="360" w:lineRule="auto"/>
              <w:jc w:val="center"/>
              <w:rPr>
                <w:rFonts w:ascii="Times New Roman" w:hAnsi="Times New Roman"/>
                <w:bCs/>
                <w:color w:val="auto"/>
                <w:sz w:val="24"/>
              </w:rPr>
            </w:pPr>
            <w:r>
              <w:rPr>
                <w:rFonts w:ascii="Times New Roman" w:hAnsi="Times New Roman"/>
                <w:bCs/>
                <w:color w:val="auto"/>
                <w:sz w:val="24"/>
              </w:rPr>
              <w:object>
                <v:shape id="_x0000_i1025" o:spt="75" type="#_x0000_t75" style="height:37.5pt;width:174pt;" o:ole="t" filled="f" o:preferrelative="t" stroked="f" coordsize="21600,21600">
                  <v:path/>
                  <v:fill on="f" focussize="0,0"/>
                  <v:stroke on="f"/>
                  <v:imagedata r:id="rId14" o:title=""/>
                  <o:lock v:ext="edit" aspectratio="t"/>
                  <w10:wrap type="none"/>
                  <w10:anchorlock/>
                </v:shape>
                <o:OLEObject Type="Embed" ProgID="Equation.3" ShapeID="_x0000_i1025" DrawAspect="Content" ObjectID="_1468075725" r:id="rId13">
                  <o:LockedField>false</o:LockedField>
                </o:OLEObject>
              </w:object>
            </w:r>
          </w:p>
          <w:p w14:paraId="53F9ABAE">
            <w:pPr>
              <w:keepNext w:val="0"/>
              <w:keepLines w:val="0"/>
              <w:pageBreakBefore w:val="0"/>
              <w:widowControl w:val="0"/>
              <w:kinsoku/>
              <w:wordWrap/>
              <w:overflowPunct/>
              <w:topLinePunct w:val="0"/>
              <w:autoSpaceDE w:val="0"/>
              <w:autoSpaceDN w:val="0"/>
              <w:bidi w:val="0"/>
              <w:adjustRightInd w:val="0"/>
              <w:snapToGrid/>
              <w:spacing w:line="360" w:lineRule="auto"/>
              <w:ind w:firstLine="1200" w:firstLineChars="500"/>
              <w:jc w:val="left"/>
              <w:textAlignment w:val="auto"/>
              <w:rPr>
                <w:rFonts w:ascii="Times New Roman" w:hAnsi="Times New Roman"/>
                <w:bCs/>
                <w:color w:val="auto"/>
                <w:sz w:val="24"/>
              </w:rPr>
            </w:pPr>
            <w:r>
              <w:rPr>
                <w:rFonts w:ascii="Times New Roman" w:hAnsi="Times New Roman"/>
                <w:bCs/>
                <w:color w:val="auto"/>
                <w:sz w:val="24"/>
              </w:rPr>
              <w:t>式中：L</w:t>
            </w:r>
            <w:r>
              <w:rPr>
                <w:rFonts w:ascii="Times New Roman" w:hAnsi="Times New Roman"/>
                <w:bCs/>
                <w:color w:val="auto"/>
                <w:sz w:val="24"/>
                <w:vertAlign w:val="subscript"/>
              </w:rPr>
              <w:t>oct</w:t>
            </w:r>
            <w:r>
              <w:rPr>
                <w:rFonts w:ascii="Times New Roman" w:hAnsi="Times New Roman"/>
                <w:bCs/>
                <w:color w:val="auto"/>
                <w:sz w:val="24"/>
              </w:rPr>
              <w:t>(r)——点声源在预测点产生的倍频带声压级</w:t>
            </w:r>
            <w:r>
              <w:rPr>
                <w:rFonts w:hint="eastAsia"/>
                <w:bCs/>
                <w:color w:val="auto"/>
                <w:sz w:val="24"/>
                <w:lang w:eastAsia="zh-CN"/>
              </w:rPr>
              <w:t>，</w:t>
            </w:r>
            <w:r>
              <w:rPr>
                <w:rFonts w:ascii="Times New Roman" w:hAnsi="Times New Roman"/>
                <w:bCs/>
                <w:color w:val="auto"/>
                <w:sz w:val="24"/>
              </w:rPr>
              <w:t xml:space="preserve"> dB(A)；</w:t>
            </w:r>
          </w:p>
          <w:p w14:paraId="5F30F728">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ascii="Times New Roman" w:hAnsi="Times New Roman"/>
                <w:bCs/>
                <w:color w:val="auto"/>
                <w:sz w:val="24"/>
              </w:rPr>
              <w:t>L</w:t>
            </w:r>
            <w:r>
              <w:rPr>
                <w:rFonts w:ascii="Times New Roman" w:hAnsi="Times New Roman"/>
                <w:bCs/>
                <w:color w:val="auto"/>
                <w:sz w:val="24"/>
                <w:vertAlign w:val="subscript"/>
              </w:rPr>
              <w:t>oct</w:t>
            </w:r>
            <w:r>
              <w:rPr>
                <w:rFonts w:ascii="Times New Roman" w:hAnsi="Times New Roman"/>
                <w:bCs/>
                <w:color w:val="auto"/>
                <w:sz w:val="24"/>
              </w:rPr>
              <w:t>(r0)——参考位置r0处的倍频带声压级</w:t>
            </w:r>
            <w:r>
              <w:rPr>
                <w:rFonts w:hint="eastAsia"/>
                <w:bCs/>
                <w:color w:val="auto"/>
                <w:sz w:val="24"/>
                <w:lang w:eastAsia="zh-CN"/>
              </w:rPr>
              <w:t>，</w:t>
            </w:r>
            <w:r>
              <w:rPr>
                <w:rFonts w:ascii="Times New Roman" w:hAnsi="Times New Roman"/>
                <w:bCs/>
                <w:color w:val="auto"/>
                <w:sz w:val="24"/>
              </w:rPr>
              <w:t xml:space="preserve"> dB(A)；</w:t>
            </w:r>
          </w:p>
          <w:p w14:paraId="55DB91DD">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ascii="Times New Roman" w:hAnsi="Times New Roman"/>
                <w:bCs/>
                <w:color w:val="auto"/>
                <w:sz w:val="24"/>
              </w:rPr>
              <w:t>r——预测点距声源的距离，m；</w:t>
            </w:r>
          </w:p>
          <w:p w14:paraId="7A7D7F72">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ascii="Times New Roman" w:hAnsi="Times New Roman"/>
                <w:bCs/>
                <w:color w:val="auto"/>
                <w:sz w:val="24"/>
              </w:rPr>
              <w:t>r0——参考位置距声源的距离，m；</w:t>
            </w:r>
          </w:p>
          <w:p w14:paraId="2FF3B059">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ascii="Times New Roman" w:hAnsi="Times New Roman"/>
                <w:bCs/>
                <w:color w:val="auto"/>
                <w:sz w:val="24"/>
              </w:rPr>
              <w:t>ΔL</w:t>
            </w:r>
            <w:r>
              <w:rPr>
                <w:rFonts w:ascii="Times New Roman" w:hAnsi="Times New Roman"/>
                <w:bCs/>
                <w:color w:val="auto"/>
                <w:sz w:val="24"/>
                <w:vertAlign w:val="subscript"/>
              </w:rPr>
              <w:t>oct</w:t>
            </w:r>
            <w:r>
              <w:rPr>
                <w:rFonts w:ascii="Times New Roman" w:hAnsi="Times New Roman"/>
                <w:bCs/>
                <w:color w:val="auto"/>
                <w:sz w:val="24"/>
              </w:rPr>
              <w:t>——各种因素引起的衰减量（包括声屏障、遮挡物、空气吸收、地面效应等引起的衰减量）, dB(A)。</w:t>
            </w:r>
          </w:p>
          <w:p w14:paraId="5D472501">
            <w:pPr>
              <w:autoSpaceDE w:val="0"/>
              <w:autoSpaceDN w:val="0"/>
              <w:adjustRightInd w:val="0"/>
              <w:spacing w:line="360" w:lineRule="auto"/>
              <w:ind w:firstLine="480" w:firstLineChars="200"/>
              <w:jc w:val="left"/>
              <w:rPr>
                <w:rFonts w:ascii="Times New Roman" w:hAnsi="Times New Roman"/>
                <w:bCs/>
                <w:color w:val="auto"/>
                <w:sz w:val="24"/>
              </w:rPr>
            </w:pPr>
            <w:r>
              <w:rPr>
                <w:rFonts w:hint="eastAsia" w:ascii="宋体" w:hAnsi="宋体" w:cs="宋体"/>
                <w:bCs/>
                <w:color w:val="auto"/>
                <w:sz w:val="24"/>
              </w:rPr>
              <w:t>②</w:t>
            </w:r>
            <w:r>
              <w:rPr>
                <w:rFonts w:ascii="Times New Roman" w:hAnsi="Times New Roman"/>
                <w:bCs/>
                <w:color w:val="auto"/>
                <w:sz w:val="24"/>
              </w:rPr>
              <w:t>预测点总影响值计算模式：</w:t>
            </w:r>
          </w:p>
          <w:p w14:paraId="047490B7">
            <w:pPr>
              <w:autoSpaceDE w:val="0"/>
              <w:autoSpaceDN w:val="0"/>
              <w:adjustRightInd w:val="0"/>
              <w:spacing w:line="360" w:lineRule="auto"/>
              <w:jc w:val="center"/>
              <w:rPr>
                <w:rFonts w:ascii="Times New Roman" w:hAnsi="Times New Roman"/>
                <w:bCs/>
                <w:color w:val="auto"/>
                <w:sz w:val="24"/>
              </w:rPr>
            </w:pPr>
            <w:r>
              <w:rPr>
                <w:rFonts w:ascii="Times New Roman" w:hAnsi="Times New Roman"/>
                <w:bCs/>
                <w:color w:val="auto"/>
                <w:sz w:val="24"/>
              </w:rPr>
              <w:drawing>
                <wp:inline distT="0" distB="0" distL="114300" distR="114300">
                  <wp:extent cx="1181100" cy="447675"/>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tretch>
                            <a:fillRect/>
                          </a:stretch>
                        </pic:blipFill>
                        <pic:spPr>
                          <a:xfrm>
                            <a:off x="0" y="0"/>
                            <a:ext cx="1181100" cy="447675"/>
                          </a:xfrm>
                          <a:prstGeom prst="rect">
                            <a:avLst/>
                          </a:prstGeom>
                          <a:noFill/>
                          <a:ln>
                            <a:noFill/>
                          </a:ln>
                        </pic:spPr>
                      </pic:pic>
                    </a:graphicData>
                  </a:graphic>
                </wp:inline>
              </w:drawing>
            </w:r>
          </w:p>
          <w:p w14:paraId="74CC970F">
            <w:pPr>
              <w:keepNext w:val="0"/>
              <w:keepLines w:val="0"/>
              <w:pageBreakBefore w:val="0"/>
              <w:widowControl w:val="0"/>
              <w:kinsoku/>
              <w:wordWrap/>
              <w:overflowPunct/>
              <w:topLinePunct w:val="0"/>
              <w:bidi w:val="0"/>
              <w:snapToGrid/>
              <w:spacing w:line="360" w:lineRule="auto"/>
              <w:ind w:firstLine="1200" w:firstLineChars="500"/>
              <w:textAlignment w:val="auto"/>
              <w:rPr>
                <w:color w:val="auto"/>
                <w:sz w:val="24"/>
              </w:rPr>
            </w:pPr>
            <w:r>
              <w:rPr>
                <w:color w:val="auto"/>
                <w:sz w:val="24"/>
                <w:lang w:bidi="ar"/>
              </w:rPr>
              <w:t>式中：</w:t>
            </w:r>
            <w:r>
              <w:rPr>
                <w:rFonts w:hint="eastAsia"/>
                <w:color w:val="auto"/>
                <w:sz w:val="24"/>
                <w:lang w:val="en-US" w:eastAsia="zh-CN" w:bidi="ar"/>
              </w:rPr>
              <w:t>L</w:t>
            </w:r>
            <w:r>
              <w:rPr>
                <w:rFonts w:hint="eastAsia"/>
                <w:color w:val="auto"/>
                <w:sz w:val="24"/>
                <w:vertAlign w:val="subscript"/>
                <w:lang w:val="en-US" w:eastAsia="zh-CN" w:bidi="ar"/>
              </w:rPr>
              <w:t>总</w:t>
            </w:r>
            <w:r>
              <w:rPr>
                <w:color w:val="auto"/>
                <w:sz w:val="24"/>
                <w:lang w:bidi="ar"/>
              </w:rPr>
              <w:t>——几个声压级相加后的总声压级，dB(A)；</w:t>
            </w:r>
          </w:p>
          <w:p w14:paraId="1678AF03">
            <w:pPr>
              <w:keepNext w:val="0"/>
              <w:keepLines w:val="0"/>
              <w:pageBreakBefore w:val="0"/>
              <w:widowControl w:val="0"/>
              <w:kinsoku/>
              <w:wordWrap/>
              <w:overflowPunct/>
              <w:topLinePunct w:val="0"/>
              <w:autoSpaceDE w:val="0"/>
              <w:autoSpaceDN w:val="0"/>
              <w:bidi w:val="0"/>
              <w:adjustRightInd w:val="0"/>
              <w:snapToGrid/>
              <w:spacing w:line="360" w:lineRule="auto"/>
              <w:ind w:firstLine="1920" w:firstLineChars="800"/>
              <w:jc w:val="left"/>
              <w:textAlignment w:val="auto"/>
              <w:rPr>
                <w:rFonts w:ascii="Times New Roman" w:hAnsi="Times New Roman"/>
                <w:bCs/>
                <w:color w:val="auto"/>
                <w:sz w:val="24"/>
              </w:rPr>
            </w:pPr>
            <w:r>
              <w:rPr>
                <w:rFonts w:hint="eastAsia"/>
                <w:bCs/>
                <w:color w:val="auto"/>
                <w:sz w:val="24"/>
                <w:lang w:val="en-US" w:eastAsia="zh-CN"/>
              </w:rPr>
              <w:t>L</w:t>
            </w:r>
            <w:r>
              <w:rPr>
                <w:rFonts w:hint="eastAsia"/>
                <w:bCs/>
                <w:color w:val="auto"/>
                <w:sz w:val="24"/>
                <w:vertAlign w:val="subscript"/>
                <w:lang w:val="en-US" w:eastAsia="zh-CN"/>
              </w:rPr>
              <w:t>i</w:t>
            </w:r>
            <w:r>
              <w:rPr>
                <w:rFonts w:ascii="Times New Roman" w:hAnsi="Times New Roman"/>
                <w:bCs/>
                <w:color w:val="auto"/>
                <w:sz w:val="24"/>
              </w:rPr>
              <w:t>——某一个声压级，dB(A)。</w:t>
            </w:r>
          </w:p>
          <w:p w14:paraId="69B108A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Times New Roman" w:hAnsi="Times New Roman"/>
                <w:bCs/>
                <w:color w:val="auto"/>
                <w:sz w:val="24"/>
              </w:rPr>
            </w:pPr>
            <w:r>
              <w:rPr>
                <w:rFonts w:ascii="Times New Roman" w:hAnsi="Times New Roman"/>
                <w:bCs/>
                <w:color w:val="auto"/>
                <w:sz w:val="24"/>
              </w:rPr>
              <w:t>其声波在传播过程中将通过所在建筑物的屏蔽衰减，并经过距离衰减、声屏障衰减、空气吸收衰减达到厂界。</w:t>
            </w:r>
          </w:p>
          <w:p w14:paraId="7E1656D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bCs/>
                <w:color w:val="auto"/>
                <w:sz w:val="24"/>
                <w:lang w:val="en-US" w:eastAsia="zh-CN"/>
              </w:rPr>
            </w:pPr>
            <w:r>
              <w:rPr>
                <w:rFonts w:ascii="Times New Roman" w:hAnsi="Times New Roman"/>
                <w:bCs/>
                <w:color w:val="auto"/>
                <w:sz w:val="24"/>
                <w:highlight w:val="none"/>
              </w:rPr>
              <w:t>利用以上预测公式，使噪声源通过等效变换成若干等效声源，然后计算出与噪声源不同距离处的理论噪声值，得出噪声设备运行时对厂界噪声环境的影响状况，</w:t>
            </w:r>
            <w:r>
              <w:rPr>
                <w:rFonts w:ascii="Times New Roman" w:hAnsi="Times New Roman"/>
                <w:bCs/>
                <w:color w:val="auto"/>
                <w:sz w:val="24"/>
              </w:rPr>
              <w:t>本工程主要噪声源集中在室</w:t>
            </w:r>
            <w:r>
              <w:rPr>
                <w:rFonts w:hint="eastAsia"/>
                <w:bCs/>
                <w:color w:val="auto"/>
                <w:sz w:val="24"/>
                <w:lang w:val="en-US" w:eastAsia="zh-CN"/>
              </w:rPr>
              <w:t>外</w:t>
            </w:r>
            <w:r>
              <w:rPr>
                <w:rFonts w:ascii="Times New Roman" w:hAnsi="Times New Roman"/>
                <w:bCs/>
                <w:color w:val="auto"/>
                <w:sz w:val="24"/>
              </w:rPr>
              <w:t>，</w:t>
            </w:r>
            <w:r>
              <w:rPr>
                <w:rFonts w:hint="default" w:ascii="Times New Roman" w:hAnsi="Times New Roman" w:eastAsia="宋体" w:cs="Times New Roman"/>
                <w:b w:val="0"/>
                <w:bCs w:val="0"/>
                <w:sz w:val="24"/>
                <w:szCs w:val="24"/>
                <w:highlight w:val="none"/>
                <w:lang w:val="en-US" w:eastAsia="zh-CN"/>
              </w:rPr>
              <w:t>根据上述预测模式及参数的选择，对项目噪音源对各预测点的噪音贡献值进行计算</w:t>
            </w:r>
            <w:r>
              <w:rPr>
                <w:rFonts w:ascii="Times New Roman" w:hAnsi="Times New Roman"/>
                <w:bCs/>
                <w:color w:val="auto"/>
                <w:sz w:val="24"/>
              </w:rPr>
              <w:t>，计算结果见表</w:t>
            </w:r>
            <w:r>
              <w:rPr>
                <w:rFonts w:hint="eastAsia"/>
                <w:bCs/>
                <w:color w:val="auto"/>
                <w:sz w:val="24"/>
                <w:lang w:val="en-US" w:eastAsia="zh-CN"/>
              </w:rPr>
              <w:t>4-11。</w:t>
            </w:r>
          </w:p>
          <w:p w14:paraId="301531B3">
            <w:pPr>
              <w:widowControl/>
              <w:spacing w:line="240" w:lineRule="auto"/>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color w:val="auto"/>
              </w:rPr>
              <w:t>表4-</w:t>
            </w:r>
            <w:r>
              <w:rPr>
                <w:rFonts w:hint="eastAsia" w:cs="Times New Roman"/>
                <w:b/>
                <w:bCs/>
                <w:color w:val="auto"/>
                <w:lang w:val="en-US" w:eastAsia="zh-CN"/>
              </w:rPr>
              <w:t>11</w:t>
            </w:r>
            <w:r>
              <w:rPr>
                <w:rFonts w:hint="eastAsia" w:ascii="Times New Roman" w:hAnsi="Times New Roman" w:eastAsia="宋体" w:cs="Times New Roman"/>
                <w:color w:val="auto"/>
              </w:rPr>
              <w:t xml:space="preserve">    </w:t>
            </w:r>
            <w:r>
              <w:rPr>
                <w:rFonts w:hint="default" w:ascii="Times New Roman" w:hAnsi="Times New Roman" w:eastAsia="宋体" w:cs="Times New Roman"/>
                <w:b/>
                <w:bCs/>
                <w:sz w:val="21"/>
                <w:szCs w:val="21"/>
                <w:highlight w:val="none"/>
                <w:lang w:val="en-US" w:eastAsia="zh-CN"/>
              </w:rPr>
              <w:t>噪声预测厂界</w:t>
            </w:r>
            <w:r>
              <w:rPr>
                <w:rFonts w:hint="eastAsia" w:ascii="Times New Roman" w:hAnsi="Times New Roman" w:eastAsia="宋体" w:cs="Times New Roman"/>
                <w:b/>
                <w:bCs/>
                <w:sz w:val="21"/>
                <w:szCs w:val="21"/>
                <w:highlight w:val="none"/>
                <w:lang w:val="en-US" w:eastAsia="zh-CN"/>
              </w:rPr>
              <w:t>贡献</w:t>
            </w:r>
            <w:r>
              <w:rPr>
                <w:rFonts w:hint="default" w:ascii="Times New Roman" w:hAnsi="Times New Roman" w:eastAsia="宋体" w:cs="Times New Roman"/>
                <w:b/>
                <w:bCs/>
                <w:sz w:val="21"/>
                <w:szCs w:val="21"/>
                <w:highlight w:val="none"/>
                <w:lang w:val="en-US" w:eastAsia="zh-CN"/>
              </w:rPr>
              <w:t>值结果单位：Leq［dB（A）］</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7"/>
              <w:gridCol w:w="1588"/>
              <w:gridCol w:w="1588"/>
              <w:gridCol w:w="1588"/>
            </w:tblGrid>
            <w:tr w14:paraId="7634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center"/>
                </w:tcPr>
                <w:p w14:paraId="6EE53D16">
                  <w:pPr>
                    <w:widowControl/>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预测方位</w:t>
                  </w:r>
                </w:p>
              </w:tc>
              <w:tc>
                <w:tcPr>
                  <w:tcW w:w="1000" w:type="pct"/>
                  <w:noWrap w:val="0"/>
                  <w:vAlign w:val="center"/>
                </w:tcPr>
                <w:p w14:paraId="612862CB">
                  <w:pPr>
                    <w:widowControl/>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预测时段</w:t>
                  </w:r>
                </w:p>
              </w:tc>
              <w:tc>
                <w:tcPr>
                  <w:tcW w:w="1000" w:type="pct"/>
                  <w:noWrap w:val="0"/>
                  <w:vAlign w:val="center"/>
                </w:tcPr>
                <w:p w14:paraId="57F61B77">
                  <w:pPr>
                    <w:widowControl/>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贡献值</w:t>
                  </w:r>
                </w:p>
              </w:tc>
              <w:tc>
                <w:tcPr>
                  <w:tcW w:w="1000" w:type="pct"/>
                  <w:noWrap w:val="0"/>
                  <w:vAlign w:val="center"/>
                </w:tcPr>
                <w:p w14:paraId="1BE70C16">
                  <w:pPr>
                    <w:widowControl/>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标准限值</w:t>
                  </w:r>
                </w:p>
              </w:tc>
              <w:tc>
                <w:tcPr>
                  <w:tcW w:w="1000" w:type="pct"/>
                  <w:noWrap w:val="0"/>
                  <w:vAlign w:val="center"/>
                </w:tcPr>
                <w:p w14:paraId="0678D1C9">
                  <w:pPr>
                    <w:widowControl/>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达标情况</w:t>
                  </w:r>
                </w:p>
              </w:tc>
            </w:tr>
            <w:tr w14:paraId="2E04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99" w:type="pct"/>
                  <w:vMerge w:val="restart"/>
                  <w:noWrap w:val="0"/>
                  <w:vAlign w:val="center"/>
                </w:tcPr>
                <w:p w14:paraId="381DA611">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项目东侧厂界</w:t>
                  </w:r>
                </w:p>
              </w:tc>
              <w:tc>
                <w:tcPr>
                  <w:tcW w:w="1000" w:type="pct"/>
                  <w:noWrap w:val="0"/>
                  <w:vAlign w:val="center"/>
                </w:tcPr>
                <w:p w14:paraId="713CF60B">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昼间</w:t>
                  </w:r>
                </w:p>
              </w:tc>
              <w:tc>
                <w:tcPr>
                  <w:tcW w:w="1000" w:type="pct"/>
                  <w:noWrap w:val="0"/>
                  <w:vAlign w:val="center"/>
                </w:tcPr>
                <w:p w14:paraId="5ECFBB2B">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16</w:t>
                  </w:r>
                </w:p>
              </w:tc>
              <w:tc>
                <w:tcPr>
                  <w:tcW w:w="1000" w:type="pct"/>
                  <w:noWrap w:val="0"/>
                  <w:vAlign w:val="center"/>
                </w:tcPr>
                <w:p w14:paraId="2AD64570">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60</w:t>
                  </w:r>
                </w:p>
              </w:tc>
              <w:tc>
                <w:tcPr>
                  <w:tcW w:w="1000" w:type="pct"/>
                  <w:noWrap w:val="0"/>
                  <w:vAlign w:val="center"/>
                </w:tcPr>
                <w:p w14:paraId="5513CEEF">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5991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noWrap w:val="0"/>
                  <w:vAlign w:val="center"/>
                </w:tcPr>
                <w:p w14:paraId="68FC2F1E">
                  <w:pPr>
                    <w:widowControl/>
                    <w:spacing w:line="240" w:lineRule="auto"/>
                    <w:jc w:val="center"/>
                    <w:rPr>
                      <w:rFonts w:hint="default" w:ascii="Times New Roman" w:hAnsi="Times New Roman" w:eastAsia="宋体" w:cs="Times New Roman"/>
                      <w:sz w:val="21"/>
                      <w:szCs w:val="21"/>
                      <w:highlight w:val="none"/>
                      <w:lang w:val="en-US" w:eastAsia="zh-CN"/>
                    </w:rPr>
                  </w:pPr>
                </w:p>
              </w:tc>
              <w:tc>
                <w:tcPr>
                  <w:tcW w:w="1000" w:type="pct"/>
                  <w:noWrap w:val="0"/>
                  <w:vAlign w:val="center"/>
                </w:tcPr>
                <w:p w14:paraId="325672C0">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夜间</w:t>
                  </w:r>
                </w:p>
              </w:tc>
              <w:tc>
                <w:tcPr>
                  <w:tcW w:w="1000" w:type="pct"/>
                  <w:noWrap w:val="0"/>
                  <w:vAlign w:val="center"/>
                </w:tcPr>
                <w:p w14:paraId="666ACEDD">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18</w:t>
                  </w:r>
                </w:p>
              </w:tc>
              <w:tc>
                <w:tcPr>
                  <w:tcW w:w="1000" w:type="pct"/>
                  <w:noWrap w:val="0"/>
                  <w:vAlign w:val="center"/>
                </w:tcPr>
                <w:p w14:paraId="17949349">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w:t>
                  </w:r>
                </w:p>
              </w:tc>
              <w:tc>
                <w:tcPr>
                  <w:tcW w:w="1000" w:type="pct"/>
                  <w:noWrap w:val="0"/>
                  <w:vAlign w:val="center"/>
                </w:tcPr>
                <w:p w14:paraId="1EE454D4">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7C92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noWrap w:val="0"/>
                  <w:vAlign w:val="center"/>
                </w:tcPr>
                <w:p w14:paraId="4DE320BD">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w:t>
                  </w:r>
                  <w:r>
                    <w:rPr>
                      <w:rFonts w:hint="eastAsia" w:ascii="Times New Roman" w:hAnsi="Times New Roman" w:eastAsia="宋体" w:cs="Times New Roman"/>
                      <w:sz w:val="21"/>
                      <w:szCs w:val="21"/>
                      <w:highlight w:val="none"/>
                      <w:lang w:val="en-US" w:eastAsia="zh-CN"/>
                    </w:rPr>
                    <w:t>南</w:t>
                  </w:r>
                  <w:r>
                    <w:rPr>
                      <w:rFonts w:hint="default" w:ascii="Times New Roman" w:hAnsi="Times New Roman" w:eastAsia="宋体" w:cs="Times New Roman"/>
                      <w:sz w:val="21"/>
                      <w:szCs w:val="21"/>
                      <w:highlight w:val="none"/>
                      <w:lang w:val="en-US" w:eastAsia="zh-CN"/>
                    </w:rPr>
                    <w:t>侧厂界</w:t>
                  </w:r>
                </w:p>
              </w:tc>
              <w:tc>
                <w:tcPr>
                  <w:tcW w:w="1000" w:type="pct"/>
                  <w:noWrap w:val="0"/>
                  <w:vAlign w:val="center"/>
                </w:tcPr>
                <w:p w14:paraId="44E1E237">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昼间</w:t>
                  </w:r>
                </w:p>
              </w:tc>
              <w:tc>
                <w:tcPr>
                  <w:tcW w:w="1000" w:type="pct"/>
                  <w:noWrap w:val="0"/>
                  <w:vAlign w:val="center"/>
                </w:tcPr>
                <w:p w14:paraId="78B812C6">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17</w:t>
                  </w:r>
                </w:p>
              </w:tc>
              <w:tc>
                <w:tcPr>
                  <w:tcW w:w="1000" w:type="pct"/>
                  <w:noWrap w:val="0"/>
                  <w:vAlign w:val="center"/>
                </w:tcPr>
                <w:p w14:paraId="059F52E7">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60</w:t>
                  </w:r>
                </w:p>
              </w:tc>
              <w:tc>
                <w:tcPr>
                  <w:tcW w:w="1000" w:type="pct"/>
                  <w:noWrap w:val="0"/>
                  <w:vAlign w:val="center"/>
                </w:tcPr>
                <w:p w14:paraId="4D2D83D4">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47AA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noWrap w:val="0"/>
                  <w:vAlign w:val="center"/>
                </w:tcPr>
                <w:p w14:paraId="0467C628">
                  <w:pPr>
                    <w:widowControl/>
                    <w:spacing w:line="240" w:lineRule="auto"/>
                    <w:jc w:val="center"/>
                    <w:rPr>
                      <w:rFonts w:hint="default" w:ascii="Times New Roman" w:hAnsi="Times New Roman" w:eastAsia="宋体" w:cs="Times New Roman"/>
                      <w:sz w:val="21"/>
                      <w:szCs w:val="21"/>
                      <w:highlight w:val="none"/>
                      <w:lang w:val="en-US" w:eastAsia="zh-CN"/>
                    </w:rPr>
                  </w:pPr>
                </w:p>
              </w:tc>
              <w:tc>
                <w:tcPr>
                  <w:tcW w:w="1000" w:type="pct"/>
                  <w:noWrap w:val="0"/>
                  <w:vAlign w:val="center"/>
                </w:tcPr>
                <w:p w14:paraId="632BA146">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夜间</w:t>
                  </w:r>
                </w:p>
              </w:tc>
              <w:tc>
                <w:tcPr>
                  <w:tcW w:w="1000" w:type="pct"/>
                  <w:noWrap w:val="0"/>
                  <w:vAlign w:val="center"/>
                </w:tcPr>
                <w:p w14:paraId="6530577C">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16</w:t>
                  </w:r>
                </w:p>
              </w:tc>
              <w:tc>
                <w:tcPr>
                  <w:tcW w:w="1000" w:type="pct"/>
                  <w:noWrap w:val="0"/>
                  <w:vAlign w:val="center"/>
                </w:tcPr>
                <w:p w14:paraId="3B977666">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w:t>
                  </w:r>
                </w:p>
              </w:tc>
              <w:tc>
                <w:tcPr>
                  <w:tcW w:w="1000" w:type="pct"/>
                  <w:noWrap w:val="0"/>
                  <w:vAlign w:val="center"/>
                </w:tcPr>
                <w:p w14:paraId="2F4822F0">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047B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noWrap w:val="0"/>
                  <w:vAlign w:val="center"/>
                </w:tcPr>
                <w:p w14:paraId="730BE725">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w:t>
                  </w:r>
                  <w:r>
                    <w:rPr>
                      <w:rFonts w:hint="eastAsia" w:ascii="Times New Roman" w:hAnsi="Times New Roman" w:eastAsia="宋体" w:cs="Times New Roman"/>
                      <w:sz w:val="21"/>
                      <w:szCs w:val="21"/>
                      <w:highlight w:val="none"/>
                      <w:lang w:val="en-US" w:eastAsia="zh-CN"/>
                    </w:rPr>
                    <w:t>西</w:t>
                  </w:r>
                  <w:r>
                    <w:rPr>
                      <w:rFonts w:hint="default" w:ascii="Times New Roman" w:hAnsi="Times New Roman" w:eastAsia="宋体" w:cs="Times New Roman"/>
                      <w:sz w:val="21"/>
                      <w:szCs w:val="21"/>
                      <w:highlight w:val="none"/>
                      <w:lang w:val="en-US" w:eastAsia="zh-CN"/>
                    </w:rPr>
                    <w:t>侧厂界</w:t>
                  </w:r>
                </w:p>
              </w:tc>
              <w:tc>
                <w:tcPr>
                  <w:tcW w:w="1000" w:type="pct"/>
                  <w:noWrap w:val="0"/>
                  <w:vAlign w:val="center"/>
                </w:tcPr>
                <w:p w14:paraId="3E4D5246">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昼间</w:t>
                  </w:r>
                </w:p>
              </w:tc>
              <w:tc>
                <w:tcPr>
                  <w:tcW w:w="1000" w:type="pct"/>
                  <w:noWrap w:val="0"/>
                  <w:vAlign w:val="center"/>
                </w:tcPr>
                <w:p w14:paraId="056A8077">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17</w:t>
                  </w:r>
                </w:p>
              </w:tc>
              <w:tc>
                <w:tcPr>
                  <w:tcW w:w="1000" w:type="pct"/>
                  <w:noWrap w:val="0"/>
                  <w:vAlign w:val="center"/>
                </w:tcPr>
                <w:p w14:paraId="287B4EF8">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60</w:t>
                  </w:r>
                </w:p>
              </w:tc>
              <w:tc>
                <w:tcPr>
                  <w:tcW w:w="1000" w:type="pct"/>
                  <w:noWrap w:val="0"/>
                  <w:vAlign w:val="center"/>
                </w:tcPr>
                <w:p w14:paraId="3B4A1207">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7BED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999" w:type="pct"/>
                  <w:vMerge w:val="continue"/>
                  <w:noWrap w:val="0"/>
                  <w:vAlign w:val="center"/>
                </w:tcPr>
                <w:p w14:paraId="3AD85AAD">
                  <w:pPr>
                    <w:widowControl/>
                    <w:spacing w:line="240" w:lineRule="auto"/>
                    <w:jc w:val="center"/>
                    <w:rPr>
                      <w:rFonts w:hint="default" w:ascii="Times New Roman" w:hAnsi="Times New Roman" w:eastAsia="宋体" w:cs="Times New Roman"/>
                      <w:sz w:val="21"/>
                      <w:szCs w:val="21"/>
                      <w:highlight w:val="none"/>
                      <w:lang w:val="en-US" w:eastAsia="zh-CN"/>
                    </w:rPr>
                  </w:pPr>
                </w:p>
              </w:tc>
              <w:tc>
                <w:tcPr>
                  <w:tcW w:w="1000" w:type="pct"/>
                  <w:noWrap w:val="0"/>
                  <w:vAlign w:val="center"/>
                </w:tcPr>
                <w:p w14:paraId="4DA05CBF">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夜间</w:t>
                  </w:r>
                </w:p>
              </w:tc>
              <w:tc>
                <w:tcPr>
                  <w:tcW w:w="1000" w:type="pct"/>
                  <w:noWrap w:val="0"/>
                  <w:vAlign w:val="center"/>
                </w:tcPr>
                <w:p w14:paraId="36EEB427">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15</w:t>
                  </w:r>
                </w:p>
              </w:tc>
              <w:tc>
                <w:tcPr>
                  <w:tcW w:w="1000" w:type="pct"/>
                  <w:noWrap w:val="0"/>
                  <w:vAlign w:val="center"/>
                </w:tcPr>
                <w:p w14:paraId="0968D445">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w:t>
                  </w:r>
                </w:p>
              </w:tc>
              <w:tc>
                <w:tcPr>
                  <w:tcW w:w="1000" w:type="pct"/>
                  <w:noWrap w:val="0"/>
                  <w:vAlign w:val="center"/>
                </w:tcPr>
                <w:p w14:paraId="2C344799">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7EB8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99" w:type="pct"/>
                  <w:vMerge w:val="restart"/>
                  <w:noWrap w:val="0"/>
                  <w:vAlign w:val="center"/>
                </w:tcPr>
                <w:p w14:paraId="6230717B">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w:t>
                  </w:r>
                  <w:r>
                    <w:rPr>
                      <w:rFonts w:hint="eastAsia" w:ascii="Times New Roman" w:hAnsi="Times New Roman" w:eastAsia="宋体" w:cs="Times New Roman"/>
                      <w:sz w:val="21"/>
                      <w:szCs w:val="21"/>
                      <w:highlight w:val="none"/>
                      <w:lang w:val="en-US" w:eastAsia="zh-CN"/>
                    </w:rPr>
                    <w:t>北</w:t>
                  </w:r>
                  <w:r>
                    <w:rPr>
                      <w:rFonts w:hint="default" w:ascii="Times New Roman" w:hAnsi="Times New Roman" w:eastAsia="宋体" w:cs="Times New Roman"/>
                      <w:sz w:val="21"/>
                      <w:szCs w:val="21"/>
                      <w:highlight w:val="none"/>
                      <w:lang w:val="en-US" w:eastAsia="zh-CN"/>
                    </w:rPr>
                    <w:t>侧厂界</w:t>
                  </w:r>
                </w:p>
              </w:tc>
              <w:tc>
                <w:tcPr>
                  <w:tcW w:w="1000" w:type="pct"/>
                  <w:noWrap w:val="0"/>
                  <w:vAlign w:val="center"/>
                </w:tcPr>
                <w:p w14:paraId="217EBD6B">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昼间</w:t>
                  </w:r>
                </w:p>
              </w:tc>
              <w:tc>
                <w:tcPr>
                  <w:tcW w:w="1000" w:type="pct"/>
                  <w:noWrap w:val="0"/>
                  <w:vAlign w:val="center"/>
                </w:tcPr>
                <w:p w14:paraId="1328A0CB">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17</w:t>
                  </w:r>
                </w:p>
              </w:tc>
              <w:tc>
                <w:tcPr>
                  <w:tcW w:w="1000" w:type="pct"/>
                  <w:noWrap w:val="0"/>
                  <w:vAlign w:val="center"/>
                </w:tcPr>
                <w:p w14:paraId="391379A3">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60</w:t>
                  </w:r>
                </w:p>
              </w:tc>
              <w:tc>
                <w:tcPr>
                  <w:tcW w:w="1000" w:type="pct"/>
                  <w:noWrap w:val="0"/>
                  <w:vAlign w:val="center"/>
                </w:tcPr>
                <w:p w14:paraId="2301BEB6">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14:paraId="5043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noWrap w:val="0"/>
                  <w:vAlign w:val="center"/>
                </w:tcPr>
                <w:p w14:paraId="13D40156">
                  <w:pPr>
                    <w:widowControl/>
                    <w:spacing w:line="240" w:lineRule="auto"/>
                    <w:jc w:val="center"/>
                    <w:rPr>
                      <w:rFonts w:hint="default" w:ascii="Times New Roman" w:hAnsi="Times New Roman" w:eastAsia="宋体" w:cs="Times New Roman"/>
                      <w:sz w:val="21"/>
                      <w:szCs w:val="21"/>
                      <w:highlight w:val="none"/>
                      <w:lang w:val="en-US" w:eastAsia="zh-CN"/>
                    </w:rPr>
                  </w:pPr>
                </w:p>
              </w:tc>
              <w:tc>
                <w:tcPr>
                  <w:tcW w:w="1000" w:type="pct"/>
                  <w:noWrap w:val="0"/>
                  <w:vAlign w:val="center"/>
                </w:tcPr>
                <w:p w14:paraId="34AD77DA">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夜间</w:t>
                  </w:r>
                </w:p>
              </w:tc>
              <w:tc>
                <w:tcPr>
                  <w:tcW w:w="1000" w:type="pct"/>
                  <w:noWrap w:val="0"/>
                  <w:vAlign w:val="center"/>
                </w:tcPr>
                <w:p w14:paraId="64775634">
                  <w:pPr>
                    <w:widowControl/>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16</w:t>
                  </w:r>
                </w:p>
              </w:tc>
              <w:tc>
                <w:tcPr>
                  <w:tcW w:w="1000" w:type="pct"/>
                  <w:noWrap w:val="0"/>
                  <w:vAlign w:val="center"/>
                </w:tcPr>
                <w:p w14:paraId="50541AE9">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50</w:t>
                  </w:r>
                </w:p>
              </w:tc>
              <w:tc>
                <w:tcPr>
                  <w:tcW w:w="1000" w:type="pct"/>
                  <w:noWrap w:val="0"/>
                  <w:vAlign w:val="center"/>
                </w:tcPr>
                <w:p w14:paraId="3CED7B2A">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bl>
          <w:p w14:paraId="0A92FEC2">
            <w:pPr>
              <w:adjustRightInd w:val="0"/>
              <w:snapToGrid w:val="0"/>
              <w:spacing w:line="360" w:lineRule="auto"/>
              <w:rPr>
                <w:rFonts w:ascii="Times New Roman" w:hAnsi="Times New Roman"/>
                <w:color w:val="auto"/>
                <w:sz w:val="24"/>
              </w:rPr>
            </w:pPr>
            <w:r>
              <w:rPr>
                <w:rFonts w:hint="eastAsia" w:ascii="Times New Roman" w:hAnsi="Times New Roman"/>
                <w:color w:val="auto"/>
                <w:szCs w:val="21"/>
              </w:rPr>
              <w:t>注：现有边界噪声值取现有项目厂界噪声监测最大值。</w:t>
            </w:r>
          </w:p>
          <w:p w14:paraId="0876DE8D">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bCs/>
                <w:color w:val="auto"/>
                <w:sz w:val="24"/>
                <w:highlight w:val="yellow"/>
              </w:rPr>
            </w:pPr>
            <w:r>
              <w:rPr>
                <w:rFonts w:hint="default" w:ascii="Times New Roman" w:hAnsi="Times New Roman" w:eastAsia="宋体" w:cs="Times New Roman"/>
                <w:sz w:val="24"/>
                <w:szCs w:val="24"/>
                <w:highlight w:val="none"/>
                <w:lang w:val="en-US" w:eastAsia="zh-CN"/>
              </w:rPr>
              <w:t>由上述预测结果可以看出，建设项目采取降噪措施后，</w:t>
            </w:r>
            <w:r>
              <w:rPr>
                <w:color w:val="auto"/>
                <w:sz w:val="24"/>
              </w:rPr>
              <w:t>厂界噪声符合《工业企业厂界环境噪声排放标准》</w:t>
            </w:r>
            <w:r>
              <w:rPr>
                <w:rFonts w:hint="eastAsia"/>
                <w:color w:val="auto"/>
                <w:sz w:val="24"/>
                <w:lang w:eastAsia="zh-CN"/>
              </w:rPr>
              <w:t>（</w:t>
            </w:r>
            <w:r>
              <w:rPr>
                <w:color w:val="auto"/>
                <w:sz w:val="24"/>
              </w:rPr>
              <w:t>G12348-2008</w:t>
            </w:r>
            <w:r>
              <w:rPr>
                <w:rFonts w:hint="eastAsia"/>
                <w:color w:val="auto"/>
                <w:sz w:val="24"/>
                <w:lang w:eastAsia="zh-CN"/>
              </w:rPr>
              <w:t>）</w:t>
            </w:r>
            <w:r>
              <w:rPr>
                <w:color w:val="auto"/>
                <w:sz w:val="24"/>
              </w:rPr>
              <w:t>中的</w:t>
            </w:r>
            <w:r>
              <w:rPr>
                <w:rFonts w:hint="eastAsia"/>
                <w:color w:val="auto"/>
                <w:sz w:val="24"/>
                <w:lang w:val="en-US" w:eastAsia="zh-CN"/>
              </w:rPr>
              <w:t>2</w:t>
            </w:r>
            <w:r>
              <w:rPr>
                <w:color w:val="auto"/>
                <w:sz w:val="24"/>
              </w:rPr>
              <w:t>类标准要求</w:t>
            </w:r>
            <w:r>
              <w:rPr>
                <w:color w:val="auto"/>
                <w:sz w:val="24"/>
                <w:highlight w:val="none"/>
              </w:rPr>
              <w:t>。</w:t>
            </w:r>
          </w:p>
          <w:p w14:paraId="6AE2FC54">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3.4</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预测结果</w:t>
            </w:r>
          </w:p>
          <w:p w14:paraId="00C8170E">
            <w:pPr>
              <w:pStyle w:val="8"/>
              <w:spacing w:before="0" w:after="0" w:line="360" w:lineRule="auto"/>
              <w:ind w:right="0" w:firstLine="480" w:firstLineChars="200"/>
              <w:rPr>
                <w:rFonts w:ascii="Times New Roman" w:hAnsi="Times New Roman" w:eastAsia="宋体" w:cs="Times New Roman"/>
                <w:color w:val="auto"/>
                <w:kern w:val="0"/>
                <w:sz w:val="24"/>
                <w:szCs w:val="24"/>
                <w:highlight w:val="none"/>
                <w:lang w:val="en-US" w:eastAsia="zh-CN" w:bidi="ar-SA"/>
              </w:rPr>
            </w:pPr>
            <w:r>
              <w:rPr>
                <w:rFonts w:ascii="Times New Roman" w:hAnsi="Times New Roman" w:eastAsia="宋体" w:cs="Times New Roman"/>
                <w:color w:val="auto"/>
                <w:kern w:val="0"/>
                <w:sz w:val="24"/>
                <w:szCs w:val="24"/>
                <w:highlight w:val="none"/>
                <w:lang w:val="en-US" w:eastAsia="zh-CN" w:bidi="ar-SA"/>
              </w:rPr>
              <w:t>预测评价结果表明：本项目建成后，若考虑生产车间的墙体</w:t>
            </w:r>
            <w:r>
              <w:rPr>
                <w:rFonts w:hint="eastAsia" w:ascii="Times New Roman" w:hAnsi="Times New Roman" w:eastAsia="宋体" w:cs="Times New Roman"/>
                <w:color w:val="auto"/>
                <w:kern w:val="0"/>
                <w:sz w:val="24"/>
                <w:szCs w:val="24"/>
                <w:highlight w:val="none"/>
                <w:lang w:val="en-US" w:eastAsia="zh-CN" w:bidi="ar-SA"/>
              </w:rPr>
              <w:t>及其他</w:t>
            </w:r>
            <w:r>
              <w:rPr>
                <w:rFonts w:ascii="Times New Roman" w:hAnsi="Times New Roman" w:eastAsia="宋体" w:cs="Times New Roman"/>
                <w:color w:val="auto"/>
                <w:kern w:val="0"/>
                <w:sz w:val="24"/>
                <w:szCs w:val="24"/>
                <w:highlight w:val="none"/>
                <w:lang w:val="en-US" w:eastAsia="zh-CN" w:bidi="ar-SA"/>
              </w:rPr>
              <w:t>控制措施等对声源削减作用，在正常生产的情况下，运营期间噪声能达到《工业企业厂界环境噪声排放标准》（GB12348-2008）</w:t>
            </w:r>
            <w:r>
              <w:rPr>
                <w:rFonts w:hint="eastAsia" w:ascii="Times New Roman" w:hAnsi="Times New Roman" w:eastAsia="宋体" w:cs="Times New Roman"/>
                <w:color w:val="auto"/>
                <w:kern w:val="0"/>
                <w:sz w:val="24"/>
                <w:szCs w:val="24"/>
                <w:highlight w:val="none"/>
                <w:lang w:val="en-US" w:eastAsia="zh-CN" w:bidi="ar-SA"/>
              </w:rPr>
              <w:t>中</w:t>
            </w:r>
            <w:r>
              <w:rPr>
                <w:rFonts w:hint="eastAsia" w:cs="Times New Roman"/>
                <w:color w:val="auto"/>
                <w:kern w:val="0"/>
                <w:sz w:val="24"/>
                <w:szCs w:val="24"/>
                <w:highlight w:val="none"/>
                <w:lang w:val="en-US" w:eastAsia="zh-CN" w:bidi="ar-SA"/>
              </w:rPr>
              <w:t>2</w:t>
            </w:r>
            <w:r>
              <w:rPr>
                <w:rFonts w:ascii="Times New Roman" w:hAnsi="Times New Roman" w:eastAsia="宋体" w:cs="Times New Roman"/>
                <w:color w:val="auto"/>
                <w:kern w:val="0"/>
                <w:sz w:val="24"/>
                <w:szCs w:val="24"/>
                <w:highlight w:val="none"/>
                <w:lang w:val="en-US" w:eastAsia="zh-CN" w:bidi="ar-SA"/>
              </w:rPr>
              <w:t>类标准</w:t>
            </w:r>
            <w:r>
              <w:rPr>
                <w:rFonts w:hint="eastAsia" w:ascii="Times New Roman" w:hAnsi="Times New Roman" w:eastAsia="宋体" w:cs="Times New Roman"/>
                <w:color w:val="auto"/>
                <w:kern w:val="0"/>
                <w:sz w:val="24"/>
                <w:szCs w:val="24"/>
                <w:highlight w:val="none"/>
                <w:lang w:val="en-US" w:eastAsia="zh-CN" w:bidi="ar-SA"/>
              </w:rPr>
              <w:t>。</w:t>
            </w:r>
            <w:r>
              <w:rPr>
                <w:rFonts w:ascii="Times New Roman" w:hAnsi="Times New Roman" w:eastAsia="宋体" w:cs="Times New Roman"/>
                <w:color w:val="auto"/>
                <w:kern w:val="0"/>
                <w:sz w:val="24"/>
                <w:szCs w:val="24"/>
                <w:highlight w:val="none"/>
                <w:lang w:val="en-US" w:eastAsia="zh-CN" w:bidi="ar-SA"/>
              </w:rPr>
              <w:t>因此，本项目对区域声环境质量影响较小。</w:t>
            </w:r>
          </w:p>
          <w:p w14:paraId="58B8D6BA">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3.5</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噪声监测计划</w:t>
            </w:r>
          </w:p>
          <w:p w14:paraId="170FB1CE">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根据《排污单位自行监测技术指南 总则》（HJ819-2017）本项目噪声环境监测</w:t>
            </w:r>
            <w:r>
              <w:rPr>
                <w:rFonts w:hint="eastAsia" w:ascii="Times New Roman" w:hAnsi="Times New Roman" w:eastAsia="宋体" w:cs="Times New Roman"/>
                <w:color w:val="auto"/>
                <w:kern w:val="0"/>
                <w:sz w:val="24"/>
                <w:szCs w:val="24"/>
                <w:lang w:val="en-US" w:eastAsia="zh-CN" w:bidi="ar-SA"/>
              </w:rPr>
              <w:t>计划</w:t>
            </w:r>
            <w:r>
              <w:rPr>
                <w:rFonts w:ascii="Times New Roman" w:hAnsi="Times New Roman" w:eastAsia="宋体" w:cs="Times New Roman"/>
                <w:color w:val="auto"/>
                <w:kern w:val="0"/>
                <w:sz w:val="24"/>
                <w:szCs w:val="24"/>
                <w:lang w:val="en-US" w:eastAsia="zh-CN" w:bidi="ar-SA"/>
              </w:rPr>
              <w:t>见下表</w:t>
            </w:r>
            <w:r>
              <w:rPr>
                <w:rFonts w:hint="eastAsia" w:ascii="Times New Roman" w:hAnsi="Times New Roman" w:eastAsia="宋体" w:cs="Times New Roman"/>
                <w:color w:val="auto"/>
                <w:kern w:val="0"/>
                <w:sz w:val="24"/>
                <w:szCs w:val="24"/>
                <w:lang w:val="en-US" w:eastAsia="zh-CN" w:bidi="ar-SA"/>
              </w:rPr>
              <w:t>4-</w:t>
            </w:r>
            <w:r>
              <w:rPr>
                <w:rFonts w:hint="eastAsia" w:cs="Times New Roman"/>
                <w:color w:val="auto"/>
                <w:kern w:val="0"/>
                <w:sz w:val="24"/>
                <w:szCs w:val="24"/>
                <w:lang w:val="en-US" w:eastAsia="zh-CN" w:bidi="ar-SA"/>
              </w:rPr>
              <w:t>12</w:t>
            </w:r>
            <w:r>
              <w:rPr>
                <w:rFonts w:ascii="Times New Roman" w:hAnsi="Times New Roman" w:eastAsia="宋体" w:cs="Times New Roman"/>
                <w:color w:val="auto"/>
                <w:kern w:val="0"/>
                <w:sz w:val="24"/>
                <w:szCs w:val="24"/>
                <w:lang w:val="en-US" w:eastAsia="zh-CN" w:bidi="ar-SA"/>
              </w:rPr>
              <w:t>。</w:t>
            </w:r>
          </w:p>
          <w:p w14:paraId="135330BB">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eastAsia" w:cs="Times New Roman"/>
                <w:color w:val="auto"/>
                <w:lang w:val="en-US" w:eastAsia="zh-CN"/>
              </w:rPr>
              <w:t>12</w:t>
            </w:r>
            <w:r>
              <w:rPr>
                <w:rFonts w:hint="eastAsia" w:ascii="Times New Roman" w:hAnsi="Times New Roman" w:eastAsia="宋体" w:cs="Times New Roman"/>
                <w:color w:val="auto"/>
              </w:rPr>
              <w:t xml:space="preserve">    噪声监测计划一览表</w:t>
            </w:r>
          </w:p>
          <w:tbl>
            <w:tblPr>
              <w:tblStyle w:val="28"/>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35"/>
              <w:gridCol w:w="1092"/>
              <w:gridCol w:w="1107"/>
              <w:gridCol w:w="1711"/>
              <w:gridCol w:w="1996"/>
            </w:tblGrid>
            <w:tr w14:paraId="3E62ED6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81" w:type="pct"/>
                  <w:tcBorders>
                    <w:bottom w:val="single" w:color="auto" w:sz="12" w:space="0"/>
                  </w:tcBorders>
                  <w:vAlign w:val="center"/>
                </w:tcPr>
                <w:p w14:paraId="635746F8">
                  <w:pPr>
                    <w:pStyle w:val="23"/>
                    <w:spacing w:line="240" w:lineRule="auto"/>
                    <w:jc w:val="center"/>
                    <w:rPr>
                      <w:b/>
                      <w:bCs/>
                      <w:color w:val="auto"/>
                      <w:sz w:val="21"/>
                      <w:szCs w:val="21"/>
                    </w:rPr>
                  </w:pPr>
                  <w:r>
                    <w:rPr>
                      <w:b/>
                      <w:bCs/>
                      <w:color w:val="auto"/>
                      <w:sz w:val="21"/>
                      <w:szCs w:val="21"/>
                    </w:rPr>
                    <w:t>监测点位</w:t>
                  </w:r>
                </w:p>
              </w:tc>
              <w:tc>
                <w:tcPr>
                  <w:tcW w:w="687" w:type="pct"/>
                  <w:tcBorders>
                    <w:bottom w:val="single" w:color="auto" w:sz="12" w:space="0"/>
                  </w:tcBorders>
                  <w:vAlign w:val="center"/>
                </w:tcPr>
                <w:p w14:paraId="3F260B2F">
                  <w:pPr>
                    <w:pStyle w:val="23"/>
                    <w:spacing w:line="240" w:lineRule="auto"/>
                    <w:jc w:val="center"/>
                    <w:rPr>
                      <w:b/>
                      <w:bCs/>
                      <w:color w:val="auto"/>
                      <w:sz w:val="21"/>
                      <w:szCs w:val="21"/>
                    </w:rPr>
                  </w:pPr>
                  <w:r>
                    <w:rPr>
                      <w:b/>
                      <w:bCs/>
                      <w:color w:val="auto"/>
                      <w:sz w:val="21"/>
                      <w:szCs w:val="21"/>
                    </w:rPr>
                    <w:t>监测内容</w:t>
                  </w:r>
                </w:p>
              </w:tc>
              <w:tc>
                <w:tcPr>
                  <w:tcW w:w="697" w:type="pct"/>
                  <w:tcBorders>
                    <w:bottom w:val="single" w:color="auto" w:sz="12" w:space="0"/>
                  </w:tcBorders>
                  <w:vAlign w:val="center"/>
                </w:tcPr>
                <w:p w14:paraId="79995820">
                  <w:pPr>
                    <w:pStyle w:val="23"/>
                    <w:spacing w:line="240" w:lineRule="auto"/>
                    <w:jc w:val="center"/>
                    <w:rPr>
                      <w:b/>
                      <w:bCs/>
                      <w:color w:val="auto"/>
                      <w:sz w:val="21"/>
                      <w:szCs w:val="21"/>
                    </w:rPr>
                  </w:pPr>
                  <w:r>
                    <w:rPr>
                      <w:b/>
                      <w:bCs/>
                      <w:color w:val="auto"/>
                      <w:sz w:val="21"/>
                      <w:szCs w:val="21"/>
                    </w:rPr>
                    <w:t>监测指标</w:t>
                  </w:r>
                </w:p>
              </w:tc>
              <w:tc>
                <w:tcPr>
                  <w:tcW w:w="1077" w:type="pct"/>
                  <w:tcBorders>
                    <w:bottom w:val="single" w:color="auto" w:sz="12" w:space="0"/>
                  </w:tcBorders>
                  <w:vAlign w:val="center"/>
                </w:tcPr>
                <w:p w14:paraId="09E8DBF2">
                  <w:pPr>
                    <w:pStyle w:val="23"/>
                    <w:spacing w:line="240" w:lineRule="auto"/>
                    <w:jc w:val="center"/>
                    <w:rPr>
                      <w:b/>
                      <w:bCs/>
                      <w:color w:val="auto"/>
                      <w:sz w:val="21"/>
                      <w:szCs w:val="21"/>
                    </w:rPr>
                  </w:pPr>
                  <w:r>
                    <w:rPr>
                      <w:b/>
                      <w:bCs/>
                      <w:color w:val="auto"/>
                      <w:sz w:val="21"/>
                      <w:szCs w:val="21"/>
                    </w:rPr>
                    <w:t>监测频次</w:t>
                  </w:r>
                </w:p>
              </w:tc>
              <w:tc>
                <w:tcPr>
                  <w:tcW w:w="1256" w:type="pct"/>
                  <w:tcBorders>
                    <w:bottom w:val="single" w:color="auto" w:sz="12" w:space="0"/>
                  </w:tcBorders>
                  <w:vAlign w:val="center"/>
                </w:tcPr>
                <w:p w14:paraId="7D701645">
                  <w:pPr>
                    <w:pStyle w:val="23"/>
                    <w:spacing w:line="240" w:lineRule="auto"/>
                    <w:jc w:val="center"/>
                    <w:rPr>
                      <w:b/>
                      <w:bCs/>
                      <w:color w:val="auto"/>
                      <w:sz w:val="21"/>
                      <w:szCs w:val="21"/>
                    </w:rPr>
                  </w:pPr>
                  <w:r>
                    <w:rPr>
                      <w:b/>
                      <w:bCs/>
                      <w:color w:val="auto"/>
                      <w:sz w:val="21"/>
                      <w:szCs w:val="21"/>
                    </w:rPr>
                    <w:t>执行标准</w:t>
                  </w:r>
                </w:p>
              </w:tc>
            </w:tr>
            <w:tr w14:paraId="27C8879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81" w:type="pct"/>
                  <w:tcBorders>
                    <w:top w:val="single" w:color="auto" w:sz="12" w:space="0"/>
                    <w:tl2br w:val="nil"/>
                    <w:tr2bl w:val="nil"/>
                  </w:tcBorders>
                  <w:vAlign w:val="center"/>
                </w:tcPr>
                <w:p w14:paraId="727BB00A">
                  <w:pPr>
                    <w:pStyle w:val="23"/>
                    <w:spacing w:line="240" w:lineRule="auto"/>
                    <w:jc w:val="center"/>
                    <w:rPr>
                      <w:color w:val="auto"/>
                      <w:sz w:val="21"/>
                      <w:szCs w:val="21"/>
                    </w:rPr>
                  </w:pPr>
                  <w:r>
                    <w:rPr>
                      <w:color w:val="auto"/>
                      <w:sz w:val="21"/>
                      <w:szCs w:val="21"/>
                    </w:rPr>
                    <w:t>厂界外1m处、高度1.2m以上、距任一反射面距离不小于1m的位置</w:t>
                  </w:r>
                </w:p>
              </w:tc>
              <w:tc>
                <w:tcPr>
                  <w:tcW w:w="687" w:type="pct"/>
                  <w:tcBorders>
                    <w:top w:val="single" w:color="auto" w:sz="12" w:space="0"/>
                    <w:tl2br w:val="nil"/>
                    <w:tr2bl w:val="nil"/>
                  </w:tcBorders>
                  <w:vAlign w:val="center"/>
                </w:tcPr>
                <w:p w14:paraId="26870FCE">
                  <w:pPr>
                    <w:pStyle w:val="23"/>
                    <w:spacing w:line="240" w:lineRule="auto"/>
                    <w:jc w:val="center"/>
                    <w:rPr>
                      <w:color w:val="auto"/>
                      <w:sz w:val="21"/>
                      <w:szCs w:val="21"/>
                    </w:rPr>
                  </w:pPr>
                  <w:r>
                    <w:rPr>
                      <w:color w:val="auto"/>
                      <w:sz w:val="21"/>
                      <w:szCs w:val="21"/>
                    </w:rPr>
                    <w:t>噪声</w:t>
                  </w:r>
                </w:p>
              </w:tc>
              <w:tc>
                <w:tcPr>
                  <w:tcW w:w="697" w:type="pct"/>
                  <w:tcBorders>
                    <w:top w:val="single" w:color="auto" w:sz="12" w:space="0"/>
                    <w:tl2br w:val="nil"/>
                    <w:tr2bl w:val="nil"/>
                  </w:tcBorders>
                  <w:vAlign w:val="center"/>
                </w:tcPr>
                <w:p w14:paraId="7009336E">
                  <w:pPr>
                    <w:pStyle w:val="23"/>
                    <w:spacing w:line="240" w:lineRule="auto"/>
                    <w:jc w:val="center"/>
                    <w:rPr>
                      <w:color w:val="auto"/>
                      <w:sz w:val="21"/>
                      <w:szCs w:val="21"/>
                    </w:rPr>
                  </w:pPr>
                  <w:r>
                    <w:rPr>
                      <w:color w:val="auto"/>
                      <w:sz w:val="21"/>
                      <w:szCs w:val="21"/>
                    </w:rPr>
                    <w:t>等效连续A声级</w:t>
                  </w:r>
                </w:p>
              </w:tc>
              <w:tc>
                <w:tcPr>
                  <w:tcW w:w="1077" w:type="pct"/>
                  <w:tcBorders>
                    <w:top w:val="single" w:color="auto" w:sz="12" w:space="0"/>
                    <w:tl2br w:val="nil"/>
                    <w:tr2bl w:val="nil"/>
                  </w:tcBorders>
                  <w:vAlign w:val="center"/>
                </w:tcPr>
                <w:p w14:paraId="6C611FDD">
                  <w:pPr>
                    <w:pStyle w:val="23"/>
                    <w:spacing w:line="240" w:lineRule="auto"/>
                    <w:jc w:val="center"/>
                    <w:rPr>
                      <w:color w:val="auto"/>
                      <w:sz w:val="21"/>
                      <w:szCs w:val="21"/>
                    </w:rPr>
                  </w:pPr>
                  <w:r>
                    <w:rPr>
                      <w:color w:val="auto"/>
                      <w:sz w:val="21"/>
                      <w:szCs w:val="21"/>
                    </w:rPr>
                    <w:t>每季度一次，每次昼、夜各监测一次</w:t>
                  </w:r>
                </w:p>
              </w:tc>
              <w:tc>
                <w:tcPr>
                  <w:tcW w:w="1256" w:type="pct"/>
                  <w:tcBorders>
                    <w:top w:val="single" w:color="auto" w:sz="12" w:space="0"/>
                    <w:tl2br w:val="nil"/>
                    <w:tr2bl w:val="nil"/>
                  </w:tcBorders>
                  <w:vAlign w:val="center"/>
                </w:tcPr>
                <w:p w14:paraId="6DD3A0F2">
                  <w:pPr>
                    <w:pStyle w:val="23"/>
                    <w:spacing w:line="240" w:lineRule="auto"/>
                    <w:jc w:val="center"/>
                    <w:rPr>
                      <w:color w:val="auto"/>
                      <w:sz w:val="21"/>
                      <w:szCs w:val="21"/>
                    </w:rPr>
                  </w:pPr>
                  <w:r>
                    <w:rPr>
                      <w:color w:val="auto"/>
                      <w:sz w:val="21"/>
                      <w:szCs w:val="21"/>
                    </w:rPr>
                    <w:t>《工业企业厂界环境噪声排放标准》（GB12348-2008）</w:t>
                  </w:r>
                  <w:r>
                    <w:rPr>
                      <w:rFonts w:hint="eastAsia"/>
                      <w:color w:val="auto"/>
                      <w:sz w:val="21"/>
                      <w:szCs w:val="21"/>
                    </w:rPr>
                    <w:t>中</w:t>
                  </w:r>
                  <w:r>
                    <w:rPr>
                      <w:rFonts w:hint="eastAsia"/>
                      <w:color w:val="auto"/>
                      <w:sz w:val="21"/>
                      <w:szCs w:val="21"/>
                      <w:lang w:val="en-US" w:eastAsia="zh-CN"/>
                    </w:rPr>
                    <w:t>2</w:t>
                  </w:r>
                  <w:r>
                    <w:rPr>
                      <w:color w:val="auto"/>
                      <w:sz w:val="21"/>
                      <w:szCs w:val="21"/>
                    </w:rPr>
                    <w:t>类标准</w:t>
                  </w:r>
                </w:p>
              </w:tc>
            </w:tr>
          </w:tbl>
          <w:p w14:paraId="18514AD3">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kern w:val="2"/>
                <w:sz w:val="24"/>
                <w:szCs w:val="24"/>
                <w:lang w:val="en-US" w:eastAsia="zh-CN" w:bidi="ar-SA"/>
              </w:rPr>
              <w:t>4.</w:t>
            </w:r>
            <w:r>
              <w:rPr>
                <w:rFonts w:hint="eastAsia" w:ascii="Times New Roman" w:hAnsi="Times New Roman" w:eastAsia="宋体" w:cs="Times New Roman"/>
                <w:b/>
                <w:bCs/>
                <w:color w:val="auto"/>
                <w:sz w:val="24"/>
              </w:rPr>
              <w:t>固废</w:t>
            </w:r>
          </w:p>
          <w:p w14:paraId="11606C87">
            <w:pPr>
              <w:spacing w:line="360" w:lineRule="auto"/>
              <w:ind w:firstLine="480" w:firstLineChars="200"/>
              <w:rPr>
                <w:rFonts w:hint="default" w:ascii="宋体" w:hAnsi="宋体" w:eastAsia="宋体" w:cs="宋体"/>
                <w:color w:val="auto"/>
                <w:kern w:val="0"/>
                <w:sz w:val="24"/>
                <w:lang w:val="en-US" w:eastAsia="zh-CN" w:bidi="ar"/>
              </w:rPr>
            </w:pPr>
            <w:r>
              <w:rPr>
                <w:rFonts w:hint="eastAsia" w:ascii="Times New Roman" w:hAnsi="Times New Roman" w:eastAsia="宋体" w:cs="Times New Roman"/>
                <w:color w:val="auto"/>
                <w:kern w:val="0"/>
                <w:sz w:val="24"/>
              </w:rPr>
              <w:t>本项目固废主要为</w:t>
            </w:r>
            <w:r>
              <w:rPr>
                <w:rFonts w:hint="eastAsia" w:cs="Times New Roman"/>
                <w:color w:val="auto"/>
                <w:kern w:val="0"/>
                <w:sz w:val="24"/>
                <w:lang w:val="en-US" w:eastAsia="zh-CN"/>
              </w:rPr>
              <w:t>生产过程产生的固体废弃物、工作人员日常生活产生的生活垃圾、机械设备保养维护产生的废机油。</w:t>
            </w:r>
          </w:p>
          <w:p w14:paraId="0D32C7E0">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4.1</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rPr>
              <w:t>生产固废</w:t>
            </w:r>
          </w:p>
          <w:p w14:paraId="41217639">
            <w:pPr>
              <w:pStyle w:val="8"/>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0" w:right="0" w:rightChars="0" w:firstLine="480" w:firstLineChars="200"/>
              <w:jc w:val="both"/>
              <w:textAlignment w:val="auto"/>
              <w:rPr>
                <w:rFonts w:hint="eastAsia" w:cs="Times New Roman"/>
                <w:color w:val="auto"/>
                <w:kern w:val="0"/>
                <w:sz w:val="24"/>
                <w:lang w:val="en-US" w:eastAsia="zh-CN"/>
              </w:rPr>
            </w:pPr>
            <w:r>
              <w:rPr>
                <w:rFonts w:ascii="Times New Roman" w:hAnsi="Times New Roman" w:eastAsia="宋体" w:cs="Times New Roman"/>
                <w:color w:val="auto"/>
                <w:kern w:val="0"/>
                <w:sz w:val="24"/>
              </w:rPr>
              <w:t>本项目</w:t>
            </w:r>
            <w:r>
              <w:rPr>
                <w:rFonts w:hint="eastAsia" w:cs="Times New Roman"/>
                <w:color w:val="auto"/>
                <w:kern w:val="0"/>
                <w:sz w:val="24"/>
                <w:lang w:val="en-US" w:eastAsia="zh-CN"/>
              </w:rPr>
              <w:t>生产</w:t>
            </w:r>
            <w:r>
              <w:rPr>
                <w:rFonts w:ascii="Times New Roman" w:hAnsi="Times New Roman" w:eastAsia="宋体" w:cs="Times New Roman"/>
                <w:color w:val="auto"/>
                <w:kern w:val="0"/>
                <w:sz w:val="24"/>
              </w:rPr>
              <w:t>固废主要来源</w:t>
            </w:r>
            <w:r>
              <w:rPr>
                <w:rFonts w:hint="eastAsia" w:cs="Times New Roman"/>
                <w:color w:val="auto"/>
                <w:kern w:val="0"/>
                <w:sz w:val="24"/>
                <w:lang w:val="en-US" w:eastAsia="zh-CN"/>
              </w:rPr>
              <w:t>除尘灰、沉淀池的沉渣。</w:t>
            </w:r>
          </w:p>
          <w:p w14:paraId="4ECC0DB4">
            <w:pPr>
              <w:pStyle w:val="23"/>
              <w:numPr>
                <w:ilvl w:val="0"/>
                <w:numId w:val="0"/>
              </w:numPr>
              <w:spacing w:line="360" w:lineRule="auto"/>
              <w:jc w:val="both"/>
              <w:rPr>
                <w:rFonts w:hint="eastAsia" w:cs="Times New Roman"/>
                <w:color w:val="auto"/>
                <w:kern w:val="0"/>
                <w:sz w:val="24"/>
                <w:lang w:val="en-US" w:eastAsia="zh-CN"/>
              </w:rPr>
            </w:pPr>
            <w:r>
              <w:rPr>
                <w:rFonts w:hint="eastAsia" w:cs="Times New Roman"/>
                <w:color w:val="auto"/>
                <w:kern w:val="0"/>
                <w:sz w:val="24"/>
                <w:lang w:val="en-US" w:eastAsia="zh-CN"/>
              </w:rPr>
              <w:t>（1）除尘灰</w:t>
            </w:r>
          </w:p>
          <w:p w14:paraId="35AA1D88">
            <w:pPr>
              <w:pStyle w:val="23"/>
              <w:numPr>
                <w:ilvl w:val="0"/>
                <w:numId w:val="0"/>
              </w:numPr>
              <w:spacing w:line="360" w:lineRule="auto"/>
              <w:ind w:firstLine="480" w:firstLineChars="200"/>
              <w:jc w:val="both"/>
              <w:rPr>
                <w:rFonts w:hint="default" w:cs="Times New Roman"/>
                <w:color w:val="auto"/>
                <w:kern w:val="0"/>
                <w:sz w:val="24"/>
                <w:lang w:val="en-US" w:eastAsia="zh-CN"/>
              </w:rPr>
            </w:pPr>
            <w:r>
              <w:rPr>
                <w:rFonts w:hint="eastAsia" w:cs="Times New Roman"/>
                <w:color w:val="auto"/>
                <w:kern w:val="0"/>
                <w:sz w:val="24"/>
                <w:lang w:val="en-US" w:eastAsia="zh-CN"/>
              </w:rPr>
              <w:t>筒仓的袋式除尘器收集的除尘灰为90.93t/a，收集后全部进入筒仓中，不外排。搅拌机自带的脉冲布袋除尘器带有管道通回，除尘灰产生量为250.29t/a，全部通过管道回到搅拌机参与到生产过程，不外排。</w:t>
            </w:r>
          </w:p>
          <w:p w14:paraId="25FCABA6">
            <w:pPr>
              <w:pStyle w:val="23"/>
              <w:numPr>
                <w:ilvl w:val="0"/>
                <w:numId w:val="0"/>
              </w:numPr>
              <w:spacing w:line="360" w:lineRule="auto"/>
              <w:ind w:leftChars="0"/>
              <w:jc w:val="both"/>
              <w:rPr>
                <w:rFonts w:hint="eastAsia" w:cs="Times New Roman"/>
                <w:color w:val="auto"/>
                <w:kern w:val="0"/>
                <w:sz w:val="24"/>
                <w:lang w:val="en-US" w:eastAsia="zh-CN"/>
              </w:rPr>
            </w:pPr>
            <w:r>
              <w:rPr>
                <w:rFonts w:hint="eastAsia" w:cs="Times New Roman"/>
                <w:color w:val="auto"/>
                <w:kern w:val="0"/>
                <w:sz w:val="24"/>
                <w:lang w:val="en-US" w:eastAsia="zh-CN"/>
              </w:rPr>
              <w:t>（2）沉淀池沉渣</w:t>
            </w:r>
          </w:p>
          <w:p w14:paraId="68A5DC75">
            <w:pPr>
              <w:pStyle w:val="23"/>
              <w:numPr>
                <w:ilvl w:val="0"/>
                <w:numId w:val="0"/>
              </w:numPr>
              <w:spacing w:line="360" w:lineRule="auto"/>
              <w:ind w:leftChars="0" w:firstLine="480" w:firstLineChars="200"/>
              <w:jc w:val="both"/>
              <w:rPr>
                <w:rFonts w:hint="eastAsia" w:ascii="Times New Roman" w:hAnsi="Times New Roman" w:eastAsia="宋体" w:cs="Times New Roman"/>
                <w:color w:val="auto"/>
                <w:kern w:val="0"/>
                <w:sz w:val="24"/>
              </w:rPr>
            </w:pPr>
            <w:r>
              <w:rPr>
                <w:rFonts w:hint="eastAsia" w:cs="Times New Roman"/>
                <w:color w:val="auto"/>
                <w:kern w:val="0"/>
                <w:sz w:val="24"/>
                <w:lang w:val="en-US" w:eastAsia="zh-CN"/>
              </w:rPr>
              <w:t>搅拌设备和罐车清洗之后的废水进入沉淀池沉淀产生，每次清洗产生约0.1t，每日清洗1~2次（按2次计算），每年产生的废料约29.07t，</w:t>
            </w:r>
            <w:r>
              <w:rPr>
                <w:rFonts w:ascii="Times New Roman" w:hAnsi="Times New Roman" w:eastAsia="宋体" w:cs="Times New Roman"/>
                <w:color w:val="auto"/>
                <w:kern w:val="0"/>
                <w:sz w:val="24"/>
              </w:rPr>
              <w:t>池底废料定期清理，废料中主要固体为砂子和</w:t>
            </w:r>
            <w:r>
              <w:rPr>
                <w:rFonts w:hint="eastAsia" w:cs="Times New Roman"/>
                <w:color w:val="auto"/>
                <w:kern w:val="0"/>
                <w:sz w:val="24"/>
                <w:lang w:val="en-US" w:eastAsia="zh-CN"/>
              </w:rPr>
              <w:t>碎石</w:t>
            </w:r>
            <w:r>
              <w:rPr>
                <w:rFonts w:ascii="Times New Roman" w:hAnsi="Times New Roman" w:eastAsia="宋体" w:cs="Times New Roman"/>
                <w:color w:val="auto"/>
                <w:kern w:val="0"/>
                <w:sz w:val="24"/>
              </w:rPr>
              <w:t>，使用砂石分离设备进行处理后全部回用于混凝土的生产过程中，生产废料不外排</w:t>
            </w:r>
            <w:r>
              <w:rPr>
                <w:rFonts w:hint="eastAsia" w:ascii="Times New Roman" w:hAnsi="Times New Roman" w:eastAsia="宋体" w:cs="Times New Roman"/>
                <w:color w:val="auto"/>
                <w:kern w:val="0"/>
                <w:sz w:val="24"/>
              </w:rPr>
              <w:t>。</w:t>
            </w:r>
          </w:p>
          <w:p w14:paraId="71AEBE4E">
            <w:pPr>
              <w:pStyle w:val="23"/>
              <w:numPr>
                <w:ilvl w:val="0"/>
                <w:numId w:val="0"/>
              </w:numPr>
              <w:spacing w:line="360" w:lineRule="auto"/>
              <w:ind w:left="0" w:leftChars="0"/>
              <w:jc w:val="both"/>
              <w:rPr>
                <w:rFonts w:hint="default" w:cs="Times New Roman"/>
                <w:color w:val="auto"/>
                <w:kern w:val="0"/>
                <w:sz w:val="24"/>
                <w:lang w:val="en-US" w:eastAsia="zh-CN"/>
              </w:rPr>
            </w:pP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3</w:t>
            </w:r>
            <w:r>
              <w:rPr>
                <w:rFonts w:hint="eastAsia"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废</w:t>
            </w:r>
            <w:r>
              <w:rPr>
                <w:rFonts w:hint="eastAsia" w:cs="Times New Roman"/>
                <w:color w:val="auto"/>
                <w:kern w:val="0"/>
                <w:sz w:val="24"/>
                <w:lang w:val="en-US" w:eastAsia="zh-CN"/>
              </w:rPr>
              <w:t>包装</w:t>
            </w:r>
          </w:p>
          <w:p w14:paraId="5E91EE64">
            <w:pPr>
              <w:pStyle w:val="23"/>
              <w:numPr>
                <w:numId w:val="0"/>
              </w:numPr>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eastAsia" w:cs="Times New Roman"/>
                <w:color w:val="auto"/>
                <w:kern w:val="0"/>
                <w:sz w:val="24"/>
                <w:lang w:val="en-US" w:eastAsia="zh-CN"/>
              </w:rPr>
              <w:t>原料减水剂和缓凝剂使用后产生</w:t>
            </w:r>
            <w:r>
              <w:rPr>
                <w:rFonts w:hint="default" w:ascii="Times New Roman" w:hAnsi="Times New Roman" w:eastAsia="宋体" w:cs="Times New Roman"/>
                <w:color w:val="auto"/>
                <w:sz w:val="24"/>
                <w:szCs w:val="24"/>
                <w:highlight w:val="none"/>
              </w:rPr>
              <w:t>废包装</w:t>
            </w:r>
            <w:r>
              <w:rPr>
                <w:rFonts w:hint="eastAsia" w:ascii="Times New Roman" w:hAnsi="Times New Roman" w:eastAsia="宋体" w:cs="Times New Roman"/>
                <w:color w:val="auto"/>
                <w:sz w:val="24"/>
                <w:szCs w:val="24"/>
                <w:highlight w:val="none"/>
                <w:lang w:val="en-US" w:eastAsia="zh-CN"/>
              </w:rPr>
              <w:t>桶</w:t>
            </w:r>
            <w:r>
              <w:rPr>
                <w:rFonts w:hint="default" w:ascii="Times New Roman" w:hAnsi="Times New Roman" w:eastAsia="宋体" w:cs="Times New Roman"/>
                <w:color w:val="auto"/>
                <w:sz w:val="24"/>
                <w:szCs w:val="24"/>
                <w:highlight w:val="none"/>
              </w:rPr>
              <w:t>约</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t/a，项目使用的物料中不包括危险化学品，因此项目产生的废包装物均为一般固废，全部外售给废品收购站回收综合利用。</w:t>
            </w:r>
          </w:p>
          <w:p w14:paraId="5DA6312C">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color w:val="auto"/>
                <w:sz w:val="24"/>
                <w:lang w:val="en-US"/>
              </w:rPr>
            </w:pPr>
            <w:r>
              <w:rPr>
                <w:rFonts w:hint="eastAsia" w:ascii="Times New Roman" w:hAnsi="Times New Roman" w:eastAsia="宋体" w:cs="Times New Roman"/>
                <w:b/>
                <w:bCs/>
                <w:color w:val="auto"/>
                <w:sz w:val="24"/>
              </w:rPr>
              <w:t>4.</w:t>
            </w:r>
            <w:r>
              <w:rPr>
                <w:rFonts w:hint="eastAsia" w:ascii="Times New Roman" w:hAnsi="Times New Roman" w:eastAsia="宋体" w:cs="Times New Roman"/>
                <w:b/>
                <w:bCs/>
                <w:color w:val="auto"/>
                <w:sz w:val="24"/>
                <w:lang w:val="en-US" w:eastAsia="zh-CN"/>
              </w:rPr>
              <w:t>2实验室废料</w:t>
            </w:r>
          </w:p>
          <w:p w14:paraId="59FF7C0E">
            <w:pPr>
              <w:pStyle w:val="23"/>
              <w:numPr>
                <w:numId w:val="0"/>
              </w:numPr>
              <w:spacing w:line="360" w:lineRule="auto"/>
              <w:ind w:firstLine="480" w:firstLineChars="20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实验室</w:t>
            </w:r>
            <w:r>
              <w:rPr>
                <w:rFonts w:hint="eastAsia" w:ascii="Times New Roman" w:hAnsi="Times New Roman" w:eastAsia="宋体" w:cs="Times New Roman"/>
                <w:color w:val="auto"/>
                <w:sz w:val="24"/>
                <w:szCs w:val="24"/>
                <w:highlight w:val="none"/>
                <w:lang w:val="en-US" w:eastAsia="zh-CN"/>
              </w:rPr>
              <w:t>进行</w:t>
            </w:r>
            <w:r>
              <w:rPr>
                <w:rFonts w:hint="default" w:ascii="Times New Roman" w:hAnsi="Times New Roman" w:eastAsia="宋体" w:cs="Times New Roman"/>
                <w:color w:val="auto"/>
                <w:sz w:val="24"/>
                <w:szCs w:val="24"/>
                <w:highlight w:val="none"/>
                <w:lang w:val="en-US" w:eastAsia="zh-CN"/>
              </w:rPr>
              <w:t>压力强度实验</w:t>
            </w:r>
            <w:r>
              <w:rPr>
                <w:rFonts w:hint="eastAsia" w:ascii="Times New Roman" w:hAnsi="Times New Roman" w:eastAsia="宋体" w:cs="Times New Roman"/>
                <w:color w:val="auto"/>
                <w:sz w:val="24"/>
                <w:szCs w:val="24"/>
                <w:highlight w:val="none"/>
                <w:lang w:val="en-US" w:eastAsia="zh-CN"/>
              </w:rPr>
              <w:t>后</w:t>
            </w:r>
            <w:r>
              <w:rPr>
                <w:rFonts w:hint="default" w:ascii="Times New Roman" w:hAnsi="Times New Roman" w:eastAsia="宋体" w:cs="Times New Roman"/>
                <w:color w:val="auto"/>
                <w:sz w:val="24"/>
                <w:szCs w:val="24"/>
                <w:highlight w:val="none"/>
                <w:lang w:val="en-US" w:eastAsia="zh-CN"/>
              </w:rPr>
              <w:t>产生废混凝土预制块</w:t>
            </w:r>
            <w:r>
              <w:rPr>
                <w:rFonts w:hint="eastAsia" w:ascii="Times New Roman" w:hAnsi="Times New Roman" w:eastAsia="宋体" w:cs="Times New Roman"/>
                <w:color w:val="auto"/>
                <w:sz w:val="24"/>
                <w:szCs w:val="24"/>
                <w:highlight w:val="none"/>
                <w:lang w:val="en-US" w:eastAsia="zh-CN"/>
              </w:rPr>
              <w:t>，产生量约1.5t/a。经人工破碎后</w:t>
            </w:r>
            <w:r>
              <w:rPr>
                <w:rFonts w:ascii="Times New Roman" w:hAnsi="Times New Roman" w:eastAsia="宋体" w:cs="Times New Roman"/>
                <w:color w:val="auto"/>
                <w:kern w:val="0"/>
                <w:sz w:val="24"/>
              </w:rPr>
              <w:t>全部回用于混凝土的生产过程中，不外排</w:t>
            </w:r>
            <w:r>
              <w:rPr>
                <w:rFonts w:hint="eastAsia" w:ascii="Times New Roman" w:hAnsi="Times New Roman" w:eastAsia="宋体" w:cs="Times New Roman"/>
                <w:color w:val="auto"/>
                <w:kern w:val="0"/>
                <w:sz w:val="24"/>
              </w:rPr>
              <w:t>。</w:t>
            </w:r>
          </w:p>
          <w:p w14:paraId="7E0A3BAB">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4.</w:t>
            </w:r>
            <w:r>
              <w:rPr>
                <w:rFonts w:hint="eastAsia" w:cs="Times New Roman"/>
                <w:b/>
                <w:bCs/>
                <w:color w:val="auto"/>
                <w:sz w:val="24"/>
                <w:lang w:val="en-US" w:eastAsia="zh-CN"/>
              </w:rPr>
              <w:t>3</w:t>
            </w:r>
            <w:r>
              <w:rPr>
                <w:rFonts w:hint="eastAsia" w:ascii="Times New Roman" w:hAnsi="Times New Roman" w:eastAsia="宋体" w:cs="Times New Roman"/>
                <w:b/>
                <w:bCs/>
                <w:color w:val="auto"/>
                <w:sz w:val="24"/>
              </w:rPr>
              <w:t>生活垃圾</w:t>
            </w:r>
          </w:p>
          <w:p w14:paraId="3A4C04B8">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ascii="Times New Roman" w:hAnsi="Times New Roman" w:eastAsia="宋体" w:cs="Times New Roman"/>
                <w:color w:val="auto"/>
                <w:kern w:val="0"/>
                <w:sz w:val="24"/>
              </w:rPr>
              <w:t>本项目</w:t>
            </w:r>
            <w:r>
              <w:rPr>
                <w:rFonts w:hint="eastAsia" w:cs="Times New Roman"/>
                <w:color w:val="auto"/>
                <w:kern w:val="0"/>
                <w:sz w:val="24"/>
                <w:lang w:val="en-US" w:eastAsia="zh-CN"/>
              </w:rPr>
              <w:t>劳动定员46人，按每人每天产生1kg生活垃圾计算，每年产生约8.28t，</w:t>
            </w:r>
            <w:r>
              <w:rPr>
                <w:rFonts w:hint="eastAsia" w:ascii="Times New Roman" w:hAnsi="Times New Roman" w:eastAsia="宋体" w:cs="Times New Roman"/>
                <w:color w:val="auto"/>
                <w:kern w:val="0"/>
                <w:sz w:val="24"/>
                <w:lang w:val="en-US" w:eastAsia="zh-CN"/>
              </w:rPr>
              <w:t>生活垃圾</w:t>
            </w:r>
            <w:r>
              <w:rPr>
                <w:rFonts w:hint="eastAsia" w:cs="Times New Roman"/>
                <w:color w:val="auto"/>
                <w:kern w:val="0"/>
                <w:sz w:val="24"/>
                <w:lang w:val="en-US" w:eastAsia="zh-CN"/>
              </w:rPr>
              <w:t>暂存于厂区中</w:t>
            </w:r>
            <w:r>
              <w:rPr>
                <w:rFonts w:hint="eastAsia" w:ascii="Times New Roman" w:hAnsi="Times New Roman" w:eastAsia="宋体" w:cs="Times New Roman"/>
                <w:color w:val="auto"/>
                <w:kern w:val="0"/>
                <w:sz w:val="24"/>
                <w:lang w:val="en-US" w:eastAsia="zh-CN"/>
              </w:rPr>
              <w:t>专用的垃圾箱，并进行分类，定期由垃圾清运车</w:t>
            </w:r>
            <w:r>
              <w:rPr>
                <w:rFonts w:hint="eastAsia" w:cs="Times New Roman"/>
                <w:color w:val="auto"/>
                <w:kern w:val="0"/>
                <w:sz w:val="24"/>
                <w:lang w:val="en-US" w:eastAsia="zh-CN"/>
              </w:rPr>
              <w:t>运送至垃圾场统一处理。</w:t>
            </w:r>
          </w:p>
          <w:p w14:paraId="412B0D36">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rPr>
              <w:t>4.</w:t>
            </w:r>
            <w:r>
              <w:rPr>
                <w:rFonts w:hint="eastAsia" w:cs="Times New Roman"/>
                <w:b/>
                <w:bCs/>
                <w:color w:val="auto"/>
                <w:sz w:val="24"/>
                <w:lang w:val="en-US" w:eastAsia="zh-CN"/>
              </w:rPr>
              <w:t>4</w:t>
            </w:r>
            <w:r>
              <w:rPr>
                <w:rFonts w:hint="eastAsia" w:ascii="Times New Roman" w:hAnsi="Times New Roman" w:eastAsia="宋体" w:cs="Times New Roman"/>
                <w:b/>
                <w:bCs/>
                <w:color w:val="auto"/>
                <w:sz w:val="24"/>
              </w:rPr>
              <w:t>废机油</w:t>
            </w:r>
          </w:p>
          <w:p w14:paraId="2E43B0E1">
            <w:pPr>
              <w:autoSpaceDE w:val="0"/>
              <w:autoSpaceDN w:val="0"/>
              <w:adjustRightInd w:val="0"/>
              <w:snapToGrid w:val="0"/>
              <w:spacing w:line="360" w:lineRule="auto"/>
              <w:ind w:firstLine="480" w:firstLineChars="200"/>
              <w:rPr>
                <w:rFonts w:hint="eastAsia" w:cs="Times New Roman"/>
                <w:color w:val="auto"/>
                <w:kern w:val="0"/>
                <w:sz w:val="24"/>
                <w:lang w:val="en-US" w:eastAsia="zh-CN"/>
              </w:rPr>
            </w:pPr>
            <w:r>
              <w:rPr>
                <w:rFonts w:hint="eastAsia" w:ascii="Times New Roman" w:hAnsi="Times New Roman" w:eastAsia="宋体" w:cs="Times New Roman"/>
                <w:color w:val="auto"/>
                <w:kern w:val="0"/>
                <w:sz w:val="24"/>
              </w:rPr>
              <w:t>本项目</w:t>
            </w:r>
            <w:r>
              <w:rPr>
                <w:rFonts w:hint="eastAsia" w:cs="Times New Roman"/>
                <w:color w:val="auto"/>
                <w:kern w:val="0"/>
                <w:sz w:val="24"/>
                <w:lang w:val="en-US" w:eastAsia="zh-CN"/>
              </w:rPr>
              <w:t>机械设备维修保养会产生废机油，产量约为0.1t/a</w:t>
            </w:r>
            <w:r>
              <w:rPr>
                <w:rFonts w:hint="eastAsia" w:ascii="Times New Roman" w:hAnsi="Times New Roman" w:eastAsia="宋体" w:cs="Times New Roman"/>
                <w:color w:val="auto"/>
                <w:kern w:val="0"/>
                <w:sz w:val="24"/>
              </w:rPr>
              <w:t>。</w:t>
            </w:r>
            <w:r>
              <w:rPr>
                <w:rFonts w:ascii="Times New Roman" w:hAnsi="Times New Roman" w:eastAsia="宋体" w:cs="Times New Roman"/>
                <w:color w:val="auto"/>
                <w:kern w:val="0"/>
                <w:sz w:val="24"/>
              </w:rPr>
              <w:t>根据《国家危险废物名录》（2021版）</w:t>
            </w:r>
            <w:r>
              <w:rPr>
                <w:rFonts w:hint="eastAsia" w:ascii="Times New Roman" w:hAnsi="Times New Roman" w:eastAsia="宋体" w:cs="Times New Roman"/>
                <w:color w:val="auto"/>
                <w:kern w:val="0"/>
                <w:sz w:val="24"/>
              </w:rPr>
              <w:t>规定，废机油属于危险废物，危废类别为HW08，废物代码900-21</w:t>
            </w:r>
            <w:r>
              <w:rPr>
                <w:rFonts w:hint="eastAsia" w:cs="Times New Roman"/>
                <w:color w:val="auto"/>
                <w:kern w:val="0"/>
                <w:sz w:val="24"/>
                <w:lang w:val="en-US" w:eastAsia="zh-CN"/>
              </w:rPr>
              <w:t>4</w:t>
            </w:r>
            <w:r>
              <w:rPr>
                <w:rFonts w:hint="eastAsia" w:ascii="Times New Roman" w:hAnsi="Times New Roman" w:eastAsia="宋体" w:cs="Times New Roman"/>
                <w:color w:val="auto"/>
                <w:kern w:val="0"/>
                <w:sz w:val="24"/>
              </w:rPr>
              <w:t>-08，</w:t>
            </w:r>
            <w:r>
              <w:rPr>
                <w:rFonts w:hint="eastAsia" w:cs="Times New Roman"/>
                <w:color w:val="auto"/>
                <w:kern w:val="0"/>
                <w:sz w:val="24"/>
                <w:lang w:val="en-US" w:eastAsia="zh-CN"/>
              </w:rPr>
              <w:t>集中收集于危废暂存间，优先用于输送设备润滑，其余废机油委托有资质的公司定期拉运处理。</w:t>
            </w:r>
          </w:p>
          <w:p w14:paraId="786BA81B">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4.</w:t>
            </w:r>
            <w:r>
              <w:rPr>
                <w:rFonts w:hint="eastAsia" w:cs="Times New Roman"/>
                <w:b/>
                <w:bCs/>
                <w:color w:val="auto"/>
                <w:sz w:val="24"/>
                <w:lang w:val="en-US" w:eastAsia="zh-CN"/>
              </w:rPr>
              <w:t>5</w:t>
            </w:r>
            <w:r>
              <w:rPr>
                <w:rFonts w:hint="eastAsia" w:ascii="Times New Roman" w:hAnsi="Times New Roman" w:eastAsia="宋体" w:cs="Times New Roman"/>
                <w:b/>
                <w:bCs/>
                <w:color w:val="auto"/>
                <w:sz w:val="24"/>
                <w:lang w:val="en-US" w:eastAsia="zh-CN"/>
              </w:rPr>
              <w:t>污泥</w:t>
            </w:r>
          </w:p>
          <w:p w14:paraId="07FE35AF">
            <w:pPr>
              <w:pStyle w:val="71"/>
              <w:spacing w:line="360" w:lineRule="auto"/>
              <w:rPr>
                <w:rFonts w:hint="default" w:ascii="Times New Roman" w:hAnsi="Times New Roman" w:cs="Times New Roman"/>
                <w:sz w:val="24"/>
              </w:rPr>
            </w:pPr>
            <w:r>
              <w:rPr>
                <w:rFonts w:hint="eastAsia" w:ascii="Times New Roman" w:hAnsi="Times New Roman" w:cs="Times New Roman"/>
                <w:sz w:val="24"/>
                <w:lang w:val="en-US" w:eastAsia="zh-CN"/>
              </w:rPr>
              <w:t>一体化污水处理设施</w:t>
            </w:r>
            <w:r>
              <w:rPr>
                <w:rFonts w:hint="default" w:ascii="Times New Roman" w:hAnsi="Times New Roman" w:cs="Times New Roman"/>
                <w:sz w:val="24"/>
              </w:rPr>
              <w:t>处理</w:t>
            </w:r>
            <w:r>
              <w:rPr>
                <w:rFonts w:hint="eastAsia" w:ascii="Times New Roman" w:hAnsi="Times New Roman" w:cs="Times New Roman"/>
                <w:sz w:val="24"/>
                <w:lang w:val="en-US" w:eastAsia="zh-CN"/>
              </w:rPr>
              <w:t>生活污水</w:t>
            </w:r>
            <w:r>
              <w:rPr>
                <w:rFonts w:hint="default" w:ascii="Times New Roman" w:hAnsi="Times New Roman" w:cs="Times New Roman"/>
                <w:sz w:val="24"/>
              </w:rPr>
              <w:t>过程中会产生污泥，根据《排污许可证申请与核发技术规范 水处理（试行）》中的计算公式：</w:t>
            </w:r>
          </w:p>
          <w:p w14:paraId="21B03219">
            <w:pPr>
              <w:pStyle w:val="71"/>
              <w:spacing w:line="360" w:lineRule="auto"/>
              <w:rPr>
                <w:rFonts w:hint="default" w:ascii="Times New Roman" w:hAnsi="Times New Roman" w:cs="Times New Roman"/>
                <w:sz w:val="24"/>
              </w:rPr>
            </w:pPr>
            <w:r>
              <w:rPr>
                <w:rFonts w:hint="default" w:ascii="Times New Roman" w:hAnsi="Times New Roman" w:cs="Times New Roman"/>
                <w:sz w:val="24"/>
              </w:rPr>
              <w:t>E产生量=1.7×Q×W</w:t>
            </w:r>
            <w:r>
              <w:rPr>
                <w:rFonts w:hint="default" w:ascii="Times New Roman" w:hAnsi="Times New Roman" w:cs="Times New Roman"/>
                <w:sz w:val="24"/>
                <w:vertAlign w:val="subscript"/>
              </w:rPr>
              <w:t>深</w:t>
            </w:r>
            <w:r>
              <w:rPr>
                <w:rFonts w:hint="default" w:ascii="Times New Roman" w:hAnsi="Times New Roman" w:cs="Times New Roman"/>
                <w:sz w:val="24"/>
              </w:rPr>
              <w:t>×10</w:t>
            </w:r>
            <w:r>
              <w:rPr>
                <w:rFonts w:hint="default" w:ascii="Times New Roman" w:hAnsi="Times New Roman" w:cs="Times New Roman"/>
                <w:sz w:val="24"/>
                <w:vertAlign w:val="superscript"/>
              </w:rPr>
              <w:t>-4</w:t>
            </w:r>
          </w:p>
          <w:p w14:paraId="54AE2BBA">
            <w:pPr>
              <w:pStyle w:val="71"/>
              <w:spacing w:line="360" w:lineRule="auto"/>
              <w:rPr>
                <w:rFonts w:hint="default" w:ascii="Times New Roman" w:hAnsi="Times New Roman" w:cs="Times New Roman"/>
                <w:sz w:val="24"/>
              </w:rPr>
            </w:pPr>
            <w:r>
              <w:rPr>
                <w:rFonts w:hint="default" w:ascii="Times New Roman" w:hAnsi="Times New Roman" w:cs="Times New Roman"/>
                <w:sz w:val="24"/>
              </w:rPr>
              <w:t xml:space="preserve">式中：E 产生量—污水处理过程中产生的污泥量，以干泥计，t； </w:t>
            </w:r>
          </w:p>
          <w:p w14:paraId="51A09E3F">
            <w:pPr>
              <w:pStyle w:val="71"/>
              <w:spacing w:line="360" w:lineRule="auto"/>
              <w:rPr>
                <w:rFonts w:hint="default" w:ascii="Times New Roman" w:hAnsi="Times New Roman" w:cs="Times New Roman"/>
                <w:color w:val="auto"/>
                <w:sz w:val="24"/>
                <w:highlight w:val="none"/>
              </w:rPr>
            </w:pPr>
            <w:r>
              <w:rPr>
                <w:rFonts w:hint="default" w:ascii="Times New Roman" w:hAnsi="Times New Roman" w:cs="Times New Roman"/>
                <w:sz w:val="24"/>
              </w:rPr>
              <w:t>Q—核算时段内排污单位废水排放量，m³；具有有效出水口实测值按实测值计，无有效出水口实测值按进水口实测值计，无有效进水口实测值按协议进水水量计；本项目</w:t>
            </w:r>
            <w:r>
              <w:rPr>
                <w:rFonts w:hint="default" w:ascii="Times New Roman" w:hAnsi="Times New Roman" w:cs="Times New Roman"/>
                <w:sz w:val="24"/>
                <w:highlight w:val="none"/>
              </w:rPr>
              <w:t>取</w:t>
            </w:r>
            <w:r>
              <w:rPr>
                <w:rFonts w:hint="eastAsia" w:cs="Times New Roman"/>
                <w:color w:val="auto"/>
                <w:sz w:val="24"/>
                <w:highlight w:val="none"/>
                <w:lang w:val="en-US" w:eastAsia="zh-CN"/>
              </w:rPr>
              <w:t>497.95</w:t>
            </w:r>
            <w:r>
              <w:rPr>
                <w:rFonts w:hint="default" w:ascii="Times New Roman" w:hAnsi="Times New Roman" w:cs="Times New Roman"/>
                <w:color w:val="auto"/>
                <w:sz w:val="24"/>
                <w:highlight w:val="none"/>
              </w:rPr>
              <w:t>m³。</w:t>
            </w:r>
          </w:p>
          <w:p w14:paraId="48AB55B7">
            <w:pPr>
              <w:pStyle w:val="71"/>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w:t>
            </w:r>
            <w:r>
              <w:rPr>
                <w:rFonts w:hint="default" w:ascii="Times New Roman" w:hAnsi="Times New Roman" w:cs="Times New Roman"/>
                <w:color w:val="auto"/>
                <w:sz w:val="24"/>
                <w:highlight w:val="none"/>
                <w:vertAlign w:val="subscript"/>
              </w:rPr>
              <w:t>深</w:t>
            </w:r>
            <w:r>
              <w:rPr>
                <w:rFonts w:hint="default" w:ascii="Times New Roman" w:hAnsi="Times New Roman" w:cs="Times New Roman"/>
                <w:color w:val="auto"/>
                <w:sz w:val="24"/>
                <w:highlight w:val="none"/>
              </w:rPr>
              <w:t>—有深度处理工艺（添加化学药剂）时按2计，无深度处理工艺时按1计。本项目污水处理工艺无深度处理工艺，因此取1。</w:t>
            </w:r>
          </w:p>
          <w:p w14:paraId="3C42388F">
            <w:pPr>
              <w:autoSpaceDE w:val="0"/>
              <w:autoSpaceDN w:val="0"/>
              <w:adjustRightInd w:val="0"/>
              <w:snapToGrid w:val="0"/>
              <w:spacing w:line="360" w:lineRule="auto"/>
              <w:ind w:firstLine="480" w:firstLineChars="200"/>
              <w:rPr>
                <w:rFonts w:hint="default" w:ascii="Times New Roman" w:hAnsi="Times New Roman" w:eastAsia="宋体" w:cs="Times New Roman"/>
                <w:snapToGrid w:val="0"/>
                <w:color w:val="auto"/>
                <w:kern w:val="0"/>
                <w:sz w:val="24"/>
                <w:szCs w:val="24"/>
                <w:highlight w:val="none"/>
                <w:lang w:val="en-US" w:eastAsia="zh-CN" w:bidi="ar-SA"/>
              </w:rPr>
            </w:pPr>
            <w:r>
              <w:rPr>
                <w:rFonts w:hint="default" w:ascii="Times New Roman" w:hAnsi="Times New Roman" w:eastAsia="宋体" w:cs="Times New Roman"/>
                <w:snapToGrid w:val="0"/>
                <w:color w:val="auto"/>
                <w:kern w:val="0"/>
                <w:sz w:val="24"/>
                <w:szCs w:val="24"/>
                <w:highlight w:val="none"/>
                <w:lang w:val="en-US" w:eastAsia="zh-CN" w:bidi="ar-SA"/>
              </w:rPr>
              <w:t>经核算，污水处理设施污泥产生量为</w:t>
            </w:r>
            <w:r>
              <w:rPr>
                <w:rFonts w:hint="eastAsia" w:ascii="Times New Roman" w:hAnsi="Times New Roman" w:eastAsia="宋体" w:cs="Times New Roman"/>
                <w:snapToGrid w:val="0"/>
                <w:color w:val="auto"/>
                <w:kern w:val="0"/>
                <w:sz w:val="24"/>
                <w:szCs w:val="24"/>
                <w:highlight w:val="none"/>
                <w:lang w:val="en-US" w:eastAsia="zh-CN" w:bidi="ar-SA"/>
              </w:rPr>
              <w:t>0.</w:t>
            </w:r>
            <w:r>
              <w:rPr>
                <w:rFonts w:hint="eastAsia" w:cs="Times New Roman"/>
                <w:snapToGrid w:val="0"/>
                <w:color w:val="auto"/>
                <w:kern w:val="0"/>
                <w:sz w:val="24"/>
                <w:szCs w:val="24"/>
                <w:highlight w:val="none"/>
                <w:lang w:val="en-US" w:eastAsia="zh-CN" w:bidi="ar-SA"/>
              </w:rPr>
              <w:t>085</w:t>
            </w:r>
            <w:r>
              <w:rPr>
                <w:rFonts w:hint="default" w:ascii="Times New Roman" w:hAnsi="Times New Roman" w:eastAsia="宋体" w:cs="Times New Roman"/>
                <w:snapToGrid w:val="0"/>
                <w:color w:val="auto"/>
                <w:kern w:val="0"/>
                <w:sz w:val="24"/>
                <w:szCs w:val="24"/>
                <w:highlight w:val="none"/>
                <w:lang w:val="en-US" w:eastAsia="zh-CN" w:bidi="ar-SA"/>
              </w:rPr>
              <w:t>t/a，</w:t>
            </w:r>
            <w:r>
              <w:rPr>
                <w:rFonts w:hint="eastAsia" w:ascii="Times New Roman" w:hAnsi="Times New Roman" w:eastAsia="宋体" w:cs="Times New Roman"/>
                <w:snapToGrid w:val="0"/>
                <w:color w:val="auto"/>
                <w:kern w:val="0"/>
                <w:sz w:val="24"/>
                <w:szCs w:val="24"/>
                <w:highlight w:val="none"/>
                <w:lang w:val="en-US" w:eastAsia="zh-CN" w:bidi="ar-SA"/>
              </w:rPr>
              <w:t>污泥含水率压滤至60%，定期由有资质的公司专人处理，</w:t>
            </w:r>
            <w:r>
              <w:rPr>
                <w:rFonts w:hint="eastAsia" w:ascii="Times New Roman" w:hAnsi="Times New Roman" w:cs="Times New Roman"/>
                <w:snapToGrid w:val="0"/>
                <w:color w:val="auto"/>
                <w:kern w:val="0"/>
                <w:sz w:val="24"/>
                <w:szCs w:val="24"/>
                <w:highlight w:val="none"/>
                <w:lang w:val="en-US" w:eastAsia="zh-CN" w:bidi="ar-SA"/>
              </w:rPr>
              <w:t>无需项目负责</w:t>
            </w:r>
            <w:r>
              <w:rPr>
                <w:rFonts w:hint="default" w:ascii="Times New Roman" w:hAnsi="Times New Roman" w:eastAsia="宋体" w:cs="Times New Roman"/>
                <w:snapToGrid w:val="0"/>
                <w:color w:val="auto"/>
                <w:kern w:val="0"/>
                <w:sz w:val="24"/>
                <w:szCs w:val="24"/>
                <w:highlight w:val="none"/>
                <w:lang w:val="en-US" w:eastAsia="zh-CN" w:bidi="ar-SA"/>
              </w:rPr>
              <w:t>。</w:t>
            </w:r>
          </w:p>
          <w:p w14:paraId="59B48D4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本项目固废产生情况及去向表见表4-</w:t>
            </w:r>
            <w:r>
              <w:rPr>
                <w:rFonts w:hint="eastAsia" w:cs="Times New Roman"/>
                <w:color w:val="auto"/>
                <w:kern w:val="0"/>
                <w:sz w:val="24"/>
                <w:lang w:val="en-US" w:eastAsia="zh-CN"/>
              </w:rPr>
              <w:t>10</w:t>
            </w:r>
            <w:r>
              <w:rPr>
                <w:rFonts w:hint="eastAsia" w:ascii="Times New Roman" w:hAnsi="Times New Roman" w:eastAsia="宋体" w:cs="Times New Roman"/>
                <w:color w:val="auto"/>
                <w:kern w:val="0"/>
                <w:sz w:val="24"/>
              </w:rPr>
              <w:t>。</w:t>
            </w:r>
          </w:p>
          <w:p w14:paraId="2297D932">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 xml:space="preserve">    固废产生情况及去向表</w:t>
            </w:r>
          </w:p>
          <w:tbl>
            <w:tblPr>
              <w:tblStyle w:val="28"/>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8"/>
              <w:gridCol w:w="910"/>
              <w:gridCol w:w="808"/>
              <w:gridCol w:w="896"/>
              <w:gridCol w:w="756"/>
              <w:gridCol w:w="1212"/>
              <w:gridCol w:w="792"/>
              <w:gridCol w:w="2149"/>
            </w:tblGrid>
            <w:tr w14:paraId="46EDC4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63" w:type="pct"/>
                  <w:tcBorders>
                    <w:bottom w:val="single" w:color="auto" w:sz="12" w:space="0"/>
                  </w:tcBorders>
                  <w:vAlign w:val="center"/>
                </w:tcPr>
                <w:p w14:paraId="515E9912">
                  <w:pPr>
                    <w:pStyle w:val="23"/>
                    <w:spacing w:line="240" w:lineRule="auto"/>
                    <w:jc w:val="center"/>
                    <w:rPr>
                      <w:b/>
                      <w:bCs/>
                      <w:color w:val="auto"/>
                      <w:sz w:val="21"/>
                      <w:szCs w:val="21"/>
                      <w:highlight w:val="none"/>
                    </w:rPr>
                  </w:pPr>
                  <w:r>
                    <w:rPr>
                      <w:rFonts w:hint="eastAsia"/>
                      <w:b/>
                      <w:bCs/>
                      <w:color w:val="auto"/>
                      <w:sz w:val="21"/>
                      <w:szCs w:val="21"/>
                      <w:highlight w:val="none"/>
                    </w:rPr>
                    <w:t>序号</w:t>
                  </w:r>
                </w:p>
              </w:tc>
              <w:tc>
                <w:tcPr>
                  <w:tcW w:w="572" w:type="pct"/>
                  <w:tcBorders>
                    <w:bottom w:val="single" w:color="auto" w:sz="12" w:space="0"/>
                  </w:tcBorders>
                  <w:vAlign w:val="center"/>
                </w:tcPr>
                <w:p w14:paraId="265BAD1D">
                  <w:pPr>
                    <w:pStyle w:val="23"/>
                    <w:spacing w:line="240" w:lineRule="auto"/>
                    <w:jc w:val="center"/>
                    <w:rPr>
                      <w:b/>
                      <w:bCs/>
                      <w:color w:val="auto"/>
                      <w:sz w:val="21"/>
                      <w:szCs w:val="21"/>
                      <w:highlight w:val="none"/>
                    </w:rPr>
                  </w:pPr>
                  <w:r>
                    <w:rPr>
                      <w:rFonts w:hint="eastAsia"/>
                      <w:b/>
                      <w:bCs/>
                      <w:color w:val="auto"/>
                      <w:sz w:val="21"/>
                      <w:szCs w:val="21"/>
                      <w:highlight w:val="none"/>
                    </w:rPr>
                    <w:t>污染物名称</w:t>
                  </w:r>
                </w:p>
              </w:tc>
              <w:tc>
                <w:tcPr>
                  <w:tcW w:w="508" w:type="pct"/>
                  <w:tcBorders>
                    <w:bottom w:val="single" w:color="auto" w:sz="12" w:space="0"/>
                  </w:tcBorders>
                  <w:vAlign w:val="center"/>
                </w:tcPr>
                <w:p w14:paraId="7B13818F">
                  <w:pPr>
                    <w:pStyle w:val="23"/>
                    <w:spacing w:line="240" w:lineRule="auto"/>
                    <w:jc w:val="center"/>
                    <w:rPr>
                      <w:b/>
                      <w:bCs/>
                      <w:color w:val="auto"/>
                      <w:sz w:val="21"/>
                      <w:szCs w:val="21"/>
                      <w:highlight w:val="none"/>
                    </w:rPr>
                  </w:pPr>
                  <w:r>
                    <w:rPr>
                      <w:rFonts w:hint="eastAsia"/>
                      <w:b/>
                      <w:bCs/>
                      <w:color w:val="auto"/>
                      <w:sz w:val="21"/>
                      <w:szCs w:val="21"/>
                      <w:highlight w:val="none"/>
                    </w:rPr>
                    <w:t>产生途径</w:t>
                  </w:r>
                </w:p>
              </w:tc>
              <w:tc>
                <w:tcPr>
                  <w:tcW w:w="564" w:type="pct"/>
                  <w:tcBorders>
                    <w:bottom w:val="single" w:color="auto" w:sz="12" w:space="0"/>
                  </w:tcBorders>
                  <w:vAlign w:val="center"/>
                </w:tcPr>
                <w:p w14:paraId="5D6E72A1">
                  <w:pPr>
                    <w:pStyle w:val="23"/>
                    <w:spacing w:line="240" w:lineRule="auto"/>
                    <w:jc w:val="center"/>
                    <w:rPr>
                      <w:b/>
                      <w:bCs/>
                      <w:color w:val="auto"/>
                      <w:sz w:val="21"/>
                      <w:szCs w:val="21"/>
                      <w:highlight w:val="none"/>
                    </w:rPr>
                  </w:pPr>
                  <w:r>
                    <w:rPr>
                      <w:rFonts w:hint="eastAsia"/>
                      <w:b/>
                      <w:bCs/>
                      <w:color w:val="auto"/>
                      <w:sz w:val="21"/>
                      <w:szCs w:val="21"/>
                      <w:highlight w:val="none"/>
                    </w:rPr>
                    <w:t>固废性质</w:t>
                  </w:r>
                </w:p>
              </w:tc>
              <w:tc>
                <w:tcPr>
                  <w:tcW w:w="476" w:type="pct"/>
                  <w:tcBorders>
                    <w:bottom w:val="single" w:color="auto" w:sz="12" w:space="0"/>
                  </w:tcBorders>
                  <w:vAlign w:val="center"/>
                </w:tcPr>
                <w:p w14:paraId="72C1422D">
                  <w:pPr>
                    <w:pStyle w:val="23"/>
                    <w:spacing w:line="240" w:lineRule="auto"/>
                    <w:jc w:val="center"/>
                    <w:rPr>
                      <w:b/>
                      <w:bCs/>
                      <w:color w:val="auto"/>
                      <w:sz w:val="21"/>
                      <w:szCs w:val="21"/>
                      <w:highlight w:val="none"/>
                    </w:rPr>
                  </w:pPr>
                  <w:r>
                    <w:rPr>
                      <w:rFonts w:hint="eastAsia"/>
                      <w:b/>
                      <w:bCs/>
                      <w:color w:val="auto"/>
                      <w:sz w:val="21"/>
                      <w:szCs w:val="21"/>
                      <w:highlight w:val="none"/>
                    </w:rPr>
                    <w:t>类别</w:t>
                  </w:r>
                </w:p>
              </w:tc>
              <w:tc>
                <w:tcPr>
                  <w:tcW w:w="763" w:type="pct"/>
                  <w:tcBorders>
                    <w:bottom w:val="single" w:color="auto" w:sz="12" w:space="0"/>
                  </w:tcBorders>
                  <w:vAlign w:val="center"/>
                </w:tcPr>
                <w:p w14:paraId="3F6BA958">
                  <w:pPr>
                    <w:pStyle w:val="23"/>
                    <w:spacing w:line="240" w:lineRule="auto"/>
                    <w:jc w:val="center"/>
                    <w:rPr>
                      <w:b/>
                      <w:bCs/>
                      <w:color w:val="auto"/>
                      <w:sz w:val="21"/>
                      <w:szCs w:val="21"/>
                      <w:highlight w:val="none"/>
                    </w:rPr>
                  </w:pPr>
                  <w:r>
                    <w:rPr>
                      <w:rFonts w:hint="eastAsia"/>
                      <w:b/>
                      <w:bCs/>
                      <w:color w:val="auto"/>
                      <w:sz w:val="21"/>
                      <w:szCs w:val="21"/>
                      <w:highlight w:val="none"/>
                    </w:rPr>
                    <w:t>代码</w:t>
                  </w:r>
                </w:p>
              </w:tc>
              <w:tc>
                <w:tcPr>
                  <w:tcW w:w="498" w:type="pct"/>
                  <w:tcBorders>
                    <w:bottom w:val="single" w:color="auto" w:sz="12" w:space="0"/>
                  </w:tcBorders>
                  <w:vAlign w:val="center"/>
                </w:tcPr>
                <w:p w14:paraId="418B7B0F">
                  <w:pPr>
                    <w:pStyle w:val="23"/>
                    <w:spacing w:line="240" w:lineRule="auto"/>
                    <w:jc w:val="center"/>
                    <w:rPr>
                      <w:b/>
                      <w:bCs/>
                      <w:color w:val="auto"/>
                      <w:sz w:val="21"/>
                      <w:szCs w:val="21"/>
                      <w:highlight w:val="none"/>
                    </w:rPr>
                  </w:pPr>
                  <w:r>
                    <w:rPr>
                      <w:rFonts w:hint="eastAsia"/>
                      <w:b/>
                      <w:bCs/>
                      <w:color w:val="auto"/>
                      <w:sz w:val="21"/>
                      <w:szCs w:val="21"/>
                      <w:highlight w:val="none"/>
                    </w:rPr>
                    <w:t>产生量t/a</w:t>
                  </w:r>
                </w:p>
              </w:tc>
              <w:tc>
                <w:tcPr>
                  <w:tcW w:w="1353" w:type="pct"/>
                  <w:tcBorders>
                    <w:bottom w:val="single" w:color="auto" w:sz="12" w:space="0"/>
                  </w:tcBorders>
                  <w:vAlign w:val="center"/>
                </w:tcPr>
                <w:p w14:paraId="5083D019">
                  <w:pPr>
                    <w:pStyle w:val="23"/>
                    <w:spacing w:line="240" w:lineRule="auto"/>
                    <w:jc w:val="center"/>
                    <w:rPr>
                      <w:b/>
                      <w:bCs/>
                      <w:color w:val="auto"/>
                      <w:sz w:val="21"/>
                      <w:szCs w:val="21"/>
                      <w:highlight w:val="none"/>
                    </w:rPr>
                  </w:pPr>
                  <w:r>
                    <w:rPr>
                      <w:rFonts w:hint="eastAsia"/>
                      <w:b/>
                      <w:bCs/>
                      <w:color w:val="auto"/>
                      <w:sz w:val="21"/>
                      <w:szCs w:val="21"/>
                      <w:highlight w:val="none"/>
                    </w:rPr>
                    <w:t>处理措施</w:t>
                  </w:r>
                </w:p>
              </w:tc>
            </w:tr>
            <w:tr w14:paraId="262AFF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63" w:type="pct"/>
                  <w:tcBorders>
                    <w:top w:val="single" w:color="auto" w:sz="12" w:space="0"/>
                    <w:tl2br w:val="nil"/>
                    <w:tr2bl w:val="nil"/>
                  </w:tcBorders>
                  <w:vAlign w:val="center"/>
                </w:tcPr>
                <w:p w14:paraId="17B9FD10">
                  <w:pPr>
                    <w:pStyle w:val="23"/>
                    <w:spacing w:line="240" w:lineRule="auto"/>
                    <w:jc w:val="center"/>
                    <w:rPr>
                      <w:color w:val="auto"/>
                      <w:sz w:val="21"/>
                      <w:szCs w:val="21"/>
                      <w:highlight w:val="none"/>
                    </w:rPr>
                  </w:pPr>
                  <w:r>
                    <w:rPr>
                      <w:rFonts w:hint="eastAsia"/>
                      <w:color w:val="auto"/>
                      <w:sz w:val="21"/>
                      <w:szCs w:val="21"/>
                      <w:highlight w:val="none"/>
                    </w:rPr>
                    <w:t>1</w:t>
                  </w:r>
                </w:p>
              </w:tc>
              <w:tc>
                <w:tcPr>
                  <w:tcW w:w="572" w:type="pct"/>
                  <w:tcBorders>
                    <w:top w:val="single" w:color="auto" w:sz="12" w:space="0"/>
                    <w:tl2br w:val="nil"/>
                    <w:tr2bl w:val="nil"/>
                  </w:tcBorders>
                  <w:vAlign w:val="center"/>
                </w:tcPr>
                <w:p w14:paraId="11DF1478">
                  <w:pPr>
                    <w:pStyle w:val="23"/>
                    <w:spacing w:line="240" w:lineRule="auto"/>
                    <w:jc w:val="center"/>
                    <w:rPr>
                      <w:color w:val="auto"/>
                      <w:sz w:val="21"/>
                      <w:szCs w:val="21"/>
                      <w:highlight w:val="none"/>
                    </w:rPr>
                  </w:pPr>
                  <w:r>
                    <w:rPr>
                      <w:rFonts w:hint="eastAsia"/>
                      <w:color w:val="auto"/>
                      <w:sz w:val="21"/>
                      <w:szCs w:val="21"/>
                      <w:highlight w:val="none"/>
                    </w:rPr>
                    <w:t>不合格混凝土</w:t>
                  </w:r>
                </w:p>
              </w:tc>
              <w:tc>
                <w:tcPr>
                  <w:tcW w:w="508" w:type="pct"/>
                  <w:tcBorders>
                    <w:top w:val="single" w:color="auto" w:sz="12" w:space="0"/>
                    <w:tl2br w:val="nil"/>
                    <w:tr2bl w:val="nil"/>
                  </w:tcBorders>
                  <w:vAlign w:val="center"/>
                </w:tcPr>
                <w:p w14:paraId="20EFEAD3">
                  <w:pPr>
                    <w:pStyle w:val="23"/>
                    <w:spacing w:line="240" w:lineRule="auto"/>
                    <w:jc w:val="center"/>
                    <w:rPr>
                      <w:color w:val="auto"/>
                      <w:sz w:val="21"/>
                      <w:szCs w:val="21"/>
                      <w:highlight w:val="none"/>
                    </w:rPr>
                  </w:pPr>
                  <w:r>
                    <w:rPr>
                      <w:rFonts w:hint="eastAsia"/>
                      <w:color w:val="auto"/>
                      <w:sz w:val="21"/>
                      <w:szCs w:val="21"/>
                      <w:highlight w:val="none"/>
                    </w:rPr>
                    <w:t>生产车间</w:t>
                  </w:r>
                </w:p>
              </w:tc>
              <w:tc>
                <w:tcPr>
                  <w:tcW w:w="564" w:type="pct"/>
                  <w:tcBorders>
                    <w:top w:val="single" w:color="auto" w:sz="12" w:space="0"/>
                    <w:tl2br w:val="nil"/>
                    <w:tr2bl w:val="nil"/>
                  </w:tcBorders>
                  <w:vAlign w:val="center"/>
                </w:tcPr>
                <w:p w14:paraId="3752DF84">
                  <w:pPr>
                    <w:pStyle w:val="23"/>
                    <w:spacing w:line="240" w:lineRule="auto"/>
                    <w:jc w:val="center"/>
                    <w:rPr>
                      <w:color w:val="auto"/>
                      <w:sz w:val="21"/>
                      <w:szCs w:val="21"/>
                      <w:highlight w:val="none"/>
                    </w:rPr>
                  </w:pPr>
                  <w:r>
                    <w:rPr>
                      <w:rFonts w:hint="eastAsia"/>
                      <w:color w:val="auto"/>
                      <w:sz w:val="21"/>
                      <w:szCs w:val="21"/>
                      <w:highlight w:val="none"/>
                    </w:rPr>
                    <w:t>一般工业固体废物</w:t>
                  </w:r>
                </w:p>
              </w:tc>
              <w:tc>
                <w:tcPr>
                  <w:tcW w:w="476" w:type="pct"/>
                  <w:tcBorders>
                    <w:top w:val="single" w:color="auto" w:sz="12" w:space="0"/>
                    <w:tl2br w:val="nil"/>
                    <w:tr2bl w:val="nil"/>
                  </w:tcBorders>
                  <w:vAlign w:val="center"/>
                </w:tcPr>
                <w:p w14:paraId="36A4661E">
                  <w:pPr>
                    <w:pStyle w:val="23"/>
                    <w:spacing w:line="240" w:lineRule="auto"/>
                    <w:jc w:val="center"/>
                    <w:rPr>
                      <w:color w:val="auto"/>
                      <w:sz w:val="21"/>
                      <w:szCs w:val="21"/>
                      <w:highlight w:val="none"/>
                    </w:rPr>
                  </w:pPr>
                  <w:r>
                    <w:rPr>
                      <w:rFonts w:hint="default" w:ascii="Times New Roman" w:hAnsi="Times New Roman" w:cs="Times New Roman"/>
                      <w:color w:val="auto"/>
                      <w:sz w:val="21"/>
                      <w:szCs w:val="21"/>
                      <w:lang w:val="en-US" w:eastAsia="zh-CN"/>
                    </w:rPr>
                    <w:t>SW17</w:t>
                  </w:r>
                </w:p>
              </w:tc>
              <w:tc>
                <w:tcPr>
                  <w:tcW w:w="763" w:type="pct"/>
                  <w:tcBorders>
                    <w:top w:val="single" w:color="auto" w:sz="12" w:space="0"/>
                    <w:tl2br w:val="nil"/>
                    <w:tr2bl w:val="nil"/>
                  </w:tcBorders>
                  <w:vAlign w:val="center"/>
                </w:tcPr>
                <w:p w14:paraId="162608E4">
                  <w:pPr>
                    <w:pStyle w:val="23"/>
                    <w:spacing w:line="240" w:lineRule="auto"/>
                    <w:jc w:val="center"/>
                    <w:rPr>
                      <w:color w:val="auto"/>
                      <w:sz w:val="21"/>
                      <w:szCs w:val="21"/>
                      <w:highlight w:val="none"/>
                    </w:rPr>
                  </w:pPr>
                  <w:r>
                    <w:rPr>
                      <w:rFonts w:hint="eastAsia"/>
                      <w:color w:val="auto"/>
                      <w:sz w:val="21"/>
                      <w:szCs w:val="21"/>
                      <w:highlight w:val="none"/>
                    </w:rPr>
                    <w:t>302-001-99</w:t>
                  </w:r>
                </w:p>
              </w:tc>
              <w:tc>
                <w:tcPr>
                  <w:tcW w:w="498" w:type="pct"/>
                  <w:tcBorders>
                    <w:top w:val="single" w:color="auto" w:sz="12" w:space="0"/>
                    <w:tl2br w:val="nil"/>
                    <w:tr2bl w:val="nil"/>
                  </w:tcBorders>
                  <w:vAlign w:val="center"/>
                </w:tcPr>
                <w:p w14:paraId="18119F97">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25</w:t>
                  </w:r>
                </w:p>
              </w:tc>
              <w:tc>
                <w:tcPr>
                  <w:tcW w:w="1353" w:type="pct"/>
                  <w:vMerge w:val="restart"/>
                  <w:tcBorders>
                    <w:top w:val="single" w:color="auto" w:sz="12" w:space="0"/>
                    <w:tl2br w:val="nil"/>
                    <w:tr2bl w:val="nil"/>
                  </w:tcBorders>
                  <w:vAlign w:val="center"/>
                </w:tcPr>
                <w:p w14:paraId="032B74A9">
                  <w:pPr>
                    <w:pStyle w:val="23"/>
                    <w:spacing w:line="240" w:lineRule="auto"/>
                    <w:jc w:val="center"/>
                    <w:rPr>
                      <w:color w:val="auto"/>
                      <w:sz w:val="21"/>
                      <w:szCs w:val="21"/>
                      <w:highlight w:val="none"/>
                    </w:rPr>
                  </w:pPr>
                  <w:r>
                    <w:rPr>
                      <w:color w:val="auto"/>
                      <w:sz w:val="21"/>
                      <w:szCs w:val="21"/>
                      <w:highlight w:val="none"/>
                    </w:rPr>
                    <w:t>回用于混凝土生产</w:t>
                  </w:r>
                </w:p>
              </w:tc>
            </w:tr>
            <w:tr w14:paraId="4AC874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63" w:type="pct"/>
                  <w:tcBorders>
                    <w:tl2br w:val="nil"/>
                    <w:tr2bl w:val="nil"/>
                  </w:tcBorders>
                  <w:vAlign w:val="center"/>
                </w:tcPr>
                <w:p w14:paraId="0A36721A">
                  <w:pPr>
                    <w:pStyle w:val="23"/>
                    <w:spacing w:line="240" w:lineRule="auto"/>
                    <w:jc w:val="center"/>
                    <w:rPr>
                      <w:color w:val="auto"/>
                      <w:sz w:val="21"/>
                      <w:szCs w:val="21"/>
                      <w:highlight w:val="none"/>
                    </w:rPr>
                  </w:pPr>
                  <w:r>
                    <w:rPr>
                      <w:rFonts w:hint="eastAsia"/>
                      <w:color w:val="auto"/>
                      <w:sz w:val="21"/>
                      <w:szCs w:val="21"/>
                      <w:highlight w:val="none"/>
                    </w:rPr>
                    <w:t>2</w:t>
                  </w:r>
                </w:p>
              </w:tc>
              <w:tc>
                <w:tcPr>
                  <w:tcW w:w="572" w:type="pct"/>
                  <w:tcBorders>
                    <w:tl2br w:val="nil"/>
                    <w:tr2bl w:val="nil"/>
                  </w:tcBorders>
                  <w:vAlign w:val="center"/>
                </w:tcPr>
                <w:p w14:paraId="489D228F">
                  <w:pPr>
                    <w:pStyle w:val="23"/>
                    <w:spacing w:line="240" w:lineRule="auto"/>
                    <w:jc w:val="center"/>
                    <w:rPr>
                      <w:color w:val="auto"/>
                      <w:sz w:val="21"/>
                      <w:szCs w:val="21"/>
                      <w:highlight w:val="none"/>
                    </w:rPr>
                  </w:pPr>
                  <w:r>
                    <w:rPr>
                      <w:rFonts w:hint="eastAsia"/>
                      <w:bCs/>
                      <w:color w:val="auto"/>
                      <w:sz w:val="21"/>
                      <w:szCs w:val="21"/>
                      <w:highlight w:val="none"/>
                    </w:rPr>
                    <w:t>除尘灰</w:t>
                  </w:r>
                </w:p>
              </w:tc>
              <w:tc>
                <w:tcPr>
                  <w:tcW w:w="508" w:type="pct"/>
                  <w:tcBorders>
                    <w:tl2br w:val="nil"/>
                    <w:tr2bl w:val="nil"/>
                  </w:tcBorders>
                  <w:vAlign w:val="center"/>
                </w:tcPr>
                <w:p w14:paraId="7BAFE68C">
                  <w:pPr>
                    <w:pStyle w:val="23"/>
                    <w:spacing w:line="240" w:lineRule="auto"/>
                    <w:jc w:val="center"/>
                    <w:rPr>
                      <w:color w:val="auto"/>
                      <w:sz w:val="21"/>
                      <w:szCs w:val="21"/>
                      <w:highlight w:val="none"/>
                    </w:rPr>
                  </w:pPr>
                  <w:r>
                    <w:rPr>
                      <w:rFonts w:hint="eastAsia"/>
                      <w:color w:val="auto"/>
                      <w:sz w:val="21"/>
                      <w:szCs w:val="21"/>
                      <w:highlight w:val="none"/>
                    </w:rPr>
                    <w:t>收尘系统</w:t>
                  </w:r>
                </w:p>
              </w:tc>
              <w:tc>
                <w:tcPr>
                  <w:tcW w:w="564" w:type="pct"/>
                  <w:tcBorders>
                    <w:tl2br w:val="nil"/>
                    <w:tr2bl w:val="nil"/>
                  </w:tcBorders>
                  <w:vAlign w:val="center"/>
                </w:tcPr>
                <w:p w14:paraId="6746625D">
                  <w:pPr>
                    <w:pStyle w:val="23"/>
                    <w:spacing w:line="240" w:lineRule="auto"/>
                    <w:jc w:val="center"/>
                    <w:rPr>
                      <w:color w:val="auto"/>
                      <w:sz w:val="21"/>
                      <w:szCs w:val="21"/>
                      <w:highlight w:val="none"/>
                    </w:rPr>
                  </w:pPr>
                  <w:r>
                    <w:rPr>
                      <w:rFonts w:hint="eastAsia"/>
                      <w:color w:val="auto"/>
                      <w:sz w:val="21"/>
                      <w:szCs w:val="21"/>
                      <w:highlight w:val="none"/>
                    </w:rPr>
                    <w:t>一般工业固体废物</w:t>
                  </w:r>
                </w:p>
              </w:tc>
              <w:tc>
                <w:tcPr>
                  <w:tcW w:w="476" w:type="pct"/>
                  <w:tcBorders>
                    <w:tl2br w:val="nil"/>
                    <w:tr2bl w:val="nil"/>
                  </w:tcBorders>
                  <w:vAlign w:val="center"/>
                </w:tcPr>
                <w:p w14:paraId="3A6197BC">
                  <w:pPr>
                    <w:pStyle w:val="23"/>
                    <w:spacing w:line="240" w:lineRule="auto"/>
                    <w:jc w:val="center"/>
                    <w:rPr>
                      <w:color w:val="auto"/>
                      <w:sz w:val="21"/>
                      <w:szCs w:val="21"/>
                      <w:highlight w:val="none"/>
                    </w:rPr>
                  </w:pPr>
                  <w:r>
                    <w:rPr>
                      <w:rFonts w:hint="default" w:ascii="Times New Roman" w:hAnsi="Times New Roman" w:cs="Times New Roman"/>
                      <w:color w:val="auto"/>
                      <w:sz w:val="21"/>
                      <w:szCs w:val="21"/>
                      <w:lang w:val="en-US" w:eastAsia="zh-CN"/>
                    </w:rPr>
                    <w:t>SW17</w:t>
                  </w:r>
                </w:p>
              </w:tc>
              <w:tc>
                <w:tcPr>
                  <w:tcW w:w="763" w:type="pct"/>
                  <w:tcBorders>
                    <w:tl2br w:val="nil"/>
                    <w:tr2bl w:val="nil"/>
                  </w:tcBorders>
                  <w:vAlign w:val="center"/>
                </w:tcPr>
                <w:p w14:paraId="7E7488A8">
                  <w:pPr>
                    <w:pStyle w:val="23"/>
                    <w:spacing w:line="240" w:lineRule="auto"/>
                    <w:jc w:val="center"/>
                    <w:rPr>
                      <w:color w:val="auto"/>
                      <w:sz w:val="21"/>
                      <w:szCs w:val="21"/>
                      <w:highlight w:val="none"/>
                    </w:rPr>
                  </w:pPr>
                  <w:r>
                    <w:rPr>
                      <w:rFonts w:hint="eastAsia"/>
                      <w:color w:val="auto"/>
                      <w:sz w:val="21"/>
                      <w:szCs w:val="21"/>
                      <w:highlight w:val="none"/>
                    </w:rPr>
                    <w:t>420-001-66</w:t>
                  </w:r>
                </w:p>
              </w:tc>
              <w:tc>
                <w:tcPr>
                  <w:tcW w:w="498" w:type="pct"/>
                  <w:tcBorders>
                    <w:tl2br w:val="nil"/>
                    <w:tr2bl w:val="nil"/>
                  </w:tcBorders>
                  <w:vAlign w:val="center"/>
                </w:tcPr>
                <w:p w14:paraId="0C7B8BDE">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341.22</w:t>
                  </w:r>
                </w:p>
              </w:tc>
              <w:tc>
                <w:tcPr>
                  <w:tcW w:w="1353" w:type="pct"/>
                  <w:vMerge w:val="continue"/>
                  <w:tcBorders>
                    <w:tl2br w:val="nil"/>
                    <w:tr2bl w:val="nil"/>
                  </w:tcBorders>
                  <w:vAlign w:val="center"/>
                </w:tcPr>
                <w:p w14:paraId="60556750">
                  <w:pPr>
                    <w:pStyle w:val="23"/>
                    <w:spacing w:line="240" w:lineRule="auto"/>
                    <w:jc w:val="center"/>
                    <w:rPr>
                      <w:color w:val="auto"/>
                      <w:sz w:val="21"/>
                      <w:szCs w:val="21"/>
                      <w:highlight w:val="none"/>
                    </w:rPr>
                  </w:pPr>
                </w:p>
              </w:tc>
            </w:tr>
            <w:tr w14:paraId="4E92B5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tcBorders>
                    <w:tl2br w:val="nil"/>
                    <w:tr2bl w:val="nil"/>
                  </w:tcBorders>
                  <w:vAlign w:val="center"/>
                </w:tcPr>
                <w:p w14:paraId="1EECF317">
                  <w:pPr>
                    <w:pStyle w:val="23"/>
                    <w:spacing w:line="240" w:lineRule="auto"/>
                    <w:jc w:val="center"/>
                    <w:rPr>
                      <w:color w:val="auto"/>
                      <w:sz w:val="21"/>
                      <w:szCs w:val="21"/>
                      <w:highlight w:val="none"/>
                    </w:rPr>
                  </w:pPr>
                  <w:r>
                    <w:rPr>
                      <w:rFonts w:hint="eastAsia"/>
                      <w:color w:val="auto"/>
                      <w:sz w:val="21"/>
                      <w:szCs w:val="21"/>
                      <w:highlight w:val="none"/>
                    </w:rPr>
                    <w:t>3</w:t>
                  </w:r>
                </w:p>
              </w:tc>
              <w:tc>
                <w:tcPr>
                  <w:tcW w:w="572" w:type="pct"/>
                  <w:tcBorders>
                    <w:tl2br w:val="nil"/>
                    <w:tr2bl w:val="nil"/>
                  </w:tcBorders>
                  <w:vAlign w:val="center"/>
                </w:tcPr>
                <w:p w14:paraId="17DD5C0B">
                  <w:pPr>
                    <w:pStyle w:val="23"/>
                    <w:spacing w:line="240" w:lineRule="auto"/>
                    <w:jc w:val="center"/>
                    <w:rPr>
                      <w:color w:val="auto"/>
                      <w:sz w:val="21"/>
                      <w:szCs w:val="21"/>
                      <w:highlight w:val="none"/>
                    </w:rPr>
                  </w:pPr>
                  <w:r>
                    <w:rPr>
                      <w:rFonts w:hint="eastAsia"/>
                      <w:color w:val="auto"/>
                      <w:sz w:val="21"/>
                      <w:szCs w:val="21"/>
                      <w:highlight w:val="none"/>
                    </w:rPr>
                    <w:t>沉淀池沉渣</w:t>
                  </w:r>
                </w:p>
              </w:tc>
              <w:tc>
                <w:tcPr>
                  <w:tcW w:w="508" w:type="pct"/>
                  <w:tcBorders>
                    <w:tl2br w:val="nil"/>
                    <w:tr2bl w:val="nil"/>
                  </w:tcBorders>
                  <w:vAlign w:val="center"/>
                </w:tcPr>
                <w:p w14:paraId="793BC28E">
                  <w:pPr>
                    <w:pStyle w:val="23"/>
                    <w:spacing w:line="240" w:lineRule="auto"/>
                    <w:jc w:val="center"/>
                    <w:rPr>
                      <w:color w:val="auto"/>
                      <w:sz w:val="21"/>
                      <w:szCs w:val="21"/>
                      <w:highlight w:val="none"/>
                    </w:rPr>
                  </w:pPr>
                  <w:r>
                    <w:rPr>
                      <w:rFonts w:hint="eastAsia"/>
                      <w:color w:val="auto"/>
                      <w:sz w:val="21"/>
                      <w:szCs w:val="21"/>
                      <w:highlight w:val="none"/>
                    </w:rPr>
                    <w:t>沉淀池</w:t>
                  </w:r>
                </w:p>
              </w:tc>
              <w:tc>
                <w:tcPr>
                  <w:tcW w:w="564" w:type="pct"/>
                  <w:tcBorders>
                    <w:tl2br w:val="nil"/>
                    <w:tr2bl w:val="nil"/>
                  </w:tcBorders>
                  <w:vAlign w:val="center"/>
                </w:tcPr>
                <w:p w14:paraId="48890849">
                  <w:pPr>
                    <w:pStyle w:val="23"/>
                    <w:spacing w:line="240" w:lineRule="auto"/>
                    <w:jc w:val="center"/>
                    <w:rPr>
                      <w:color w:val="auto"/>
                      <w:sz w:val="21"/>
                      <w:szCs w:val="21"/>
                      <w:highlight w:val="none"/>
                    </w:rPr>
                  </w:pPr>
                  <w:r>
                    <w:rPr>
                      <w:rFonts w:hint="eastAsia"/>
                      <w:color w:val="auto"/>
                      <w:sz w:val="21"/>
                      <w:szCs w:val="21"/>
                      <w:highlight w:val="none"/>
                    </w:rPr>
                    <w:t>一般工业固体废物</w:t>
                  </w:r>
                </w:p>
              </w:tc>
              <w:tc>
                <w:tcPr>
                  <w:tcW w:w="476" w:type="pct"/>
                  <w:tcBorders>
                    <w:tl2br w:val="nil"/>
                    <w:tr2bl w:val="nil"/>
                  </w:tcBorders>
                  <w:vAlign w:val="center"/>
                </w:tcPr>
                <w:p w14:paraId="4186FAA7">
                  <w:pPr>
                    <w:pStyle w:val="23"/>
                    <w:spacing w:line="240" w:lineRule="auto"/>
                    <w:jc w:val="center"/>
                    <w:rPr>
                      <w:color w:val="auto"/>
                      <w:sz w:val="21"/>
                      <w:szCs w:val="21"/>
                      <w:highlight w:val="none"/>
                    </w:rPr>
                  </w:pPr>
                  <w:r>
                    <w:rPr>
                      <w:rFonts w:hint="default" w:ascii="Times New Roman" w:hAnsi="Times New Roman" w:cs="Times New Roman"/>
                      <w:color w:val="auto"/>
                      <w:sz w:val="21"/>
                      <w:szCs w:val="21"/>
                      <w:lang w:val="en-US" w:eastAsia="zh-CN"/>
                    </w:rPr>
                    <w:t>SW17</w:t>
                  </w:r>
                </w:p>
              </w:tc>
              <w:tc>
                <w:tcPr>
                  <w:tcW w:w="763" w:type="pct"/>
                  <w:tcBorders>
                    <w:tl2br w:val="nil"/>
                    <w:tr2bl w:val="nil"/>
                  </w:tcBorders>
                  <w:vAlign w:val="center"/>
                </w:tcPr>
                <w:p w14:paraId="724410A1">
                  <w:pPr>
                    <w:pStyle w:val="23"/>
                    <w:spacing w:line="240" w:lineRule="auto"/>
                    <w:jc w:val="center"/>
                    <w:rPr>
                      <w:color w:val="auto"/>
                      <w:sz w:val="21"/>
                      <w:szCs w:val="21"/>
                      <w:highlight w:val="none"/>
                    </w:rPr>
                  </w:pPr>
                  <w:r>
                    <w:rPr>
                      <w:rFonts w:hint="eastAsia"/>
                      <w:color w:val="auto"/>
                      <w:sz w:val="21"/>
                      <w:szCs w:val="21"/>
                      <w:highlight w:val="none"/>
                    </w:rPr>
                    <w:t>420-001-61</w:t>
                  </w:r>
                </w:p>
              </w:tc>
              <w:tc>
                <w:tcPr>
                  <w:tcW w:w="498" w:type="pct"/>
                  <w:tcBorders>
                    <w:tl2br w:val="nil"/>
                    <w:tr2bl w:val="nil"/>
                  </w:tcBorders>
                  <w:vAlign w:val="center"/>
                </w:tcPr>
                <w:p w14:paraId="2DDC5714">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29.07</w:t>
                  </w:r>
                </w:p>
              </w:tc>
              <w:tc>
                <w:tcPr>
                  <w:tcW w:w="1353" w:type="pct"/>
                  <w:vMerge w:val="continue"/>
                  <w:tcBorders>
                    <w:tl2br w:val="nil"/>
                    <w:tr2bl w:val="nil"/>
                  </w:tcBorders>
                  <w:vAlign w:val="center"/>
                </w:tcPr>
                <w:p w14:paraId="2AD291BA">
                  <w:pPr>
                    <w:pStyle w:val="23"/>
                    <w:spacing w:line="240" w:lineRule="auto"/>
                    <w:jc w:val="center"/>
                    <w:rPr>
                      <w:color w:val="auto"/>
                      <w:sz w:val="21"/>
                      <w:szCs w:val="21"/>
                      <w:highlight w:val="none"/>
                    </w:rPr>
                  </w:pPr>
                </w:p>
              </w:tc>
            </w:tr>
            <w:tr w14:paraId="63C490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tcBorders>
                    <w:tl2br w:val="nil"/>
                    <w:tr2bl w:val="nil"/>
                  </w:tcBorders>
                  <w:vAlign w:val="center"/>
                </w:tcPr>
                <w:p w14:paraId="310627C4">
                  <w:pPr>
                    <w:pStyle w:val="23"/>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4</w:t>
                  </w:r>
                </w:p>
              </w:tc>
              <w:tc>
                <w:tcPr>
                  <w:tcW w:w="572" w:type="pct"/>
                  <w:tcBorders>
                    <w:tl2br w:val="nil"/>
                    <w:tr2bl w:val="nil"/>
                  </w:tcBorders>
                  <w:vAlign w:val="center"/>
                </w:tcPr>
                <w:p w14:paraId="619EAD28">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实验室废料</w:t>
                  </w:r>
                </w:p>
              </w:tc>
              <w:tc>
                <w:tcPr>
                  <w:tcW w:w="508" w:type="pct"/>
                  <w:tcBorders>
                    <w:tl2br w:val="nil"/>
                    <w:tr2bl w:val="nil"/>
                  </w:tcBorders>
                  <w:vAlign w:val="center"/>
                </w:tcPr>
                <w:p w14:paraId="723E03D2">
                  <w:pPr>
                    <w:pStyle w:val="23"/>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实验室</w:t>
                  </w:r>
                </w:p>
              </w:tc>
              <w:tc>
                <w:tcPr>
                  <w:tcW w:w="564" w:type="pct"/>
                  <w:tcBorders>
                    <w:tl2br w:val="nil"/>
                    <w:tr2bl w:val="nil"/>
                  </w:tcBorders>
                  <w:vAlign w:val="center"/>
                </w:tcPr>
                <w:p w14:paraId="05B56DAE">
                  <w:pPr>
                    <w:pStyle w:val="23"/>
                    <w:spacing w:line="240" w:lineRule="auto"/>
                    <w:jc w:val="center"/>
                    <w:rPr>
                      <w:rFonts w:hint="eastAsia"/>
                      <w:color w:val="auto"/>
                      <w:sz w:val="21"/>
                      <w:szCs w:val="21"/>
                      <w:highlight w:val="none"/>
                    </w:rPr>
                  </w:pPr>
                  <w:r>
                    <w:rPr>
                      <w:rFonts w:hint="eastAsia"/>
                      <w:color w:val="auto"/>
                      <w:sz w:val="21"/>
                      <w:szCs w:val="21"/>
                      <w:highlight w:val="none"/>
                    </w:rPr>
                    <w:t>一般工业固体废物</w:t>
                  </w:r>
                </w:p>
              </w:tc>
              <w:tc>
                <w:tcPr>
                  <w:tcW w:w="476" w:type="pct"/>
                  <w:tcBorders>
                    <w:tl2br w:val="nil"/>
                    <w:tr2bl w:val="nil"/>
                  </w:tcBorders>
                  <w:vAlign w:val="center"/>
                </w:tcPr>
                <w:p w14:paraId="641D60B6">
                  <w:pPr>
                    <w:pStyle w:val="23"/>
                    <w:spacing w:line="240" w:lineRule="auto"/>
                    <w:jc w:val="center"/>
                    <w:rPr>
                      <w:rFonts w:hint="eastAsia"/>
                      <w:color w:val="auto"/>
                      <w:sz w:val="21"/>
                      <w:szCs w:val="21"/>
                      <w:highlight w:val="none"/>
                    </w:rPr>
                  </w:pPr>
                  <w:r>
                    <w:rPr>
                      <w:rFonts w:hint="default" w:ascii="Times New Roman" w:hAnsi="Times New Roman" w:cs="Times New Roman"/>
                      <w:color w:val="auto"/>
                      <w:sz w:val="21"/>
                      <w:szCs w:val="21"/>
                      <w:lang w:val="en-US" w:eastAsia="zh-CN"/>
                    </w:rPr>
                    <w:t>SW17</w:t>
                  </w:r>
                </w:p>
              </w:tc>
              <w:tc>
                <w:tcPr>
                  <w:tcW w:w="763" w:type="pct"/>
                  <w:tcBorders>
                    <w:tl2br w:val="nil"/>
                    <w:tr2bl w:val="nil"/>
                  </w:tcBorders>
                  <w:vAlign w:val="center"/>
                </w:tcPr>
                <w:p w14:paraId="7EC4C5D8">
                  <w:pPr>
                    <w:pStyle w:val="23"/>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302-001-99</w:t>
                  </w:r>
                </w:p>
              </w:tc>
              <w:tc>
                <w:tcPr>
                  <w:tcW w:w="498" w:type="pct"/>
                  <w:tcBorders>
                    <w:tl2br w:val="nil"/>
                    <w:tr2bl w:val="nil"/>
                  </w:tcBorders>
                  <w:vAlign w:val="center"/>
                </w:tcPr>
                <w:p w14:paraId="329A40A8">
                  <w:pPr>
                    <w:pStyle w:val="23"/>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1353" w:type="pct"/>
                  <w:vMerge w:val="continue"/>
                  <w:tcBorders>
                    <w:tl2br w:val="nil"/>
                    <w:tr2bl w:val="nil"/>
                  </w:tcBorders>
                  <w:vAlign w:val="center"/>
                </w:tcPr>
                <w:p w14:paraId="75E15C94">
                  <w:pPr>
                    <w:pStyle w:val="23"/>
                    <w:spacing w:line="240" w:lineRule="auto"/>
                    <w:jc w:val="center"/>
                    <w:rPr>
                      <w:color w:val="auto"/>
                      <w:sz w:val="21"/>
                      <w:szCs w:val="21"/>
                      <w:highlight w:val="none"/>
                    </w:rPr>
                  </w:pPr>
                </w:p>
              </w:tc>
            </w:tr>
            <w:tr w14:paraId="3A2079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tcBorders>
                    <w:tl2br w:val="nil"/>
                    <w:tr2bl w:val="nil"/>
                  </w:tcBorders>
                  <w:vAlign w:val="center"/>
                </w:tcPr>
                <w:p w14:paraId="6AAC4E54">
                  <w:pPr>
                    <w:pStyle w:val="23"/>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572" w:type="pct"/>
                  <w:tcBorders>
                    <w:tl2br w:val="nil"/>
                    <w:tr2bl w:val="nil"/>
                  </w:tcBorders>
                  <w:vAlign w:val="center"/>
                </w:tcPr>
                <w:p w14:paraId="33770F05">
                  <w:pPr>
                    <w:pStyle w:val="23"/>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非包装</w:t>
                  </w:r>
                </w:p>
              </w:tc>
              <w:tc>
                <w:tcPr>
                  <w:tcW w:w="508" w:type="pct"/>
                  <w:tcBorders>
                    <w:tl2br w:val="nil"/>
                    <w:tr2bl w:val="nil"/>
                  </w:tcBorders>
                  <w:vAlign w:val="center"/>
                </w:tcPr>
                <w:p w14:paraId="342F9178">
                  <w:pPr>
                    <w:pStyle w:val="23"/>
                    <w:spacing w:line="240" w:lineRule="auto"/>
                    <w:jc w:val="center"/>
                    <w:rPr>
                      <w:rFonts w:hint="eastAsia"/>
                      <w:color w:val="auto"/>
                      <w:sz w:val="21"/>
                      <w:szCs w:val="21"/>
                      <w:highlight w:val="none"/>
                      <w:lang w:val="en-US" w:eastAsia="zh-CN"/>
                    </w:rPr>
                  </w:pPr>
                  <w:r>
                    <w:rPr>
                      <w:rFonts w:hint="eastAsia"/>
                      <w:color w:val="auto"/>
                      <w:sz w:val="21"/>
                      <w:szCs w:val="21"/>
                      <w:highlight w:val="none"/>
                    </w:rPr>
                    <w:t>生产车间</w:t>
                  </w:r>
                </w:p>
              </w:tc>
              <w:tc>
                <w:tcPr>
                  <w:tcW w:w="564" w:type="pct"/>
                  <w:tcBorders>
                    <w:tl2br w:val="nil"/>
                    <w:tr2bl w:val="nil"/>
                  </w:tcBorders>
                  <w:vAlign w:val="center"/>
                </w:tcPr>
                <w:p w14:paraId="34A9B168">
                  <w:pPr>
                    <w:pStyle w:val="23"/>
                    <w:spacing w:line="240" w:lineRule="auto"/>
                    <w:jc w:val="center"/>
                    <w:rPr>
                      <w:rFonts w:hint="eastAsia"/>
                      <w:color w:val="auto"/>
                      <w:sz w:val="21"/>
                      <w:szCs w:val="21"/>
                      <w:highlight w:val="none"/>
                    </w:rPr>
                  </w:pPr>
                  <w:r>
                    <w:rPr>
                      <w:rFonts w:hint="eastAsia"/>
                      <w:color w:val="auto"/>
                      <w:sz w:val="21"/>
                      <w:szCs w:val="21"/>
                      <w:highlight w:val="none"/>
                    </w:rPr>
                    <w:t>一般工业固体废物</w:t>
                  </w:r>
                </w:p>
              </w:tc>
              <w:tc>
                <w:tcPr>
                  <w:tcW w:w="476" w:type="pct"/>
                  <w:tcBorders>
                    <w:tl2br w:val="nil"/>
                    <w:tr2bl w:val="nil"/>
                  </w:tcBorders>
                  <w:vAlign w:val="center"/>
                </w:tcPr>
                <w:p w14:paraId="40B55AC0">
                  <w:pPr>
                    <w:pStyle w:val="23"/>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SW64</w:t>
                  </w:r>
                </w:p>
              </w:tc>
              <w:tc>
                <w:tcPr>
                  <w:tcW w:w="763" w:type="pct"/>
                  <w:tcBorders>
                    <w:tl2br w:val="nil"/>
                    <w:tr2bl w:val="nil"/>
                  </w:tcBorders>
                  <w:vAlign w:val="center"/>
                </w:tcPr>
                <w:p w14:paraId="5FC80013">
                  <w:pPr>
                    <w:pStyle w:val="23"/>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498" w:type="pct"/>
                  <w:tcBorders>
                    <w:tl2br w:val="nil"/>
                    <w:tr2bl w:val="nil"/>
                  </w:tcBorders>
                  <w:vAlign w:val="center"/>
                </w:tcPr>
                <w:p w14:paraId="0036CAA4">
                  <w:pPr>
                    <w:pStyle w:val="23"/>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1353" w:type="pct"/>
                  <w:tcBorders>
                    <w:tl2br w:val="nil"/>
                    <w:tr2bl w:val="nil"/>
                  </w:tcBorders>
                  <w:vAlign w:val="center"/>
                </w:tcPr>
                <w:p w14:paraId="6E311886">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外售综合利用</w:t>
                  </w:r>
                </w:p>
              </w:tc>
            </w:tr>
            <w:tr w14:paraId="01DB32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tcBorders>
                    <w:tl2br w:val="nil"/>
                    <w:tr2bl w:val="nil"/>
                  </w:tcBorders>
                  <w:vAlign w:val="center"/>
                </w:tcPr>
                <w:p w14:paraId="5384113E">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6</w:t>
                  </w:r>
                </w:p>
              </w:tc>
              <w:tc>
                <w:tcPr>
                  <w:tcW w:w="572" w:type="pct"/>
                  <w:tcBorders>
                    <w:tl2br w:val="nil"/>
                    <w:tr2bl w:val="nil"/>
                  </w:tcBorders>
                  <w:vAlign w:val="center"/>
                </w:tcPr>
                <w:p w14:paraId="2C095B38">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污泥</w:t>
                  </w:r>
                </w:p>
              </w:tc>
              <w:tc>
                <w:tcPr>
                  <w:tcW w:w="508" w:type="pct"/>
                  <w:tcBorders>
                    <w:tl2br w:val="nil"/>
                    <w:tr2bl w:val="nil"/>
                  </w:tcBorders>
                  <w:vAlign w:val="center"/>
                </w:tcPr>
                <w:p w14:paraId="4FA76043">
                  <w:pPr>
                    <w:pStyle w:val="23"/>
                    <w:spacing w:line="240" w:lineRule="auto"/>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一体化污水处理设备</w:t>
                  </w:r>
                </w:p>
              </w:tc>
              <w:tc>
                <w:tcPr>
                  <w:tcW w:w="564" w:type="pct"/>
                  <w:tcBorders>
                    <w:tl2br w:val="nil"/>
                    <w:tr2bl w:val="nil"/>
                  </w:tcBorders>
                  <w:vAlign w:val="center"/>
                </w:tcPr>
                <w:p w14:paraId="4CA3B2A0">
                  <w:pPr>
                    <w:pStyle w:val="23"/>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一般工业固废</w:t>
                  </w:r>
                </w:p>
              </w:tc>
              <w:tc>
                <w:tcPr>
                  <w:tcW w:w="476" w:type="pct"/>
                  <w:tcBorders>
                    <w:tl2br w:val="nil"/>
                    <w:tr2bl w:val="nil"/>
                  </w:tcBorders>
                  <w:vAlign w:val="center"/>
                </w:tcPr>
                <w:p w14:paraId="349C32C6">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SW07</w:t>
                  </w:r>
                </w:p>
              </w:tc>
              <w:tc>
                <w:tcPr>
                  <w:tcW w:w="763" w:type="pct"/>
                  <w:tcBorders>
                    <w:tl2br w:val="nil"/>
                    <w:tr2bl w:val="nil"/>
                  </w:tcBorders>
                  <w:vAlign w:val="center"/>
                </w:tcPr>
                <w:p w14:paraId="18463AF6">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900-099-S07</w:t>
                  </w:r>
                </w:p>
              </w:tc>
              <w:tc>
                <w:tcPr>
                  <w:tcW w:w="498" w:type="pct"/>
                  <w:tcBorders>
                    <w:tl2br w:val="nil"/>
                    <w:tr2bl w:val="nil"/>
                  </w:tcBorders>
                  <w:vAlign w:val="center"/>
                </w:tcPr>
                <w:p w14:paraId="6BFE8004">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0.085</w:t>
                  </w:r>
                </w:p>
              </w:tc>
              <w:tc>
                <w:tcPr>
                  <w:tcW w:w="1353" w:type="pct"/>
                  <w:tcBorders>
                    <w:tl2br w:val="nil"/>
                    <w:tr2bl w:val="nil"/>
                  </w:tcBorders>
                  <w:vAlign w:val="center"/>
                </w:tcPr>
                <w:p w14:paraId="39081E1B">
                  <w:pPr>
                    <w:pStyle w:val="23"/>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有资质的单位</w:t>
                  </w:r>
                </w:p>
                <w:p w14:paraId="28D9E8F9">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定时处理</w:t>
                  </w:r>
                </w:p>
              </w:tc>
            </w:tr>
            <w:tr w14:paraId="321A0E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tcBorders>
                    <w:tl2br w:val="nil"/>
                    <w:tr2bl w:val="nil"/>
                  </w:tcBorders>
                  <w:vAlign w:val="center"/>
                </w:tcPr>
                <w:p w14:paraId="0B9788E0">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w:t>
                  </w:r>
                </w:p>
              </w:tc>
              <w:tc>
                <w:tcPr>
                  <w:tcW w:w="572" w:type="pct"/>
                  <w:tcBorders>
                    <w:tl2br w:val="nil"/>
                    <w:tr2bl w:val="nil"/>
                  </w:tcBorders>
                  <w:vAlign w:val="center"/>
                </w:tcPr>
                <w:p w14:paraId="25180D44">
                  <w:pPr>
                    <w:pStyle w:val="23"/>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生活垃圾</w:t>
                  </w:r>
                </w:p>
              </w:tc>
              <w:tc>
                <w:tcPr>
                  <w:tcW w:w="508" w:type="pct"/>
                  <w:tcBorders>
                    <w:tl2br w:val="nil"/>
                    <w:tr2bl w:val="nil"/>
                  </w:tcBorders>
                  <w:vAlign w:val="center"/>
                </w:tcPr>
                <w:p w14:paraId="725D3DE3">
                  <w:pPr>
                    <w:pStyle w:val="23"/>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工作人员日常生活</w:t>
                  </w:r>
                </w:p>
              </w:tc>
              <w:tc>
                <w:tcPr>
                  <w:tcW w:w="564" w:type="pct"/>
                  <w:tcBorders>
                    <w:tl2br w:val="nil"/>
                    <w:tr2bl w:val="nil"/>
                  </w:tcBorders>
                  <w:vAlign w:val="center"/>
                </w:tcPr>
                <w:p w14:paraId="29EA505A">
                  <w:pPr>
                    <w:pStyle w:val="23"/>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生活垃圾</w:t>
                  </w:r>
                </w:p>
              </w:tc>
              <w:tc>
                <w:tcPr>
                  <w:tcW w:w="476" w:type="pct"/>
                  <w:tcBorders>
                    <w:tl2br w:val="nil"/>
                    <w:tr2bl w:val="nil"/>
                  </w:tcBorders>
                  <w:vAlign w:val="center"/>
                </w:tcPr>
                <w:p w14:paraId="4733108D">
                  <w:pPr>
                    <w:pStyle w:val="23"/>
                    <w:spacing w:line="240" w:lineRule="auto"/>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SW64</w:t>
                  </w:r>
                </w:p>
              </w:tc>
              <w:tc>
                <w:tcPr>
                  <w:tcW w:w="763" w:type="pct"/>
                  <w:tcBorders>
                    <w:tl2br w:val="nil"/>
                    <w:tr2bl w:val="nil"/>
                  </w:tcBorders>
                  <w:vAlign w:val="center"/>
                </w:tcPr>
                <w:p w14:paraId="41DF7F27">
                  <w:pPr>
                    <w:pStyle w:val="23"/>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w:t>
                  </w:r>
                </w:p>
              </w:tc>
              <w:tc>
                <w:tcPr>
                  <w:tcW w:w="498" w:type="pct"/>
                  <w:tcBorders>
                    <w:tl2br w:val="nil"/>
                    <w:tr2bl w:val="nil"/>
                  </w:tcBorders>
                  <w:vAlign w:val="center"/>
                </w:tcPr>
                <w:p w14:paraId="387BC049">
                  <w:pPr>
                    <w:pStyle w:val="23"/>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8.28</w:t>
                  </w:r>
                </w:p>
              </w:tc>
              <w:tc>
                <w:tcPr>
                  <w:tcW w:w="1353" w:type="pct"/>
                  <w:tcBorders>
                    <w:tl2br w:val="nil"/>
                    <w:tr2bl w:val="nil"/>
                  </w:tcBorders>
                  <w:vAlign w:val="center"/>
                </w:tcPr>
                <w:p w14:paraId="047E638D">
                  <w:pPr>
                    <w:pStyle w:val="23"/>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环卫部门定时清运</w:t>
                  </w:r>
                </w:p>
              </w:tc>
            </w:tr>
            <w:tr w14:paraId="3E686D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3" w:type="pct"/>
                  <w:tcBorders>
                    <w:tl2br w:val="nil"/>
                    <w:tr2bl w:val="nil"/>
                  </w:tcBorders>
                  <w:vAlign w:val="center"/>
                </w:tcPr>
                <w:p w14:paraId="529EC992">
                  <w:pPr>
                    <w:pStyle w:val="23"/>
                    <w:spacing w:line="24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8</w:t>
                  </w:r>
                </w:p>
              </w:tc>
              <w:tc>
                <w:tcPr>
                  <w:tcW w:w="572" w:type="pct"/>
                  <w:tcBorders>
                    <w:tl2br w:val="nil"/>
                    <w:tr2bl w:val="nil"/>
                  </w:tcBorders>
                  <w:vAlign w:val="center"/>
                </w:tcPr>
                <w:p w14:paraId="346F335F">
                  <w:pPr>
                    <w:pStyle w:val="23"/>
                    <w:spacing w:line="240" w:lineRule="auto"/>
                    <w:jc w:val="center"/>
                    <w:rPr>
                      <w:color w:val="auto"/>
                      <w:sz w:val="21"/>
                      <w:szCs w:val="21"/>
                      <w:highlight w:val="none"/>
                    </w:rPr>
                  </w:pPr>
                  <w:r>
                    <w:rPr>
                      <w:rFonts w:hint="eastAsia"/>
                      <w:color w:val="auto"/>
                      <w:sz w:val="21"/>
                      <w:szCs w:val="21"/>
                      <w:highlight w:val="none"/>
                    </w:rPr>
                    <w:t>废机油</w:t>
                  </w:r>
                </w:p>
              </w:tc>
              <w:tc>
                <w:tcPr>
                  <w:tcW w:w="508" w:type="pct"/>
                  <w:tcBorders>
                    <w:tl2br w:val="nil"/>
                    <w:tr2bl w:val="nil"/>
                  </w:tcBorders>
                  <w:vAlign w:val="center"/>
                </w:tcPr>
                <w:p w14:paraId="7835B8BE">
                  <w:pPr>
                    <w:pStyle w:val="23"/>
                    <w:spacing w:line="240" w:lineRule="auto"/>
                    <w:jc w:val="center"/>
                    <w:rPr>
                      <w:color w:val="auto"/>
                      <w:sz w:val="21"/>
                      <w:szCs w:val="21"/>
                      <w:highlight w:val="none"/>
                    </w:rPr>
                  </w:pPr>
                  <w:r>
                    <w:rPr>
                      <w:rFonts w:hint="eastAsia"/>
                      <w:color w:val="auto"/>
                      <w:sz w:val="21"/>
                      <w:szCs w:val="21"/>
                      <w:highlight w:val="none"/>
                    </w:rPr>
                    <w:t>设备保养维护</w:t>
                  </w:r>
                </w:p>
              </w:tc>
              <w:tc>
                <w:tcPr>
                  <w:tcW w:w="564" w:type="pct"/>
                  <w:tcBorders>
                    <w:tl2br w:val="nil"/>
                    <w:tr2bl w:val="nil"/>
                  </w:tcBorders>
                  <w:vAlign w:val="center"/>
                </w:tcPr>
                <w:p w14:paraId="630FAC1D">
                  <w:pPr>
                    <w:pStyle w:val="23"/>
                    <w:spacing w:line="240" w:lineRule="auto"/>
                    <w:jc w:val="center"/>
                    <w:rPr>
                      <w:color w:val="auto"/>
                      <w:sz w:val="21"/>
                      <w:szCs w:val="21"/>
                      <w:highlight w:val="none"/>
                    </w:rPr>
                  </w:pPr>
                  <w:r>
                    <w:rPr>
                      <w:rFonts w:hint="eastAsia"/>
                      <w:color w:val="auto"/>
                      <w:sz w:val="21"/>
                      <w:szCs w:val="21"/>
                      <w:highlight w:val="none"/>
                    </w:rPr>
                    <w:t>危险废物</w:t>
                  </w:r>
                </w:p>
              </w:tc>
              <w:tc>
                <w:tcPr>
                  <w:tcW w:w="476" w:type="pct"/>
                  <w:tcBorders>
                    <w:tl2br w:val="nil"/>
                    <w:tr2bl w:val="nil"/>
                  </w:tcBorders>
                  <w:vAlign w:val="center"/>
                </w:tcPr>
                <w:p w14:paraId="775E2CEC">
                  <w:pPr>
                    <w:pStyle w:val="23"/>
                    <w:spacing w:line="240" w:lineRule="auto"/>
                    <w:jc w:val="center"/>
                    <w:rPr>
                      <w:color w:val="auto"/>
                      <w:sz w:val="21"/>
                      <w:szCs w:val="21"/>
                      <w:highlight w:val="none"/>
                    </w:rPr>
                  </w:pPr>
                  <w:r>
                    <w:rPr>
                      <w:rFonts w:hint="eastAsia"/>
                      <w:color w:val="auto"/>
                      <w:sz w:val="21"/>
                      <w:szCs w:val="21"/>
                      <w:highlight w:val="none"/>
                    </w:rPr>
                    <w:t>HW08</w:t>
                  </w:r>
                </w:p>
              </w:tc>
              <w:tc>
                <w:tcPr>
                  <w:tcW w:w="763" w:type="pct"/>
                  <w:tcBorders>
                    <w:tl2br w:val="nil"/>
                    <w:tr2bl w:val="nil"/>
                  </w:tcBorders>
                  <w:vAlign w:val="center"/>
                </w:tcPr>
                <w:p w14:paraId="67FAEA91">
                  <w:pPr>
                    <w:pStyle w:val="23"/>
                    <w:spacing w:line="240" w:lineRule="auto"/>
                    <w:jc w:val="center"/>
                    <w:rPr>
                      <w:color w:val="auto"/>
                      <w:sz w:val="21"/>
                      <w:szCs w:val="21"/>
                      <w:highlight w:val="none"/>
                    </w:rPr>
                  </w:pPr>
                  <w:r>
                    <w:rPr>
                      <w:rFonts w:hint="eastAsia"/>
                      <w:color w:val="auto"/>
                      <w:sz w:val="21"/>
                      <w:szCs w:val="21"/>
                      <w:highlight w:val="none"/>
                    </w:rPr>
                    <w:t>900-21</w:t>
                  </w:r>
                  <w:r>
                    <w:rPr>
                      <w:rFonts w:hint="eastAsia"/>
                      <w:color w:val="auto"/>
                      <w:sz w:val="21"/>
                      <w:szCs w:val="21"/>
                      <w:highlight w:val="none"/>
                      <w:lang w:val="en-US" w:eastAsia="zh-CN"/>
                    </w:rPr>
                    <w:t>4</w:t>
                  </w:r>
                  <w:r>
                    <w:rPr>
                      <w:rFonts w:hint="eastAsia"/>
                      <w:color w:val="auto"/>
                      <w:sz w:val="21"/>
                      <w:szCs w:val="21"/>
                      <w:highlight w:val="none"/>
                    </w:rPr>
                    <w:t>-08</w:t>
                  </w:r>
                </w:p>
              </w:tc>
              <w:tc>
                <w:tcPr>
                  <w:tcW w:w="498" w:type="pct"/>
                  <w:tcBorders>
                    <w:tl2br w:val="nil"/>
                    <w:tr2bl w:val="nil"/>
                  </w:tcBorders>
                  <w:vAlign w:val="center"/>
                </w:tcPr>
                <w:p w14:paraId="639C2131">
                  <w:pPr>
                    <w:pStyle w:val="23"/>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rPr>
                    <w:t>0.</w:t>
                  </w:r>
                  <w:r>
                    <w:rPr>
                      <w:rFonts w:hint="eastAsia"/>
                      <w:color w:val="auto"/>
                      <w:sz w:val="21"/>
                      <w:szCs w:val="21"/>
                      <w:highlight w:val="none"/>
                      <w:lang w:val="en-US" w:eastAsia="zh-CN"/>
                    </w:rPr>
                    <w:t>1</w:t>
                  </w:r>
                </w:p>
              </w:tc>
              <w:tc>
                <w:tcPr>
                  <w:tcW w:w="1353" w:type="pct"/>
                  <w:tcBorders>
                    <w:tl2br w:val="nil"/>
                    <w:tr2bl w:val="nil"/>
                  </w:tcBorders>
                  <w:vAlign w:val="center"/>
                </w:tcPr>
                <w:p w14:paraId="33A44DCE">
                  <w:pPr>
                    <w:pStyle w:val="23"/>
                    <w:spacing w:line="240" w:lineRule="auto"/>
                    <w:jc w:val="both"/>
                    <w:rPr>
                      <w:color w:val="auto"/>
                      <w:sz w:val="21"/>
                      <w:szCs w:val="21"/>
                      <w:highlight w:val="none"/>
                    </w:rPr>
                  </w:pPr>
                  <w:r>
                    <w:rPr>
                      <w:rFonts w:hint="eastAsia"/>
                      <w:color w:val="auto"/>
                      <w:sz w:val="21"/>
                      <w:szCs w:val="21"/>
                      <w:highlight w:val="none"/>
                      <w:lang w:val="en-US" w:eastAsia="zh-CN"/>
                    </w:rPr>
                    <w:t>集中收集于危废暂存间，优先用于输送设备润滑，其余废机油委托有资质的公司定期拉运处理</w:t>
                  </w:r>
                </w:p>
              </w:tc>
            </w:tr>
          </w:tbl>
          <w:p w14:paraId="098C3981">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color w:val="auto"/>
                <w:sz w:val="24"/>
              </w:rPr>
            </w:pPr>
            <w:r>
              <w:rPr>
                <w:rFonts w:hint="eastAsia" w:ascii="Times New Roman" w:hAnsi="Times New Roman" w:eastAsia="宋体" w:cs="Times New Roman"/>
                <w:color w:val="auto"/>
                <w:kern w:val="0"/>
                <w:sz w:val="24"/>
                <w:szCs w:val="24"/>
                <w:lang w:val="en-US" w:eastAsia="zh-CN" w:bidi="ar-SA"/>
              </w:rPr>
              <w:t>本项目危险汇总表见表4-1</w:t>
            </w:r>
            <w:r>
              <w:rPr>
                <w:rFonts w:hint="eastAsia" w:cs="Times New Roman"/>
                <w:color w:val="auto"/>
                <w:kern w:val="0"/>
                <w:sz w:val="24"/>
                <w:szCs w:val="24"/>
                <w:lang w:val="en-US" w:eastAsia="zh-CN" w:bidi="ar-SA"/>
              </w:rPr>
              <w:t>1</w:t>
            </w:r>
            <w:r>
              <w:rPr>
                <w:rFonts w:hint="eastAsia" w:ascii="Times New Roman" w:hAnsi="Times New Roman" w:eastAsia="宋体" w:cs="Times New Roman"/>
                <w:color w:val="auto"/>
                <w:kern w:val="0"/>
                <w:sz w:val="24"/>
                <w:szCs w:val="24"/>
                <w:lang w:val="en-US" w:eastAsia="zh-CN" w:bidi="ar-SA"/>
              </w:rPr>
              <w:t>。</w:t>
            </w:r>
          </w:p>
          <w:p w14:paraId="0E52E62F">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表4-1</w:t>
            </w:r>
            <w:r>
              <w:rPr>
                <w:rFonts w:hint="eastAsia" w:cs="Times New Roman"/>
                <w:color w:val="auto"/>
                <w:lang w:val="en-US" w:eastAsia="zh-CN"/>
              </w:rPr>
              <w:t>1</w:t>
            </w:r>
            <w:r>
              <w:rPr>
                <w:rFonts w:hint="eastAsia" w:ascii="Times New Roman" w:hAnsi="Times New Roman" w:eastAsia="宋体" w:cs="Times New Roman"/>
                <w:color w:val="auto"/>
              </w:rPr>
              <w:t xml:space="preserve">    危险废物汇总表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412"/>
              <w:gridCol w:w="749"/>
              <w:gridCol w:w="803"/>
              <w:gridCol w:w="1213"/>
              <w:gridCol w:w="705"/>
              <w:gridCol w:w="708"/>
              <w:gridCol w:w="735"/>
              <w:gridCol w:w="672"/>
              <w:gridCol w:w="671"/>
              <w:gridCol w:w="1278"/>
            </w:tblGrid>
            <w:tr w14:paraId="6F503277">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14:paraId="3D5711F1">
                  <w:pPr>
                    <w:pStyle w:val="23"/>
                    <w:spacing w:line="240" w:lineRule="auto"/>
                    <w:jc w:val="center"/>
                    <w:rPr>
                      <w:b/>
                      <w:bCs/>
                      <w:color w:val="auto"/>
                      <w:sz w:val="21"/>
                      <w:szCs w:val="21"/>
                      <w:highlight w:val="none"/>
                    </w:rPr>
                  </w:pPr>
                  <w:r>
                    <w:rPr>
                      <w:rFonts w:hint="eastAsia"/>
                      <w:b/>
                      <w:bCs/>
                      <w:color w:val="auto"/>
                      <w:sz w:val="21"/>
                      <w:szCs w:val="21"/>
                      <w:highlight w:val="none"/>
                    </w:rPr>
                    <w:t>序号</w:t>
                  </w:r>
                </w:p>
              </w:tc>
              <w:tc>
                <w:tcPr>
                  <w:tcW w:w="471" w:type="pct"/>
                  <w:tcBorders>
                    <w:tl2br w:val="nil"/>
                    <w:tr2bl w:val="nil"/>
                  </w:tcBorders>
                  <w:vAlign w:val="center"/>
                </w:tcPr>
                <w:p w14:paraId="0CA01A08">
                  <w:pPr>
                    <w:pStyle w:val="23"/>
                    <w:spacing w:line="240" w:lineRule="auto"/>
                    <w:jc w:val="center"/>
                    <w:rPr>
                      <w:b/>
                      <w:bCs/>
                      <w:color w:val="auto"/>
                      <w:sz w:val="21"/>
                      <w:szCs w:val="21"/>
                      <w:highlight w:val="none"/>
                    </w:rPr>
                  </w:pPr>
                  <w:r>
                    <w:rPr>
                      <w:b/>
                      <w:bCs/>
                      <w:color w:val="auto"/>
                      <w:sz w:val="21"/>
                      <w:szCs w:val="21"/>
                      <w:highlight w:val="none"/>
                    </w:rPr>
                    <w:t>危险废物名称</w:t>
                  </w:r>
                </w:p>
              </w:tc>
              <w:tc>
                <w:tcPr>
                  <w:tcW w:w="505" w:type="pct"/>
                  <w:tcBorders>
                    <w:tl2br w:val="nil"/>
                    <w:tr2bl w:val="nil"/>
                  </w:tcBorders>
                  <w:vAlign w:val="center"/>
                </w:tcPr>
                <w:p w14:paraId="4065E8A2">
                  <w:pPr>
                    <w:pStyle w:val="23"/>
                    <w:spacing w:line="240" w:lineRule="auto"/>
                    <w:jc w:val="center"/>
                    <w:rPr>
                      <w:b/>
                      <w:bCs/>
                      <w:color w:val="auto"/>
                      <w:sz w:val="21"/>
                      <w:szCs w:val="21"/>
                      <w:highlight w:val="none"/>
                    </w:rPr>
                  </w:pPr>
                  <w:r>
                    <w:rPr>
                      <w:b/>
                      <w:bCs/>
                      <w:color w:val="auto"/>
                      <w:sz w:val="21"/>
                      <w:szCs w:val="21"/>
                      <w:highlight w:val="none"/>
                    </w:rPr>
                    <w:t>危险废物类别</w:t>
                  </w:r>
                </w:p>
              </w:tc>
              <w:tc>
                <w:tcPr>
                  <w:tcW w:w="763" w:type="pct"/>
                  <w:tcBorders>
                    <w:tl2br w:val="nil"/>
                    <w:tr2bl w:val="nil"/>
                  </w:tcBorders>
                  <w:vAlign w:val="center"/>
                </w:tcPr>
                <w:p w14:paraId="08999526">
                  <w:pPr>
                    <w:pStyle w:val="23"/>
                    <w:spacing w:line="240" w:lineRule="auto"/>
                    <w:jc w:val="center"/>
                    <w:rPr>
                      <w:b/>
                      <w:bCs/>
                      <w:color w:val="auto"/>
                      <w:sz w:val="21"/>
                      <w:szCs w:val="21"/>
                      <w:highlight w:val="none"/>
                    </w:rPr>
                  </w:pPr>
                  <w:r>
                    <w:rPr>
                      <w:b/>
                      <w:bCs/>
                      <w:color w:val="auto"/>
                      <w:sz w:val="21"/>
                      <w:szCs w:val="21"/>
                      <w:highlight w:val="none"/>
                    </w:rPr>
                    <w:t>危险废物代码</w:t>
                  </w:r>
                </w:p>
              </w:tc>
              <w:tc>
                <w:tcPr>
                  <w:tcW w:w="443" w:type="pct"/>
                  <w:tcBorders>
                    <w:tl2br w:val="nil"/>
                    <w:tr2bl w:val="nil"/>
                  </w:tcBorders>
                  <w:vAlign w:val="center"/>
                </w:tcPr>
                <w:p w14:paraId="499CEC21">
                  <w:pPr>
                    <w:pStyle w:val="23"/>
                    <w:spacing w:line="240" w:lineRule="auto"/>
                    <w:jc w:val="center"/>
                    <w:rPr>
                      <w:b/>
                      <w:bCs/>
                      <w:color w:val="auto"/>
                      <w:sz w:val="21"/>
                      <w:szCs w:val="21"/>
                      <w:highlight w:val="none"/>
                    </w:rPr>
                  </w:pPr>
                  <w:r>
                    <w:rPr>
                      <w:b/>
                      <w:bCs/>
                      <w:color w:val="auto"/>
                      <w:sz w:val="21"/>
                      <w:szCs w:val="21"/>
                      <w:highlight w:val="none"/>
                    </w:rPr>
                    <w:t>产生量</w:t>
                  </w:r>
                </w:p>
                <w:p w14:paraId="73675A77">
                  <w:pPr>
                    <w:pStyle w:val="23"/>
                    <w:spacing w:line="240" w:lineRule="auto"/>
                    <w:jc w:val="center"/>
                    <w:rPr>
                      <w:b/>
                      <w:bCs/>
                      <w:color w:val="auto"/>
                      <w:sz w:val="21"/>
                      <w:szCs w:val="21"/>
                      <w:highlight w:val="none"/>
                    </w:rPr>
                  </w:pPr>
                  <w:r>
                    <w:rPr>
                      <w:rFonts w:hint="eastAsia"/>
                      <w:b/>
                      <w:bCs/>
                      <w:color w:val="auto"/>
                      <w:sz w:val="21"/>
                      <w:szCs w:val="21"/>
                      <w:highlight w:val="none"/>
                    </w:rPr>
                    <w:t>t/a</w:t>
                  </w:r>
                </w:p>
              </w:tc>
              <w:tc>
                <w:tcPr>
                  <w:tcW w:w="445" w:type="pct"/>
                  <w:tcBorders>
                    <w:tl2br w:val="nil"/>
                    <w:tr2bl w:val="nil"/>
                  </w:tcBorders>
                  <w:vAlign w:val="center"/>
                </w:tcPr>
                <w:p w14:paraId="7B16471F">
                  <w:pPr>
                    <w:pStyle w:val="23"/>
                    <w:spacing w:line="240" w:lineRule="auto"/>
                    <w:jc w:val="center"/>
                    <w:rPr>
                      <w:b/>
                      <w:bCs/>
                      <w:color w:val="auto"/>
                      <w:sz w:val="21"/>
                      <w:szCs w:val="21"/>
                      <w:highlight w:val="none"/>
                    </w:rPr>
                  </w:pPr>
                  <w:r>
                    <w:rPr>
                      <w:b/>
                      <w:bCs/>
                      <w:color w:val="auto"/>
                      <w:sz w:val="21"/>
                      <w:szCs w:val="21"/>
                      <w:highlight w:val="none"/>
                    </w:rPr>
                    <w:t>产生工序及装置</w:t>
                  </w:r>
                </w:p>
              </w:tc>
              <w:tc>
                <w:tcPr>
                  <w:tcW w:w="462" w:type="pct"/>
                  <w:tcBorders>
                    <w:tl2br w:val="nil"/>
                    <w:tr2bl w:val="nil"/>
                  </w:tcBorders>
                  <w:vAlign w:val="center"/>
                </w:tcPr>
                <w:p w14:paraId="1422F890">
                  <w:pPr>
                    <w:pStyle w:val="23"/>
                    <w:spacing w:line="240" w:lineRule="auto"/>
                    <w:jc w:val="center"/>
                    <w:rPr>
                      <w:b/>
                      <w:bCs/>
                      <w:color w:val="auto"/>
                      <w:sz w:val="21"/>
                      <w:szCs w:val="21"/>
                      <w:highlight w:val="none"/>
                    </w:rPr>
                  </w:pPr>
                  <w:r>
                    <w:rPr>
                      <w:b/>
                      <w:bCs/>
                      <w:color w:val="auto"/>
                      <w:sz w:val="21"/>
                      <w:szCs w:val="21"/>
                      <w:highlight w:val="none"/>
                    </w:rPr>
                    <w:t>有害成分</w:t>
                  </w:r>
                </w:p>
              </w:tc>
              <w:tc>
                <w:tcPr>
                  <w:tcW w:w="422" w:type="pct"/>
                  <w:tcBorders>
                    <w:tl2br w:val="nil"/>
                    <w:tr2bl w:val="nil"/>
                  </w:tcBorders>
                  <w:vAlign w:val="center"/>
                </w:tcPr>
                <w:p w14:paraId="7DD13276">
                  <w:pPr>
                    <w:pStyle w:val="23"/>
                    <w:spacing w:line="240" w:lineRule="auto"/>
                    <w:jc w:val="center"/>
                    <w:rPr>
                      <w:b/>
                      <w:bCs/>
                      <w:color w:val="auto"/>
                      <w:sz w:val="21"/>
                      <w:szCs w:val="21"/>
                      <w:highlight w:val="none"/>
                    </w:rPr>
                  </w:pPr>
                  <w:r>
                    <w:rPr>
                      <w:b/>
                      <w:bCs/>
                      <w:color w:val="auto"/>
                      <w:sz w:val="21"/>
                      <w:szCs w:val="21"/>
                      <w:highlight w:val="none"/>
                    </w:rPr>
                    <w:t>产废周期</w:t>
                  </w:r>
                </w:p>
              </w:tc>
              <w:tc>
                <w:tcPr>
                  <w:tcW w:w="422" w:type="pct"/>
                  <w:tcBorders>
                    <w:tl2br w:val="nil"/>
                    <w:tr2bl w:val="nil"/>
                  </w:tcBorders>
                  <w:vAlign w:val="center"/>
                </w:tcPr>
                <w:p w14:paraId="39B48094">
                  <w:pPr>
                    <w:pStyle w:val="23"/>
                    <w:spacing w:line="240" w:lineRule="auto"/>
                    <w:jc w:val="center"/>
                    <w:rPr>
                      <w:b/>
                      <w:bCs/>
                      <w:color w:val="auto"/>
                      <w:sz w:val="21"/>
                      <w:szCs w:val="21"/>
                      <w:highlight w:val="none"/>
                    </w:rPr>
                  </w:pPr>
                  <w:r>
                    <w:rPr>
                      <w:b/>
                      <w:bCs/>
                      <w:color w:val="auto"/>
                      <w:sz w:val="21"/>
                      <w:szCs w:val="21"/>
                      <w:highlight w:val="none"/>
                    </w:rPr>
                    <w:t>危险特性</w:t>
                  </w:r>
                </w:p>
              </w:tc>
              <w:tc>
                <w:tcPr>
                  <w:tcW w:w="804" w:type="pct"/>
                  <w:tcBorders>
                    <w:tl2br w:val="nil"/>
                    <w:tr2bl w:val="nil"/>
                  </w:tcBorders>
                  <w:vAlign w:val="center"/>
                </w:tcPr>
                <w:p w14:paraId="1FA51789">
                  <w:pPr>
                    <w:pStyle w:val="23"/>
                    <w:spacing w:line="240" w:lineRule="auto"/>
                    <w:jc w:val="center"/>
                    <w:rPr>
                      <w:b/>
                      <w:bCs/>
                      <w:color w:val="auto"/>
                      <w:sz w:val="21"/>
                      <w:szCs w:val="21"/>
                      <w:highlight w:val="none"/>
                    </w:rPr>
                  </w:pPr>
                  <w:r>
                    <w:rPr>
                      <w:b/>
                      <w:bCs/>
                      <w:color w:val="auto"/>
                      <w:sz w:val="21"/>
                      <w:szCs w:val="21"/>
                      <w:highlight w:val="none"/>
                    </w:rPr>
                    <w:t>污染防治措施</w:t>
                  </w:r>
                </w:p>
              </w:tc>
            </w:tr>
            <w:tr w14:paraId="7C3FFE47">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14:paraId="5DFD2C9C">
                  <w:pPr>
                    <w:pStyle w:val="23"/>
                    <w:spacing w:line="240" w:lineRule="auto"/>
                    <w:jc w:val="center"/>
                    <w:rPr>
                      <w:color w:val="auto"/>
                      <w:sz w:val="21"/>
                      <w:szCs w:val="21"/>
                      <w:highlight w:val="none"/>
                    </w:rPr>
                  </w:pPr>
                  <w:r>
                    <w:rPr>
                      <w:rFonts w:hint="eastAsia"/>
                      <w:color w:val="auto"/>
                      <w:sz w:val="21"/>
                      <w:szCs w:val="21"/>
                      <w:highlight w:val="none"/>
                    </w:rPr>
                    <w:t>1</w:t>
                  </w:r>
                </w:p>
              </w:tc>
              <w:tc>
                <w:tcPr>
                  <w:tcW w:w="471" w:type="pct"/>
                  <w:tcBorders>
                    <w:tl2br w:val="nil"/>
                    <w:tr2bl w:val="nil"/>
                  </w:tcBorders>
                  <w:vAlign w:val="center"/>
                </w:tcPr>
                <w:p w14:paraId="37A9D26F">
                  <w:pPr>
                    <w:pStyle w:val="23"/>
                    <w:spacing w:line="240" w:lineRule="auto"/>
                    <w:jc w:val="center"/>
                    <w:rPr>
                      <w:color w:val="auto"/>
                      <w:sz w:val="21"/>
                      <w:szCs w:val="21"/>
                      <w:highlight w:val="none"/>
                    </w:rPr>
                  </w:pPr>
                  <w:r>
                    <w:rPr>
                      <w:rFonts w:hint="eastAsia"/>
                      <w:color w:val="auto"/>
                      <w:sz w:val="21"/>
                      <w:szCs w:val="21"/>
                      <w:highlight w:val="none"/>
                    </w:rPr>
                    <w:t>废机油</w:t>
                  </w:r>
                </w:p>
              </w:tc>
              <w:tc>
                <w:tcPr>
                  <w:tcW w:w="505" w:type="pct"/>
                  <w:tcBorders>
                    <w:tl2br w:val="nil"/>
                    <w:tr2bl w:val="nil"/>
                  </w:tcBorders>
                  <w:vAlign w:val="center"/>
                </w:tcPr>
                <w:p w14:paraId="5EAC4043">
                  <w:pPr>
                    <w:pStyle w:val="23"/>
                    <w:spacing w:line="240" w:lineRule="auto"/>
                    <w:jc w:val="center"/>
                    <w:rPr>
                      <w:color w:val="auto"/>
                      <w:sz w:val="21"/>
                      <w:szCs w:val="21"/>
                      <w:highlight w:val="none"/>
                    </w:rPr>
                  </w:pPr>
                  <w:r>
                    <w:rPr>
                      <w:rFonts w:hint="eastAsia"/>
                      <w:color w:val="auto"/>
                      <w:sz w:val="21"/>
                      <w:szCs w:val="21"/>
                      <w:highlight w:val="none"/>
                    </w:rPr>
                    <w:t>HW08</w:t>
                  </w:r>
                </w:p>
              </w:tc>
              <w:tc>
                <w:tcPr>
                  <w:tcW w:w="763" w:type="pct"/>
                  <w:tcBorders>
                    <w:tl2br w:val="nil"/>
                    <w:tr2bl w:val="nil"/>
                  </w:tcBorders>
                  <w:vAlign w:val="center"/>
                </w:tcPr>
                <w:p w14:paraId="6E65CA09">
                  <w:pPr>
                    <w:pStyle w:val="23"/>
                    <w:spacing w:line="240" w:lineRule="auto"/>
                    <w:jc w:val="center"/>
                    <w:rPr>
                      <w:color w:val="auto"/>
                      <w:sz w:val="21"/>
                      <w:szCs w:val="21"/>
                      <w:highlight w:val="none"/>
                    </w:rPr>
                  </w:pPr>
                  <w:r>
                    <w:rPr>
                      <w:rFonts w:hint="eastAsia"/>
                      <w:color w:val="auto"/>
                      <w:sz w:val="21"/>
                      <w:szCs w:val="21"/>
                      <w:highlight w:val="none"/>
                    </w:rPr>
                    <w:t>900-21</w:t>
                  </w:r>
                  <w:r>
                    <w:rPr>
                      <w:rFonts w:hint="eastAsia"/>
                      <w:color w:val="auto"/>
                      <w:sz w:val="21"/>
                      <w:szCs w:val="21"/>
                      <w:highlight w:val="none"/>
                      <w:lang w:val="en-US" w:eastAsia="zh-CN"/>
                    </w:rPr>
                    <w:t>4</w:t>
                  </w:r>
                  <w:r>
                    <w:rPr>
                      <w:rFonts w:hint="eastAsia"/>
                      <w:color w:val="auto"/>
                      <w:sz w:val="21"/>
                      <w:szCs w:val="21"/>
                      <w:highlight w:val="none"/>
                    </w:rPr>
                    <w:t>-08</w:t>
                  </w:r>
                </w:p>
              </w:tc>
              <w:tc>
                <w:tcPr>
                  <w:tcW w:w="443" w:type="pct"/>
                  <w:tcBorders>
                    <w:tl2br w:val="nil"/>
                    <w:tr2bl w:val="nil"/>
                  </w:tcBorders>
                  <w:vAlign w:val="center"/>
                </w:tcPr>
                <w:p w14:paraId="55BC22D3">
                  <w:pPr>
                    <w:pStyle w:val="23"/>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rPr>
                    <w:t>0.</w:t>
                  </w:r>
                  <w:r>
                    <w:rPr>
                      <w:rFonts w:hint="eastAsia"/>
                      <w:color w:val="auto"/>
                      <w:sz w:val="21"/>
                      <w:szCs w:val="21"/>
                      <w:highlight w:val="none"/>
                      <w:lang w:val="en-US" w:eastAsia="zh-CN"/>
                    </w:rPr>
                    <w:t>1</w:t>
                  </w:r>
                </w:p>
              </w:tc>
              <w:tc>
                <w:tcPr>
                  <w:tcW w:w="445" w:type="pct"/>
                  <w:tcBorders>
                    <w:tl2br w:val="nil"/>
                    <w:tr2bl w:val="nil"/>
                  </w:tcBorders>
                  <w:vAlign w:val="center"/>
                </w:tcPr>
                <w:p w14:paraId="79BFAE74">
                  <w:pPr>
                    <w:pStyle w:val="23"/>
                    <w:spacing w:line="240" w:lineRule="auto"/>
                    <w:jc w:val="center"/>
                    <w:rPr>
                      <w:color w:val="auto"/>
                      <w:sz w:val="21"/>
                      <w:szCs w:val="21"/>
                      <w:highlight w:val="none"/>
                    </w:rPr>
                  </w:pPr>
                  <w:r>
                    <w:rPr>
                      <w:rFonts w:hint="eastAsia"/>
                      <w:color w:val="auto"/>
                      <w:sz w:val="21"/>
                      <w:szCs w:val="21"/>
                      <w:highlight w:val="none"/>
                    </w:rPr>
                    <w:t>维修保养</w:t>
                  </w:r>
                </w:p>
              </w:tc>
              <w:tc>
                <w:tcPr>
                  <w:tcW w:w="462" w:type="pct"/>
                  <w:tcBorders>
                    <w:tl2br w:val="nil"/>
                    <w:tr2bl w:val="nil"/>
                  </w:tcBorders>
                  <w:vAlign w:val="center"/>
                </w:tcPr>
                <w:p w14:paraId="14379524">
                  <w:pPr>
                    <w:pStyle w:val="23"/>
                    <w:spacing w:line="240" w:lineRule="auto"/>
                    <w:jc w:val="center"/>
                    <w:rPr>
                      <w:color w:val="auto"/>
                      <w:sz w:val="21"/>
                      <w:szCs w:val="21"/>
                      <w:highlight w:val="none"/>
                    </w:rPr>
                  </w:pPr>
                  <w:r>
                    <w:rPr>
                      <w:color w:val="auto"/>
                      <w:sz w:val="21"/>
                      <w:szCs w:val="21"/>
                      <w:highlight w:val="none"/>
                    </w:rPr>
                    <w:t>废矿物油</w:t>
                  </w:r>
                </w:p>
              </w:tc>
              <w:tc>
                <w:tcPr>
                  <w:tcW w:w="422" w:type="pct"/>
                  <w:tcBorders>
                    <w:tl2br w:val="nil"/>
                    <w:tr2bl w:val="nil"/>
                  </w:tcBorders>
                  <w:vAlign w:val="center"/>
                </w:tcPr>
                <w:p w14:paraId="699402F8">
                  <w:pPr>
                    <w:pStyle w:val="23"/>
                    <w:spacing w:line="240" w:lineRule="auto"/>
                    <w:jc w:val="center"/>
                    <w:rPr>
                      <w:color w:val="auto"/>
                      <w:sz w:val="21"/>
                      <w:szCs w:val="21"/>
                      <w:highlight w:val="none"/>
                    </w:rPr>
                  </w:pPr>
                  <w:r>
                    <w:rPr>
                      <w:rFonts w:hint="eastAsia"/>
                      <w:color w:val="auto"/>
                      <w:sz w:val="21"/>
                      <w:szCs w:val="21"/>
                      <w:highlight w:val="none"/>
                    </w:rPr>
                    <w:t>1年</w:t>
                  </w:r>
                </w:p>
              </w:tc>
              <w:tc>
                <w:tcPr>
                  <w:tcW w:w="422" w:type="pct"/>
                  <w:tcBorders>
                    <w:tl2br w:val="nil"/>
                    <w:tr2bl w:val="nil"/>
                  </w:tcBorders>
                  <w:vAlign w:val="center"/>
                </w:tcPr>
                <w:p w14:paraId="342BCEC4">
                  <w:pPr>
                    <w:pStyle w:val="23"/>
                    <w:spacing w:line="240" w:lineRule="auto"/>
                    <w:jc w:val="center"/>
                    <w:rPr>
                      <w:color w:val="auto"/>
                      <w:sz w:val="21"/>
                      <w:szCs w:val="21"/>
                      <w:highlight w:val="none"/>
                    </w:rPr>
                  </w:pPr>
                  <w:r>
                    <w:rPr>
                      <w:rFonts w:hint="eastAsia"/>
                      <w:color w:val="auto"/>
                      <w:sz w:val="21"/>
                      <w:szCs w:val="21"/>
                      <w:highlight w:val="none"/>
                    </w:rPr>
                    <w:t>T</w:t>
                  </w:r>
                  <w:r>
                    <w:rPr>
                      <w:rFonts w:hint="eastAsia"/>
                      <w:color w:val="auto"/>
                      <w:sz w:val="21"/>
                      <w:szCs w:val="21"/>
                      <w:highlight w:val="none"/>
                      <w:lang w:val="en-US" w:eastAsia="zh-CN"/>
                    </w:rPr>
                    <w:t>,</w:t>
                  </w:r>
                  <w:r>
                    <w:rPr>
                      <w:rFonts w:hint="eastAsia"/>
                      <w:color w:val="auto"/>
                      <w:sz w:val="21"/>
                      <w:szCs w:val="21"/>
                      <w:highlight w:val="none"/>
                    </w:rPr>
                    <w:t>l</w:t>
                  </w:r>
                </w:p>
              </w:tc>
              <w:tc>
                <w:tcPr>
                  <w:tcW w:w="804" w:type="pct"/>
                  <w:tcBorders>
                    <w:tl2br w:val="nil"/>
                    <w:tr2bl w:val="nil"/>
                  </w:tcBorders>
                  <w:vAlign w:val="center"/>
                </w:tcPr>
                <w:p w14:paraId="05686B02">
                  <w:pPr>
                    <w:pStyle w:val="23"/>
                    <w:spacing w:line="240" w:lineRule="auto"/>
                    <w:jc w:val="both"/>
                    <w:rPr>
                      <w:color w:val="auto"/>
                      <w:sz w:val="21"/>
                      <w:szCs w:val="21"/>
                      <w:highlight w:val="none"/>
                    </w:rPr>
                  </w:pPr>
                  <w:r>
                    <w:rPr>
                      <w:rFonts w:hint="eastAsia"/>
                      <w:color w:val="auto"/>
                      <w:sz w:val="21"/>
                      <w:szCs w:val="21"/>
                      <w:highlight w:val="none"/>
                      <w:lang w:val="en-US" w:eastAsia="zh-CN"/>
                    </w:rPr>
                    <w:t>集中收集于危废暂存间，优先用于输送设备润滑，其余废机油委托有资质的公司定期拉运处理</w:t>
                  </w:r>
                </w:p>
              </w:tc>
            </w:tr>
          </w:tbl>
          <w:p w14:paraId="749210CA">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4.</w:t>
            </w:r>
            <w:r>
              <w:rPr>
                <w:rFonts w:hint="eastAsia" w:cs="Times New Roman"/>
                <w:b/>
                <w:bCs/>
                <w:color w:val="auto"/>
                <w:sz w:val="24"/>
                <w:lang w:val="en-US" w:eastAsia="zh-CN"/>
              </w:rPr>
              <w:t>6</w:t>
            </w:r>
            <w:r>
              <w:rPr>
                <w:rFonts w:hint="eastAsia" w:ascii="Times New Roman" w:hAnsi="Times New Roman" w:eastAsia="宋体" w:cs="Times New Roman"/>
                <w:b/>
                <w:bCs/>
                <w:color w:val="auto"/>
                <w:sz w:val="24"/>
              </w:rPr>
              <w:t>固废环境管理要求</w:t>
            </w:r>
          </w:p>
          <w:p w14:paraId="0D9BA28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本项目除尘灰、不合格混凝土、沉淀池沉渣回用于生产工序，</w:t>
            </w:r>
            <w:r>
              <w:rPr>
                <w:rFonts w:ascii="Times New Roman" w:hAnsi="Times New Roman" w:eastAsia="宋体" w:cs="Times New Roman"/>
                <w:color w:val="auto"/>
                <w:kern w:val="0"/>
                <w:sz w:val="24"/>
              </w:rPr>
              <w:t>生活垃圾</w:t>
            </w:r>
            <w:r>
              <w:rPr>
                <w:rFonts w:hint="eastAsia" w:ascii="Times New Roman" w:hAnsi="Times New Roman" w:eastAsia="宋体" w:cs="Times New Roman"/>
                <w:color w:val="auto"/>
                <w:kern w:val="0"/>
                <w:sz w:val="24"/>
                <w:lang w:val="en-US" w:eastAsia="zh-CN"/>
              </w:rPr>
              <w:t>设置专用的垃圾箱，并进行分类，定期由垃圾清运车</w:t>
            </w:r>
            <w:r>
              <w:rPr>
                <w:rFonts w:hint="eastAsia" w:cs="Times New Roman"/>
                <w:color w:val="auto"/>
                <w:kern w:val="0"/>
                <w:sz w:val="24"/>
                <w:lang w:val="en-US" w:eastAsia="zh-CN"/>
              </w:rPr>
              <w:t>运送至垃圾场统一处理</w:t>
            </w:r>
            <w:r>
              <w:rPr>
                <w:rFonts w:hint="eastAsia"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val="en-US" w:eastAsia="zh-CN"/>
              </w:rPr>
              <w:t>禁止随意倾倒不合格混凝土、罐车剩余或清洗混凝土</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rPr>
              <w:t>危</w:t>
            </w:r>
            <w:r>
              <w:rPr>
                <w:rFonts w:hint="eastAsia" w:cs="Times New Roman"/>
                <w:color w:val="auto"/>
                <w:kern w:val="0"/>
                <w:sz w:val="24"/>
                <w:lang w:val="en-US" w:eastAsia="zh-CN"/>
              </w:rPr>
              <w:t>险废物废机油集中收集于危废暂存间，优先用于输送设备润滑，其余废机油委托有资质的公司定期拉运处理。建设单位严格按照《一般工业固体废物贮存和填埋污染控制标准》（GB18599-2020）对</w:t>
            </w:r>
            <w:r>
              <w:rPr>
                <w:rFonts w:ascii="Times New Roman" w:hAnsi="Times New Roman" w:eastAsia="宋体" w:cs="Times New Roman"/>
                <w:color w:val="auto"/>
                <w:kern w:val="0"/>
                <w:sz w:val="24"/>
              </w:rPr>
              <w:t>固体废物进行处理处置</w:t>
            </w:r>
            <w:r>
              <w:rPr>
                <w:rFonts w:hint="eastAsia" w:cs="Times New Roman"/>
                <w:color w:val="auto"/>
                <w:kern w:val="0"/>
                <w:sz w:val="24"/>
                <w:lang w:eastAsia="zh-CN"/>
              </w:rPr>
              <w:t>，</w:t>
            </w:r>
            <w:r>
              <w:rPr>
                <w:rFonts w:hint="eastAsia" w:cs="Times New Roman"/>
                <w:color w:val="auto"/>
                <w:kern w:val="0"/>
                <w:sz w:val="24"/>
                <w:lang w:val="en-US" w:eastAsia="zh-CN"/>
              </w:rPr>
              <w:t>规范建立一般工业固体废物台账（包括作为原料所利用的粉煤灰）、危险废物台账</w:t>
            </w:r>
            <w:r>
              <w:rPr>
                <w:rFonts w:hint="eastAsia" w:ascii="Times New Roman" w:hAnsi="Times New Roman" w:eastAsia="宋体" w:cs="Times New Roman"/>
                <w:color w:val="auto"/>
                <w:kern w:val="0"/>
                <w:sz w:val="24"/>
              </w:rPr>
              <w:t>。</w:t>
            </w:r>
          </w:p>
          <w:p w14:paraId="7811964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本项目新建1座</w:t>
            </w:r>
            <w:r>
              <w:rPr>
                <w:rFonts w:hint="eastAsia" w:ascii="Times New Roman" w:hAnsi="Times New Roman" w:eastAsia="宋体" w:cs="Times New Roman"/>
                <w:color w:val="auto"/>
                <w:kern w:val="0"/>
                <w:sz w:val="24"/>
              </w:rPr>
              <w:t>10m</w:t>
            </w:r>
            <w:r>
              <w:rPr>
                <w:rFonts w:hint="eastAsia" w:ascii="Times New Roman" w:hAnsi="Times New Roman" w:eastAsia="宋体" w:cs="Times New Roman"/>
                <w:color w:val="auto"/>
                <w:kern w:val="0"/>
                <w:sz w:val="24"/>
                <w:vertAlign w:val="superscript"/>
              </w:rPr>
              <w:t>2</w:t>
            </w:r>
            <w:r>
              <w:rPr>
                <w:rFonts w:ascii="Times New Roman" w:hAnsi="Times New Roman" w:eastAsia="宋体" w:cs="Times New Roman"/>
                <w:color w:val="auto"/>
                <w:kern w:val="0"/>
                <w:sz w:val="24"/>
              </w:rPr>
              <w:t>危险废物暂存间，危废暂存间按照《危险废物贮存污染控制标准》（GB18597-</w:t>
            </w:r>
            <w:r>
              <w:rPr>
                <w:rFonts w:hint="eastAsia" w:cs="Times New Roman"/>
                <w:color w:val="auto"/>
                <w:kern w:val="0"/>
                <w:sz w:val="24"/>
                <w:lang w:val="en-US" w:eastAsia="zh-CN"/>
              </w:rPr>
              <w:t>2023）</w:t>
            </w:r>
            <w:r>
              <w:rPr>
                <w:rFonts w:ascii="Times New Roman" w:hAnsi="Times New Roman" w:eastAsia="宋体" w:cs="Times New Roman"/>
                <w:color w:val="auto"/>
                <w:kern w:val="0"/>
                <w:sz w:val="24"/>
              </w:rPr>
              <w:t>要求，建设危废暂存间必须做防渗处理，并满足生态环境管理部门的要求，在醒目的位置安装危废的标识牌。危废暂存间用于暂存废机油，危险废物收集后存放于危废暂存间，并做好防扬散、防流失、防渗漏措施，由危废处置单位委托具有危险货物专业运输资质的运输单位进行承运，并根据规定实施危废转移联单制度。</w:t>
            </w:r>
          </w:p>
          <w:p w14:paraId="4AA94129">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eastAsia="宋体" w:cs="Times New Roman"/>
                <w:color w:val="auto"/>
                <w:kern w:val="0"/>
                <w:sz w:val="24"/>
                <w:lang w:val="en-US" w:eastAsia="zh-CN"/>
              </w:rPr>
              <w:t>从事危险废物收集、贮存、运输经营活动的单位应具有危险废物经营许可证。在收集、贮存、运输危险废物时，应根据危险废物收集、贮存、处置经营许可证核发的有关规定建立相应的规章制度和污染防治措施，包括危险废物分析管理制度、安全管理制度、污染防治措施等；危险废物产生单位内部自行从事的危险废物收集、贮存、运输活动应遵照国家相关管理规定，建立健</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全规章制度及操作流程，确保该过程的安全、可靠</w:t>
            </w:r>
            <w:r>
              <w:rPr>
                <w:rFonts w:hint="eastAsia" w:cs="Times New Roman"/>
                <w:color w:val="000000" w:themeColor="text1"/>
                <w:kern w:val="0"/>
                <w:sz w:val="24"/>
                <w:lang w:val="en-US" w:eastAsia="zh-CN"/>
                <w14:textFill>
                  <w14:solidFill>
                    <w14:schemeClr w14:val="tx1"/>
                  </w14:solidFill>
                </w14:textFill>
              </w:rPr>
              <w:t>。</w:t>
            </w:r>
          </w:p>
          <w:p w14:paraId="36C2928D">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（1）贮存场所</w:t>
            </w:r>
            <w:r>
              <w:rPr>
                <w:rFonts w:hint="eastAsia" w:cs="Times New Roman"/>
                <w:color w:val="000000" w:themeColor="text1"/>
                <w:kern w:val="0"/>
                <w:sz w:val="24"/>
                <w:lang w:val="en-US" w:eastAsia="zh-CN"/>
                <w14:textFill>
                  <w14:solidFill>
                    <w14:schemeClr w14:val="tx1"/>
                  </w14:solidFill>
                </w14:textFill>
              </w:rPr>
              <w:t>建设要求</w:t>
            </w:r>
          </w:p>
          <w:p w14:paraId="14948450">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项目危险废物暂存场所严格按照《危险废物贮存污染控制标准》（GB18597-</w:t>
            </w:r>
            <w:r>
              <w:rPr>
                <w:rFonts w:hint="eastAsia" w:cs="Times New Roman"/>
                <w:color w:val="000000" w:themeColor="text1"/>
                <w:kern w:val="0"/>
                <w:sz w:val="24"/>
                <w:lang w:val="en-US" w:eastAsia="zh-CN"/>
                <w14:textFill>
                  <w14:solidFill>
                    <w14:schemeClr w14:val="tx1"/>
                  </w14:solidFill>
                </w14:textFill>
              </w:rPr>
              <w:t>2023）</w:t>
            </w:r>
            <w:r>
              <w:rPr>
                <w:rFonts w:ascii="Times New Roman" w:hAnsi="Times New Roman" w:eastAsia="宋体" w:cs="Times New Roman"/>
                <w:color w:val="000000" w:themeColor="text1"/>
                <w:kern w:val="0"/>
                <w:sz w:val="24"/>
                <w14:textFill>
                  <w14:solidFill>
                    <w14:schemeClr w14:val="tx1"/>
                  </w14:solidFill>
                </w14:textFill>
              </w:rPr>
              <w:t xml:space="preserve">要求规范建设和维护使用，做到防扬散、防流失、防渗漏等措施，具体情况如下： </w:t>
            </w:r>
          </w:p>
          <w:p w14:paraId="4F835FBD">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①在危险废物暂存场所显著位置张贴危险废物的标识，根据《危险废物贮存污染控制标准》（GB18597-</w:t>
            </w:r>
            <w:r>
              <w:rPr>
                <w:rFonts w:hint="eastAsia" w:cs="Times New Roman"/>
                <w:color w:val="000000" w:themeColor="text1"/>
                <w:kern w:val="0"/>
                <w:sz w:val="24"/>
                <w:lang w:val="en-US" w:eastAsia="zh-CN"/>
                <w14:textFill>
                  <w14:solidFill>
                    <w14:schemeClr w14:val="tx1"/>
                  </w14:solidFill>
                </w14:textFill>
              </w:rPr>
              <w:t>2023）</w:t>
            </w:r>
            <w:r>
              <w:rPr>
                <w:rFonts w:ascii="Times New Roman" w:hAnsi="Times New Roman" w:eastAsia="宋体" w:cs="Times New Roman"/>
                <w:color w:val="000000" w:themeColor="text1"/>
                <w:kern w:val="0"/>
                <w:sz w:val="24"/>
                <w14:textFill>
                  <w14:solidFill>
                    <w14:schemeClr w14:val="tx1"/>
                  </w14:solidFill>
                </w14:textFill>
              </w:rPr>
              <w:t>相关要求，盛装危险废物的容器上必须粘贴符合标准的标签。</w:t>
            </w:r>
          </w:p>
          <w:p w14:paraId="5FE0B68D">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②本项目危险废物暂存场所按照《危险废物贮存污染控制标准》（GB18597-</w:t>
            </w:r>
            <w:r>
              <w:rPr>
                <w:rFonts w:hint="eastAsia" w:cs="Times New Roman"/>
                <w:color w:val="000000" w:themeColor="text1"/>
                <w:kern w:val="0"/>
                <w:sz w:val="24"/>
                <w:lang w:val="en-US" w:eastAsia="zh-CN"/>
                <w14:textFill>
                  <w14:solidFill>
                    <w14:schemeClr w14:val="tx1"/>
                  </w14:solidFill>
                </w14:textFill>
              </w:rPr>
              <w:t>2023）</w:t>
            </w:r>
            <w:r>
              <w:rPr>
                <w:rFonts w:ascii="Times New Roman" w:hAnsi="Times New Roman" w:eastAsia="宋体" w:cs="Times New Roman"/>
                <w:color w:val="000000" w:themeColor="text1"/>
                <w:kern w:val="0"/>
                <w:sz w:val="24"/>
                <w14:textFill>
                  <w14:solidFill>
                    <w14:schemeClr w14:val="tx1"/>
                  </w14:solidFill>
                </w14:textFill>
              </w:rPr>
              <w:t>要求进行建设，设置防渗、防漏等措施。</w:t>
            </w:r>
          </w:p>
          <w:p w14:paraId="31B0AF47">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 xml:space="preserve">③贮存场所地面须作硬化处理，设置废水导排管道或渠道，如产生冲洗废水需收集处理或纳入建设项目废水处理设施处理；贮存液态或半固态废物的，还应设置泄漏液体收集装置；场所应设置警示标志。装载危险废物的容器应确保完好无损。 </w:t>
            </w:r>
          </w:p>
          <w:p w14:paraId="3E195703">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④项目应加强危险储存场所的安全防范措施，防止破损、倾倒等情况发生，防止出现危险废物渗滤液、有机废气等二次污染情况。</w:t>
            </w:r>
          </w:p>
          <w:p w14:paraId="5313FA66">
            <w:pPr>
              <w:numPr>
                <w:ilvl w:val="0"/>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szCs w:val="24"/>
                <w:lang w:val="en-US" w:eastAsia="zh-CN" w:bidi="ar-SA"/>
              </w:rPr>
              <w:t>（2）</w:t>
            </w:r>
            <w:r>
              <w:rPr>
                <w:rFonts w:hint="eastAsia" w:ascii="Times New Roman" w:hAnsi="Times New Roman" w:eastAsia="宋体" w:cs="Times New Roman"/>
                <w:color w:val="auto"/>
                <w:kern w:val="0"/>
                <w:sz w:val="24"/>
                <w:lang w:val="en-US" w:eastAsia="zh-CN"/>
              </w:rPr>
              <w:t>危险废物收集</w:t>
            </w:r>
          </w:p>
          <w:p w14:paraId="536C12D9">
            <w:pPr>
              <w:numPr>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①危险废物的收集应根据危险废物产生的工艺特征、排放周期、危险废物特性、废物管理计划等因素制定收集计划。收集计划应包括收集任务概述、收集目标及原则、危险废物特性评估、危险废物收集量估算、收集作业范围和方法、收集设备与包装容器、安全生产与个人防护、工程防护与事故应急、进度安排与组织管理等。 </w:t>
            </w:r>
          </w:p>
          <w:p w14:paraId="224F001B">
            <w:pPr>
              <w:numPr>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②危险废物的收集应制定详细的操作规程，内容至少应包括适用范围、操作程序和方法、专用设备和工具、转移和交接、安全保障和应急防护等。</w:t>
            </w:r>
          </w:p>
          <w:p w14:paraId="3694F33D">
            <w:pPr>
              <w:numPr>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③危险废物收集和转运作业人员应根据工作需要配备必要的个人防护装备，如手套、防护镜、防护服、防毒面具或口罩等。</w:t>
            </w:r>
          </w:p>
          <w:p w14:paraId="19C49804">
            <w:pPr>
              <w:numPr>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④在危险废物的收集和转运过程中，应采取相应的安全防护和污染防治措施，包括防爆、防火、防中毒、防感染、防泄露、防飞扬、防雨或其它防止污染环境的措施。</w:t>
            </w:r>
          </w:p>
          <w:p w14:paraId="2D4EEEED">
            <w:pPr>
              <w:numPr>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⑤危险废物收集时应根据危险废物的种类、数量、危险特性、物理形态、运输要求等因素确定包装形式。</w:t>
            </w:r>
          </w:p>
          <w:p w14:paraId="5C64BD68">
            <w:pPr>
              <w:numPr>
                <w:numId w:val="0"/>
              </w:num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⑥收集过危险废物的容器、设备、设施、场所及其它物品转作它用时，应消除污染，确保其使用安全。收集结束后应清理和恢复收集作业区域，确保作业区域环境整洁安全。</w:t>
            </w:r>
          </w:p>
          <w:p w14:paraId="01C698BF">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w:t>
            </w:r>
            <w:r>
              <w:rPr>
                <w:rFonts w:hint="eastAsia" w:cs="Times New Roman"/>
                <w:color w:val="auto"/>
                <w:kern w:val="0"/>
                <w:sz w:val="24"/>
                <w:lang w:val="en-US" w:eastAsia="zh-CN"/>
              </w:rPr>
              <w:t>3</w:t>
            </w:r>
            <w:r>
              <w:rPr>
                <w:rFonts w:ascii="Times New Roman" w:hAnsi="Times New Roman" w:eastAsia="宋体" w:cs="Times New Roman"/>
                <w:color w:val="auto"/>
                <w:kern w:val="0"/>
                <w:sz w:val="24"/>
              </w:rPr>
              <w:t>）管理制度建设</w:t>
            </w:r>
          </w:p>
          <w:p w14:paraId="34D028F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①建立固废防治责任制度：建设单位按要求建立、健全污染环境防治责任制度，明确责任人。负责人熟悉危险废物管理相关法规、制度、标准、规范。</w:t>
            </w:r>
          </w:p>
          <w:p w14:paraId="6307A46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②制定危险废物管理计划：按要求制定危险废物管理计划，计划涵盖危险废物的产生环节、种类、危害特性、产生量、利用</w:t>
            </w:r>
            <w:r>
              <w:rPr>
                <w:rFonts w:hint="eastAsia" w:cs="Times New Roman"/>
                <w:color w:val="auto"/>
                <w:kern w:val="0"/>
                <w:sz w:val="24"/>
                <w:lang w:val="en-US" w:eastAsia="zh-CN"/>
              </w:rPr>
              <w:t>和</w:t>
            </w:r>
            <w:r>
              <w:rPr>
                <w:rFonts w:ascii="Times New Roman" w:hAnsi="Times New Roman" w:eastAsia="宋体" w:cs="Times New Roman"/>
                <w:color w:val="auto"/>
                <w:kern w:val="0"/>
                <w:sz w:val="24"/>
              </w:rPr>
              <w:t xml:space="preserve">处置方式并报环保部门备案，如发生重大改变及时申报。 </w:t>
            </w:r>
          </w:p>
          <w:p w14:paraId="149ADBC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 xml:space="preserve">③建立申报登记制度：如实地向所在地县级以上地方人民政府环境保护行政主管部门申报危险废物的种类、产生量、流向、贮存、处置等有关资料。 </w:t>
            </w:r>
          </w:p>
          <w:p w14:paraId="49B0EA9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④固废的暂存制度：项目产生的危险废物贮存执行《危险废物贮存污染控制标准》（GB18597-</w:t>
            </w:r>
            <w:r>
              <w:rPr>
                <w:rFonts w:hint="eastAsia" w:cs="Times New Roman"/>
                <w:color w:val="auto"/>
                <w:kern w:val="0"/>
                <w:sz w:val="24"/>
                <w:lang w:val="en-US" w:eastAsia="zh-CN"/>
              </w:rPr>
              <w:t>2023）</w:t>
            </w:r>
            <w:r>
              <w:rPr>
                <w:rFonts w:ascii="Times New Roman" w:hAnsi="Times New Roman" w:eastAsia="宋体" w:cs="Times New Roman"/>
                <w:color w:val="auto"/>
                <w:kern w:val="0"/>
                <w:sz w:val="24"/>
              </w:rPr>
              <w:t>及《危险废物收集</w:t>
            </w:r>
            <w:r>
              <w:rPr>
                <w:rFonts w:hint="eastAsia" w:cs="Times New Roman"/>
                <w:color w:val="auto"/>
                <w:kern w:val="0"/>
                <w:sz w:val="24"/>
                <w:lang w:val="en-US" w:eastAsia="zh-CN"/>
              </w:rPr>
              <w:t>贮</w:t>
            </w:r>
            <w:r>
              <w:rPr>
                <w:rFonts w:ascii="Times New Roman" w:hAnsi="Times New Roman" w:eastAsia="宋体" w:cs="Times New Roman"/>
                <w:color w:val="auto"/>
                <w:kern w:val="0"/>
                <w:sz w:val="24"/>
              </w:rPr>
              <w:t>存运输技术规范》（HJ2025-2012）中相关规定要求，根据危险废物的包装、贮存设施的安全防护、监测和关闭等要求进行合理的贮存。</w:t>
            </w:r>
          </w:p>
          <w:p w14:paraId="0CA47FD6">
            <w:pPr>
              <w:numPr>
                <w:ilvl w:val="0"/>
                <w:numId w:val="0"/>
              </w:numPr>
              <w:autoSpaceDE w:val="0"/>
              <w:autoSpaceDN w:val="0"/>
              <w:adjustRightInd w:val="0"/>
              <w:snapToGrid w:val="0"/>
              <w:spacing w:line="360" w:lineRule="auto"/>
              <w:ind w:left="420" w:left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szCs w:val="24"/>
                <w:lang w:val="en-US" w:eastAsia="zh-CN" w:bidi="ar-SA"/>
                <w14:textFill>
                  <w14:solidFill>
                    <w14:schemeClr w14:val="tx1"/>
                  </w14:solidFill>
                </w14:textFill>
              </w:rPr>
              <w:t>（</w:t>
            </w:r>
            <w:r>
              <w:rPr>
                <w:rFonts w:hint="eastAsia" w:cs="Times New Roman"/>
                <w:color w:val="000000" w:themeColor="text1"/>
                <w:kern w:val="0"/>
                <w:sz w:val="24"/>
                <w:szCs w:val="24"/>
                <w:lang w:val="en-US" w:eastAsia="zh-CN" w:bidi="ar-SA"/>
                <w14:textFill>
                  <w14:solidFill>
                    <w14:schemeClr w14:val="tx1"/>
                  </w14:solidFill>
                </w14:textFill>
              </w:rPr>
              <w:t>4</w:t>
            </w:r>
            <w:r>
              <w:rPr>
                <w:rFonts w:ascii="Times New Roman" w:hAnsi="Times New Roman" w:eastAsia="宋体" w:cs="Times New Roman"/>
                <w:color w:val="000000" w:themeColor="text1"/>
                <w:kern w:val="0"/>
                <w:sz w:val="24"/>
                <w:szCs w:val="24"/>
                <w:lang w:val="en-US" w:eastAsia="zh-CN" w:bidi="ar-SA"/>
                <w14:textFill>
                  <w14:solidFill>
                    <w14:schemeClr w14:val="tx1"/>
                  </w14:solidFill>
                </w14:textFill>
              </w:rPr>
              <w:t>）</w:t>
            </w:r>
            <w:r>
              <w:rPr>
                <w:rFonts w:ascii="Times New Roman" w:hAnsi="Times New Roman" w:eastAsia="宋体" w:cs="Times New Roman"/>
                <w:color w:val="000000" w:themeColor="text1"/>
                <w:kern w:val="0"/>
                <w:sz w:val="24"/>
                <w14:textFill>
                  <w14:solidFill>
                    <w14:schemeClr w14:val="tx1"/>
                  </w14:solidFill>
                </w14:textFill>
              </w:rPr>
              <w:t>危险废物转运</w:t>
            </w:r>
          </w:p>
          <w:p w14:paraId="68EC76EF">
            <w:pPr>
              <w:numPr>
                <w:ilvl w:val="0"/>
                <w:numId w:val="0"/>
              </w:num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①危险废物的运输应采取危险废物转移电子联单制度，保证运输安全，防止非法转移和非法处置，保证危险废物的安全监控，</w:t>
            </w:r>
            <w:r>
              <w:rPr>
                <w:rFonts w:hint="eastAsia" w:cs="Times New Roman"/>
                <w:color w:val="000000" w:themeColor="text1"/>
                <w:kern w:val="0"/>
                <w:sz w:val="24"/>
                <w:lang w:val="en-US" w:eastAsia="zh-CN"/>
                <w14:textFill>
                  <w14:solidFill>
                    <w14:schemeClr w14:val="tx1"/>
                  </w14:solidFill>
                </w14:textFill>
              </w:rPr>
              <w:t>防止危险废物污染事故发生。</w:t>
            </w:r>
          </w:p>
          <w:p w14:paraId="3BC467E0">
            <w:pPr>
              <w:numPr>
                <w:ilvl w:val="0"/>
                <w:numId w:val="0"/>
              </w:num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②危险废物产生者和危险废物贮存设施经营者均须</w:t>
            </w:r>
            <w:r>
              <w:rPr>
                <w:rFonts w:hint="eastAsia" w:ascii="Times New Roman" w:hAnsi="Times New Roman" w:eastAsia="宋体" w:cs="Times New Roman"/>
                <w:color w:val="000000" w:themeColor="text1"/>
                <w:kern w:val="0"/>
                <w:sz w:val="24"/>
                <w:lang w:eastAsia="zh-CN"/>
                <w14:textFill>
                  <w14:solidFill>
                    <w14:schemeClr w14:val="tx1"/>
                  </w14:solidFill>
                </w14:textFill>
              </w:rPr>
              <w:t>做好</w:t>
            </w:r>
            <w:r>
              <w:rPr>
                <w:rFonts w:ascii="Times New Roman" w:hAnsi="Times New Roman" w:eastAsia="宋体" w:cs="Times New Roman"/>
                <w:color w:val="000000" w:themeColor="text1"/>
                <w:kern w:val="0"/>
                <w:sz w:val="24"/>
                <w14:textFill>
                  <w14:solidFill>
                    <w14:schemeClr w14:val="tx1"/>
                  </w14:solidFill>
                </w14:textFill>
              </w:rPr>
              <w:t>危险废物情况的记录，记录上须注明危险废物的名称、来源、数量、特性和包装容器的类别、入库日期、存放库位、废物出库日期及接收单位名称，危险废物的记录和货单在危险废物回收后应继续保留5年。</w:t>
            </w:r>
          </w:p>
          <w:p w14:paraId="2E0DC90B">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建设单位严格按照转移联单要求做好危废的去向记录，确保废物由有资质的单位进行处置，不得随意倾倒。针对危险废物，应严格按照《危险废物贮存污染控制标准</w:t>
            </w:r>
            <w:r>
              <w:rPr>
                <w:rFonts w:hint="eastAsia" w:ascii="Times New Roman" w:hAnsi="Times New Roman" w:eastAsia="宋体" w:cs="Times New Roman"/>
                <w:color w:val="000000" w:themeColor="text1"/>
                <w:kern w:val="0"/>
                <w:sz w:val="24"/>
                <w:lang w:eastAsia="zh-CN"/>
                <w14:textFill>
                  <w14:solidFill>
                    <w14:schemeClr w14:val="tx1"/>
                  </w14:solidFill>
                </w14:textFill>
              </w:rPr>
              <w:t>》《</w:t>
            </w:r>
            <w:r>
              <w:rPr>
                <w:rFonts w:ascii="Times New Roman" w:hAnsi="Times New Roman" w:eastAsia="宋体" w:cs="Times New Roman"/>
                <w:color w:val="000000" w:themeColor="text1"/>
                <w:kern w:val="0"/>
                <w:sz w:val="24"/>
                <w14:textFill>
                  <w14:solidFill>
                    <w14:schemeClr w14:val="tx1"/>
                  </w14:solidFill>
                </w14:textFill>
              </w:rPr>
              <w:t>危险废物转移管理办法》和“五联单”方式对危险废物进行暂存和转移管理，并及时交与具备处理资质的单位进行处理，将管理联单和危废处理协议送生态环境局备案。</w:t>
            </w:r>
          </w:p>
          <w:p w14:paraId="0E3C1255">
            <w:pPr>
              <w:autoSpaceDE w:val="0"/>
              <w:autoSpaceDN w:val="0"/>
              <w:adjustRightInd w:val="0"/>
              <w:snapToGrid w:val="0"/>
              <w:spacing w:line="360" w:lineRule="auto"/>
              <w:ind w:firstLine="480" w:firstLineChars="200"/>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③制定危险废物管理计划，明确拟转移危险废物的种类、重量（数量）和流向等信息。</w:t>
            </w:r>
          </w:p>
          <w:p w14:paraId="7DC3AA98">
            <w:pPr>
              <w:autoSpaceDE w:val="0"/>
              <w:autoSpaceDN w:val="0"/>
              <w:adjustRightInd w:val="0"/>
              <w:snapToGrid w:val="0"/>
              <w:spacing w:line="360" w:lineRule="auto"/>
              <w:ind w:firstLine="480" w:firstLineChars="200"/>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④建立危险废物管理台账，对转移的危险废物进行计量称重，如实记录、妥善保管转移危险废物的种类、重量（数量）和接受人等相关信息。</w:t>
            </w:r>
          </w:p>
          <w:p w14:paraId="701B1D6A">
            <w:pPr>
              <w:autoSpaceDE w:val="0"/>
              <w:autoSpaceDN w:val="0"/>
              <w:adjustRightInd w:val="0"/>
              <w:snapToGrid w:val="0"/>
              <w:spacing w:line="360" w:lineRule="auto"/>
              <w:ind w:firstLine="480" w:firstLineChars="200"/>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⑤填写、运行危险废物转移联单，在危险废物转移联单中如实填写移出人、承运人、接受人信息，转移危险废物的种类、重量（数量）、危险特性等信息，以及突发环境事件的防范措施等。</w:t>
            </w:r>
          </w:p>
          <w:p w14:paraId="054A6173">
            <w:pPr>
              <w:autoSpaceDE w:val="0"/>
              <w:autoSpaceDN w:val="0"/>
              <w:adjustRightInd w:val="0"/>
              <w:snapToGrid w:val="0"/>
              <w:spacing w:line="360" w:lineRule="auto"/>
              <w:ind w:firstLine="480" w:firstLineChars="200"/>
              <w:rPr>
                <w:rFonts w:hint="default"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⑥移出人应当按照国家有关要求开展危险废物鉴别。禁止将危险废物以副产品等名义提供或者委托给无危险废物经营许可证的单位或者其他生产经营者从事收集、贮存、利用、处置活动。</w:t>
            </w:r>
          </w:p>
          <w:p w14:paraId="3802B370">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综上所述，</w:t>
            </w:r>
            <w:r>
              <w:rPr>
                <w:rFonts w:hint="eastAsia" w:ascii="Times New Roman" w:hAnsi="Times New Roman" w:eastAsia="宋体" w:cs="Times New Roman"/>
                <w:color w:val="000000" w:themeColor="text1"/>
                <w:kern w:val="0"/>
                <w:sz w:val="24"/>
                <w14:textFill>
                  <w14:solidFill>
                    <w14:schemeClr w14:val="tx1"/>
                  </w14:solidFill>
                </w14:textFill>
              </w:rPr>
              <w:t>本</w:t>
            </w:r>
            <w:r>
              <w:rPr>
                <w:rFonts w:ascii="Times New Roman" w:hAnsi="Times New Roman" w:eastAsia="宋体" w:cs="Times New Roman"/>
                <w:color w:val="000000" w:themeColor="text1"/>
                <w:kern w:val="0"/>
                <w:sz w:val="24"/>
                <w14:textFill>
                  <w14:solidFill>
                    <w14:schemeClr w14:val="tx1"/>
                  </w14:solidFill>
                </w14:textFill>
              </w:rPr>
              <w:t>项目的各类</w:t>
            </w:r>
            <w:r>
              <w:rPr>
                <w:rFonts w:hint="eastAsia" w:ascii="Times New Roman" w:hAnsi="Times New Roman" w:eastAsia="宋体" w:cs="Times New Roman"/>
                <w:color w:val="000000" w:themeColor="text1"/>
                <w:kern w:val="0"/>
                <w:sz w:val="24"/>
                <w14:textFill>
                  <w14:solidFill>
                    <w14:schemeClr w14:val="tx1"/>
                  </w14:solidFill>
                </w14:textFill>
              </w:rPr>
              <w:t>固体废物</w:t>
            </w:r>
            <w:r>
              <w:rPr>
                <w:rFonts w:ascii="Times New Roman" w:hAnsi="Times New Roman" w:eastAsia="宋体" w:cs="Times New Roman"/>
                <w:color w:val="000000" w:themeColor="text1"/>
                <w:kern w:val="0"/>
                <w:sz w:val="24"/>
                <w14:textFill>
                  <w14:solidFill>
                    <w14:schemeClr w14:val="tx1"/>
                  </w14:solidFill>
                </w14:textFill>
              </w:rPr>
              <w:t>均能得到合理妥善的处置，因此对环境影响较小。</w:t>
            </w:r>
          </w:p>
          <w:p w14:paraId="0055DFF8">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5.地下水、土壤环境影响及保护措施</w:t>
            </w:r>
          </w:p>
          <w:p w14:paraId="5E356420">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5.1地下水、土壤环境影响分析</w:t>
            </w:r>
          </w:p>
          <w:p w14:paraId="371FD69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本项目营运期的废机油由专用的桶状容器盛装，正常情况下不会造成渗漏，在非正常情况下危险废物发生泄漏，若处置不当则可能导致废液渗入地下，从而影响地下水、土壤质量。</w:t>
            </w:r>
          </w:p>
          <w:p w14:paraId="79DED26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本项目危废暂存间采取有效的防腐、防渗、防漏措施，对整个危险废物暂存间地面、事故收集池、围堰进行硬化。针对</w:t>
            </w:r>
            <w:r>
              <w:rPr>
                <w:rFonts w:hint="eastAsia" w:ascii="Times New Roman" w:hAnsi="Times New Roman" w:eastAsia="宋体" w:cs="Times New Roman"/>
                <w:color w:val="auto"/>
                <w:kern w:val="0"/>
                <w:sz w:val="24"/>
                <w:lang w:eastAsia="zh-CN"/>
              </w:rPr>
              <w:t>危险废物</w:t>
            </w:r>
            <w:r>
              <w:rPr>
                <w:rFonts w:hint="eastAsia" w:ascii="Times New Roman" w:hAnsi="Times New Roman" w:eastAsia="宋体" w:cs="Times New Roman"/>
                <w:color w:val="auto"/>
                <w:kern w:val="0"/>
                <w:sz w:val="24"/>
              </w:rPr>
              <w:t>暂存间的地面在抗渗混凝土基础上，铺设2mm厚高密度聚乙烯材料，或至少2mm厚</w:t>
            </w:r>
            <w:r>
              <w:rPr>
                <w:rFonts w:hint="eastAsia" w:ascii="Times New Roman" w:hAnsi="Times New Roman" w:eastAsia="宋体" w:cs="Times New Roman"/>
                <w:color w:val="auto"/>
                <w:kern w:val="0"/>
                <w:sz w:val="24"/>
                <w:lang w:eastAsia="zh-CN"/>
              </w:rPr>
              <w:t>的其他</w:t>
            </w:r>
            <w:r>
              <w:rPr>
                <w:rFonts w:hint="eastAsia" w:ascii="Times New Roman" w:hAnsi="Times New Roman" w:eastAsia="宋体" w:cs="Times New Roman"/>
                <w:color w:val="auto"/>
                <w:kern w:val="0"/>
                <w:sz w:val="24"/>
              </w:rPr>
              <w:t>人工材料，渗透系数≤10</w:t>
            </w:r>
            <w:r>
              <w:rPr>
                <w:rFonts w:hint="eastAsia" w:ascii="Times New Roman" w:hAnsi="Times New Roman" w:eastAsia="宋体" w:cs="Times New Roman"/>
                <w:color w:val="auto"/>
                <w:kern w:val="0"/>
                <w:sz w:val="24"/>
                <w:vertAlign w:val="superscript"/>
              </w:rPr>
              <w:t>-</w:t>
            </w:r>
            <w:r>
              <w:rPr>
                <w:rFonts w:ascii="Times New Roman" w:hAnsi="Times New Roman" w:eastAsia="宋体" w:cs="Times New Roman"/>
                <w:color w:val="auto"/>
                <w:kern w:val="0"/>
                <w:sz w:val="24"/>
                <w:vertAlign w:val="superscript"/>
              </w:rPr>
              <w:t>10</w:t>
            </w:r>
            <w:r>
              <w:rPr>
                <w:rFonts w:hint="eastAsia" w:ascii="Times New Roman" w:hAnsi="Times New Roman" w:eastAsia="宋体" w:cs="Times New Roman"/>
                <w:color w:val="auto"/>
                <w:kern w:val="0"/>
                <w:sz w:val="24"/>
              </w:rPr>
              <w:t>cm/s，保证无渗漏缝，符合《危险废物贮存污染控制标准》（GB18597-</w:t>
            </w:r>
            <w:r>
              <w:rPr>
                <w:rFonts w:hint="eastAsia" w:cs="Times New Roman"/>
                <w:color w:val="auto"/>
                <w:kern w:val="0"/>
                <w:sz w:val="24"/>
                <w:lang w:val="en-US" w:eastAsia="zh-CN"/>
              </w:rPr>
              <w:t>2023）</w:t>
            </w:r>
            <w:r>
              <w:rPr>
                <w:rFonts w:hint="eastAsia" w:ascii="Times New Roman" w:hAnsi="Times New Roman" w:eastAsia="宋体" w:cs="Times New Roman"/>
                <w:color w:val="auto"/>
                <w:kern w:val="0"/>
                <w:sz w:val="24"/>
              </w:rPr>
              <w:t>要求。池内刷防渗、防腐漆。项目运行期基本杜绝了地下水、土壤的污染途径，基本不会影响地下及土壤的变化。</w:t>
            </w:r>
          </w:p>
          <w:p w14:paraId="33FD0843">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综上，在加强管理、规范操作、加强日常维护的情况下，发生非正常情况导致地下水、土壤环境污染的概率较小。</w:t>
            </w:r>
          </w:p>
          <w:p w14:paraId="0988DA35">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5.2防治措施</w:t>
            </w:r>
          </w:p>
          <w:p w14:paraId="7020ECC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为了进一步降低废液渗入地下对地下水及土壤产生影响，建议建设单位采取下列措施：</w:t>
            </w:r>
          </w:p>
          <w:p w14:paraId="2329026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（1）制定危险废物贮存库定期巡检制度，每天由专人负责对危险废物包装桶进行检查，如果发现有泄漏情况，立即</w:t>
            </w:r>
            <w:r>
              <w:rPr>
                <w:rFonts w:hint="eastAsia" w:cs="Times New Roman"/>
                <w:color w:val="auto"/>
                <w:kern w:val="0"/>
                <w:sz w:val="24"/>
                <w:lang w:val="en-US" w:eastAsia="zh-CN"/>
              </w:rPr>
              <w:t>上报并立刻对包装桶进行更换</w:t>
            </w:r>
            <w:r>
              <w:rPr>
                <w:rFonts w:hint="eastAsia" w:ascii="Times New Roman" w:hAnsi="Times New Roman" w:eastAsia="宋体" w:cs="Times New Roman"/>
                <w:color w:val="auto"/>
                <w:kern w:val="0"/>
                <w:sz w:val="24"/>
              </w:rPr>
              <w:t>。</w:t>
            </w:r>
          </w:p>
          <w:p w14:paraId="7493FF4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（2）源头控制措施：项目危险废物的装卸、暂存过程中，检查收集桶密封情况，防止危险废物跑、冒、滴、漏。</w:t>
            </w:r>
          </w:p>
          <w:p w14:paraId="04EDC12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（3）地面防渗措施：定期检测各防渗措施，防止危险废物的跑、冒、滴、漏，将污染物的环境风险事故降到最低。</w:t>
            </w:r>
          </w:p>
          <w:p w14:paraId="142AD47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（4）加强厂内危险废物管理、环境风险事故处置能力，及时清运危险废物，缩短危险废物厂内储存时间。</w:t>
            </w:r>
          </w:p>
          <w:p w14:paraId="04FEA1E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（5）分区防控措施</w:t>
            </w:r>
          </w:p>
          <w:p w14:paraId="4ADF5F6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为防止贮存过程中跑、冒、滴、漏的物料腐蚀地面，污染物入渗污染地下水，</w:t>
            </w:r>
            <w:r>
              <w:rPr>
                <w:rFonts w:hint="eastAsia" w:cs="Times New Roman"/>
                <w:color w:val="auto"/>
                <w:kern w:val="0"/>
                <w:sz w:val="24"/>
                <w:lang w:val="en-US" w:eastAsia="zh-CN"/>
              </w:rPr>
              <w:t>对厂区进行分区防渗处理</w:t>
            </w:r>
            <w:r>
              <w:rPr>
                <w:rFonts w:hint="eastAsia" w:ascii="Times New Roman" w:hAnsi="Times New Roman" w:eastAsia="宋体" w:cs="Times New Roman"/>
                <w:color w:val="auto"/>
                <w:kern w:val="0"/>
                <w:sz w:val="24"/>
              </w:rPr>
              <w:t>。具体如下：</w:t>
            </w:r>
          </w:p>
          <w:p w14:paraId="2D0DF43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①根据污染区通过各种途径可能进入地下水环境的各种有毒有害原辅材料、产品的泄漏量及其他各类污染物的性质、产生和排放量，将危废</w:t>
            </w:r>
            <w:r>
              <w:rPr>
                <w:rFonts w:hint="eastAsia" w:cs="Times New Roman"/>
                <w:color w:val="auto"/>
                <w:kern w:val="0"/>
                <w:sz w:val="24"/>
                <w:lang w:val="en-US" w:eastAsia="zh-CN"/>
              </w:rPr>
              <w:t>暂存</w:t>
            </w:r>
            <w:r>
              <w:rPr>
                <w:rFonts w:hint="eastAsia" w:ascii="Times New Roman" w:hAnsi="Times New Roman" w:eastAsia="宋体" w:cs="Times New Roman"/>
                <w:color w:val="auto"/>
                <w:kern w:val="0"/>
                <w:sz w:val="24"/>
              </w:rPr>
              <w:t>间进一步分为重点</w:t>
            </w:r>
            <w:r>
              <w:rPr>
                <w:rFonts w:hint="eastAsia" w:cs="Times New Roman"/>
                <w:color w:val="auto"/>
                <w:kern w:val="0"/>
                <w:sz w:val="24"/>
                <w:lang w:val="en-US" w:eastAsia="zh-CN"/>
              </w:rPr>
              <w:t>防渗</w:t>
            </w:r>
            <w:r>
              <w:rPr>
                <w:rFonts w:hint="eastAsia" w:ascii="Times New Roman" w:hAnsi="Times New Roman" w:eastAsia="宋体" w:cs="Times New Roman"/>
                <w:color w:val="auto"/>
                <w:kern w:val="0"/>
                <w:sz w:val="24"/>
              </w:rPr>
              <w:t>区</w:t>
            </w:r>
            <w:r>
              <w:rPr>
                <w:rFonts w:hint="eastAsia" w:cs="Times New Roman"/>
                <w:color w:val="auto"/>
                <w:kern w:val="0"/>
                <w:sz w:val="24"/>
                <w:lang w:eastAsia="zh-CN"/>
              </w:rPr>
              <w:t>，</w:t>
            </w:r>
            <w:r>
              <w:rPr>
                <w:rFonts w:hint="eastAsia" w:cs="Times New Roman"/>
                <w:color w:val="auto"/>
                <w:kern w:val="0"/>
                <w:sz w:val="24"/>
                <w:lang w:val="en-US" w:eastAsia="zh-CN"/>
              </w:rPr>
              <w:t>搅拌楼分为一般防渗区，其他区域为简单防渗区</w:t>
            </w:r>
            <w:r>
              <w:rPr>
                <w:rFonts w:hint="eastAsia" w:ascii="Times New Roman" w:hAnsi="Times New Roman" w:eastAsia="宋体" w:cs="Times New Roman"/>
                <w:color w:val="auto"/>
                <w:kern w:val="0"/>
                <w:sz w:val="24"/>
              </w:rPr>
              <w:t>；</w:t>
            </w:r>
          </w:p>
          <w:p w14:paraId="282EB57D">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②重点污染防治区参照</w:t>
            </w:r>
            <w:r>
              <w:rPr>
                <w:rFonts w:hint="eastAsia" w:ascii="Times New Roman" w:hAnsi="Times New Roman" w:eastAsia="宋体" w:cs="Times New Roman"/>
                <w:color w:val="auto"/>
                <w:kern w:val="0"/>
                <w:sz w:val="24"/>
                <w:lang w:val="en-US" w:eastAsia="zh-CN"/>
              </w:rPr>
              <w:t>《危险废物贮存污染控制标准》（GB18597-2023）《危险废物收集贮存运输技术规范》（HJ2025-2012）</w:t>
            </w:r>
            <w:r>
              <w:rPr>
                <w:rFonts w:hint="eastAsia" w:ascii="Times New Roman" w:hAnsi="Times New Roman" w:eastAsia="宋体" w:cs="Times New Roman"/>
                <w:color w:val="auto"/>
                <w:kern w:val="0"/>
                <w:sz w:val="24"/>
              </w:rPr>
              <w:t>制定防渗设计方案。</w:t>
            </w:r>
          </w:p>
          <w:p w14:paraId="72389486">
            <w:pPr>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③</w:t>
            </w:r>
            <w:r>
              <w:rPr>
                <w:rFonts w:hint="default" w:ascii="Times New Roman" w:hAnsi="Times New Roman" w:cs="Times New Roman"/>
                <w:color w:val="auto"/>
                <w:sz w:val="24"/>
              </w:rPr>
              <w:t>一般防渗结构区主要为</w:t>
            </w:r>
            <w:r>
              <w:rPr>
                <w:rFonts w:hint="eastAsia" w:cs="Times New Roman"/>
                <w:color w:val="auto"/>
                <w:sz w:val="24"/>
                <w:lang w:val="en-US" w:eastAsia="zh-CN"/>
              </w:rPr>
              <w:t>搅拌楼、三级沉淀池</w:t>
            </w:r>
            <w:r>
              <w:rPr>
                <w:rFonts w:hint="default" w:ascii="Times New Roman" w:hAnsi="Times New Roman" w:cs="Times New Roman"/>
                <w:color w:val="auto"/>
                <w:sz w:val="24"/>
              </w:rPr>
              <w:t>，地面硬化处理，并按照相关要求设置防渗层，可选用天然或人工材料构筑防渗层，防渗层的防渗性能不应低于1.5m厚渗透系数为1.0×10</w:t>
            </w:r>
            <w:r>
              <w:rPr>
                <w:rFonts w:hint="default" w:ascii="Times New Roman" w:hAnsi="Times New Roman" w:cs="Times New Roman"/>
                <w:color w:val="auto"/>
                <w:sz w:val="24"/>
                <w:vertAlign w:val="superscript"/>
              </w:rPr>
              <w:t>-7</w:t>
            </w:r>
            <w:r>
              <w:rPr>
                <w:rFonts w:hint="default" w:ascii="Times New Roman" w:hAnsi="Times New Roman" w:cs="Times New Roman"/>
                <w:color w:val="auto"/>
                <w:sz w:val="24"/>
              </w:rPr>
              <w:t>cm/s的等效黏土层的防渗性能。</w:t>
            </w:r>
          </w:p>
          <w:p w14:paraId="381E563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本项目防渗情况详见下表4-1</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rPr>
              <w:t>。</w:t>
            </w:r>
          </w:p>
          <w:p w14:paraId="155CDF5E">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表4-1</w:t>
            </w:r>
            <w:r>
              <w:rPr>
                <w:rFonts w:hint="eastAsia" w:cs="Times New Roman"/>
                <w:color w:val="auto"/>
                <w:lang w:val="en-US" w:eastAsia="zh-CN"/>
              </w:rPr>
              <w:t>2</w:t>
            </w:r>
            <w:r>
              <w:rPr>
                <w:rFonts w:hint="default" w:ascii="Times New Roman" w:hAnsi="Times New Roman" w:eastAsia="宋体" w:cs="Times New Roman"/>
                <w:color w:val="auto"/>
              </w:rPr>
              <w:t xml:space="preserve">    厂区分区防渗措施一览表</w:t>
            </w:r>
          </w:p>
          <w:tbl>
            <w:tblPr>
              <w:tblStyle w:val="28"/>
              <w:tblW w:w="4999"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648"/>
              <w:gridCol w:w="2648"/>
              <w:gridCol w:w="2648"/>
            </w:tblGrid>
            <w:tr w14:paraId="7D16BF0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1666" w:type="pct"/>
                  <w:tcBorders>
                    <w:bottom w:val="single" w:color="auto" w:sz="12" w:space="0"/>
                  </w:tcBorders>
                  <w:vAlign w:val="center"/>
                </w:tcPr>
                <w:p w14:paraId="79B1992A">
                  <w:pPr>
                    <w:jc w:val="center"/>
                    <w:rPr>
                      <w:b/>
                      <w:bCs/>
                      <w:color w:val="auto"/>
                      <w:sz w:val="21"/>
                      <w:szCs w:val="21"/>
                    </w:rPr>
                  </w:pPr>
                  <w:r>
                    <w:rPr>
                      <w:b/>
                      <w:bCs/>
                      <w:color w:val="auto"/>
                      <w:sz w:val="21"/>
                      <w:szCs w:val="21"/>
                    </w:rPr>
                    <w:t>名称</w:t>
                  </w:r>
                </w:p>
              </w:tc>
              <w:tc>
                <w:tcPr>
                  <w:tcW w:w="1666" w:type="pct"/>
                  <w:tcBorders>
                    <w:bottom w:val="single" w:color="auto" w:sz="12" w:space="0"/>
                  </w:tcBorders>
                  <w:vAlign w:val="center"/>
                </w:tcPr>
                <w:p w14:paraId="25107DE4">
                  <w:pPr>
                    <w:jc w:val="center"/>
                    <w:rPr>
                      <w:b/>
                      <w:bCs/>
                      <w:color w:val="auto"/>
                      <w:sz w:val="21"/>
                      <w:szCs w:val="21"/>
                    </w:rPr>
                  </w:pPr>
                  <w:r>
                    <w:rPr>
                      <w:b/>
                      <w:bCs/>
                      <w:color w:val="auto"/>
                      <w:sz w:val="21"/>
                      <w:szCs w:val="21"/>
                    </w:rPr>
                    <w:t>范围</w:t>
                  </w:r>
                </w:p>
              </w:tc>
              <w:tc>
                <w:tcPr>
                  <w:tcW w:w="1666" w:type="pct"/>
                  <w:tcBorders>
                    <w:bottom w:val="single" w:color="auto" w:sz="12" w:space="0"/>
                  </w:tcBorders>
                  <w:vAlign w:val="center"/>
                </w:tcPr>
                <w:p w14:paraId="5B963127">
                  <w:pPr>
                    <w:jc w:val="center"/>
                    <w:rPr>
                      <w:b/>
                      <w:bCs/>
                      <w:color w:val="auto"/>
                      <w:sz w:val="21"/>
                      <w:szCs w:val="21"/>
                    </w:rPr>
                  </w:pPr>
                  <w:r>
                    <w:rPr>
                      <w:b/>
                      <w:bCs/>
                      <w:color w:val="auto"/>
                      <w:sz w:val="21"/>
                      <w:szCs w:val="21"/>
                    </w:rPr>
                    <w:t>防渗要求</w:t>
                  </w:r>
                </w:p>
              </w:tc>
            </w:tr>
            <w:tr w14:paraId="5024F21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666" w:type="pct"/>
                  <w:tcBorders>
                    <w:top w:val="single" w:color="auto" w:sz="12" w:space="0"/>
                    <w:bottom w:val="single" w:color="auto" w:sz="12" w:space="0"/>
                    <w:tl2br w:val="nil"/>
                    <w:tr2bl w:val="nil"/>
                  </w:tcBorders>
                  <w:vAlign w:val="center"/>
                </w:tcPr>
                <w:p w14:paraId="1660266F">
                  <w:pPr>
                    <w:jc w:val="center"/>
                    <w:rPr>
                      <w:color w:val="auto"/>
                      <w:sz w:val="21"/>
                      <w:szCs w:val="21"/>
                    </w:rPr>
                  </w:pPr>
                  <w:r>
                    <w:rPr>
                      <w:bCs/>
                      <w:color w:val="auto"/>
                      <w:sz w:val="21"/>
                      <w:szCs w:val="21"/>
                    </w:rPr>
                    <w:t>重点防渗区</w:t>
                  </w:r>
                </w:p>
              </w:tc>
              <w:tc>
                <w:tcPr>
                  <w:tcW w:w="1666" w:type="pct"/>
                  <w:tcBorders>
                    <w:top w:val="single" w:color="auto" w:sz="12" w:space="0"/>
                    <w:bottom w:val="single" w:color="auto" w:sz="12" w:space="0"/>
                    <w:tl2br w:val="nil"/>
                    <w:tr2bl w:val="nil"/>
                  </w:tcBorders>
                  <w:vAlign w:val="center"/>
                </w:tcPr>
                <w:p w14:paraId="45CD5606">
                  <w:pPr>
                    <w:jc w:val="center"/>
                    <w:rPr>
                      <w:color w:val="auto"/>
                      <w:sz w:val="21"/>
                      <w:szCs w:val="21"/>
                    </w:rPr>
                  </w:pPr>
                  <w:r>
                    <w:rPr>
                      <w:rFonts w:hint="eastAsia"/>
                      <w:bCs/>
                      <w:color w:val="auto"/>
                      <w:sz w:val="21"/>
                      <w:szCs w:val="21"/>
                    </w:rPr>
                    <w:t>危废</w:t>
                  </w:r>
                  <w:r>
                    <w:rPr>
                      <w:rFonts w:hint="eastAsia"/>
                      <w:bCs/>
                      <w:color w:val="auto"/>
                      <w:sz w:val="21"/>
                      <w:szCs w:val="21"/>
                      <w:lang w:val="en-US" w:eastAsia="zh-CN"/>
                    </w:rPr>
                    <w:t>暂存</w:t>
                  </w:r>
                  <w:r>
                    <w:rPr>
                      <w:rFonts w:hint="eastAsia"/>
                      <w:bCs/>
                      <w:color w:val="auto"/>
                      <w:sz w:val="21"/>
                      <w:szCs w:val="21"/>
                    </w:rPr>
                    <w:t>间</w:t>
                  </w:r>
                </w:p>
              </w:tc>
              <w:tc>
                <w:tcPr>
                  <w:tcW w:w="1666" w:type="pct"/>
                  <w:tcBorders>
                    <w:top w:val="single" w:color="auto" w:sz="12" w:space="0"/>
                    <w:bottom w:val="single" w:color="auto" w:sz="12" w:space="0"/>
                    <w:tl2br w:val="nil"/>
                    <w:tr2bl w:val="nil"/>
                  </w:tcBorders>
                  <w:vAlign w:val="center"/>
                </w:tcPr>
                <w:p w14:paraId="38A31C21">
                  <w:pPr>
                    <w:jc w:val="center"/>
                    <w:rPr>
                      <w:color w:val="auto"/>
                      <w:sz w:val="21"/>
                      <w:szCs w:val="21"/>
                    </w:rPr>
                  </w:pPr>
                  <w:r>
                    <w:rPr>
                      <w:bCs/>
                      <w:color w:val="auto"/>
                      <w:kern w:val="0"/>
                      <w:sz w:val="21"/>
                      <w:szCs w:val="21"/>
                      <w:lang w:bidi="ar"/>
                    </w:rPr>
                    <w:t>混凝土防渗，渗透系数≤10</w:t>
                  </w:r>
                  <w:r>
                    <w:rPr>
                      <w:bCs/>
                      <w:color w:val="auto"/>
                      <w:kern w:val="0"/>
                      <w:sz w:val="21"/>
                      <w:szCs w:val="21"/>
                      <w:vertAlign w:val="superscript"/>
                      <w:lang w:bidi="ar"/>
                    </w:rPr>
                    <w:t>-10</w:t>
                  </w:r>
                  <w:r>
                    <w:rPr>
                      <w:bCs/>
                      <w:color w:val="auto"/>
                      <w:kern w:val="0"/>
                      <w:sz w:val="21"/>
                      <w:szCs w:val="21"/>
                      <w:lang w:bidi="ar"/>
                    </w:rPr>
                    <w:t>cm/s</w:t>
                  </w:r>
                </w:p>
              </w:tc>
            </w:tr>
            <w:tr w14:paraId="7C1FCE1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666" w:type="pct"/>
                  <w:tcBorders>
                    <w:top w:val="single" w:color="auto" w:sz="12" w:space="0"/>
                    <w:bottom w:val="single" w:color="auto" w:sz="12" w:space="0"/>
                    <w:tl2br w:val="nil"/>
                    <w:tr2bl w:val="nil"/>
                  </w:tcBorders>
                  <w:vAlign w:val="center"/>
                </w:tcPr>
                <w:p w14:paraId="43063CEA">
                  <w:pPr>
                    <w:jc w:val="center"/>
                    <w:rPr>
                      <w:rFonts w:hint="eastAsia"/>
                      <w:bCs/>
                      <w:color w:val="auto"/>
                      <w:sz w:val="21"/>
                      <w:szCs w:val="21"/>
                    </w:rPr>
                  </w:pPr>
                  <w:r>
                    <w:rPr>
                      <w:rFonts w:hint="eastAsia"/>
                      <w:bCs/>
                      <w:color w:val="auto"/>
                      <w:sz w:val="21"/>
                      <w:szCs w:val="21"/>
                      <w:lang w:val="en-US" w:eastAsia="zh-CN"/>
                    </w:rPr>
                    <w:t>一般防渗区</w:t>
                  </w:r>
                </w:p>
              </w:tc>
              <w:tc>
                <w:tcPr>
                  <w:tcW w:w="1666" w:type="pct"/>
                  <w:tcBorders>
                    <w:top w:val="single" w:color="auto" w:sz="12" w:space="0"/>
                    <w:bottom w:val="single" w:color="auto" w:sz="12" w:space="0"/>
                    <w:tl2br w:val="nil"/>
                    <w:tr2bl w:val="nil"/>
                  </w:tcBorders>
                  <w:vAlign w:val="center"/>
                </w:tcPr>
                <w:p w14:paraId="28DEC3E8">
                  <w:pPr>
                    <w:jc w:val="center"/>
                    <w:rPr>
                      <w:rFonts w:hint="eastAsia"/>
                      <w:bCs/>
                      <w:color w:val="auto"/>
                      <w:sz w:val="21"/>
                      <w:szCs w:val="21"/>
                    </w:rPr>
                  </w:pPr>
                  <w:r>
                    <w:rPr>
                      <w:rFonts w:hint="eastAsia"/>
                      <w:bCs/>
                      <w:color w:val="auto"/>
                      <w:sz w:val="21"/>
                      <w:szCs w:val="21"/>
                      <w:lang w:val="en-US" w:eastAsia="zh-CN"/>
                    </w:rPr>
                    <w:t>搅拌楼</w:t>
                  </w:r>
                </w:p>
              </w:tc>
              <w:tc>
                <w:tcPr>
                  <w:tcW w:w="1666" w:type="pct"/>
                  <w:tcBorders>
                    <w:top w:val="single" w:color="auto" w:sz="12" w:space="0"/>
                    <w:bottom w:val="single" w:color="auto" w:sz="12" w:space="0"/>
                    <w:tl2br w:val="nil"/>
                    <w:tr2bl w:val="nil"/>
                  </w:tcBorders>
                  <w:vAlign w:val="center"/>
                </w:tcPr>
                <w:p w14:paraId="21FC7256">
                  <w:pPr>
                    <w:jc w:val="center"/>
                    <w:rPr>
                      <w:rFonts w:hint="default" w:eastAsia="宋体"/>
                      <w:bCs/>
                      <w:color w:val="auto"/>
                      <w:kern w:val="0"/>
                      <w:sz w:val="21"/>
                      <w:szCs w:val="21"/>
                      <w:lang w:val="en-US" w:eastAsia="zh-CN" w:bidi="ar"/>
                    </w:rPr>
                  </w:pPr>
                  <w:r>
                    <w:rPr>
                      <w:rFonts w:hint="eastAsia"/>
                      <w:bCs/>
                      <w:color w:val="auto"/>
                      <w:kern w:val="0"/>
                      <w:sz w:val="21"/>
                      <w:szCs w:val="21"/>
                      <w:lang w:val="en-US" w:eastAsia="zh-CN" w:bidi="ar"/>
                    </w:rPr>
                    <w:t>地面硬化，铺设防渗膜</w:t>
                  </w:r>
                </w:p>
              </w:tc>
            </w:tr>
            <w:tr w14:paraId="46588CB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666" w:type="pct"/>
                  <w:tcBorders>
                    <w:top w:val="single" w:color="auto" w:sz="12" w:space="0"/>
                    <w:tl2br w:val="nil"/>
                    <w:tr2bl w:val="nil"/>
                  </w:tcBorders>
                  <w:vAlign w:val="center"/>
                </w:tcPr>
                <w:p w14:paraId="5A286A4F">
                  <w:pPr>
                    <w:jc w:val="center"/>
                    <w:rPr>
                      <w:rFonts w:hint="eastAsia"/>
                      <w:bCs/>
                      <w:color w:val="auto"/>
                      <w:sz w:val="21"/>
                      <w:szCs w:val="21"/>
                    </w:rPr>
                  </w:pPr>
                  <w:r>
                    <w:rPr>
                      <w:rFonts w:hint="eastAsia"/>
                      <w:bCs/>
                      <w:color w:val="auto"/>
                      <w:sz w:val="21"/>
                      <w:szCs w:val="21"/>
                      <w:lang w:val="en-US" w:eastAsia="zh-CN"/>
                    </w:rPr>
                    <w:t>简单防渗区</w:t>
                  </w:r>
                </w:p>
              </w:tc>
              <w:tc>
                <w:tcPr>
                  <w:tcW w:w="1666" w:type="pct"/>
                  <w:tcBorders>
                    <w:top w:val="single" w:color="auto" w:sz="12" w:space="0"/>
                    <w:tl2br w:val="nil"/>
                    <w:tr2bl w:val="nil"/>
                  </w:tcBorders>
                  <w:vAlign w:val="center"/>
                </w:tcPr>
                <w:p w14:paraId="6341F1F6">
                  <w:pPr>
                    <w:jc w:val="center"/>
                    <w:rPr>
                      <w:rFonts w:hint="eastAsia"/>
                      <w:bCs/>
                      <w:color w:val="auto"/>
                      <w:sz w:val="21"/>
                      <w:szCs w:val="21"/>
                    </w:rPr>
                  </w:pPr>
                  <w:r>
                    <w:rPr>
                      <w:rFonts w:hint="eastAsia"/>
                      <w:bCs/>
                      <w:color w:val="auto"/>
                      <w:sz w:val="21"/>
                      <w:szCs w:val="21"/>
                      <w:lang w:val="en-US" w:eastAsia="zh-CN"/>
                    </w:rPr>
                    <w:t>其他区域</w:t>
                  </w:r>
                </w:p>
              </w:tc>
              <w:tc>
                <w:tcPr>
                  <w:tcW w:w="1666" w:type="pct"/>
                  <w:tcBorders>
                    <w:top w:val="single" w:color="auto" w:sz="12" w:space="0"/>
                    <w:tl2br w:val="nil"/>
                    <w:tr2bl w:val="nil"/>
                  </w:tcBorders>
                  <w:vAlign w:val="center"/>
                </w:tcPr>
                <w:p w14:paraId="6310EAA4">
                  <w:pPr>
                    <w:jc w:val="center"/>
                    <w:rPr>
                      <w:rFonts w:hint="eastAsia" w:eastAsia="宋体"/>
                      <w:bCs/>
                      <w:color w:val="auto"/>
                      <w:kern w:val="0"/>
                      <w:sz w:val="21"/>
                      <w:szCs w:val="21"/>
                      <w:lang w:val="en-US" w:eastAsia="zh-CN" w:bidi="ar"/>
                    </w:rPr>
                  </w:pPr>
                  <w:r>
                    <w:rPr>
                      <w:rFonts w:hint="eastAsia"/>
                      <w:bCs/>
                      <w:color w:val="auto"/>
                      <w:kern w:val="0"/>
                      <w:sz w:val="21"/>
                      <w:szCs w:val="21"/>
                      <w:lang w:val="en-US" w:eastAsia="zh-CN" w:bidi="ar"/>
                    </w:rPr>
                    <w:t>地面硬化</w:t>
                  </w:r>
                </w:p>
              </w:tc>
            </w:tr>
          </w:tbl>
          <w:p w14:paraId="77DE9BF6">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6.生态环境影响分析</w:t>
            </w:r>
          </w:p>
          <w:p w14:paraId="6EE3746F">
            <w:pPr>
              <w:keepNext w:val="0"/>
              <w:keepLines w:val="0"/>
              <w:widowControl/>
              <w:suppressLineNumbers w:val="0"/>
              <w:spacing w:line="360" w:lineRule="auto"/>
              <w:ind w:firstLine="480" w:firstLineChars="200"/>
              <w:jc w:val="left"/>
              <w:rPr>
                <w:rFonts w:hint="eastAsia"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本项目位于新疆维吾尔自治区木垒县</w:t>
            </w:r>
            <w:r>
              <w:rPr>
                <w:rFonts w:hint="eastAsia" w:cs="Times New Roman"/>
                <w:color w:val="auto"/>
                <w:kern w:val="0"/>
                <w:sz w:val="24"/>
                <w:szCs w:val="24"/>
                <w:highlight w:val="none"/>
                <w:lang w:val="en-US" w:eastAsia="zh-CN" w:bidi="ar-SA"/>
              </w:rPr>
              <w:t>大石头风电场</w:t>
            </w:r>
            <w:r>
              <w:rPr>
                <w:rFonts w:hint="eastAsia" w:ascii="Times New Roman" w:hAnsi="Times New Roman" w:eastAsia="宋体" w:cs="Times New Roman"/>
                <w:color w:val="auto"/>
                <w:kern w:val="0"/>
                <w:sz w:val="24"/>
                <w:szCs w:val="24"/>
                <w:highlight w:val="none"/>
                <w:lang w:val="en-US" w:eastAsia="zh-CN" w:bidi="ar-SA"/>
              </w:rPr>
              <w:t>，</w:t>
            </w:r>
            <w:r>
              <w:rPr>
                <w:rFonts w:ascii="Times New Roman" w:hAnsi="Times New Roman" w:eastAsia="宋体" w:cs="Times New Roman"/>
                <w:color w:val="auto"/>
                <w:kern w:val="0"/>
                <w:sz w:val="24"/>
                <w:szCs w:val="24"/>
                <w:highlight w:val="none"/>
                <w:lang w:val="en-US" w:eastAsia="zh-CN" w:bidi="ar-SA"/>
              </w:rPr>
              <w:t>项目所在地周边无珍稀动植物物种和自然保护区等环境敏感区。在各项环保设施</w:t>
            </w:r>
            <w:r>
              <w:rPr>
                <w:rFonts w:hint="eastAsia" w:ascii="Times New Roman" w:hAnsi="Times New Roman" w:eastAsia="宋体" w:cs="Times New Roman"/>
                <w:color w:val="auto"/>
                <w:kern w:val="0"/>
                <w:sz w:val="24"/>
                <w:szCs w:val="24"/>
                <w:highlight w:val="none"/>
                <w:lang w:val="en-US" w:eastAsia="zh-CN" w:bidi="ar-SA"/>
              </w:rPr>
              <w:t>及防治措施</w:t>
            </w:r>
            <w:r>
              <w:rPr>
                <w:rFonts w:ascii="Times New Roman" w:hAnsi="Times New Roman" w:eastAsia="宋体" w:cs="Times New Roman"/>
                <w:color w:val="auto"/>
                <w:kern w:val="0"/>
                <w:sz w:val="24"/>
                <w:szCs w:val="24"/>
                <w:highlight w:val="none"/>
                <w:lang w:val="en-US" w:eastAsia="zh-CN" w:bidi="ar-SA"/>
              </w:rPr>
              <w:t>正常运行状态下，各种污染物能够做到达标排放</w:t>
            </w:r>
            <w:r>
              <w:rPr>
                <w:rFonts w:hint="eastAsia" w:cs="Times New Roman"/>
                <w:color w:val="auto"/>
                <w:kern w:val="0"/>
                <w:sz w:val="24"/>
                <w:szCs w:val="24"/>
                <w:highlight w:val="none"/>
                <w:lang w:val="en-US" w:eastAsia="zh-CN" w:bidi="ar-SA"/>
              </w:rPr>
              <w:t>。</w:t>
            </w:r>
          </w:p>
          <w:p w14:paraId="0746C7CA">
            <w:pPr>
              <w:keepNext w:val="0"/>
              <w:keepLines w:val="0"/>
              <w:widowControl/>
              <w:suppressLineNumbers w:val="0"/>
              <w:spacing w:line="360" w:lineRule="auto"/>
              <w:ind w:firstLine="480" w:firstLineChars="200"/>
              <w:jc w:val="left"/>
              <w:rPr>
                <w:rFonts w:hint="eastAsia" w:cs="Times New Roman"/>
                <w:color w:val="auto"/>
                <w:kern w:val="0"/>
                <w:sz w:val="24"/>
                <w:highlight w:val="none"/>
                <w:vertAlign w:val="baseline"/>
                <w:lang w:val="en-US" w:eastAsia="zh-CN"/>
              </w:rPr>
            </w:pPr>
            <w:r>
              <w:rPr>
                <w:rFonts w:hint="eastAsia" w:cs="Times New Roman"/>
                <w:color w:val="auto"/>
                <w:kern w:val="0"/>
                <w:sz w:val="24"/>
                <w:highlight w:val="none"/>
                <w:lang w:val="en-US" w:eastAsia="zh-CN"/>
              </w:rPr>
              <w:t>项目用地为临时用地，项目建设时会造成土地损毁，因此待临时用地2年限结束后需对临时占地进行恢复，并进行土地复垦</w:t>
            </w:r>
            <w:r>
              <w:rPr>
                <w:rFonts w:hint="eastAsia" w:ascii="Times New Roman" w:hAnsi="Times New Roman" w:eastAsia="宋体" w:cs="Times New Roman"/>
                <w:color w:val="auto"/>
                <w:kern w:val="0"/>
                <w:sz w:val="24"/>
                <w:highlight w:val="none"/>
              </w:rPr>
              <w:t>。</w:t>
            </w:r>
            <w:r>
              <w:rPr>
                <w:rFonts w:hint="eastAsia" w:cs="Times New Roman"/>
                <w:color w:val="auto"/>
                <w:kern w:val="0"/>
                <w:sz w:val="24"/>
                <w:highlight w:val="none"/>
                <w:lang w:val="en-US" w:eastAsia="zh-CN"/>
              </w:rPr>
              <w:t>临时用地损毁土地面积为13634m</w:t>
            </w:r>
            <w:r>
              <w:rPr>
                <w:rFonts w:hint="eastAsia" w:cs="Times New Roman"/>
                <w:color w:val="auto"/>
                <w:kern w:val="0"/>
                <w:sz w:val="24"/>
                <w:highlight w:val="none"/>
                <w:vertAlign w:val="superscript"/>
                <w:lang w:val="en-US" w:eastAsia="zh-CN"/>
              </w:rPr>
              <w:t>2</w:t>
            </w:r>
            <w:r>
              <w:rPr>
                <w:rFonts w:hint="eastAsia" w:cs="Times New Roman"/>
                <w:color w:val="auto"/>
                <w:kern w:val="0"/>
                <w:sz w:val="24"/>
                <w:highlight w:val="none"/>
                <w:vertAlign w:val="baseline"/>
                <w:lang w:val="en-US" w:eastAsia="zh-CN"/>
              </w:rPr>
              <w:t>，</w:t>
            </w:r>
            <w:r>
              <w:rPr>
                <w:rFonts w:hint="eastAsia" w:ascii="Times New Roman" w:hAnsi="Times New Roman" w:eastAsia="宋体" w:cs="Times New Roman"/>
                <w:color w:val="auto"/>
                <w:kern w:val="0"/>
                <w:sz w:val="24"/>
                <w:highlight w:val="none"/>
                <w:lang w:val="en-US" w:eastAsia="zh-CN"/>
              </w:rPr>
              <w:t>土地损毁形式为压占，</w:t>
            </w:r>
            <w:r>
              <w:rPr>
                <w:rFonts w:hint="eastAsia" w:cs="Times New Roman"/>
                <w:color w:val="auto"/>
                <w:kern w:val="0"/>
                <w:sz w:val="24"/>
                <w:highlight w:val="none"/>
                <w:lang w:val="en-US" w:eastAsia="zh-CN"/>
              </w:rPr>
              <w:t>损毁程度为轻度，</w:t>
            </w:r>
            <w:r>
              <w:rPr>
                <w:rFonts w:hint="eastAsia" w:ascii="Times New Roman" w:hAnsi="Times New Roman" w:eastAsia="宋体" w:cs="Times New Roman"/>
                <w:color w:val="auto"/>
                <w:kern w:val="0"/>
                <w:sz w:val="24"/>
                <w:highlight w:val="none"/>
                <w:lang w:val="en-US" w:eastAsia="zh-CN"/>
              </w:rPr>
              <w:t>压占地类为</w:t>
            </w:r>
            <w:r>
              <w:rPr>
                <w:rFonts w:hint="eastAsia" w:cs="Times New Roman"/>
                <w:color w:val="auto"/>
                <w:kern w:val="0"/>
                <w:sz w:val="24"/>
                <w:highlight w:val="none"/>
                <w:lang w:val="en-US" w:eastAsia="zh-CN"/>
              </w:rPr>
              <w:t>天然牧草地，复垦责任范围13634m</w:t>
            </w:r>
            <w:r>
              <w:rPr>
                <w:rFonts w:hint="eastAsia" w:cs="Times New Roman"/>
                <w:color w:val="auto"/>
                <w:kern w:val="0"/>
                <w:sz w:val="24"/>
                <w:highlight w:val="none"/>
                <w:vertAlign w:val="superscript"/>
                <w:lang w:val="en-US" w:eastAsia="zh-CN"/>
              </w:rPr>
              <w:t>2</w:t>
            </w:r>
            <w:r>
              <w:rPr>
                <w:rFonts w:hint="eastAsia" w:cs="Times New Roman"/>
                <w:color w:val="auto"/>
                <w:kern w:val="0"/>
                <w:sz w:val="24"/>
                <w:highlight w:val="none"/>
                <w:vertAlign w:val="baseline"/>
                <w:lang w:val="en-US" w:eastAsia="zh-CN"/>
              </w:rPr>
              <w:t>。</w:t>
            </w:r>
          </w:p>
          <w:p w14:paraId="21B3E03E">
            <w:pPr>
              <w:numPr>
                <w:ilvl w:val="0"/>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根据《企业拆除活动污染防治技术规定（施行）》的要求临时占地</w:t>
            </w:r>
            <w:r>
              <w:rPr>
                <w:rFonts w:hint="eastAsia" w:cs="Times New Roman"/>
                <w:color w:val="auto"/>
                <w:kern w:val="0"/>
                <w:sz w:val="24"/>
                <w:lang w:val="en-US" w:eastAsia="zh-CN"/>
              </w:rPr>
              <w:t>恢复</w:t>
            </w:r>
            <w:r>
              <w:rPr>
                <w:rFonts w:hint="eastAsia" w:ascii="Times New Roman" w:hAnsi="Times New Roman" w:eastAsia="宋体" w:cs="Times New Roman"/>
                <w:color w:val="auto"/>
                <w:kern w:val="0"/>
                <w:sz w:val="24"/>
                <w:lang w:val="en-US" w:eastAsia="zh-CN"/>
              </w:rPr>
              <w:t>措施</w:t>
            </w:r>
            <w:r>
              <w:rPr>
                <w:rFonts w:hint="eastAsia" w:cs="Times New Roman"/>
                <w:color w:val="auto"/>
                <w:kern w:val="0"/>
                <w:sz w:val="24"/>
                <w:lang w:val="en-US" w:eastAsia="zh-CN"/>
              </w:rPr>
              <w:t>：</w:t>
            </w:r>
          </w:p>
          <w:p w14:paraId="62DE2562">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eastAsia="宋体" w:cs="Times New Roman"/>
                <w:color w:val="auto"/>
                <w:spacing w:val="0"/>
                <w:w w:val="100"/>
                <w:sz w:val="24"/>
                <w:szCs w:val="24"/>
                <w:highlight w:val="none"/>
                <w:lang w:val="en-US" w:eastAsia="zh-CN"/>
              </w:rPr>
            </w:pPr>
            <w:r>
              <w:rPr>
                <w:rFonts w:hint="eastAsia" w:ascii="Times New Roman" w:hAnsi="Times New Roman" w:eastAsia="宋体" w:cs="Times New Roman"/>
                <w:color w:val="auto"/>
                <w:kern w:val="0"/>
                <w:sz w:val="24"/>
                <w:lang w:val="en-US" w:eastAsia="zh-CN"/>
              </w:rPr>
              <w:t>①</w:t>
            </w:r>
            <w:r>
              <w:rPr>
                <w:rFonts w:hint="default" w:ascii="Times New Roman" w:hAnsi="Times New Roman" w:eastAsia="宋体" w:cs="Times New Roman"/>
                <w:color w:val="auto"/>
                <w:spacing w:val="0"/>
                <w:w w:val="100"/>
                <w:sz w:val="24"/>
                <w:szCs w:val="24"/>
                <w:highlight w:val="none"/>
                <w:lang w:val="en-US" w:eastAsia="zh-CN"/>
              </w:rPr>
              <w:t>工程施工可充分利用现有道路，在划定的施工场地内进行施工，根据划定的临时施工便道进行运输，不得随意修建临时便道。</w:t>
            </w:r>
          </w:p>
          <w:p w14:paraId="2FC23E6D">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eastAsia="宋体" w:cs="Times New Roman"/>
                <w:color w:val="auto"/>
                <w:spacing w:val="0"/>
                <w:w w:val="100"/>
                <w:sz w:val="24"/>
                <w:szCs w:val="24"/>
                <w:highlight w:val="none"/>
                <w:lang w:val="en-US" w:eastAsia="zh-CN"/>
              </w:rPr>
            </w:pPr>
            <w:r>
              <w:rPr>
                <w:rFonts w:hint="default" w:ascii="Times New Roman" w:hAnsi="Times New Roman" w:eastAsia="宋体" w:cs="Times New Roman"/>
                <w:color w:val="auto"/>
                <w:spacing w:val="0"/>
                <w:w w:val="100"/>
                <w:sz w:val="24"/>
                <w:szCs w:val="24"/>
                <w:highlight w:val="none"/>
                <w:lang w:val="en-US" w:eastAsia="zh-CN"/>
              </w:rPr>
              <w:t>②控制基础开挖范围</w:t>
            </w:r>
            <w:r>
              <w:rPr>
                <w:rFonts w:hint="eastAsia" w:cs="Times New Roman"/>
                <w:color w:val="auto"/>
                <w:spacing w:val="0"/>
                <w:w w:val="100"/>
                <w:sz w:val="24"/>
                <w:szCs w:val="24"/>
                <w:highlight w:val="none"/>
                <w:lang w:val="en-US" w:eastAsia="zh-CN"/>
              </w:rPr>
              <w:t>，项目</w:t>
            </w:r>
            <w:r>
              <w:rPr>
                <w:rFonts w:hint="default" w:ascii="Times New Roman" w:hAnsi="Times New Roman" w:eastAsia="宋体" w:cs="Times New Roman"/>
                <w:color w:val="auto"/>
                <w:spacing w:val="0"/>
                <w:w w:val="100"/>
                <w:sz w:val="24"/>
                <w:szCs w:val="24"/>
                <w:highlight w:val="none"/>
                <w:lang w:val="en-US" w:eastAsia="zh-CN"/>
              </w:rPr>
              <w:t>在施工过程中必须严格按设计要求进行施工。在确保安全和质量的前提下，尽量减小基础</w:t>
            </w:r>
            <w:r>
              <w:rPr>
                <w:rFonts w:hint="eastAsia" w:cs="Times New Roman"/>
                <w:color w:val="auto"/>
                <w:spacing w:val="0"/>
                <w:w w:val="100"/>
                <w:sz w:val="24"/>
                <w:szCs w:val="24"/>
                <w:highlight w:val="none"/>
                <w:lang w:val="en-US" w:eastAsia="zh-CN"/>
              </w:rPr>
              <w:t>占压</w:t>
            </w:r>
            <w:r>
              <w:rPr>
                <w:rFonts w:hint="default" w:ascii="Times New Roman" w:hAnsi="Times New Roman" w:eastAsia="宋体" w:cs="Times New Roman"/>
                <w:color w:val="auto"/>
                <w:spacing w:val="0"/>
                <w:w w:val="100"/>
                <w:sz w:val="24"/>
                <w:szCs w:val="24"/>
                <w:highlight w:val="none"/>
                <w:lang w:val="en-US" w:eastAsia="zh-CN"/>
              </w:rPr>
              <w:t>的范围，避免不必要的</w:t>
            </w:r>
            <w:r>
              <w:rPr>
                <w:rFonts w:hint="eastAsia" w:cs="Times New Roman"/>
                <w:color w:val="auto"/>
                <w:spacing w:val="0"/>
                <w:w w:val="100"/>
                <w:sz w:val="24"/>
                <w:szCs w:val="24"/>
                <w:highlight w:val="none"/>
                <w:lang w:val="en-US" w:eastAsia="zh-CN"/>
              </w:rPr>
              <w:t>占压</w:t>
            </w:r>
            <w:r>
              <w:rPr>
                <w:rFonts w:hint="default" w:ascii="Times New Roman" w:hAnsi="Times New Roman" w:eastAsia="宋体" w:cs="Times New Roman"/>
                <w:color w:val="auto"/>
                <w:spacing w:val="0"/>
                <w:w w:val="100"/>
                <w:sz w:val="24"/>
                <w:szCs w:val="24"/>
                <w:highlight w:val="none"/>
                <w:lang w:val="en-US" w:eastAsia="zh-CN"/>
              </w:rPr>
              <w:t>和过多的原状土破坏</w:t>
            </w:r>
            <w:r>
              <w:rPr>
                <w:rFonts w:hint="eastAsia" w:cs="Times New Roman"/>
                <w:color w:val="auto"/>
                <w:spacing w:val="0"/>
                <w:w w:val="100"/>
                <w:sz w:val="24"/>
                <w:szCs w:val="24"/>
                <w:highlight w:val="none"/>
                <w:lang w:val="en-US" w:eastAsia="zh-CN"/>
              </w:rPr>
              <w:t>。</w:t>
            </w:r>
          </w:p>
          <w:p w14:paraId="2231B210">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eastAsia="宋体" w:cs="Times New Roman"/>
                <w:color w:val="auto"/>
                <w:spacing w:val="0"/>
                <w:w w:val="100"/>
                <w:kern w:val="0"/>
                <w:sz w:val="24"/>
                <w:szCs w:val="24"/>
                <w:highlight w:val="none"/>
                <w:lang w:val="en-US" w:eastAsia="zh-CN" w:bidi="ar-SA"/>
              </w:rPr>
            </w:pPr>
            <w:r>
              <w:rPr>
                <w:rFonts w:hint="eastAsia" w:ascii="Times New Roman" w:hAnsi="Times New Roman" w:eastAsia="宋体" w:cs="Times New Roman"/>
                <w:color w:val="auto"/>
                <w:spacing w:val="0"/>
                <w:w w:val="100"/>
                <w:kern w:val="0"/>
                <w:sz w:val="24"/>
                <w:szCs w:val="24"/>
                <w:highlight w:val="none"/>
                <w:lang w:val="en-US" w:eastAsia="zh-CN" w:bidi="ar-SA"/>
              </w:rPr>
              <w:t>③</w:t>
            </w:r>
            <w:r>
              <w:rPr>
                <w:rFonts w:hint="default" w:ascii="Times New Roman" w:hAnsi="Times New Roman" w:eastAsia="宋体" w:cs="Times New Roman"/>
                <w:color w:val="auto"/>
                <w:spacing w:val="0"/>
                <w:w w:val="100"/>
                <w:kern w:val="0"/>
                <w:sz w:val="24"/>
                <w:szCs w:val="24"/>
                <w:highlight w:val="none"/>
                <w:lang w:val="en-US" w:eastAsia="zh-CN" w:bidi="ar-SA"/>
              </w:rPr>
              <w:t>施工期主要采取尽量减少占地、控制施工范围、减少扰动面积</w:t>
            </w:r>
            <w:r>
              <w:rPr>
                <w:rFonts w:hint="eastAsia" w:ascii="Times New Roman" w:hAnsi="Times New Roman" w:eastAsia="宋体" w:cs="Times New Roman"/>
                <w:color w:val="auto"/>
                <w:spacing w:val="0"/>
                <w:w w:val="100"/>
                <w:kern w:val="0"/>
                <w:sz w:val="24"/>
                <w:szCs w:val="24"/>
                <w:highlight w:val="none"/>
                <w:lang w:val="en-US" w:eastAsia="zh-CN" w:bidi="ar-SA"/>
              </w:rPr>
              <w:t>，</w:t>
            </w:r>
            <w:r>
              <w:rPr>
                <w:rFonts w:hint="default" w:ascii="Times New Roman" w:hAnsi="Times New Roman" w:eastAsia="宋体" w:cs="Times New Roman"/>
                <w:color w:val="auto"/>
                <w:spacing w:val="0"/>
                <w:w w:val="100"/>
                <w:kern w:val="0"/>
                <w:sz w:val="24"/>
                <w:szCs w:val="24"/>
                <w:highlight w:val="none"/>
                <w:lang w:val="en-US" w:eastAsia="zh-CN" w:bidi="ar-SA"/>
              </w:rPr>
              <w:t>严格控</w:t>
            </w:r>
            <w:r>
              <w:rPr>
                <w:rFonts w:hint="default" w:ascii="Times New Roman" w:hAnsi="Times New Roman" w:eastAsia="宋体" w:cs="Times New Roman"/>
                <w:color w:val="auto"/>
                <w:spacing w:val="0"/>
                <w:w w:val="100"/>
                <w:kern w:val="0"/>
                <w:sz w:val="24"/>
                <w:szCs w:val="24"/>
                <w:highlight w:val="none"/>
                <w:lang w:val="en-US" w:eastAsia="zh-CN" w:bidi="ar-SA"/>
              </w:rPr>
              <w:t>制临时占地，减少破坏原地貌、植被的面积。</w:t>
            </w:r>
          </w:p>
          <w:p w14:paraId="1E2F9467">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④</w:t>
            </w:r>
            <w:r>
              <w:rPr>
                <w:rFonts w:hint="default" w:ascii="Times New Roman" w:hAnsi="Times New Roman" w:eastAsia="宋体" w:cs="Times New Roman"/>
                <w:color w:val="auto"/>
                <w:kern w:val="0"/>
                <w:sz w:val="24"/>
                <w:lang w:val="en-US" w:eastAsia="zh-CN"/>
              </w:rPr>
              <w:t>在工程设计及施工过程中应尽量避开野生植被及保护植物较丰富的区域，减小对野生植物的破坏；施工过程中尽量避开</w:t>
            </w:r>
            <w:r>
              <w:rPr>
                <w:rFonts w:hint="eastAsia" w:ascii="Times New Roman" w:hAnsi="Times New Roman" w:eastAsia="宋体" w:cs="Times New Roman"/>
                <w:color w:val="auto"/>
                <w:kern w:val="0"/>
                <w:sz w:val="24"/>
                <w:lang w:val="en-US" w:eastAsia="zh-CN"/>
              </w:rPr>
              <w:t>植被</w:t>
            </w:r>
            <w:r>
              <w:rPr>
                <w:rFonts w:hint="default" w:ascii="Times New Roman" w:hAnsi="Times New Roman" w:eastAsia="宋体" w:cs="Times New Roman"/>
                <w:color w:val="auto"/>
                <w:kern w:val="0"/>
                <w:sz w:val="24"/>
                <w:lang w:val="en-US" w:eastAsia="zh-CN"/>
              </w:rPr>
              <w:t>区域。如不能避让，则对植被进行迁地保护，进行移栽</w:t>
            </w:r>
            <w:r>
              <w:rPr>
                <w:rFonts w:hint="eastAsia" w:ascii="Times New Roman" w:hAnsi="Times New Roman" w:eastAsia="宋体" w:cs="Times New Roman"/>
                <w:color w:val="auto"/>
                <w:kern w:val="0"/>
                <w:sz w:val="24"/>
                <w:lang w:val="en-US" w:eastAsia="zh-CN"/>
              </w:rPr>
              <w:t>。施工结束后</w:t>
            </w:r>
            <w:r>
              <w:rPr>
                <w:rFonts w:hint="default" w:ascii="Times New Roman" w:hAnsi="Times New Roman" w:eastAsia="宋体" w:cs="Times New Roman"/>
                <w:color w:val="auto"/>
                <w:kern w:val="0"/>
                <w:sz w:val="24"/>
                <w:lang w:val="en-US" w:eastAsia="zh-CN"/>
              </w:rPr>
              <w:t>建设单位对破坏的区域需进行生态恢复、生态补偿。</w:t>
            </w:r>
          </w:p>
          <w:p w14:paraId="1B2727A2">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⑤</w:t>
            </w:r>
            <w:r>
              <w:rPr>
                <w:rFonts w:hint="default" w:ascii="Times New Roman" w:hAnsi="Times New Roman" w:eastAsia="宋体" w:cs="Times New Roman"/>
                <w:color w:val="auto"/>
                <w:kern w:val="0"/>
                <w:sz w:val="24"/>
                <w:lang w:val="en-US" w:eastAsia="zh-CN"/>
              </w:rPr>
              <w:t>施工前对施工人员进行宣传和教育，严禁发生捕捉伤害野生动物的行为，提高保护野生动的意识。</w:t>
            </w:r>
          </w:p>
          <w:p w14:paraId="1101B88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kern w:val="0"/>
                <w:sz w:val="24"/>
                <w:lang w:val="en-US" w:eastAsia="zh-CN"/>
              </w:rPr>
            </w:pPr>
            <w:r>
              <w:rPr>
                <w:rFonts w:hint="eastAsia" w:cs="Times New Roman"/>
                <w:color w:val="auto"/>
                <w:spacing w:val="0"/>
                <w:w w:val="100"/>
                <w:sz w:val="24"/>
                <w:szCs w:val="24"/>
                <w:highlight w:val="none"/>
                <w:lang w:val="en-US" w:eastAsia="zh-CN"/>
              </w:rPr>
              <w:t>⑥</w:t>
            </w:r>
            <w:r>
              <w:rPr>
                <w:rFonts w:hint="default" w:ascii="Times New Roman" w:hAnsi="Times New Roman" w:eastAsia="宋体" w:cs="Times New Roman"/>
                <w:color w:val="auto"/>
                <w:spacing w:val="0"/>
                <w:w w:val="100"/>
                <w:sz w:val="24"/>
                <w:szCs w:val="24"/>
                <w:highlight w:val="none"/>
                <w:lang w:val="en-US" w:eastAsia="zh-CN"/>
              </w:rPr>
              <w:t>在施工车辆进入施工区过程中，采取控制车速和禁止鸣笛等措施，避免对过路的野生动物造成伤害。施工期间加强堆料场防护，加强施工人员的各类卫生管理，避免生活垃圾、生活污水的直接排放，减少污染，最大限度保护动物生境。</w:t>
            </w:r>
          </w:p>
          <w:p w14:paraId="3C04E2FC">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根据土地复垦方案的可行性分析结果，按照复垦土地用途，参考《土地复垦质量控制标准》（TD/T1036-2013），确定土地复垦措施。</w:t>
            </w:r>
          </w:p>
          <w:p w14:paraId="160256D4">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Times New Roman"/>
                <w:b/>
                <w:bCs/>
                <w:color w:val="auto"/>
                <w:sz w:val="24"/>
                <w:highlight w:val="none"/>
                <w:lang w:val="en-US" w:eastAsia="zh-CN"/>
              </w:rPr>
            </w:pPr>
            <w:r>
              <w:rPr>
                <w:rFonts w:hint="eastAsia" w:ascii="Times New Roman" w:hAnsi="Times New Roman" w:eastAsia="宋体" w:cs="Times New Roman"/>
                <w:b/>
                <w:bCs/>
                <w:color w:val="auto"/>
                <w:sz w:val="24"/>
                <w:highlight w:val="none"/>
              </w:rPr>
              <w:t>6.</w:t>
            </w:r>
            <w:r>
              <w:rPr>
                <w:rFonts w:hint="eastAsia" w:cs="Times New Roman"/>
                <w:b/>
                <w:bCs/>
                <w:color w:val="auto"/>
                <w:sz w:val="24"/>
                <w:highlight w:val="none"/>
                <w:lang w:val="en-US" w:eastAsia="zh-CN"/>
              </w:rPr>
              <w:t>1工程技术措施</w:t>
            </w:r>
          </w:p>
          <w:p w14:paraId="2678B8A3">
            <w:pPr>
              <w:pStyle w:val="23"/>
              <w:spacing w:line="360" w:lineRule="auto"/>
              <w:ind w:firstLine="480" w:firstLineChars="200"/>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本工程主要采取表土剥离、土地平整、表土覆盖、拆除、清运等工程技术措施。</w:t>
            </w:r>
          </w:p>
          <w:p w14:paraId="6627E67D">
            <w:pPr>
              <w:pStyle w:val="23"/>
              <w:spacing w:line="360" w:lineRule="auto"/>
              <w:ind w:firstLine="480" w:firstLineChars="200"/>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（1）表土剥离及保存</w:t>
            </w:r>
          </w:p>
          <w:p w14:paraId="266C5738">
            <w:pPr>
              <w:pStyle w:val="23"/>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根据《土地复垦条例》第十六条“土地复垦义务人应当首先对拟损毁的耕地、林地、牧草地进行表土剥离，剥离的表土用于被损毁土地的复垦”。 </w:t>
            </w:r>
          </w:p>
          <w:p w14:paraId="3547042F">
            <w:pPr>
              <w:pStyle w:val="23"/>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根据《土地复垦条例实施办法》第二十四条“预防控制措施：（一）对可能被损毁的耕地、林地、草地等，应当进行表土剥离，分层存放，分层回填，优先用于复垦土地的土壤改良。表土剥离厚度应当依据相关技术标准，根据实际情况确定。表土剥离应当在生产工艺和施工建设前进行或者同步进行”。 </w:t>
            </w:r>
          </w:p>
          <w:p w14:paraId="5179CDB3">
            <w:pPr>
              <w:pStyle w:val="23"/>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根据勘界资料及现场调查，本项目占用天然牧草地，地表熟土层平均厚度约为 10～30cm。因此本方案报告表设计对项目占用上述用地区域采取表土剥离措施，其中，天然牧草地剥离厚度为30cm，推距20m，堆高2m，剥离的表土堆放至项目区各用地内部一侧，面积为0.0800hm</w:t>
            </w:r>
            <w:r>
              <w:rPr>
                <w:rFonts w:hint="eastAsia"/>
                <w:color w:val="000000" w:themeColor="text1"/>
                <w:sz w:val="24"/>
                <w:szCs w:val="24"/>
                <w:vertAlign w:val="superscript"/>
                <w:lang w:val="en-US"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，表土堆放区不计入表土剥离量，采用防尘网苫盖进行保存，用于后期进行表土回覆，减少土壤熟化周期，为恢复植被生长创造土壤条件。剥离面积为天然牧草地 1.2834hm</w:t>
            </w:r>
            <w:r>
              <w:rPr>
                <w:rFonts w:hint="eastAsia"/>
                <w:color w:val="000000" w:themeColor="text1"/>
                <w:sz w:val="24"/>
                <w:szCs w:val="24"/>
                <w:vertAlign w:val="superscript"/>
                <w:lang w:val="en-US"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，共计剥离量为3850.20m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w:t>
            </w:r>
          </w:p>
          <w:p w14:paraId="0DD3FC46">
            <w:pPr>
              <w:pStyle w:val="23"/>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（2）土地平整措施</w:t>
            </w:r>
          </w:p>
          <w:p w14:paraId="26EE022F">
            <w:pPr>
              <w:keepNext w:val="0"/>
              <w:keepLines w:val="0"/>
              <w:widowControl/>
              <w:suppressLineNumbers w:val="0"/>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建设项目建设占压土地后，使原有的土地形态发生改变，导致土地的表层起伏不平，难以达到预期的土地利用方向。 </w:t>
            </w:r>
          </w:p>
          <w:p w14:paraId="277DBE2E">
            <w:pPr>
              <w:keepNext w:val="0"/>
              <w:keepLines w:val="0"/>
              <w:widowControl/>
              <w:suppressLineNumbers w:val="0"/>
              <w:spacing w:line="360" w:lineRule="auto"/>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根据复垦标准及实地情况，采用人工或机械</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如推土机等</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进行平整，使作业面保持平整，以达到拟复垦的要求。</w:t>
            </w:r>
          </w:p>
          <w:p w14:paraId="6FEEBA5F">
            <w:pPr>
              <w:pStyle w:val="23"/>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（3）表土回覆</w:t>
            </w:r>
          </w:p>
          <w:p w14:paraId="635DFFB8">
            <w:pPr>
              <w:pStyle w:val="23"/>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损毁土地平整后进行表土覆盖，覆土来源于项目建设先期剥离的表土，覆土厚度根</w:t>
            </w:r>
            <w:r>
              <w:rPr>
                <w:rFonts w:hint="eastAsia" w:ascii="Times New Roman" w:hAnsi="Times New Roman" w:eastAsia="宋体" w:cs="Times New Roman"/>
                <w:kern w:val="2"/>
                <w:sz w:val="24"/>
                <w:szCs w:val="24"/>
                <w:lang w:val="en-US" w:eastAsia="zh-CN" w:bidi="ar-SA"/>
              </w:rPr>
              <w:t>据具体复垦质量标准确定。</w:t>
            </w:r>
          </w:p>
          <w:p w14:paraId="65832494">
            <w:pPr>
              <w:pStyle w:val="23"/>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（4）土地翻耕</w:t>
            </w:r>
          </w:p>
          <w:p w14:paraId="4ABB6D63">
            <w:pPr>
              <w:pStyle w:val="23"/>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在土壤培肥后，需要对工程范围为临时用地中占用草地区域采取土地翻耕措施，从而增加土壤孔隙度，以利于接纳和储存水分，满足植物生长，故需要对复垦为天然牧草地土壤在表土回复后进行松土耕翻。松土耕翻采用拖拉机-三铧犁进行，松土耕翻深度15～20cm。工程范围为临时用地中占用的草地。</w:t>
            </w:r>
          </w:p>
          <w:p w14:paraId="6925E1F5">
            <w:pPr>
              <w:pStyle w:val="23"/>
              <w:numPr>
                <w:ilvl w:val="0"/>
                <w:numId w:val="0"/>
              </w:num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（5）植被工程</w:t>
            </w:r>
          </w:p>
          <w:p w14:paraId="57199D35">
            <w:pPr>
              <w:pStyle w:val="23"/>
              <w:numPr>
                <w:numId w:val="0"/>
              </w:numPr>
              <w:spacing w:line="360" w:lineRule="auto"/>
              <w:ind w:firstLine="480" w:firstLineChars="200"/>
              <w:rPr>
                <w:rFonts w:hint="default"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在植被生长条件恢复的基础上，进行植被重建。根据现场调查情况，该区域地表生长植被有羊茅、芨芨草等,根据尽量与</w:t>
            </w:r>
            <w:r>
              <w:rPr>
                <w:rFonts w:hint="default" w:cs="Times New Roman"/>
                <w:kern w:val="2"/>
                <w:sz w:val="24"/>
                <w:szCs w:val="24"/>
                <w:lang w:val="en-US" w:eastAsia="zh-CN" w:bidi="ar-SA"/>
              </w:rPr>
              <w:t>周边土地利用类型和国土空间总体规划相一致的原则，本方案选择对天然牧草地采取播撒羊茅、芨芨草的方式进行面积重建。依照《人工草地建设技术规程》（NY/T1342-2007）常见牧草参考播种量，草籽播撒量为50kg/ hm</w:t>
            </w:r>
            <w:r>
              <w:rPr>
                <w:rFonts w:hint="default" w:cs="Times New Roman"/>
                <w:kern w:val="2"/>
                <w:sz w:val="24"/>
                <w:szCs w:val="24"/>
                <w:vertAlign w:val="superscript"/>
                <w:lang w:val="en-US" w:eastAsia="zh-CN" w:bidi="ar-SA"/>
              </w:rPr>
              <w:t>2</w:t>
            </w:r>
            <w:r>
              <w:rPr>
                <w:rFonts w:hint="default" w:cs="Times New Roman"/>
                <w:kern w:val="2"/>
                <w:sz w:val="24"/>
                <w:szCs w:val="24"/>
                <w:lang w:val="en-US" w:eastAsia="zh-CN" w:bidi="ar-SA"/>
              </w:rPr>
              <w:t>，播撒面积1.3634公顷。</w:t>
            </w:r>
          </w:p>
          <w:p w14:paraId="65764C90">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rPr>
              <w:t>6.</w:t>
            </w:r>
            <w:r>
              <w:rPr>
                <w:rFonts w:hint="eastAsia" w:cs="Times New Roman"/>
                <w:b/>
                <w:bCs/>
                <w:color w:val="auto"/>
                <w:sz w:val="24"/>
                <w:highlight w:val="none"/>
                <w:lang w:val="en-US" w:eastAsia="zh-CN"/>
              </w:rPr>
              <w:t>2生物化学措施</w:t>
            </w:r>
          </w:p>
          <w:p w14:paraId="2B0EE4EB">
            <w:pPr>
              <w:keepNext w:val="0"/>
              <w:keepLines w:val="0"/>
              <w:widowControl/>
              <w:suppressLineNumbers w:val="0"/>
              <w:spacing w:line="360" w:lineRule="auto"/>
              <w:ind w:firstLine="480" w:firstLineChars="200"/>
              <w:jc w:val="left"/>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本项目损毁土地利用类型为</w:t>
            </w:r>
            <w:r>
              <w:rPr>
                <w:rFonts w:hint="eastAsia" w:cs="Times New Roman"/>
                <w:kern w:val="2"/>
                <w:sz w:val="24"/>
                <w:szCs w:val="24"/>
                <w:lang w:val="en-US" w:eastAsia="zh-CN" w:bidi="ar-SA"/>
              </w:rPr>
              <w:t>天然牧草地</w:t>
            </w:r>
            <w:r>
              <w:rPr>
                <w:rFonts w:hint="default" w:ascii="Times New Roman" w:hAnsi="Times New Roman" w:eastAsia="宋体" w:cs="Times New Roman"/>
                <w:kern w:val="2"/>
                <w:sz w:val="24"/>
                <w:szCs w:val="24"/>
                <w:lang w:val="en-US" w:eastAsia="zh-CN" w:bidi="ar-SA"/>
              </w:rPr>
              <w:t>，采用</w:t>
            </w:r>
            <w:r>
              <w:rPr>
                <w:rFonts w:hint="eastAsia" w:ascii="Times New Roman" w:hAnsi="Times New Roman" w:eastAsia="宋体" w:cs="Times New Roman"/>
                <w:kern w:val="2"/>
                <w:sz w:val="24"/>
                <w:szCs w:val="24"/>
                <w:lang w:val="en-US" w:eastAsia="zh-CN" w:bidi="ar-SA"/>
              </w:rPr>
              <w:t>“自然恢复”和“人工措施”相结合的综合方法。主要为在经过土地平整处理及表土回覆后，对场地进行播撒草籽。</w:t>
            </w:r>
          </w:p>
          <w:p w14:paraId="528153A4">
            <w:pPr>
              <w:keepNext w:val="0"/>
              <w:keepLines w:val="0"/>
              <w:widowControl/>
              <w:suppressLineNumbers w:val="0"/>
              <w:spacing w:line="360" w:lineRule="auto"/>
              <w:ind w:firstLine="480" w:firstLineChars="200"/>
              <w:jc w:val="left"/>
              <w:rPr>
                <w:rFonts w:hint="default"/>
                <w:lang w:val="en-US" w:eastAsia="zh-CN"/>
              </w:rPr>
            </w:pPr>
            <w:r>
              <w:rPr>
                <w:rFonts w:hint="default" w:ascii="Times New Roman" w:hAnsi="Times New Roman" w:eastAsia="宋体" w:cs="Times New Roman"/>
                <w:kern w:val="2"/>
                <w:sz w:val="24"/>
                <w:szCs w:val="24"/>
                <w:lang w:val="en-US" w:eastAsia="zh-CN" w:bidi="ar-SA"/>
              </w:rPr>
              <w:t>根据该复</w:t>
            </w:r>
            <w:r>
              <w:rPr>
                <w:rFonts w:hint="eastAsia" w:ascii="Times New Roman" w:hAnsi="Times New Roman" w:eastAsia="宋体" w:cs="Times New Roman"/>
                <w:kern w:val="2"/>
                <w:sz w:val="24"/>
                <w:szCs w:val="24"/>
                <w:lang w:val="en-US" w:eastAsia="zh-CN" w:bidi="ar-SA"/>
              </w:rPr>
              <w:t>垦土地施工前植被生长情况以及地形地貌和当地自然气候，</w:t>
            </w:r>
            <w:r>
              <w:rPr>
                <w:rFonts w:hint="eastAsia" w:cs="Times New Roman"/>
                <w:kern w:val="2"/>
                <w:sz w:val="24"/>
                <w:szCs w:val="24"/>
                <w:lang w:val="en-US" w:eastAsia="zh-CN" w:bidi="ar-SA"/>
              </w:rPr>
              <w:t>选择播撒羊茅、芨芨草混合草籽，播撒量为50kg/hm</w:t>
            </w:r>
            <w:r>
              <w:rPr>
                <w:rFonts w:hint="eastAsia" w:cs="Times New Roman"/>
                <w:kern w:val="2"/>
                <w:sz w:val="24"/>
                <w:szCs w:val="24"/>
                <w:vertAlign w:val="superscript"/>
                <w:lang w:val="en-US" w:eastAsia="zh-CN" w:bidi="ar-SA"/>
              </w:rPr>
              <w:t>2</w:t>
            </w:r>
            <w:r>
              <w:rPr>
                <w:rFonts w:hint="eastAsia" w:cs="Times New Roman"/>
                <w:kern w:val="2"/>
                <w:sz w:val="24"/>
                <w:szCs w:val="24"/>
                <w:vertAlign w:val="baseline"/>
                <w:lang w:val="en-US" w:eastAsia="zh-CN" w:bidi="ar-SA"/>
              </w:rPr>
              <w:t>，播撒面积为1.3634</w:t>
            </w:r>
            <w:r>
              <w:rPr>
                <w:rFonts w:hint="eastAsia" w:cs="Times New Roman"/>
                <w:kern w:val="2"/>
                <w:sz w:val="24"/>
                <w:szCs w:val="24"/>
                <w:lang w:val="en-US" w:eastAsia="zh-CN" w:bidi="ar-SA"/>
              </w:rPr>
              <w:t>hm</w:t>
            </w:r>
            <w:r>
              <w:rPr>
                <w:rFonts w:hint="eastAsia" w:cs="Times New Roman"/>
                <w:kern w:val="2"/>
                <w:sz w:val="24"/>
                <w:szCs w:val="24"/>
                <w:vertAlign w:val="superscript"/>
                <w:lang w:val="en-US" w:eastAsia="zh-CN" w:bidi="ar-SA"/>
              </w:rPr>
              <w:t>2</w:t>
            </w:r>
            <w:r>
              <w:rPr>
                <w:rFonts w:hint="eastAsia"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项目区及周边土壤有机质含量较低</w:t>
            </w:r>
            <w:r>
              <w:rPr>
                <w:rFonts w:hint="eastAsia"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参考</w:t>
            </w:r>
            <w:r>
              <w:rPr>
                <w:rFonts w:hint="eastAsia" w:cs="Times New Roman"/>
                <w:kern w:val="2"/>
                <w:sz w:val="24"/>
                <w:szCs w:val="24"/>
                <w:lang w:val="en-US" w:eastAsia="zh-CN" w:bidi="ar-SA"/>
              </w:rPr>
              <w:t>其他</w:t>
            </w:r>
            <w:r>
              <w:rPr>
                <w:rFonts w:hint="default" w:ascii="Times New Roman" w:hAnsi="Times New Roman" w:eastAsia="宋体" w:cs="Times New Roman"/>
                <w:kern w:val="2"/>
                <w:sz w:val="24"/>
                <w:szCs w:val="24"/>
                <w:lang w:val="en-US" w:eastAsia="zh-CN" w:bidi="ar-SA"/>
              </w:rPr>
              <w:t>项目区人工植被种植经验，增施有机</w:t>
            </w:r>
            <w:r>
              <w:rPr>
                <w:rFonts w:hint="eastAsia" w:ascii="Times New Roman" w:hAnsi="Times New Roman" w:eastAsia="宋体" w:cs="Times New Roman"/>
                <w:kern w:val="2"/>
                <w:sz w:val="24"/>
                <w:szCs w:val="24"/>
                <w:lang w:val="en-US" w:eastAsia="zh-CN" w:bidi="ar-SA"/>
              </w:rPr>
              <w:t>肥，</w:t>
            </w:r>
            <w:r>
              <w:rPr>
                <w:rFonts w:hint="default" w:ascii="Times New Roman" w:hAnsi="Times New Roman" w:eastAsia="宋体" w:cs="Times New Roman"/>
                <w:kern w:val="2"/>
                <w:sz w:val="24"/>
                <w:szCs w:val="24"/>
                <w:lang w:val="en-US" w:eastAsia="zh-CN" w:bidi="ar-SA"/>
              </w:rPr>
              <w:t>提高土壤保肥保水能力</w:t>
            </w:r>
            <w:r>
              <w:rPr>
                <w:rFonts w:hint="eastAsia"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提高复垦植被的成活率，</w:t>
            </w:r>
            <w:r>
              <w:rPr>
                <w:rFonts w:hint="eastAsia" w:ascii="Times New Roman" w:hAnsi="Times New Roman" w:eastAsia="宋体" w:cs="Times New Roman"/>
                <w:kern w:val="2"/>
                <w:sz w:val="24"/>
                <w:szCs w:val="24"/>
                <w:lang w:val="en-US" w:eastAsia="zh-CN" w:bidi="ar-SA"/>
              </w:rPr>
              <w:t>降低植被补种成本</w:t>
            </w:r>
            <w:r>
              <w:rPr>
                <w:rFonts w:hint="eastAsia" w:cs="Times New Roman"/>
                <w:kern w:val="2"/>
                <w:sz w:val="24"/>
                <w:szCs w:val="24"/>
                <w:lang w:val="en-US" w:eastAsia="zh-CN" w:bidi="ar-SA"/>
              </w:rPr>
              <w:t>。</w:t>
            </w:r>
          </w:p>
          <w:p w14:paraId="71358069">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highlight w:val="none"/>
                <w:lang w:eastAsia="zh-CN"/>
              </w:rPr>
            </w:pPr>
            <w:r>
              <w:rPr>
                <w:rFonts w:hint="eastAsia" w:ascii="Times New Roman" w:hAnsi="Times New Roman" w:eastAsia="宋体" w:cs="Times New Roman"/>
                <w:b/>
                <w:bCs/>
                <w:color w:val="auto"/>
                <w:sz w:val="24"/>
                <w:highlight w:val="none"/>
              </w:rPr>
              <w:t>6.</w:t>
            </w:r>
            <w:r>
              <w:rPr>
                <w:rFonts w:hint="eastAsia" w:cs="Times New Roman"/>
                <w:b/>
                <w:bCs/>
                <w:color w:val="auto"/>
                <w:sz w:val="24"/>
                <w:highlight w:val="none"/>
                <w:lang w:val="en-US" w:eastAsia="zh-CN"/>
              </w:rPr>
              <w:t>3监测措施</w:t>
            </w:r>
          </w:p>
          <w:p w14:paraId="307F0532">
            <w:pPr>
              <w:keepNext w:val="0"/>
              <w:keepLines w:val="0"/>
              <w:widowControl/>
              <w:suppressLineNumbers w:val="0"/>
              <w:spacing w:line="360" w:lineRule="auto"/>
              <w:ind w:firstLine="480" w:firstLineChars="200"/>
              <w:jc w:val="left"/>
              <w:rPr>
                <w:rFonts w:hint="eastAsia"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根据《土地复垦技术标准》 </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试行</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xml:space="preserve">、《土壤环境监测技术标准》 </w:t>
            </w:r>
            <w:r>
              <w:rPr>
                <w:rFonts w:hint="default" w:ascii="Times New Roman" w:hAnsi="Times New Roman" w:eastAsia="宋体" w:cs="Times New Roman"/>
                <w:kern w:val="2"/>
                <w:sz w:val="24"/>
                <w:szCs w:val="24"/>
                <w:lang w:val="en-US" w:eastAsia="zh-CN" w:bidi="ar-SA"/>
              </w:rPr>
              <w:t>(HJ/T166</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2004)</w:t>
            </w:r>
            <w:r>
              <w:rPr>
                <w:rFonts w:hint="eastAsia" w:ascii="Times New Roman" w:hAnsi="Times New Roman" w:eastAsia="宋体" w:cs="Times New Roman"/>
                <w:kern w:val="2"/>
                <w:sz w:val="24"/>
                <w:szCs w:val="24"/>
                <w:lang w:val="en-US" w:eastAsia="zh-CN" w:bidi="ar-SA"/>
              </w:rPr>
              <w:t>和《土地复垦条例》，合理制定土地复垦监测方案，优化设置</w:t>
            </w:r>
            <w:r>
              <w:rPr>
                <w:rFonts w:hint="default" w:ascii="Times New Roman" w:hAnsi="Times New Roman" w:eastAsia="宋体" w:cs="Times New Roman"/>
                <w:kern w:val="2"/>
                <w:sz w:val="24"/>
                <w:szCs w:val="24"/>
                <w:lang w:val="en-US" w:eastAsia="zh-CN" w:bidi="ar-SA"/>
              </w:rPr>
              <w:t>复垦监测点、监测内容以及监测频率</w:t>
            </w:r>
            <w:r>
              <w:rPr>
                <w:rFonts w:hint="eastAsia" w:cs="Times New Roman"/>
                <w:kern w:val="2"/>
                <w:sz w:val="24"/>
                <w:szCs w:val="24"/>
                <w:lang w:val="en-US" w:eastAsia="zh-CN" w:bidi="ar-SA"/>
              </w:rPr>
              <w:t>，确保复垦区土地能够达到可利用水平，复垦结束后恢复到项目建设前水平。</w:t>
            </w:r>
          </w:p>
          <w:p w14:paraId="47111AA2">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highlight w:val="none"/>
                <w:lang w:eastAsia="zh-CN"/>
              </w:rPr>
            </w:pPr>
            <w:r>
              <w:rPr>
                <w:rFonts w:hint="eastAsia" w:ascii="Times New Roman" w:hAnsi="Times New Roman" w:eastAsia="宋体" w:cs="Times New Roman"/>
                <w:b/>
                <w:bCs/>
                <w:color w:val="auto"/>
                <w:sz w:val="24"/>
                <w:highlight w:val="none"/>
              </w:rPr>
              <w:t>6.</w:t>
            </w:r>
            <w:r>
              <w:rPr>
                <w:rFonts w:hint="eastAsia" w:ascii="Times New Roman" w:hAnsi="Times New Roman" w:eastAsia="宋体" w:cs="Times New Roman"/>
                <w:b/>
                <w:bCs/>
                <w:color w:val="auto"/>
                <w:sz w:val="24"/>
                <w:highlight w:val="none"/>
                <w:lang w:val="en-US" w:eastAsia="zh-CN"/>
              </w:rPr>
              <w:t>4土地复垦竣工</w:t>
            </w:r>
            <w:r>
              <w:rPr>
                <w:rFonts w:hint="eastAsia" w:cs="Times New Roman"/>
                <w:b/>
                <w:bCs/>
                <w:color w:val="auto"/>
                <w:sz w:val="24"/>
                <w:highlight w:val="none"/>
                <w:lang w:val="en-US" w:eastAsia="zh-CN"/>
              </w:rPr>
              <w:t>验收</w:t>
            </w:r>
          </w:p>
          <w:p w14:paraId="4EE4832E">
            <w:pPr>
              <w:keepNext w:val="0"/>
              <w:keepLines w:val="0"/>
              <w:widowControl/>
              <w:suppressLineNumbers w:val="0"/>
              <w:spacing w:line="360" w:lineRule="auto"/>
              <w:ind w:firstLine="480" w:firstLineChars="200"/>
              <w:jc w:val="left"/>
              <w:rPr>
                <w:rFonts w:hint="default" w:cs="Times New Roman"/>
                <w:kern w:val="2"/>
                <w:sz w:val="24"/>
                <w:szCs w:val="24"/>
                <w:lang w:val="en-US" w:eastAsia="zh-CN" w:bidi="ar-SA"/>
              </w:rPr>
            </w:pPr>
            <w:r>
              <w:rPr>
                <w:rFonts w:hint="default" w:cs="Times New Roman"/>
                <w:kern w:val="2"/>
                <w:sz w:val="24"/>
                <w:szCs w:val="24"/>
                <w:lang w:val="en-US" w:eastAsia="zh-CN" w:bidi="ar-SA"/>
              </w:rPr>
              <w:t>验收时，建设单位应提交验收申请及总结报告，对实施的土地复垦项目的数量、质量进行评价，总结土地复垦工程实施过程中的成功经验和不足部分，对没有足额完成的部分或有缺陷的工程，责令建设单位重新设计，补充完善，直到土地复垦措施能够按照土地复垦一级标准达到验收的指标。</w:t>
            </w:r>
          </w:p>
          <w:p w14:paraId="3A2FF9A9">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7.环境风险</w:t>
            </w:r>
          </w:p>
          <w:p w14:paraId="049F6C10">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14:paraId="6DA7C22B">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rPr>
              <w:t>7</w:t>
            </w:r>
            <w:r>
              <w:rPr>
                <w:rFonts w:hint="default" w:ascii="Times New Roman" w:hAnsi="Times New Roman" w:eastAsia="宋体" w:cs="Times New Roman"/>
                <w:b/>
                <w:bCs/>
                <w:color w:val="auto"/>
                <w:sz w:val="24"/>
              </w:rPr>
              <w:t xml:space="preserve">.1环境风险潜势初判 </w:t>
            </w:r>
          </w:p>
          <w:p w14:paraId="08C9B50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根据建设项目涉及的物质和工艺系统危险性及其所在地的环境敏感程度，结合事故情形下环境影响途径，对建设项目潜在环境危害程度进行概化分析，按照表4-</w:t>
            </w:r>
            <w:r>
              <w:rPr>
                <w:rFonts w:hint="eastAsia" w:ascii="Times New Roman" w:hAnsi="Times New Roman" w:eastAsia="宋体" w:cs="Times New Roman"/>
                <w:color w:val="auto"/>
                <w:kern w:val="0"/>
                <w:sz w:val="24"/>
              </w:rPr>
              <w:t>1</w:t>
            </w:r>
            <w:r>
              <w:rPr>
                <w:rFonts w:hint="eastAsia" w:cs="Times New Roman"/>
                <w:color w:val="auto"/>
                <w:kern w:val="0"/>
                <w:sz w:val="24"/>
                <w:lang w:val="en-US" w:eastAsia="zh-CN"/>
              </w:rPr>
              <w:t>3</w:t>
            </w:r>
            <w:r>
              <w:rPr>
                <w:rFonts w:ascii="Times New Roman" w:hAnsi="Times New Roman" w:eastAsia="宋体" w:cs="Times New Roman"/>
                <w:color w:val="auto"/>
                <w:kern w:val="0"/>
                <w:sz w:val="24"/>
              </w:rPr>
              <w:t>确定环境风险潜势。</w:t>
            </w:r>
          </w:p>
          <w:p w14:paraId="6BFBBEA3">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w:t>
            </w:r>
            <w:r>
              <w:rPr>
                <w:rFonts w:hint="eastAsia" w:ascii="Times New Roman" w:hAnsi="Times New Roman" w:eastAsia="宋体" w:cs="Times New Roman"/>
                <w:color w:val="auto"/>
              </w:rPr>
              <w:t>1</w:t>
            </w:r>
            <w:r>
              <w:rPr>
                <w:rFonts w:hint="eastAsia" w:cs="Times New Roman"/>
                <w:color w:val="auto"/>
                <w:lang w:val="en-US" w:eastAsia="zh-CN"/>
              </w:rPr>
              <w:t>3</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  建设项目环境风险潜势划分一览表</w:t>
            </w:r>
          </w:p>
          <w:tbl>
            <w:tblPr>
              <w:tblStyle w:val="27"/>
              <w:tblW w:w="4999" w:type="pct"/>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459"/>
              <w:gridCol w:w="1459"/>
              <w:gridCol w:w="1462"/>
              <w:gridCol w:w="1470"/>
            </w:tblGrid>
            <w:tr w14:paraId="172470D9">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PrEx>
              <w:trPr>
                <w:trHeight w:val="57" w:hRule="atLeast"/>
                <w:jc w:val="center"/>
              </w:trPr>
              <w:tc>
                <w:tcPr>
                  <w:tcW w:w="1318" w:type="pct"/>
                  <w:vMerge w:val="restart"/>
                  <w:vAlign w:val="center"/>
                </w:tcPr>
                <w:p w14:paraId="545E131D">
                  <w:pPr>
                    <w:jc w:val="center"/>
                    <w:rPr>
                      <w:b/>
                      <w:bCs/>
                      <w:color w:val="auto"/>
                      <w:sz w:val="21"/>
                      <w:szCs w:val="21"/>
                    </w:rPr>
                  </w:pPr>
                  <w:r>
                    <w:rPr>
                      <w:b/>
                      <w:bCs/>
                      <w:color w:val="auto"/>
                      <w:sz w:val="21"/>
                      <w:szCs w:val="21"/>
                    </w:rPr>
                    <w:t>环境敏感度（E）</w:t>
                  </w:r>
                </w:p>
              </w:tc>
              <w:tc>
                <w:tcPr>
                  <w:tcW w:w="3681" w:type="pct"/>
                  <w:gridSpan w:val="4"/>
                  <w:vAlign w:val="center"/>
                </w:tcPr>
                <w:p w14:paraId="6BA63D82">
                  <w:pPr>
                    <w:jc w:val="center"/>
                    <w:rPr>
                      <w:b/>
                      <w:bCs/>
                      <w:color w:val="auto"/>
                      <w:sz w:val="21"/>
                      <w:szCs w:val="21"/>
                    </w:rPr>
                  </w:pPr>
                  <w:r>
                    <w:rPr>
                      <w:b/>
                      <w:bCs/>
                      <w:color w:val="auto"/>
                      <w:sz w:val="21"/>
                      <w:szCs w:val="21"/>
                    </w:rPr>
                    <w:t>危险物质及工艺系统危险性（P）</w:t>
                  </w:r>
                </w:p>
              </w:tc>
            </w:tr>
            <w:tr w14:paraId="186707B0">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8" w:type="pct"/>
                  <w:vMerge w:val="continue"/>
                  <w:tcBorders>
                    <w:bottom w:val="single" w:color="000000" w:sz="12" w:space="0"/>
                  </w:tcBorders>
                  <w:vAlign w:val="center"/>
                </w:tcPr>
                <w:p w14:paraId="1E75BAE7">
                  <w:pPr>
                    <w:jc w:val="center"/>
                    <w:rPr>
                      <w:b/>
                      <w:bCs/>
                      <w:color w:val="auto"/>
                      <w:sz w:val="21"/>
                      <w:szCs w:val="21"/>
                    </w:rPr>
                  </w:pPr>
                </w:p>
              </w:tc>
              <w:tc>
                <w:tcPr>
                  <w:tcW w:w="918" w:type="pct"/>
                  <w:tcBorders>
                    <w:bottom w:val="single" w:color="000000" w:sz="12" w:space="0"/>
                  </w:tcBorders>
                  <w:vAlign w:val="center"/>
                </w:tcPr>
                <w:p w14:paraId="53BD1A2E">
                  <w:pPr>
                    <w:jc w:val="center"/>
                    <w:rPr>
                      <w:b/>
                      <w:bCs/>
                      <w:color w:val="auto"/>
                      <w:sz w:val="21"/>
                      <w:szCs w:val="21"/>
                    </w:rPr>
                  </w:pPr>
                  <w:r>
                    <w:rPr>
                      <w:b/>
                      <w:bCs/>
                      <w:color w:val="auto"/>
                      <w:sz w:val="21"/>
                      <w:szCs w:val="21"/>
                    </w:rPr>
                    <w:t>极高危害（P1）</w:t>
                  </w:r>
                </w:p>
              </w:tc>
              <w:tc>
                <w:tcPr>
                  <w:tcW w:w="918" w:type="pct"/>
                  <w:tcBorders>
                    <w:bottom w:val="single" w:color="000000" w:sz="12" w:space="0"/>
                  </w:tcBorders>
                  <w:vAlign w:val="center"/>
                </w:tcPr>
                <w:p w14:paraId="1B8076FB">
                  <w:pPr>
                    <w:jc w:val="center"/>
                    <w:rPr>
                      <w:b/>
                      <w:bCs/>
                      <w:color w:val="auto"/>
                      <w:sz w:val="21"/>
                      <w:szCs w:val="21"/>
                    </w:rPr>
                  </w:pPr>
                  <w:r>
                    <w:rPr>
                      <w:b/>
                      <w:bCs/>
                      <w:color w:val="auto"/>
                      <w:sz w:val="21"/>
                      <w:szCs w:val="21"/>
                    </w:rPr>
                    <w:t>高度危害（P2）</w:t>
                  </w:r>
                </w:p>
              </w:tc>
              <w:tc>
                <w:tcPr>
                  <w:tcW w:w="920" w:type="pct"/>
                  <w:tcBorders>
                    <w:bottom w:val="single" w:color="000000" w:sz="12" w:space="0"/>
                  </w:tcBorders>
                  <w:vAlign w:val="center"/>
                </w:tcPr>
                <w:p w14:paraId="50D03F3F">
                  <w:pPr>
                    <w:jc w:val="center"/>
                    <w:rPr>
                      <w:b/>
                      <w:bCs/>
                      <w:color w:val="auto"/>
                      <w:sz w:val="21"/>
                      <w:szCs w:val="21"/>
                    </w:rPr>
                  </w:pPr>
                  <w:r>
                    <w:rPr>
                      <w:b/>
                      <w:bCs/>
                      <w:color w:val="auto"/>
                      <w:sz w:val="21"/>
                      <w:szCs w:val="21"/>
                    </w:rPr>
                    <w:t>中度危害（P3）</w:t>
                  </w:r>
                </w:p>
              </w:tc>
              <w:tc>
                <w:tcPr>
                  <w:tcW w:w="924" w:type="pct"/>
                  <w:tcBorders>
                    <w:bottom w:val="single" w:color="000000" w:sz="12" w:space="0"/>
                  </w:tcBorders>
                  <w:vAlign w:val="center"/>
                </w:tcPr>
                <w:p w14:paraId="7FBF3CEC">
                  <w:pPr>
                    <w:jc w:val="center"/>
                    <w:rPr>
                      <w:b/>
                      <w:bCs/>
                      <w:color w:val="auto"/>
                      <w:sz w:val="21"/>
                      <w:szCs w:val="21"/>
                    </w:rPr>
                  </w:pPr>
                  <w:r>
                    <w:rPr>
                      <w:b/>
                      <w:bCs/>
                      <w:color w:val="auto"/>
                      <w:sz w:val="21"/>
                      <w:szCs w:val="21"/>
                    </w:rPr>
                    <w:t>轻度危害（P4）</w:t>
                  </w:r>
                </w:p>
              </w:tc>
            </w:tr>
            <w:tr w14:paraId="0D58D0E4">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8" w:type="pct"/>
                  <w:tcBorders>
                    <w:top w:val="single" w:color="000000" w:sz="12" w:space="0"/>
                  </w:tcBorders>
                  <w:vAlign w:val="center"/>
                </w:tcPr>
                <w:p w14:paraId="27FCBD0A">
                  <w:pPr>
                    <w:jc w:val="center"/>
                    <w:rPr>
                      <w:color w:val="auto"/>
                      <w:sz w:val="21"/>
                      <w:szCs w:val="21"/>
                    </w:rPr>
                  </w:pPr>
                  <w:r>
                    <w:rPr>
                      <w:color w:val="auto"/>
                      <w:sz w:val="21"/>
                      <w:szCs w:val="21"/>
                    </w:rPr>
                    <w:t>环境高度敏感区（E1）</w:t>
                  </w:r>
                </w:p>
              </w:tc>
              <w:tc>
                <w:tcPr>
                  <w:tcW w:w="918" w:type="pct"/>
                  <w:tcBorders>
                    <w:top w:val="single" w:color="000000" w:sz="12" w:space="0"/>
                  </w:tcBorders>
                  <w:vAlign w:val="center"/>
                </w:tcPr>
                <w:p w14:paraId="71E5A5F0">
                  <w:pPr>
                    <w:jc w:val="center"/>
                    <w:rPr>
                      <w:color w:val="auto"/>
                      <w:sz w:val="21"/>
                      <w:szCs w:val="21"/>
                    </w:rPr>
                  </w:pPr>
                  <w:r>
                    <w:rPr>
                      <w:color w:val="auto"/>
                      <w:sz w:val="21"/>
                      <w:szCs w:val="21"/>
                    </w:rPr>
                    <w:t>IV</w:t>
                  </w:r>
                  <w:r>
                    <w:rPr>
                      <w:color w:val="auto"/>
                      <w:sz w:val="21"/>
                      <w:szCs w:val="21"/>
                      <w:vertAlign w:val="superscript"/>
                    </w:rPr>
                    <w:t>＋</w:t>
                  </w:r>
                </w:p>
              </w:tc>
              <w:tc>
                <w:tcPr>
                  <w:tcW w:w="918" w:type="pct"/>
                  <w:tcBorders>
                    <w:top w:val="single" w:color="000000" w:sz="12" w:space="0"/>
                  </w:tcBorders>
                  <w:vAlign w:val="center"/>
                </w:tcPr>
                <w:p w14:paraId="370D2B27">
                  <w:pPr>
                    <w:jc w:val="center"/>
                    <w:rPr>
                      <w:color w:val="auto"/>
                      <w:sz w:val="21"/>
                      <w:szCs w:val="21"/>
                    </w:rPr>
                  </w:pPr>
                  <w:r>
                    <w:rPr>
                      <w:color w:val="auto"/>
                      <w:sz w:val="21"/>
                      <w:szCs w:val="21"/>
                    </w:rPr>
                    <w:t>IV</w:t>
                  </w:r>
                </w:p>
              </w:tc>
              <w:tc>
                <w:tcPr>
                  <w:tcW w:w="920" w:type="pct"/>
                  <w:tcBorders>
                    <w:top w:val="single" w:color="000000" w:sz="12" w:space="0"/>
                  </w:tcBorders>
                  <w:vAlign w:val="center"/>
                </w:tcPr>
                <w:p w14:paraId="1E97A1CC">
                  <w:pPr>
                    <w:jc w:val="center"/>
                    <w:rPr>
                      <w:color w:val="auto"/>
                      <w:sz w:val="21"/>
                      <w:szCs w:val="21"/>
                    </w:rPr>
                  </w:pPr>
                  <w:r>
                    <w:rPr>
                      <w:color w:val="auto"/>
                      <w:sz w:val="21"/>
                      <w:szCs w:val="21"/>
                    </w:rPr>
                    <w:t>III</w:t>
                  </w:r>
                </w:p>
              </w:tc>
              <w:tc>
                <w:tcPr>
                  <w:tcW w:w="924" w:type="pct"/>
                  <w:tcBorders>
                    <w:top w:val="single" w:color="000000" w:sz="12" w:space="0"/>
                  </w:tcBorders>
                  <w:vAlign w:val="center"/>
                </w:tcPr>
                <w:p w14:paraId="59B47BE1">
                  <w:pPr>
                    <w:jc w:val="center"/>
                    <w:rPr>
                      <w:color w:val="auto"/>
                      <w:sz w:val="21"/>
                      <w:szCs w:val="21"/>
                    </w:rPr>
                  </w:pPr>
                  <w:r>
                    <w:rPr>
                      <w:color w:val="auto"/>
                      <w:sz w:val="21"/>
                      <w:szCs w:val="21"/>
                    </w:rPr>
                    <w:t>III</w:t>
                  </w:r>
                </w:p>
              </w:tc>
            </w:tr>
            <w:tr w14:paraId="2F8B427D">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8" w:type="pct"/>
                  <w:vAlign w:val="center"/>
                </w:tcPr>
                <w:p w14:paraId="53F2E148">
                  <w:pPr>
                    <w:jc w:val="center"/>
                    <w:rPr>
                      <w:color w:val="auto"/>
                      <w:sz w:val="21"/>
                      <w:szCs w:val="21"/>
                    </w:rPr>
                  </w:pPr>
                  <w:r>
                    <w:rPr>
                      <w:color w:val="auto"/>
                      <w:sz w:val="21"/>
                      <w:szCs w:val="21"/>
                    </w:rPr>
                    <w:t>环境中度敏感区（E2）</w:t>
                  </w:r>
                </w:p>
              </w:tc>
              <w:tc>
                <w:tcPr>
                  <w:tcW w:w="918" w:type="pct"/>
                  <w:vAlign w:val="center"/>
                </w:tcPr>
                <w:p w14:paraId="70197B30">
                  <w:pPr>
                    <w:jc w:val="center"/>
                    <w:rPr>
                      <w:color w:val="auto"/>
                      <w:sz w:val="21"/>
                      <w:szCs w:val="21"/>
                    </w:rPr>
                  </w:pPr>
                  <w:r>
                    <w:rPr>
                      <w:color w:val="auto"/>
                      <w:sz w:val="21"/>
                      <w:szCs w:val="21"/>
                    </w:rPr>
                    <w:t>IV</w:t>
                  </w:r>
                </w:p>
              </w:tc>
              <w:tc>
                <w:tcPr>
                  <w:tcW w:w="918" w:type="pct"/>
                  <w:vAlign w:val="center"/>
                </w:tcPr>
                <w:p w14:paraId="4B2DDBA8">
                  <w:pPr>
                    <w:jc w:val="center"/>
                    <w:rPr>
                      <w:color w:val="auto"/>
                      <w:sz w:val="21"/>
                      <w:szCs w:val="21"/>
                    </w:rPr>
                  </w:pPr>
                  <w:r>
                    <w:rPr>
                      <w:color w:val="auto"/>
                      <w:sz w:val="21"/>
                      <w:szCs w:val="21"/>
                    </w:rPr>
                    <w:t>III</w:t>
                  </w:r>
                </w:p>
              </w:tc>
              <w:tc>
                <w:tcPr>
                  <w:tcW w:w="920" w:type="pct"/>
                  <w:vAlign w:val="center"/>
                </w:tcPr>
                <w:p w14:paraId="0B380EA3">
                  <w:pPr>
                    <w:jc w:val="center"/>
                    <w:rPr>
                      <w:color w:val="auto"/>
                      <w:sz w:val="21"/>
                      <w:szCs w:val="21"/>
                    </w:rPr>
                  </w:pPr>
                  <w:r>
                    <w:rPr>
                      <w:color w:val="auto"/>
                      <w:sz w:val="21"/>
                      <w:szCs w:val="21"/>
                    </w:rPr>
                    <w:t>III</w:t>
                  </w:r>
                </w:p>
              </w:tc>
              <w:tc>
                <w:tcPr>
                  <w:tcW w:w="924" w:type="pct"/>
                  <w:vAlign w:val="center"/>
                </w:tcPr>
                <w:p w14:paraId="6508B00E">
                  <w:pPr>
                    <w:jc w:val="center"/>
                    <w:rPr>
                      <w:color w:val="auto"/>
                      <w:sz w:val="21"/>
                      <w:szCs w:val="21"/>
                    </w:rPr>
                  </w:pPr>
                  <w:r>
                    <w:rPr>
                      <w:color w:val="auto"/>
                      <w:sz w:val="21"/>
                      <w:szCs w:val="21"/>
                    </w:rPr>
                    <w:t>II</w:t>
                  </w:r>
                </w:p>
              </w:tc>
            </w:tr>
            <w:tr w14:paraId="0F7D92F8">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8" w:type="pct"/>
                  <w:vAlign w:val="center"/>
                </w:tcPr>
                <w:p w14:paraId="11CACF34">
                  <w:pPr>
                    <w:jc w:val="center"/>
                    <w:rPr>
                      <w:color w:val="auto"/>
                      <w:sz w:val="21"/>
                      <w:szCs w:val="21"/>
                    </w:rPr>
                  </w:pPr>
                  <w:r>
                    <w:rPr>
                      <w:color w:val="auto"/>
                      <w:sz w:val="21"/>
                      <w:szCs w:val="21"/>
                    </w:rPr>
                    <w:t>环境低度敏感区（E3）</w:t>
                  </w:r>
                </w:p>
              </w:tc>
              <w:tc>
                <w:tcPr>
                  <w:tcW w:w="918" w:type="pct"/>
                  <w:vAlign w:val="center"/>
                </w:tcPr>
                <w:p w14:paraId="637E5190">
                  <w:pPr>
                    <w:jc w:val="center"/>
                    <w:rPr>
                      <w:color w:val="auto"/>
                      <w:sz w:val="21"/>
                      <w:szCs w:val="21"/>
                    </w:rPr>
                  </w:pPr>
                  <w:r>
                    <w:rPr>
                      <w:color w:val="auto"/>
                      <w:sz w:val="21"/>
                      <w:szCs w:val="21"/>
                    </w:rPr>
                    <w:t>III</w:t>
                  </w:r>
                </w:p>
              </w:tc>
              <w:tc>
                <w:tcPr>
                  <w:tcW w:w="918" w:type="pct"/>
                  <w:vAlign w:val="center"/>
                </w:tcPr>
                <w:p w14:paraId="071FD90F">
                  <w:pPr>
                    <w:jc w:val="center"/>
                    <w:rPr>
                      <w:color w:val="auto"/>
                      <w:sz w:val="21"/>
                      <w:szCs w:val="21"/>
                    </w:rPr>
                  </w:pPr>
                  <w:r>
                    <w:rPr>
                      <w:color w:val="auto"/>
                      <w:sz w:val="21"/>
                      <w:szCs w:val="21"/>
                    </w:rPr>
                    <w:t>III</w:t>
                  </w:r>
                </w:p>
              </w:tc>
              <w:tc>
                <w:tcPr>
                  <w:tcW w:w="920" w:type="pct"/>
                  <w:vAlign w:val="center"/>
                </w:tcPr>
                <w:p w14:paraId="59D01DFA">
                  <w:pPr>
                    <w:jc w:val="center"/>
                    <w:rPr>
                      <w:color w:val="auto"/>
                      <w:sz w:val="21"/>
                      <w:szCs w:val="21"/>
                    </w:rPr>
                  </w:pPr>
                  <w:r>
                    <w:rPr>
                      <w:color w:val="auto"/>
                      <w:sz w:val="21"/>
                      <w:szCs w:val="21"/>
                    </w:rPr>
                    <w:t>II</w:t>
                  </w:r>
                </w:p>
              </w:tc>
              <w:tc>
                <w:tcPr>
                  <w:tcW w:w="924" w:type="pct"/>
                  <w:vAlign w:val="center"/>
                </w:tcPr>
                <w:p w14:paraId="0C856B0B">
                  <w:pPr>
                    <w:jc w:val="center"/>
                    <w:rPr>
                      <w:color w:val="auto"/>
                      <w:sz w:val="21"/>
                      <w:szCs w:val="21"/>
                    </w:rPr>
                  </w:pPr>
                  <w:r>
                    <w:rPr>
                      <w:color w:val="auto"/>
                      <w:sz w:val="21"/>
                      <w:szCs w:val="21"/>
                    </w:rPr>
                    <w:t>I</w:t>
                  </w:r>
                </w:p>
              </w:tc>
            </w:tr>
          </w:tbl>
          <w:p w14:paraId="2383921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根据《建设项目环境风险评价技术导则》（HJ 169-2018）附录C及附录D确定危险物质及工艺系统危险性（P）及环境敏感程度（E）。其中危险物质及工艺系统危险性（P）由危险物质数量与临界量比值（Q）、行业及生产工艺（M）确定。</w:t>
            </w:r>
          </w:p>
          <w:p w14:paraId="78A4A9C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本项目涉及环境风险的物质为</w:t>
            </w:r>
            <w:r>
              <w:rPr>
                <w:rFonts w:hint="eastAsia" w:ascii="Times New Roman" w:hAnsi="Times New Roman" w:eastAsia="宋体" w:cs="Times New Roman"/>
                <w:color w:val="auto"/>
                <w:kern w:val="0"/>
                <w:sz w:val="24"/>
              </w:rPr>
              <w:t>废机油</w:t>
            </w:r>
            <w:r>
              <w:rPr>
                <w:rFonts w:ascii="Times New Roman" w:hAnsi="Times New Roman" w:eastAsia="宋体" w:cs="Times New Roman"/>
                <w:color w:val="auto"/>
                <w:kern w:val="0"/>
                <w:sz w:val="24"/>
              </w:rPr>
              <w:t>，根据《建设项目环境风险评价技术导则》（HJ</w:t>
            </w:r>
            <w:r>
              <w:rPr>
                <w:rFonts w:hint="eastAsia" w:ascii="Times New Roman" w:hAnsi="Times New Roman" w:eastAsia="宋体" w:cs="Times New Roman"/>
                <w:color w:val="auto"/>
                <w:kern w:val="0"/>
                <w:sz w:val="24"/>
              </w:rPr>
              <w:t xml:space="preserve"> </w:t>
            </w:r>
            <w:r>
              <w:rPr>
                <w:rFonts w:ascii="Times New Roman" w:hAnsi="Times New Roman" w:eastAsia="宋体" w:cs="Times New Roman"/>
                <w:color w:val="auto"/>
                <w:kern w:val="0"/>
                <w:sz w:val="24"/>
              </w:rPr>
              <w:t>169-2018）附录C规定与其在附录B对应临界量，当存在多种危险物质时，物质总量与其临界量比值</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Q</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结果见下表。</w:t>
            </w:r>
          </w:p>
          <w:p w14:paraId="6945FA9D">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表4-1</w:t>
            </w:r>
            <w:r>
              <w:rPr>
                <w:rFonts w:hint="eastAsia" w:cs="Times New Roman"/>
                <w:color w:val="auto"/>
                <w:lang w:val="en-US" w:eastAsia="zh-CN"/>
              </w:rPr>
              <w:t>4</w:t>
            </w:r>
            <w:r>
              <w:rPr>
                <w:rFonts w:hint="default" w:ascii="Times New Roman" w:hAnsi="Times New Roman" w:eastAsia="宋体" w:cs="Times New Roman"/>
                <w:color w:val="auto"/>
              </w:rPr>
              <w:t xml:space="preserve">    临界量比值 </w:t>
            </w:r>
          </w:p>
          <w:tbl>
            <w:tblPr>
              <w:tblStyle w:val="27"/>
              <w:tblW w:w="4998" w:type="pct"/>
              <w:jc w:val="center"/>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91"/>
              <w:gridCol w:w="1591"/>
            </w:tblGrid>
            <w:tr w14:paraId="0EB38F75">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tcBorders>
                    <w:top w:val="single" w:color="000000" w:sz="12" w:space="0"/>
                    <w:bottom w:val="single" w:color="000000" w:sz="12" w:space="0"/>
                  </w:tcBorders>
                  <w:vAlign w:val="center"/>
                </w:tcPr>
                <w:p w14:paraId="2B12DCA1">
                  <w:pPr>
                    <w:jc w:val="center"/>
                    <w:rPr>
                      <w:b/>
                      <w:bCs/>
                      <w:color w:val="auto"/>
                      <w:sz w:val="21"/>
                      <w:szCs w:val="21"/>
                      <w:highlight w:val="none"/>
                    </w:rPr>
                  </w:pPr>
                  <w:r>
                    <w:rPr>
                      <w:b/>
                      <w:bCs/>
                      <w:color w:val="auto"/>
                      <w:sz w:val="21"/>
                      <w:szCs w:val="21"/>
                      <w:highlight w:val="none"/>
                    </w:rPr>
                    <w:t xml:space="preserve">序号 </w:t>
                  </w:r>
                </w:p>
              </w:tc>
              <w:tc>
                <w:tcPr>
                  <w:tcW w:w="999" w:type="pct"/>
                  <w:tcBorders>
                    <w:top w:val="single" w:color="000000" w:sz="12" w:space="0"/>
                    <w:bottom w:val="single" w:color="000000" w:sz="12" w:space="0"/>
                  </w:tcBorders>
                  <w:vAlign w:val="center"/>
                </w:tcPr>
                <w:p w14:paraId="5BC7B9CC">
                  <w:pPr>
                    <w:jc w:val="center"/>
                    <w:rPr>
                      <w:b/>
                      <w:bCs/>
                      <w:color w:val="auto"/>
                      <w:sz w:val="21"/>
                      <w:szCs w:val="21"/>
                      <w:highlight w:val="none"/>
                    </w:rPr>
                  </w:pPr>
                  <w:r>
                    <w:rPr>
                      <w:b/>
                      <w:bCs/>
                      <w:color w:val="auto"/>
                      <w:sz w:val="21"/>
                      <w:szCs w:val="21"/>
                      <w:highlight w:val="none"/>
                    </w:rPr>
                    <w:t xml:space="preserve">原料 </w:t>
                  </w:r>
                </w:p>
              </w:tc>
              <w:tc>
                <w:tcPr>
                  <w:tcW w:w="999" w:type="pct"/>
                  <w:tcBorders>
                    <w:top w:val="single" w:color="000000" w:sz="12" w:space="0"/>
                    <w:bottom w:val="single" w:color="000000" w:sz="12" w:space="0"/>
                  </w:tcBorders>
                  <w:vAlign w:val="center"/>
                </w:tcPr>
                <w:p w14:paraId="0DF0B78F">
                  <w:pPr>
                    <w:jc w:val="center"/>
                    <w:rPr>
                      <w:b/>
                      <w:bCs/>
                      <w:color w:val="auto"/>
                      <w:sz w:val="21"/>
                      <w:szCs w:val="21"/>
                      <w:highlight w:val="none"/>
                    </w:rPr>
                  </w:pPr>
                  <w:r>
                    <w:rPr>
                      <w:b/>
                      <w:bCs/>
                      <w:color w:val="auto"/>
                      <w:sz w:val="21"/>
                      <w:szCs w:val="21"/>
                      <w:highlight w:val="none"/>
                    </w:rPr>
                    <w:t xml:space="preserve">最大储量（t） </w:t>
                  </w:r>
                </w:p>
              </w:tc>
              <w:tc>
                <w:tcPr>
                  <w:tcW w:w="1001" w:type="pct"/>
                  <w:tcBorders>
                    <w:top w:val="single" w:color="000000" w:sz="12" w:space="0"/>
                    <w:bottom w:val="single" w:color="000000" w:sz="12" w:space="0"/>
                  </w:tcBorders>
                  <w:vAlign w:val="center"/>
                </w:tcPr>
                <w:p w14:paraId="7E19A6C7">
                  <w:pPr>
                    <w:jc w:val="center"/>
                    <w:rPr>
                      <w:b/>
                      <w:bCs/>
                      <w:color w:val="auto"/>
                      <w:sz w:val="21"/>
                      <w:szCs w:val="21"/>
                      <w:highlight w:val="none"/>
                    </w:rPr>
                  </w:pPr>
                  <w:r>
                    <w:rPr>
                      <w:b/>
                      <w:bCs/>
                      <w:color w:val="auto"/>
                      <w:sz w:val="21"/>
                      <w:szCs w:val="21"/>
                      <w:highlight w:val="none"/>
                    </w:rPr>
                    <w:t xml:space="preserve">临界量（t） </w:t>
                  </w:r>
                </w:p>
              </w:tc>
              <w:tc>
                <w:tcPr>
                  <w:tcW w:w="1001" w:type="pct"/>
                  <w:tcBorders>
                    <w:top w:val="single" w:color="000000" w:sz="12" w:space="0"/>
                    <w:bottom w:val="single" w:color="000000" w:sz="12" w:space="0"/>
                  </w:tcBorders>
                  <w:vAlign w:val="center"/>
                </w:tcPr>
                <w:p w14:paraId="1E89ECA8">
                  <w:pPr>
                    <w:jc w:val="center"/>
                    <w:rPr>
                      <w:b/>
                      <w:bCs/>
                      <w:color w:val="auto"/>
                      <w:sz w:val="21"/>
                      <w:szCs w:val="21"/>
                      <w:highlight w:val="none"/>
                    </w:rPr>
                  </w:pPr>
                  <w:r>
                    <w:rPr>
                      <w:b/>
                      <w:bCs/>
                      <w:color w:val="auto"/>
                      <w:sz w:val="21"/>
                      <w:szCs w:val="21"/>
                      <w:highlight w:val="none"/>
                    </w:rPr>
                    <w:t xml:space="preserve">Q值 </w:t>
                  </w:r>
                </w:p>
              </w:tc>
            </w:tr>
            <w:tr w14:paraId="058D2922">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pct"/>
                  <w:tcBorders>
                    <w:top w:val="single" w:color="000000" w:sz="12" w:space="0"/>
                  </w:tcBorders>
                  <w:vAlign w:val="center"/>
                </w:tcPr>
                <w:p w14:paraId="0DA8F98B">
                  <w:pPr>
                    <w:jc w:val="center"/>
                    <w:rPr>
                      <w:color w:val="auto"/>
                      <w:sz w:val="21"/>
                      <w:szCs w:val="21"/>
                      <w:highlight w:val="none"/>
                    </w:rPr>
                  </w:pPr>
                  <w:r>
                    <w:rPr>
                      <w:color w:val="auto"/>
                      <w:sz w:val="21"/>
                      <w:szCs w:val="21"/>
                      <w:highlight w:val="none"/>
                    </w:rPr>
                    <w:t>1</w:t>
                  </w:r>
                </w:p>
              </w:tc>
              <w:tc>
                <w:tcPr>
                  <w:tcW w:w="999" w:type="pct"/>
                  <w:tcBorders>
                    <w:top w:val="single" w:color="000000" w:sz="12" w:space="0"/>
                  </w:tcBorders>
                  <w:vAlign w:val="center"/>
                </w:tcPr>
                <w:p w14:paraId="4E09F441">
                  <w:pPr>
                    <w:jc w:val="center"/>
                    <w:rPr>
                      <w:color w:val="auto"/>
                      <w:sz w:val="21"/>
                      <w:szCs w:val="21"/>
                      <w:highlight w:val="none"/>
                    </w:rPr>
                  </w:pPr>
                  <w:r>
                    <w:rPr>
                      <w:rFonts w:hint="eastAsia"/>
                      <w:color w:val="auto"/>
                      <w:sz w:val="21"/>
                      <w:szCs w:val="21"/>
                      <w:highlight w:val="none"/>
                    </w:rPr>
                    <w:t>废机油</w:t>
                  </w:r>
                </w:p>
              </w:tc>
              <w:tc>
                <w:tcPr>
                  <w:tcW w:w="999" w:type="pct"/>
                  <w:tcBorders>
                    <w:top w:val="single" w:color="000000" w:sz="12" w:space="0"/>
                  </w:tcBorders>
                  <w:vAlign w:val="center"/>
                </w:tcPr>
                <w:p w14:paraId="66D3BA12">
                  <w:pPr>
                    <w:jc w:val="center"/>
                    <w:rPr>
                      <w:rFonts w:hint="eastAsia" w:eastAsia="宋体"/>
                      <w:color w:val="auto"/>
                      <w:sz w:val="21"/>
                      <w:szCs w:val="21"/>
                      <w:highlight w:val="none"/>
                      <w:lang w:val="en-US" w:eastAsia="zh-CN"/>
                    </w:rPr>
                  </w:pPr>
                  <w:r>
                    <w:rPr>
                      <w:rFonts w:hint="eastAsia"/>
                      <w:color w:val="auto"/>
                      <w:sz w:val="21"/>
                      <w:szCs w:val="21"/>
                      <w:highlight w:val="none"/>
                    </w:rPr>
                    <w:t>0.</w:t>
                  </w:r>
                  <w:r>
                    <w:rPr>
                      <w:rFonts w:hint="eastAsia"/>
                      <w:color w:val="auto"/>
                      <w:sz w:val="21"/>
                      <w:szCs w:val="21"/>
                      <w:highlight w:val="none"/>
                      <w:lang w:val="en-US" w:eastAsia="zh-CN"/>
                    </w:rPr>
                    <w:t>1</w:t>
                  </w:r>
                </w:p>
              </w:tc>
              <w:tc>
                <w:tcPr>
                  <w:tcW w:w="1001" w:type="pct"/>
                  <w:tcBorders>
                    <w:top w:val="single" w:color="000000" w:sz="12" w:space="0"/>
                  </w:tcBorders>
                  <w:vAlign w:val="center"/>
                </w:tcPr>
                <w:p w14:paraId="3C72A87E">
                  <w:pPr>
                    <w:jc w:val="center"/>
                    <w:rPr>
                      <w:color w:val="auto"/>
                      <w:sz w:val="21"/>
                      <w:szCs w:val="21"/>
                      <w:highlight w:val="none"/>
                    </w:rPr>
                  </w:pPr>
                  <w:r>
                    <w:rPr>
                      <w:color w:val="auto"/>
                      <w:sz w:val="21"/>
                      <w:szCs w:val="21"/>
                      <w:highlight w:val="none"/>
                    </w:rPr>
                    <w:t>2500</w:t>
                  </w:r>
                </w:p>
              </w:tc>
              <w:tc>
                <w:tcPr>
                  <w:tcW w:w="1001" w:type="pct"/>
                  <w:tcBorders>
                    <w:top w:val="single" w:color="000000" w:sz="12" w:space="0"/>
                  </w:tcBorders>
                  <w:vAlign w:val="center"/>
                </w:tcPr>
                <w:p w14:paraId="218DCEA8">
                  <w:pPr>
                    <w:jc w:val="center"/>
                    <w:rPr>
                      <w:color w:val="auto"/>
                      <w:sz w:val="21"/>
                      <w:szCs w:val="21"/>
                      <w:highlight w:val="none"/>
                    </w:rPr>
                  </w:pPr>
                  <w:r>
                    <w:rPr>
                      <w:color w:val="auto"/>
                      <w:sz w:val="21"/>
                      <w:szCs w:val="21"/>
                      <w:highlight w:val="none"/>
                    </w:rPr>
                    <w:t>0.0</w:t>
                  </w:r>
                  <w:r>
                    <w:rPr>
                      <w:rFonts w:hint="eastAsia"/>
                      <w:color w:val="auto"/>
                      <w:sz w:val="21"/>
                      <w:szCs w:val="21"/>
                      <w:highlight w:val="none"/>
                    </w:rPr>
                    <w:t>00</w:t>
                  </w:r>
                  <w:r>
                    <w:rPr>
                      <w:rFonts w:hint="eastAsia"/>
                      <w:color w:val="auto"/>
                      <w:sz w:val="21"/>
                      <w:szCs w:val="21"/>
                      <w:highlight w:val="none"/>
                      <w:lang w:val="en-US" w:eastAsia="zh-CN"/>
                    </w:rPr>
                    <w:t>0</w:t>
                  </w:r>
                  <w:r>
                    <w:rPr>
                      <w:rFonts w:hint="eastAsia"/>
                      <w:color w:val="auto"/>
                      <w:sz w:val="21"/>
                      <w:szCs w:val="21"/>
                      <w:highlight w:val="none"/>
                    </w:rPr>
                    <w:t>4</w:t>
                  </w:r>
                </w:p>
              </w:tc>
            </w:tr>
            <w:tr w14:paraId="5A23CD32">
              <w:tblPrEx>
                <w:tblBorders>
                  <w:top w:val="single" w:color="auto" w:sz="4"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8" w:type="pct"/>
                  <w:gridSpan w:val="4"/>
                  <w:vAlign w:val="center"/>
                </w:tcPr>
                <w:p w14:paraId="208647E1">
                  <w:pPr>
                    <w:jc w:val="center"/>
                    <w:rPr>
                      <w:color w:val="auto"/>
                      <w:sz w:val="21"/>
                      <w:szCs w:val="21"/>
                      <w:highlight w:val="none"/>
                    </w:rPr>
                  </w:pPr>
                  <w:r>
                    <w:rPr>
                      <w:rFonts w:hint="eastAsia"/>
                      <w:color w:val="auto"/>
                      <w:sz w:val="21"/>
                      <w:szCs w:val="21"/>
                      <w:highlight w:val="none"/>
                    </w:rPr>
                    <w:t>合计</w:t>
                  </w:r>
                </w:p>
              </w:tc>
              <w:tc>
                <w:tcPr>
                  <w:tcW w:w="1001" w:type="pct"/>
                  <w:vAlign w:val="center"/>
                </w:tcPr>
                <w:p w14:paraId="7EE6226F">
                  <w:pPr>
                    <w:jc w:val="center"/>
                    <w:rPr>
                      <w:color w:val="auto"/>
                      <w:sz w:val="21"/>
                      <w:szCs w:val="21"/>
                      <w:highlight w:val="none"/>
                    </w:rPr>
                  </w:pPr>
                  <w:r>
                    <w:rPr>
                      <w:rFonts w:hint="eastAsia"/>
                      <w:color w:val="auto"/>
                      <w:sz w:val="21"/>
                      <w:szCs w:val="21"/>
                      <w:highlight w:val="none"/>
                    </w:rPr>
                    <w:t>0.000</w:t>
                  </w:r>
                  <w:r>
                    <w:rPr>
                      <w:rFonts w:hint="eastAsia"/>
                      <w:color w:val="auto"/>
                      <w:sz w:val="21"/>
                      <w:szCs w:val="21"/>
                      <w:highlight w:val="none"/>
                      <w:lang w:val="en-US" w:eastAsia="zh-CN"/>
                    </w:rPr>
                    <w:t>0</w:t>
                  </w:r>
                  <w:r>
                    <w:rPr>
                      <w:rFonts w:hint="eastAsia"/>
                      <w:color w:val="auto"/>
                      <w:sz w:val="21"/>
                      <w:szCs w:val="21"/>
                      <w:highlight w:val="none"/>
                    </w:rPr>
                    <w:t>4</w:t>
                  </w:r>
                </w:p>
              </w:tc>
            </w:tr>
          </w:tbl>
          <w:p w14:paraId="04638560">
            <w:pPr>
              <w:widowControl/>
              <w:spacing w:line="360" w:lineRule="auto"/>
              <w:ind w:firstLine="480" w:firstLineChars="200"/>
              <w:jc w:val="left"/>
              <w:rPr>
                <w:color w:val="auto"/>
              </w:rPr>
            </w:pPr>
            <w:r>
              <w:rPr>
                <w:rFonts w:ascii="Times New Roman" w:hAnsi="Times New Roman" w:eastAsia="宋体" w:cs="Times New Roman"/>
                <w:color w:val="auto"/>
                <w:kern w:val="0"/>
                <w:sz w:val="24"/>
              </w:rPr>
              <w:t>依据《建设项目环境风险评价技术导则》（HJ</w:t>
            </w:r>
            <w:r>
              <w:rPr>
                <w:rFonts w:hint="eastAsia" w:ascii="Times New Roman" w:hAnsi="Times New Roman" w:eastAsia="宋体" w:cs="Times New Roman"/>
                <w:color w:val="auto"/>
                <w:kern w:val="0"/>
                <w:sz w:val="24"/>
              </w:rPr>
              <w:t xml:space="preserve"> </w:t>
            </w:r>
            <w:r>
              <w:rPr>
                <w:rFonts w:ascii="Times New Roman" w:hAnsi="Times New Roman" w:eastAsia="宋体" w:cs="Times New Roman"/>
                <w:color w:val="auto"/>
                <w:kern w:val="0"/>
                <w:sz w:val="24"/>
              </w:rPr>
              <w:t xml:space="preserve">169-2018）附录C规范Q值计算过程，当单元内存在的危险物质为多品种时，则按下式进行计算。 </w:t>
            </w:r>
          </w:p>
          <w:p w14:paraId="5F9DBAF5">
            <w:pPr>
              <w:jc w:val="center"/>
              <w:rPr>
                <w:color w:val="auto"/>
              </w:rPr>
            </w:pPr>
            <w:r>
              <w:rPr>
                <w:color w:val="auto"/>
                <w:position w:val="-30"/>
              </w:rPr>
              <w:object>
                <v:shape id="_x0000_i1026" o:spt="75" type="#_x0000_t75" style="height:33.8pt;width:110.2pt;" o:ole="t" filled="f" o:preferrelative="t" stroked="f" coordsize="21600,21600">
                  <v:path/>
                  <v:fill on="f" focussize="0,0"/>
                  <v:stroke on="f"/>
                  <v:imagedata r:id="rId17" o:title=""/>
                  <o:lock v:ext="edit" aspectratio="t"/>
                  <w10:wrap type="none"/>
                  <w10:anchorlock/>
                </v:shape>
                <o:OLEObject Type="Embed" ProgID="Equation.3" ShapeID="_x0000_i1026" DrawAspect="Content" ObjectID="_1468075726" r:id="rId16">
                  <o:LockedField>false</o:LockedField>
                </o:OLEObject>
              </w:object>
            </w:r>
          </w:p>
          <w:p w14:paraId="3C7CCAA5">
            <w:pPr>
              <w:widowControl/>
              <w:wordWrap w:val="0"/>
              <w:adjustRightInd w:val="0"/>
              <w:spacing w:line="360" w:lineRule="auto"/>
              <w:ind w:firstLine="480" w:firstLineChars="200"/>
              <w:outlineLvl w:val="2"/>
              <w:rPr>
                <w:color w:val="auto"/>
                <w:sz w:val="24"/>
              </w:rPr>
            </w:pPr>
            <w:r>
              <w:rPr>
                <w:color w:val="auto"/>
                <w:sz w:val="24"/>
              </w:rPr>
              <w:t>式中：q</w:t>
            </w:r>
            <w:r>
              <w:rPr>
                <w:color w:val="auto"/>
                <w:sz w:val="24"/>
                <w:vertAlign w:val="subscript"/>
              </w:rPr>
              <w:t>1</w:t>
            </w:r>
            <w:r>
              <w:rPr>
                <w:color w:val="auto"/>
                <w:sz w:val="24"/>
              </w:rPr>
              <w:t>，q</w:t>
            </w:r>
            <w:r>
              <w:rPr>
                <w:color w:val="auto"/>
                <w:sz w:val="24"/>
                <w:vertAlign w:val="subscript"/>
              </w:rPr>
              <w:t>2</w:t>
            </w:r>
            <w:r>
              <w:rPr>
                <w:color w:val="auto"/>
                <w:sz w:val="24"/>
              </w:rPr>
              <w:t>，…q</w:t>
            </w:r>
            <w:r>
              <w:rPr>
                <w:color w:val="auto"/>
                <w:sz w:val="24"/>
                <w:vertAlign w:val="subscript"/>
              </w:rPr>
              <w:t>n</w:t>
            </w:r>
            <w:r>
              <w:rPr>
                <w:color w:val="auto"/>
                <w:sz w:val="24"/>
              </w:rPr>
              <w:t>—每种危险物质的最大存在量，t；</w:t>
            </w:r>
          </w:p>
          <w:p w14:paraId="210A3C05">
            <w:pPr>
              <w:widowControl/>
              <w:wordWrap w:val="0"/>
              <w:adjustRightInd w:val="0"/>
              <w:spacing w:line="360" w:lineRule="auto"/>
              <w:ind w:firstLine="1200" w:firstLineChars="500"/>
              <w:outlineLvl w:val="2"/>
              <w:rPr>
                <w:color w:val="auto"/>
                <w:sz w:val="24"/>
              </w:rPr>
            </w:pPr>
            <w:r>
              <w:rPr>
                <w:color w:val="auto"/>
                <w:sz w:val="24"/>
              </w:rPr>
              <w:t>Q</w:t>
            </w:r>
            <w:r>
              <w:rPr>
                <w:color w:val="auto"/>
                <w:sz w:val="24"/>
                <w:vertAlign w:val="subscript"/>
              </w:rPr>
              <w:t>1</w:t>
            </w:r>
            <w:r>
              <w:rPr>
                <w:color w:val="auto"/>
                <w:sz w:val="24"/>
              </w:rPr>
              <w:t>，Q</w:t>
            </w:r>
            <w:r>
              <w:rPr>
                <w:color w:val="auto"/>
                <w:sz w:val="24"/>
                <w:vertAlign w:val="subscript"/>
              </w:rPr>
              <w:t>2</w:t>
            </w:r>
            <w:r>
              <w:rPr>
                <w:color w:val="auto"/>
                <w:sz w:val="24"/>
              </w:rPr>
              <w:t>，…Q</w:t>
            </w:r>
            <w:r>
              <w:rPr>
                <w:color w:val="auto"/>
                <w:sz w:val="24"/>
                <w:vertAlign w:val="subscript"/>
              </w:rPr>
              <w:t>n</w:t>
            </w:r>
            <w:r>
              <w:rPr>
                <w:color w:val="auto"/>
                <w:sz w:val="24"/>
              </w:rPr>
              <w:t>—每种危险物质的临界量，t；</w:t>
            </w:r>
          </w:p>
          <w:p w14:paraId="1E5EA0A9">
            <w:pPr>
              <w:widowControl/>
              <w:wordWrap w:val="0"/>
              <w:adjustRightInd w:val="0"/>
              <w:spacing w:line="360" w:lineRule="auto"/>
              <w:ind w:firstLine="480" w:firstLineChars="200"/>
              <w:outlineLvl w:val="2"/>
              <w:rPr>
                <w:color w:val="auto"/>
                <w:sz w:val="24"/>
              </w:rPr>
            </w:pPr>
            <w:r>
              <w:rPr>
                <w:color w:val="auto"/>
                <w:sz w:val="24"/>
              </w:rPr>
              <w:t>当Q</w:t>
            </w:r>
            <w:r>
              <w:rPr>
                <w:rFonts w:hint="eastAsia"/>
                <w:color w:val="auto"/>
                <w:sz w:val="24"/>
                <w:lang w:val="en-US" w:eastAsia="zh-CN"/>
              </w:rPr>
              <w:t>＜</w:t>
            </w:r>
            <w:r>
              <w:rPr>
                <w:color w:val="auto"/>
                <w:sz w:val="24"/>
              </w:rPr>
              <w:t>1时，该项目环境风险潜势为Ⅰ；</w:t>
            </w:r>
          </w:p>
          <w:p w14:paraId="496F3624">
            <w:pPr>
              <w:spacing w:line="360" w:lineRule="auto"/>
              <w:ind w:firstLine="480"/>
              <w:rPr>
                <w:color w:val="auto"/>
                <w:sz w:val="24"/>
              </w:rPr>
            </w:pPr>
            <w:r>
              <w:rPr>
                <w:color w:val="auto"/>
                <w:sz w:val="24"/>
              </w:rPr>
              <w:t>当Q</w:t>
            </w:r>
            <w:r>
              <w:rPr>
                <w:rFonts w:hint="eastAsia"/>
                <w:color w:val="auto"/>
                <w:sz w:val="24"/>
                <w:lang w:val="en-US" w:eastAsia="zh-CN"/>
              </w:rPr>
              <w:t>≥</w:t>
            </w:r>
            <w:r>
              <w:rPr>
                <w:color w:val="auto"/>
                <w:sz w:val="24"/>
              </w:rPr>
              <w:t>1时，将Q值划分为（1）1</w:t>
            </w:r>
            <w:r>
              <w:rPr>
                <w:rFonts w:hint="eastAsia"/>
                <w:color w:val="auto"/>
                <w:sz w:val="24"/>
                <w:lang w:val="en-US" w:eastAsia="zh-CN"/>
              </w:rPr>
              <w:t>≤</w:t>
            </w:r>
            <w:r>
              <w:rPr>
                <w:color w:val="auto"/>
                <w:sz w:val="24"/>
              </w:rPr>
              <w:t>Q</w:t>
            </w:r>
            <w:r>
              <w:rPr>
                <w:rFonts w:hint="eastAsia"/>
                <w:color w:val="auto"/>
                <w:sz w:val="24"/>
                <w:lang w:val="en-US" w:eastAsia="zh-CN"/>
              </w:rPr>
              <w:t>＜</w:t>
            </w:r>
            <w:r>
              <w:rPr>
                <w:color w:val="auto"/>
                <w:sz w:val="24"/>
              </w:rPr>
              <w:t>10；（2）10</w:t>
            </w:r>
            <w:r>
              <w:rPr>
                <w:rFonts w:hint="eastAsia"/>
                <w:color w:val="auto"/>
                <w:sz w:val="24"/>
                <w:lang w:val="en-US" w:eastAsia="zh-CN"/>
              </w:rPr>
              <w:t>≤</w:t>
            </w:r>
            <w:r>
              <w:rPr>
                <w:color w:val="auto"/>
                <w:sz w:val="24"/>
              </w:rPr>
              <w:t>Q</w:t>
            </w:r>
            <w:r>
              <w:rPr>
                <w:rFonts w:hint="eastAsia"/>
                <w:color w:val="auto"/>
                <w:sz w:val="24"/>
                <w:lang w:val="en-US" w:eastAsia="zh-CN"/>
              </w:rPr>
              <w:t>＜</w:t>
            </w:r>
            <w:r>
              <w:rPr>
                <w:color w:val="auto"/>
                <w:sz w:val="24"/>
              </w:rPr>
              <w:t>100；（3）Q</w:t>
            </w:r>
            <w:r>
              <w:rPr>
                <w:rFonts w:hint="eastAsia"/>
                <w:color w:val="auto"/>
                <w:sz w:val="24"/>
                <w:lang w:val="en-US" w:eastAsia="zh-CN"/>
              </w:rPr>
              <w:t>≥</w:t>
            </w:r>
            <w:r>
              <w:rPr>
                <w:color w:val="auto"/>
                <w:sz w:val="24"/>
              </w:rPr>
              <w:t xml:space="preserve">100。 </w:t>
            </w:r>
          </w:p>
          <w:p w14:paraId="18F2EE01">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本项目Q=0.0</w:t>
            </w:r>
            <w:r>
              <w:rPr>
                <w:rFonts w:hint="eastAsia" w:ascii="Times New Roman" w:hAnsi="Times New Roman" w:eastAsia="宋体" w:cs="Times New Roman"/>
                <w:color w:val="auto"/>
                <w:kern w:val="0"/>
                <w:sz w:val="24"/>
              </w:rPr>
              <w:t>00</w:t>
            </w:r>
            <w:r>
              <w:rPr>
                <w:rFonts w:hint="eastAsia" w:cs="Times New Roman"/>
                <w:color w:val="auto"/>
                <w:kern w:val="0"/>
                <w:sz w:val="24"/>
                <w:lang w:val="en-US" w:eastAsia="zh-CN"/>
              </w:rPr>
              <w:t>0</w:t>
            </w:r>
            <w:r>
              <w:rPr>
                <w:rFonts w:hint="eastAsia" w:ascii="Times New Roman" w:hAnsi="Times New Roman" w:eastAsia="宋体" w:cs="Times New Roman"/>
                <w:color w:val="auto"/>
                <w:kern w:val="0"/>
                <w:sz w:val="24"/>
              </w:rPr>
              <w:t>4</w:t>
            </w:r>
            <w:r>
              <w:rPr>
                <w:rFonts w:ascii="Times New Roman" w:hAnsi="Times New Roman" w:eastAsia="宋体" w:cs="Times New Roman"/>
                <w:color w:val="auto"/>
                <w:kern w:val="0"/>
                <w:sz w:val="24"/>
              </w:rPr>
              <w:t>，因此，根据《建设项目环境风险评价技术导则》（HJ 169-2018）附录C要求，Q=0.0</w:t>
            </w:r>
            <w:r>
              <w:rPr>
                <w:rFonts w:hint="eastAsia" w:ascii="Times New Roman" w:hAnsi="Times New Roman" w:eastAsia="宋体" w:cs="Times New Roman"/>
                <w:color w:val="auto"/>
                <w:kern w:val="0"/>
                <w:sz w:val="24"/>
              </w:rPr>
              <w:t>00</w:t>
            </w:r>
            <w:r>
              <w:rPr>
                <w:rFonts w:hint="eastAsia" w:cs="Times New Roman"/>
                <w:color w:val="auto"/>
                <w:kern w:val="0"/>
                <w:sz w:val="24"/>
                <w:lang w:val="en-US" w:eastAsia="zh-CN"/>
              </w:rPr>
              <w:t>0</w:t>
            </w:r>
            <w:r>
              <w:rPr>
                <w:rFonts w:hint="eastAsia" w:ascii="Times New Roman" w:hAnsi="Times New Roman" w:eastAsia="宋体" w:cs="Times New Roman"/>
                <w:color w:val="auto"/>
                <w:kern w:val="0"/>
                <w:sz w:val="24"/>
              </w:rPr>
              <w:t>4</w:t>
            </w:r>
            <w:r>
              <w:rPr>
                <w:rFonts w:ascii="Times New Roman" w:hAnsi="Times New Roman" w:eastAsia="宋体" w:cs="Times New Roman"/>
                <w:color w:val="auto"/>
                <w:kern w:val="0"/>
                <w:sz w:val="24"/>
              </w:rPr>
              <w:t>＜1，该项目环境风险潜势为Ⅰ，不再对行业及生产工艺（M）及环境敏感程度（E）进行判定。</w:t>
            </w:r>
          </w:p>
          <w:p w14:paraId="034A73C7">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7.2环境风险评价工作等级</w:t>
            </w:r>
          </w:p>
          <w:p w14:paraId="358A04F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根据建设项目</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环境风险评价技术导则</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（HJ 169-2018）中环境风险评价工作级别划分的判据见表4-</w:t>
            </w:r>
            <w:r>
              <w:rPr>
                <w:rFonts w:hint="eastAsia" w:ascii="Times New Roman" w:hAnsi="Times New Roman" w:eastAsia="宋体" w:cs="Times New Roman"/>
                <w:color w:val="auto"/>
                <w:kern w:val="0"/>
                <w:sz w:val="24"/>
              </w:rPr>
              <w:t>1</w:t>
            </w:r>
            <w:r>
              <w:rPr>
                <w:rFonts w:hint="eastAsia" w:cs="Times New Roman"/>
                <w:color w:val="auto"/>
                <w:kern w:val="0"/>
                <w:sz w:val="24"/>
                <w:lang w:val="en-US" w:eastAsia="zh-CN"/>
              </w:rPr>
              <w:t>5</w:t>
            </w:r>
            <w:r>
              <w:rPr>
                <w:rFonts w:ascii="Times New Roman" w:hAnsi="Times New Roman" w:eastAsia="宋体" w:cs="Times New Roman"/>
                <w:color w:val="auto"/>
                <w:kern w:val="0"/>
                <w:sz w:val="24"/>
              </w:rPr>
              <w:t>。</w:t>
            </w:r>
          </w:p>
          <w:p w14:paraId="5B85EE8A">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表4-</w:t>
            </w:r>
            <w:r>
              <w:rPr>
                <w:rFonts w:hint="eastAsia" w:ascii="Times New Roman" w:hAnsi="Times New Roman" w:eastAsia="宋体" w:cs="Times New Roman"/>
                <w:color w:val="auto"/>
              </w:rPr>
              <w:t>1</w:t>
            </w:r>
            <w:r>
              <w:rPr>
                <w:rFonts w:hint="eastAsia" w:cs="Times New Roman"/>
                <w:color w:val="auto"/>
                <w:lang w:val="en-US" w:eastAsia="zh-CN"/>
              </w:rPr>
              <w:t>5</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 评价工作等级划分表</w:t>
            </w:r>
          </w:p>
          <w:tbl>
            <w:tblPr>
              <w:tblStyle w:val="27"/>
              <w:tblW w:w="4998"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1587"/>
              <w:gridCol w:w="1587"/>
              <w:gridCol w:w="1587"/>
              <w:gridCol w:w="1595"/>
            </w:tblGrid>
            <w:tr w14:paraId="74DD360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99" w:type="pct"/>
                  <w:tcBorders>
                    <w:bottom w:val="single" w:color="000000" w:sz="12" w:space="0"/>
                  </w:tcBorders>
                  <w:vAlign w:val="center"/>
                </w:tcPr>
                <w:p w14:paraId="700FA502">
                  <w:pPr>
                    <w:jc w:val="center"/>
                    <w:rPr>
                      <w:b/>
                      <w:bCs/>
                      <w:color w:val="auto"/>
                      <w:sz w:val="21"/>
                      <w:szCs w:val="21"/>
                    </w:rPr>
                  </w:pPr>
                  <w:r>
                    <w:rPr>
                      <w:b/>
                      <w:bCs/>
                      <w:color w:val="auto"/>
                      <w:sz w:val="21"/>
                      <w:szCs w:val="21"/>
                    </w:rPr>
                    <w:t>环境风险潜势</w:t>
                  </w:r>
                </w:p>
              </w:tc>
              <w:tc>
                <w:tcPr>
                  <w:tcW w:w="999" w:type="pct"/>
                  <w:tcBorders>
                    <w:bottom w:val="single" w:color="000000" w:sz="12" w:space="0"/>
                  </w:tcBorders>
                  <w:vAlign w:val="center"/>
                </w:tcPr>
                <w:p w14:paraId="4BFC2F34">
                  <w:pPr>
                    <w:jc w:val="center"/>
                    <w:rPr>
                      <w:b/>
                      <w:bCs/>
                      <w:color w:val="auto"/>
                      <w:sz w:val="21"/>
                      <w:szCs w:val="21"/>
                    </w:rPr>
                  </w:pPr>
                  <w:r>
                    <w:rPr>
                      <w:b/>
                      <w:bCs/>
                      <w:color w:val="auto"/>
                      <w:sz w:val="21"/>
                      <w:szCs w:val="21"/>
                    </w:rPr>
                    <w:t>Ⅳ、Ⅳ+</w:t>
                  </w:r>
                </w:p>
              </w:tc>
              <w:tc>
                <w:tcPr>
                  <w:tcW w:w="999" w:type="pct"/>
                  <w:tcBorders>
                    <w:bottom w:val="single" w:color="000000" w:sz="12" w:space="0"/>
                  </w:tcBorders>
                  <w:vAlign w:val="center"/>
                </w:tcPr>
                <w:p w14:paraId="33A652D6">
                  <w:pPr>
                    <w:jc w:val="center"/>
                    <w:rPr>
                      <w:b/>
                      <w:bCs/>
                      <w:color w:val="auto"/>
                      <w:sz w:val="21"/>
                      <w:szCs w:val="21"/>
                    </w:rPr>
                  </w:pPr>
                  <w:r>
                    <w:rPr>
                      <w:b/>
                      <w:bCs/>
                      <w:color w:val="auto"/>
                      <w:sz w:val="21"/>
                      <w:szCs w:val="21"/>
                    </w:rPr>
                    <w:t>Ⅲ</w:t>
                  </w:r>
                </w:p>
              </w:tc>
              <w:tc>
                <w:tcPr>
                  <w:tcW w:w="999" w:type="pct"/>
                  <w:tcBorders>
                    <w:bottom w:val="single" w:color="000000" w:sz="12" w:space="0"/>
                  </w:tcBorders>
                  <w:vAlign w:val="center"/>
                </w:tcPr>
                <w:p w14:paraId="3E8004E6">
                  <w:pPr>
                    <w:jc w:val="center"/>
                    <w:rPr>
                      <w:b/>
                      <w:bCs/>
                      <w:color w:val="auto"/>
                      <w:sz w:val="21"/>
                      <w:szCs w:val="21"/>
                    </w:rPr>
                  </w:pPr>
                  <w:r>
                    <w:rPr>
                      <w:b/>
                      <w:bCs/>
                      <w:color w:val="auto"/>
                      <w:sz w:val="21"/>
                      <w:szCs w:val="21"/>
                    </w:rPr>
                    <w:t>Ⅱ</w:t>
                  </w:r>
                </w:p>
              </w:tc>
              <w:tc>
                <w:tcPr>
                  <w:tcW w:w="1001" w:type="pct"/>
                  <w:tcBorders>
                    <w:bottom w:val="single" w:color="000000" w:sz="12" w:space="0"/>
                  </w:tcBorders>
                  <w:vAlign w:val="center"/>
                </w:tcPr>
                <w:p w14:paraId="283774A4">
                  <w:pPr>
                    <w:jc w:val="center"/>
                    <w:rPr>
                      <w:b/>
                      <w:bCs/>
                      <w:color w:val="auto"/>
                      <w:sz w:val="21"/>
                      <w:szCs w:val="21"/>
                    </w:rPr>
                  </w:pPr>
                  <w:r>
                    <w:rPr>
                      <w:b/>
                      <w:bCs/>
                      <w:color w:val="auto"/>
                      <w:sz w:val="21"/>
                      <w:szCs w:val="21"/>
                    </w:rPr>
                    <w:t>Ⅰ</w:t>
                  </w:r>
                </w:p>
              </w:tc>
            </w:tr>
            <w:tr w14:paraId="5F3E887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99" w:type="pct"/>
                  <w:tcBorders>
                    <w:top w:val="single" w:color="000000" w:sz="12" w:space="0"/>
                    <w:tl2br w:val="nil"/>
                    <w:tr2bl w:val="nil"/>
                  </w:tcBorders>
                  <w:vAlign w:val="center"/>
                </w:tcPr>
                <w:p w14:paraId="4F10CB1B">
                  <w:pPr>
                    <w:jc w:val="center"/>
                    <w:rPr>
                      <w:color w:val="auto"/>
                      <w:sz w:val="21"/>
                      <w:szCs w:val="21"/>
                    </w:rPr>
                  </w:pPr>
                  <w:r>
                    <w:rPr>
                      <w:color w:val="auto"/>
                      <w:sz w:val="21"/>
                      <w:szCs w:val="21"/>
                    </w:rPr>
                    <w:t>评价工作等级</w:t>
                  </w:r>
                </w:p>
              </w:tc>
              <w:tc>
                <w:tcPr>
                  <w:tcW w:w="999" w:type="pct"/>
                  <w:tcBorders>
                    <w:top w:val="single" w:color="000000" w:sz="12" w:space="0"/>
                    <w:tl2br w:val="nil"/>
                    <w:tr2bl w:val="nil"/>
                  </w:tcBorders>
                  <w:vAlign w:val="center"/>
                </w:tcPr>
                <w:p w14:paraId="17C3B7D3">
                  <w:pPr>
                    <w:jc w:val="center"/>
                    <w:rPr>
                      <w:color w:val="auto"/>
                      <w:sz w:val="21"/>
                      <w:szCs w:val="21"/>
                    </w:rPr>
                  </w:pPr>
                  <w:r>
                    <w:rPr>
                      <w:color w:val="auto"/>
                      <w:sz w:val="21"/>
                      <w:szCs w:val="21"/>
                    </w:rPr>
                    <w:t>一</w:t>
                  </w:r>
                </w:p>
              </w:tc>
              <w:tc>
                <w:tcPr>
                  <w:tcW w:w="999" w:type="pct"/>
                  <w:tcBorders>
                    <w:top w:val="single" w:color="000000" w:sz="12" w:space="0"/>
                    <w:tl2br w:val="nil"/>
                    <w:tr2bl w:val="nil"/>
                  </w:tcBorders>
                  <w:vAlign w:val="center"/>
                </w:tcPr>
                <w:p w14:paraId="74267721">
                  <w:pPr>
                    <w:jc w:val="center"/>
                    <w:rPr>
                      <w:color w:val="auto"/>
                      <w:sz w:val="21"/>
                      <w:szCs w:val="21"/>
                    </w:rPr>
                  </w:pPr>
                  <w:r>
                    <w:rPr>
                      <w:color w:val="auto"/>
                      <w:sz w:val="21"/>
                      <w:szCs w:val="21"/>
                    </w:rPr>
                    <w:t>二</w:t>
                  </w:r>
                </w:p>
              </w:tc>
              <w:tc>
                <w:tcPr>
                  <w:tcW w:w="999" w:type="pct"/>
                  <w:tcBorders>
                    <w:top w:val="single" w:color="000000" w:sz="12" w:space="0"/>
                    <w:tl2br w:val="nil"/>
                    <w:tr2bl w:val="nil"/>
                  </w:tcBorders>
                  <w:vAlign w:val="center"/>
                </w:tcPr>
                <w:p w14:paraId="34BA0019">
                  <w:pPr>
                    <w:jc w:val="center"/>
                    <w:rPr>
                      <w:color w:val="auto"/>
                      <w:sz w:val="21"/>
                      <w:szCs w:val="21"/>
                    </w:rPr>
                  </w:pPr>
                  <w:r>
                    <w:rPr>
                      <w:color w:val="auto"/>
                      <w:sz w:val="21"/>
                      <w:szCs w:val="21"/>
                    </w:rPr>
                    <w:t>三</w:t>
                  </w:r>
                </w:p>
              </w:tc>
              <w:tc>
                <w:tcPr>
                  <w:tcW w:w="1001" w:type="pct"/>
                  <w:tcBorders>
                    <w:top w:val="single" w:color="000000" w:sz="12" w:space="0"/>
                    <w:tl2br w:val="nil"/>
                    <w:tr2bl w:val="nil"/>
                  </w:tcBorders>
                  <w:vAlign w:val="center"/>
                </w:tcPr>
                <w:p w14:paraId="10D7702B">
                  <w:pPr>
                    <w:jc w:val="center"/>
                    <w:rPr>
                      <w:rFonts w:hint="eastAsia" w:eastAsia="宋体"/>
                      <w:color w:val="auto"/>
                      <w:sz w:val="21"/>
                      <w:szCs w:val="21"/>
                      <w:lang w:val="en-US" w:eastAsia="zh-CN"/>
                    </w:rPr>
                  </w:pPr>
                  <w:r>
                    <w:rPr>
                      <w:color w:val="auto"/>
                      <w:sz w:val="21"/>
                      <w:szCs w:val="21"/>
                    </w:rPr>
                    <w:t>简单分析</w:t>
                  </w:r>
                  <w:r>
                    <w:rPr>
                      <w:rFonts w:hint="eastAsia"/>
                      <w:color w:val="auto"/>
                      <w:sz w:val="21"/>
                      <w:szCs w:val="21"/>
                      <w:lang w:val="en-US" w:eastAsia="zh-CN"/>
                    </w:rPr>
                    <w:t>a</w:t>
                  </w:r>
                </w:p>
              </w:tc>
            </w:tr>
            <w:tr w14:paraId="68E9914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000" w:type="pct"/>
                  <w:gridSpan w:val="5"/>
                  <w:tcBorders>
                    <w:tl2br w:val="nil"/>
                    <w:tr2bl w:val="nil"/>
                  </w:tcBorders>
                  <w:vAlign w:val="center"/>
                </w:tcPr>
                <w:p w14:paraId="29E8213E">
                  <w:pPr>
                    <w:ind w:firstLine="420" w:firstLineChars="200"/>
                    <w:rPr>
                      <w:color w:val="auto"/>
                      <w:sz w:val="21"/>
                      <w:szCs w:val="21"/>
                    </w:rPr>
                  </w:pPr>
                  <w:r>
                    <w:rPr>
                      <w:color w:val="auto"/>
                      <w:sz w:val="21"/>
                      <w:szCs w:val="21"/>
                    </w:rPr>
                    <w:t>a是相对于详细评价工作内容而言，在描述危险物质、环境影响途径、环境危害后果、风险防范措施等方面给出定性的说明。</w:t>
                  </w:r>
                </w:p>
              </w:tc>
            </w:tr>
          </w:tbl>
          <w:p w14:paraId="5041A46B">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本项目环境风险潜势为Ⅰ，根据《建设项目环境风险评价技术导则》（HJ/T169-2018）环境风险评价工作级别划分的判据，确定本工程环境风险评价工作级别为简单分析。</w:t>
            </w:r>
          </w:p>
          <w:p w14:paraId="7824C67D">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7.3环境风险识别</w:t>
            </w:r>
          </w:p>
          <w:p w14:paraId="75FCBE6C">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项目存在的主要环境风险为除尘设施故障导致的事故排放</w:t>
            </w:r>
            <w:r>
              <w:rPr>
                <w:rFonts w:hint="eastAsia" w:ascii="Times New Roman" w:hAnsi="Times New Roman" w:eastAsia="宋体" w:cs="Times New Roman"/>
                <w:color w:val="auto"/>
                <w:kern w:val="0"/>
                <w:sz w:val="24"/>
              </w:rPr>
              <w:t>，经采取相应防范措施后，项目风险可控。环评要求本项目采取以下措施减小事故发生的概率及其产生的影响：</w:t>
            </w:r>
          </w:p>
          <w:p w14:paraId="3A6779E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①</w:t>
            </w:r>
            <w:r>
              <w:rPr>
                <w:rFonts w:hint="eastAsia" w:cs="Times New Roman"/>
                <w:color w:val="auto"/>
                <w:kern w:val="0"/>
                <w:sz w:val="24"/>
                <w:lang w:val="en-US" w:eastAsia="zh-CN"/>
              </w:rPr>
              <w:t>根据</w:t>
            </w:r>
            <w:r>
              <w:rPr>
                <w:rFonts w:hint="eastAsia" w:ascii="Times New Roman" w:hAnsi="Times New Roman" w:eastAsia="宋体" w:cs="Times New Roman"/>
                <w:color w:val="auto"/>
                <w:kern w:val="0"/>
                <w:sz w:val="24"/>
              </w:rPr>
              <w:t>布袋使用期限，及时更换布袋，不允许</w:t>
            </w:r>
            <w:r>
              <w:rPr>
                <w:rFonts w:hint="eastAsia" w:cs="Times New Roman"/>
                <w:color w:val="auto"/>
                <w:kern w:val="0"/>
                <w:sz w:val="24"/>
                <w:lang w:val="en-US" w:eastAsia="zh-CN"/>
              </w:rPr>
              <w:t>除</w:t>
            </w:r>
            <w:r>
              <w:rPr>
                <w:rFonts w:hint="eastAsia" w:ascii="Times New Roman" w:hAnsi="Times New Roman" w:eastAsia="宋体" w:cs="Times New Roman"/>
                <w:color w:val="auto"/>
                <w:kern w:val="0"/>
                <w:sz w:val="24"/>
              </w:rPr>
              <w:t>尘器布袋超期运行；按计划进行定期维护；有专门档案</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rPr>
              <w:t>包括维护记录档案</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rPr>
              <w:t>，文件齐全，建议单位依据实际制定《环境保护责任制》《安全环保风险管理制度》，可满足企业环境风险管理要求。</w:t>
            </w:r>
          </w:p>
          <w:p w14:paraId="657008C9">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②对环保设施设置专人进行操作</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管理、维护。</w:t>
            </w:r>
          </w:p>
          <w:p w14:paraId="624F048D">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③厂区内设置报警仪，防火、防爆、防静电安全装置等相关防护措施，并纳入</w:t>
            </w:r>
            <w:r>
              <w:rPr>
                <w:rFonts w:hint="eastAsia" w:cs="Times New Roman"/>
                <w:color w:val="auto"/>
                <w:kern w:val="0"/>
                <w:sz w:val="24"/>
                <w:lang w:val="en-US" w:eastAsia="zh-CN"/>
              </w:rPr>
              <w:t>到</w:t>
            </w:r>
            <w:r>
              <w:rPr>
                <w:rFonts w:hint="eastAsia" w:ascii="Times New Roman" w:hAnsi="Times New Roman" w:eastAsia="宋体" w:cs="Times New Roman"/>
                <w:color w:val="auto"/>
                <w:kern w:val="0"/>
                <w:sz w:val="24"/>
              </w:rPr>
              <w:t>日常安全生产管理制度中。</w:t>
            </w:r>
          </w:p>
          <w:p w14:paraId="6C91379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④制定严格的环保制度，所有人员必须遵守环保制度，加强设备运行状态监控，发现问题及时处理。</w:t>
            </w:r>
          </w:p>
          <w:p w14:paraId="14C63B0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对于重大或不可接受的风险，制定应急响应方案，建立应急反应体系，当事件发生时</w:t>
            </w:r>
            <w:r>
              <w:rPr>
                <w:rFonts w:hint="eastAsia" w:cs="Times New Roman"/>
                <w:color w:val="auto"/>
                <w:kern w:val="0"/>
                <w:sz w:val="24"/>
                <w:lang w:val="en-US" w:eastAsia="zh-CN"/>
              </w:rPr>
              <w:t>能够</w:t>
            </w:r>
            <w:r>
              <w:rPr>
                <w:rFonts w:hint="eastAsia" w:ascii="Times New Roman" w:hAnsi="Times New Roman" w:eastAsia="宋体" w:cs="Times New Roman"/>
                <w:color w:val="auto"/>
                <w:kern w:val="0"/>
                <w:sz w:val="24"/>
              </w:rPr>
              <w:t>迅速加以控制，使危害和损失降</w:t>
            </w:r>
            <w:r>
              <w:rPr>
                <w:rFonts w:hint="eastAsia" w:cs="Times New Roman"/>
                <w:color w:val="auto"/>
                <w:kern w:val="0"/>
                <w:sz w:val="24"/>
                <w:lang w:val="en-US" w:eastAsia="zh-CN"/>
              </w:rPr>
              <w:t>到最低</w:t>
            </w:r>
            <w:r>
              <w:rPr>
                <w:rFonts w:hint="eastAsia" w:ascii="Times New Roman" w:hAnsi="Times New Roman" w:eastAsia="宋体" w:cs="Times New Roman"/>
                <w:color w:val="auto"/>
                <w:kern w:val="0"/>
                <w:sz w:val="24"/>
              </w:rPr>
              <w:t>。</w:t>
            </w:r>
          </w:p>
          <w:p w14:paraId="3D8EFF08">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作为事故风险防范和应急对策的重要组成部分，应急组织机构应制定应急计划，其基本内容应包括应急组织、应急设施（设备器材）、</w:t>
            </w:r>
            <w:r>
              <w:rPr>
                <w:rFonts w:hint="eastAsia" w:ascii="Times New Roman" w:hAnsi="Times New Roman" w:eastAsia="宋体" w:cs="Times New Roman"/>
                <w:color w:val="auto"/>
                <w:kern w:val="0"/>
                <w:sz w:val="24"/>
                <w:lang w:eastAsia="zh-CN"/>
              </w:rPr>
              <w:t>应急通信</w:t>
            </w:r>
            <w:r>
              <w:rPr>
                <w:rFonts w:hint="eastAsia" w:ascii="Times New Roman" w:hAnsi="Times New Roman" w:eastAsia="宋体" w:cs="Times New Roman"/>
                <w:color w:val="auto"/>
                <w:kern w:val="0"/>
                <w:sz w:val="24"/>
              </w:rPr>
              <w:t>联络、应急监测、应急安全保卫、应急撤离措施、应急救援、应急状态终止、事故后果评价、应急报告等。</w:t>
            </w:r>
          </w:p>
          <w:p w14:paraId="248E020F">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w:t>
            </w:r>
            <w:r>
              <w:rPr>
                <w:rFonts w:hint="default" w:ascii="Times New Roman" w:hAnsi="Times New Roman" w:eastAsia="宋体" w:cs="Times New Roman"/>
                <w:color w:val="auto"/>
              </w:rPr>
              <w:t>-</w:t>
            </w:r>
            <w:r>
              <w:rPr>
                <w:rFonts w:hint="eastAsia" w:ascii="Times New Roman" w:hAnsi="Times New Roman" w:eastAsia="宋体" w:cs="Times New Roman"/>
                <w:color w:val="auto"/>
              </w:rPr>
              <w:t>1</w:t>
            </w:r>
            <w:r>
              <w:rPr>
                <w:rFonts w:hint="eastAsia" w:cs="Times New Roman"/>
                <w:color w:val="auto"/>
                <w:lang w:val="en-US" w:eastAsia="zh-CN"/>
              </w:rPr>
              <w:t>6</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本项目环境风险应急预案内容一览表</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40"/>
              <w:gridCol w:w="1419"/>
              <w:gridCol w:w="5784"/>
            </w:tblGrid>
            <w:tr w14:paraId="151189F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bottom w:val="single" w:color="auto" w:sz="12" w:space="0"/>
                  </w:tcBorders>
                  <w:vAlign w:val="center"/>
                </w:tcPr>
                <w:p w14:paraId="100FB55D">
                  <w:pPr>
                    <w:pStyle w:val="59"/>
                    <w:rPr>
                      <w:b/>
                      <w:bCs w:val="0"/>
                      <w:color w:val="auto"/>
                      <w:sz w:val="21"/>
                      <w:szCs w:val="21"/>
                    </w:rPr>
                  </w:pPr>
                  <w:r>
                    <w:rPr>
                      <w:rFonts w:hint="eastAsia"/>
                      <w:b/>
                      <w:bCs w:val="0"/>
                      <w:color w:val="auto"/>
                      <w:sz w:val="21"/>
                      <w:szCs w:val="21"/>
                    </w:rPr>
                    <w:t>序号</w:t>
                  </w:r>
                </w:p>
              </w:tc>
              <w:tc>
                <w:tcPr>
                  <w:tcW w:w="893" w:type="pct"/>
                  <w:tcBorders>
                    <w:bottom w:val="single" w:color="auto" w:sz="12" w:space="0"/>
                  </w:tcBorders>
                  <w:vAlign w:val="center"/>
                </w:tcPr>
                <w:p w14:paraId="13DA6C2D">
                  <w:pPr>
                    <w:pStyle w:val="59"/>
                    <w:rPr>
                      <w:b/>
                      <w:bCs w:val="0"/>
                      <w:color w:val="auto"/>
                      <w:sz w:val="21"/>
                      <w:szCs w:val="21"/>
                    </w:rPr>
                  </w:pPr>
                  <w:r>
                    <w:rPr>
                      <w:rFonts w:hint="eastAsia"/>
                      <w:b/>
                      <w:bCs w:val="0"/>
                      <w:color w:val="auto"/>
                      <w:sz w:val="21"/>
                      <w:szCs w:val="21"/>
                    </w:rPr>
                    <w:t>项目</w:t>
                  </w:r>
                </w:p>
              </w:tc>
              <w:tc>
                <w:tcPr>
                  <w:tcW w:w="3640" w:type="pct"/>
                  <w:tcBorders>
                    <w:bottom w:val="single" w:color="auto" w:sz="12" w:space="0"/>
                  </w:tcBorders>
                  <w:vAlign w:val="center"/>
                </w:tcPr>
                <w:p w14:paraId="5EA9CC8C">
                  <w:pPr>
                    <w:pStyle w:val="59"/>
                    <w:rPr>
                      <w:b/>
                      <w:bCs w:val="0"/>
                      <w:color w:val="auto"/>
                      <w:sz w:val="21"/>
                      <w:szCs w:val="21"/>
                    </w:rPr>
                  </w:pPr>
                  <w:r>
                    <w:rPr>
                      <w:rFonts w:hint="eastAsia"/>
                      <w:b/>
                      <w:bCs w:val="0"/>
                      <w:color w:val="auto"/>
                      <w:sz w:val="21"/>
                      <w:szCs w:val="21"/>
                    </w:rPr>
                    <w:t>主要内容</w:t>
                  </w:r>
                </w:p>
              </w:tc>
            </w:tr>
            <w:tr w14:paraId="4DEBA73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op w:val="single" w:color="auto" w:sz="12" w:space="0"/>
                    <w:tl2br w:val="nil"/>
                    <w:tr2bl w:val="nil"/>
                  </w:tcBorders>
                  <w:vAlign w:val="center"/>
                </w:tcPr>
                <w:p w14:paraId="5BD561F6">
                  <w:pPr>
                    <w:pStyle w:val="59"/>
                    <w:rPr>
                      <w:color w:val="auto"/>
                      <w:sz w:val="21"/>
                      <w:szCs w:val="21"/>
                    </w:rPr>
                  </w:pPr>
                  <w:r>
                    <w:rPr>
                      <w:rFonts w:hint="eastAsia"/>
                      <w:color w:val="auto"/>
                      <w:sz w:val="21"/>
                      <w:szCs w:val="21"/>
                    </w:rPr>
                    <w:t>1</w:t>
                  </w:r>
                </w:p>
              </w:tc>
              <w:tc>
                <w:tcPr>
                  <w:tcW w:w="893" w:type="pct"/>
                  <w:tcBorders>
                    <w:top w:val="single" w:color="auto" w:sz="12" w:space="0"/>
                    <w:tl2br w:val="nil"/>
                    <w:tr2bl w:val="nil"/>
                  </w:tcBorders>
                  <w:vAlign w:val="center"/>
                </w:tcPr>
                <w:p w14:paraId="64F766DF">
                  <w:pPr>
                    <w:pStyle w:val="59"/>
                    <w:jc w:val="both"/>
                    <w:rPr>
                      <w:color w:val="auto"/>
                      <w:sz w:val="21"/>
                      <w:szCs w:val="21"/>
                    </w:rPr>
                  </w:pPr>
                  <w:r>
                    <w:rPr>
                      <w:rFonts w:hint="eastAsia"/>
                      <w:color w:val="auto"/>
                      <w:sz w:val="21"/>
                      <w:szCs w:val="21"/>
                    </w:rPr>
                    <w:t>应急计划区</w:t>
                  </w:r>
                </w:p>
              </w:tc>
              <w:tc>
                <w:tcPr>
                  <w:tcW w:w="3640" w:type="pct"/>
                  <w:tcBorders>
                    <w:top w:val="single" w:color="auto" w:sz="12" w:space="0"/>
                    <w:tl2br w:val="nil"/>
                    <w:tr2bl w:val="nil"/>
                  </w:tcBorders>
                  <w:vAlign w:val="center"/>
                </w:tcPr>
                <w:p w14:paraId="4C276696">
                  <w:pPr>
                    <w:pStyle w:val="59"/>
                    <w:jc w:val="both"/>
                    <w:rPr>
                      <w:color w:val="auto"/>
                      <w:sz w:val="21"/>
                      <w:szCs w:val="21"/>
                    </w:rPr>
                  </w:pPr>
                  <w:r>
                    <w:rPr>
                      <w:rFonts w:hint="eastAsia"/>
                      <w:color w:val="auto"/>
                      <w:sz w:val="21"/>
                      <w:szCs w:val="21"/>
                    </w:rPr>
                    <w:t>主要危险源：生产车间、</w:t>
                  </w:r>
                  <w:r>
                    <w:rPr>
                      <w:rFonts w:hint="eastAsia"/>
                      <w:color w:val="auto"/>
                      <w:sz w:val="21"/>
                      <w:szCs w:val="21"/>
                      <w:lang w:val="en-US" w:eastAsia="zh-CN"/>
                    </w:rPr>
                    <w:t>贮</w:t>
                  </w:r>
                  <w:r>
                    <w:rPr>
                      <w:rFonts w:hint="eastAsia"/>
                      <w:color w:val="auto"/>
                      <w:sz w:val="21"/>
                      <w:szCs w:val="21"/>
                    </w:rPr>
                    <w:t>存区、相关环保设施等；环境保护目标</w:t>
                  </w:r>
                </w:p>
              </w:tc>
            </w:tr>
            <w:tr w14:paraId="1CC7838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4AD7E051">
                  <w:pPr>
                    <w:pStyle w:val="59"/>
                    <w:rPr>
                      <w:color w:val="auto"/>
                      <w:sz w:val="21"/>
                      <w:szCs w:val="21"/>
                    </w:rPr>
                  </w:pPr>
                  <w:r>
                    <w:rPr>
                      <w:rFonts w:hint="eastAsia"/>
                      <w:color w:val="auto"/>
                      <w:sz w:val="21"/>
                      <w:szCs w:val="21"/>
                    </w:rPr>
                    <w:t>2</w:t>
                  </w:r>
                </w:p>
              </w:tc>
              <w:tc>
                <w:tcPr>
                  <w:tcW w:w="893" w:type="pct"/>
                  <w:tcBorders>
                    <w:tl2br w:val="nil"/>
                    <w:tr2bl w:val="nil"/>
                  </w:tcBorders>
                  <w:vAlign w:val="center"/>
                </w:tcPr>
                <w:p w14:paraId="4C264A3E">
                  <w:pPr>
                    <w:pStyle w:val="59"/>
                    <w:jc w:val="both"/>
                    <w:rPr>
                      <w:color w:val="auto"/>
                      <w:sz w:val="21"/>
                      <w:szCs w:val="21"/>
                    </w:rPr>
                  </w:pPr>
                  <w:r>
                    <w:rPr>
                      <w:rFonts w:hint="eastAsia"/>
                      <w:color w:val="auto"/>
                      <w:sz w:val="21"/>
                      <w:szCs w:val="21"/>
                    </w:rPr>
                    <w:t>应急组织结构</w:t>
                  </w:r>
                </w:p>
              </w:tc>
              <w:tc>
                <w:tcPr>
                  <w:tcW w:w="3640" w:type="pct"/>
                  <w:tcBorders>
                    <w:tl2br w:val="nil"/>
                    <w:tr2bl w:val="nil"/>
                  </w:tcBorders>
                  <w:vAlign w:val="center"/>
                </w:tcPr>
                <w:p w14:paraId="0603A056">
                  <w:pPr>
                    <w:pStyle w:val="59"/>
                    <w:jc w:val="both"/>
                    <w:rPr>
                      <w:rFonts w:ascii="宋体" w:hAnsi="宋体" w:cs="宋体"/>
                      <w:color w:val="auto"/>
                      <w:kern w:val="0"/>
                      <w:sz w:val="21"/>
                      <w:szCs w:val="21"/>
                    </w:rPr>
                  </w:pPr>
                  <w:r>
                    <w:rPr>
                      <w:rFonts w:hint="eastAsia" w:ascii="宋体" w:hAnsi="宋体" w:cs="宋体"/>
                      <w:color w:val="auto"/>
                      <w:kern w:val="0"/>
                      <w:sz w:val="21"/>
                      <w:szCs w:val="21"/>
                    </w:rPr>
                    <w:t>公司设置应急组织机构，经理为应急计划、协调第一人，应急人员必须为培训上岗熟练工；区域应急组织结构由当地政府、相关行业专家、卫生安全相关单位组成，并由当地政府进行统一调度。</w:t>
                  </w:r>
                </w:p>
              </w:tc>
            </w:tr>
            <w:tr w14:paraId="3CCC34F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5B890AA3">
                  <w:pPr>
                    <w:pStyle w:val="59"/>
                    <w:rPr>
                      <w:color w:val="auto"/>
                      <w:sz w:val="21"/>
                      <w:szCs w:val="21"/>
                    </w:rPr>
                  </w:pPr>
                  <w:r>
                    <w:rPr>
                      <w:rFonts w:hint="eastAsia"/>
                      <w:color w:val="auto"/>
                      <w:sz w:val="21"/>
                      <w:szCs w:val="21"/>
                    </w:rPr>
                    <w:t>3</w:t>
                  </w:r>
                </w:p>
              </w:tc>
              <w:tc>
                <w:tcPr>
                  <w:tcW w:w="893" w:type="pct"/>
                  <w:tcBorders>
                    <w:tl2br w:val="nil"/>
                    <w:tr2bl w:val="nil"/>
                  </w:tcBorders>
                  <w:vAlign w:val="center"/>
                </w:tcPr>
                <w:p w14:paraId="21E11B74">
                  <w:pPr>
                    <w:pStyle w:val="59"/>
                    <w:jc w:val="both"/>
                    <w:rPr>
                      <w:color w:val="auto"/>
                      <w:sz w:val="21"/>
                      <w:szCs w:val="21"/>
                    </w:rPr>
                  </w:pPr>
                  <w:r>
                    <w:rPr>
                      <w:rFonts w:hint="eastAsia" w:ascii="宋体" w:hAnsi="宋体" w:cs="宋体"/>
                      <w:color w:val="auto"/>
                      <w:kern w:val="0"/>
                      <w:sz w:val="21"/>
                      <w:szCs w:val="21"/>
                    </w:rPr>
                    <w:t>预案分级响应条件</w:t>
                  </w:r>
                </w:p>
              </w:tc>
              <w:tc>
                <w:tcPr>
                  <w:tcW w:w="3640" w:type="pct"/>
                  <w:tcBorders>
                    <w:tl2br w:val="nil"/>
                    <w:tr2bl w:val="nil"/>
                  </w:tcBorders>
                  <w:vAlign w:val="center"/>
                </w:tcPr>
                <w:p w14:paraId="19793FFC">
                  <w:pPr>
                    <w:pStyle w:val="59"/>
                    <w:jc w:val="both"/>
                    <w:rPr>
                      <w:rFonts w:ascii="宋体" w:hAnsi="宋体" w:cs="宋体"/>
                      <w:color w:val="auto"/>
                      <w:kern w:val="0"/>
                      <w:sz w:val="21"/>
                      <w:szCs w:val="21"/>
                    </w:rPr>
                  </w:pPr>
                  <w:r>
                    <w:rPr>
                      <w:rFonts w:hint="eastAsia" w:ascii="宋体" w:hAnsi="宋体" w:cs="宋体"/>
                      <w:color w:val="auto"/>
                      <w:kern w:val="0"/>
                      <w:sz w:val="21"/>
                      <w:szCs w:val="21"/>
                    </w:rPr>
                    <w:t>根据事故的严重程度制定相应级别的应急预案，以及适合相应情况的处理措施。</w:t>
                  </w:r>
                </w:p>
              </w:tc>
            </w:tr>
            <w:tr w14:paraId="20ED66C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55B4071C">
                  <w:pPr>
                    <w:pStyle w:val="59"/>
                    <w:rPr>
                      <w:color w:val="auto"/>
                      <w:sz w:val="21"/>
                      <w:szCs w:val="21"/>
                    </w:rPr>
                  </w:pPr>
                  <w:r>
                    <w:rPr>
                      <w:rFonts w:hint="eastAsia"/>
                      <w:color w:val="auto"/>
                      <w:sz w:val="21"/>
                      <w:szCs w:val="21"/>
                    </w:rPr>
                    <w:t>4</w:t>
                  </w:r>
                </w:p>
              </w:tc>
              <w:tc>
                <w:tcPr>
                  <w:tcW w:w="893" w:type="pct"/>
                  <w:tcBorders>
                    <w:tl2br w:val="nil"/>
                    <w:tr2bl w:val="nil"/>
                  </w:tcBorders>
                  <w:vAlign w:val="center"/>
                </w:tcPr>
                <w:p w14:paraId="0440113A">
                  <w:pPr>
                    <w:pStyle w:val="59"/>
                    <w:jc w:val="both"/>
                    <w:rPr>
                      <w:color w:val="auto"/>
                      <w:sz w:val="21"/>
                      <w:szCs w:val="21"/>
                    </w:rPr>
                  </w:pPr>
                  <w:r>
                    <w:rPr>
                      <w:rFonts w:hint="eastAsia" w:ascii="宋体" w:hAnsi="宋体" w:cs="宋体"/>
                      <w:color w:val="auto"/>
                      <w:kern w:val="0"/>
                      <w:sz w:val="21"/>
                      <w:szCs w:val="21"/>
                    </w:rPr>
                    <w:t>报警、通讯联络方式</w:t>
                  </w:r>
                </w:p>
              </w:tc>
              <w:tc>
                <w:tcPr>
                  <w:tcW w:w="3640" w:type="pct"/>
                  <w:tcBorders>
                    <w:tl2br w:val="nil"/>
                    <w:tr2bl w:val="nil"/>
                  </w:tcBorders>
                  <w:vAlign w:val="center"/>
                </w:tcPr>
                <w:p w14:paraId="31A6231F">
                  <w:pPr>
                    <w:pStyle w:val="59"/>
                    <w:jc w:val="both"/>
                    <w:rPr>
                      <w:color w:val="auto"/>
                      <w:sz w:val="21"/>
                      <w:szCs w:val="21"/>
                    </w:rPr>
                  </w:pPr>
                  <w:r>
                    <w:rPr>
                      <w:rFonts w:hint="eastAsia" w:ascii="宋体" w:hAnsi="宋体" w:cs="宋体"/>
                      <w:color w:val="auto"/>
                      <w:kern w:val="0"/>
                      <w:sz w:val="21"/>
                      <w:szCs w:val="21"/>
                    </w:rPr>
                    <w:t>逐一细化应急状态下各主要负责部门的</w:t>
                  </w:r>
                  <w:r>
                    <w:rPr>
                      <w:rFonts w:hint="eastAsia" w:ascii="宋体" w:hAnsi="宋体" w:cs="宋体"/>
                      <w:color w:val="auto"/>
                      <w:kern w:val="0"/>
                      <w:sz w:val="21"/>
                      <w:szCs w:val="21"/>
                      <w:lang w:eastAsia="zh-CN"/>
                    </w:rPr>
                    <w:t>报警通信</w:t>
                  </w:r>
                  <w:r>
                    <w:rPr>
                      <w:rFonts w:hint="eastAsia" w:ascii="宋体" w:hAnsi="宋体" w:cs="宋体"/>
                      <w:color w:val="auto"/>
                      <w:kern w:val="0"/>
                      <w:sz w:val="21"/>
                      <w:szCs w:val="21"/>
                    </w:rPr>
                    <w:t>方式、地点、电话号码以及相关配套的交通保障、管制、消防联络方法，涉及跨区域的还应与相关区域环境保护部门和上级环保部门保持联系，及时通报事故处理情况，以获得区域性支援。</w:t>
                  </w:r>
                </w:p>
              </w:tc>
            </w:tr>
            <w:tr w14:paraId="3585B2A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58E9FD11">
                  <w:pPr>
                    <w:pStyle w:val="59"/>
                    <w:rPr>
                      <w:color w:val="auto"/>
                      <w:sz w:val="21"/>
                      <w:szCs w:val="21"/>
                    </w:rPr>
                  </w:pPr>
                  <w:r>
                    <w:rPr>
                      <w:rFonts w:hint="eastAsia"/>
                      <w:color w:val="auto"/>
                      <w:sz w:val="21"/>
                      <w:szCs w:val="21"/>
                    </w:rPr>
                    <w:t>5</w:t>
                  </w:r>
                </w:p>
              </w:tc>
              <w:tc>
                <w:tcPr>
                  <w:tcW w:w="893" w:type="pct"/>
                  <w:tcBorders>
                    <w:tl2br w:val="nil"/>
                    <w:tr2bl w:val="nil"/>
                  </w:tcBorders>
                  <w:vAlign w:val="center"/>
                </w:tcPr>
                <w:p w14:paraId="5F84691A">
                  <w:pPr>
                    <w:pStyle w:val="59"/>
                    <w:jc w:val="both"/>
                    <w:rPr>
                      <w:color w:val="auto"/>
                      <w:sz w:val="21"/>
                      <w:szCs w:val="21"/>
                    </w:rPr>
                  </w:pPr>
                  <w:r>
                    <w:rPr>
                      <w:rFonts w:hint="eastAsia"/>
                      <w:color w:val="auto"/>
                      <w:sz w:val="21"/>
                      <w:szCs w:val="21"/>
                    </w:rPr>
                    <w:t>应急环境监测</w:t>
                  </w:r>
                </w:p>
              </w:tc>
              <w:tc>
                <w:tcPr>
                  <w:tcW w:w="3640" w:type="pct"/>
                  <w:tcBorders>
                    <w:tl2br w:val="nil"/>
                    <w:tr2bl w:val="nil"/>
                  </w:tcBorders>
                  <w:vAlign w:val="center"/>
                </w:tcPr>
                <w:p w14:paraId="523BFEAA">
                  <w:pPr>
                    <w:pStyle w:val="59"/>
                    <w:jc w:val="both"/>
                    <w:rPr>
                      <w:color w:val="auto"/>
                      <w:sz w:val="21"/>
                      <w:szCs w:val="21"/>
                    </w:rPr>
                  </w:pPr>
                  <w:r>
                    <w:rPr>
                      <w:rFonts w:hint="eastAsia" w:ascii="宋体" w:hAnsi="宋体" w:cs="宋体"/>
                      <w:color w:val="auto"/>
                      <w:kern w:val="0"/>
                      <w:sz w:val="21"/>
                      <w:szCs w:val="21"/>
                    </w:rPr>
                    <w:t>组织专业队伍负责对事故现场进行侦察监测，对事故性质、参数与后果进行评估，专为指挥部门提供决策依据。</w:t>
                  </w:r>
                </w:p>
              </w:tc>
            </w:tr>
            <w:tr w14:paraId="6AB6C8A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2ADFE3F9">
                  <w:pPr>
                    <w:pStyle w:val="59"/>
                    <w:rPr>
                      <w:rFonts w:hint="eastAsia" w:eastAsia="宋体"/>
                      <w:color w:val="auto"/>
                      <w:sz w:val="21"/>
                      <w:szCs w:val="21"/>
                      <w:lang w:val="en-US" w:eastAsia="zh-CN"/>
                    </w:rPr>
                  </w:pPr>
                  <w:r>
                    <w:rPr>
                      <w:rFonts w:hint="eastAsia"/>
                      <w:color w:val="auto"/>
                      <w:sz w:val="21"/>
                      <w:szCs w:val="21"/>
                      <w:lang w:val="en-US" w:eastAsia="zh-CN"/>
                    </w:rPr>
                    <w:t>6</w:t>
                  </w:r>
                </w:p>
              </w:tc>
              <w:tc>
                <w:tcPr>
                  <w:tcW w:w="893" w:type="pct"/>
                  <w:tcBorders>
                    <w:tl2br w:val="nil"/>
                    <w:tr2bl w:val="nil"/>
                  </w:tcBorders>
                  <w:vAlign w:val="center"/>
                </w:tcPr>
                <w:p w14:paraId="561221ED">
                  <w:pPr>
                    <w:pStyle w:val="59"/>
                    <w:jc w:val="both"/>
                    <w:rPr>
                      <w:color w:val="auto"/>
                      <w:sz w:val="21"/>
                      <w:szCs w:val="21"/>
                    </w:rPr>
                  </w:pPr>
                  <w:r>
                    <w:rPr>
                      <w:rFonts w:hint="eastAsia" w:ascii="宋体" w:hAnsi="宋体" w:cs="宋体"/>
                      <w:color w:val="auto"/>
                      <w:kern w:val="0"/>
                      <w:sz w:val="21"/>
                      <w:szCs w:val="21"/>
                    </w:rPr>
                    <w:t>抢险、救援控制措施</w:t>
                  </w:r>
                </w:p>
              </w:tc>
              <w:tc>
                <w:tcPr>
                  <w:tcW w:w="3640" w:type="pct"/>
                  <w:tcBorders>
                    <w:tl2br w:val="nil"/>
                    <w:tr2bl w:val="nil"/>
                  </w:tcBorders>
                  <w:vAlign w:val="center"/>
                </w:tcPr>
                <w:p w14:paraId="6177E22D">
                  <w:pPr>
                    <w:pStyle w:val="59"/>
                    <w:jc w:val="both"/>
                    <w:rPr>
                      <w:color w:val="auto"/>
                      <w:sz w:val="21"/>
                      <w:szCs w:val="21"/>
                    </w:rPr>
                  </w:pPr>
                  <w:r>
                    <w:rPr>
                      <w:rFonts w:hint="eastAsia" w:ascii="宋体" w:hAnsi="宋体" w:cs="宋体"/>
                      <w:color w:val="auto"/>
                      <w:kern w:val="0"/>
                      <w:sz w:val="21"/>
                      <w:szCs w:val="21"/>
                    </w:rPr>
                    <w:t>严格规定事故多发区、事故现场、邻近区域、控制防火区域设置控制和清除污染措施及相应设备的数量、使用方法、使用人员。</w:t>
                  </w:r>
                </w:p>
              </w:tc>
            </w:tr>
            <w:tr w14:paraId="79D4AFC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2C30101E">
                  <w:pPr>
                    <w:pStyle w:val="59"/>
                    <w:rPr>
                      <w:rFonts w:hint="eastAsia" w:eastAsia="宋体"/>
                      <w:color w:val="auto"/>
                      <w:sz w:val="21"/>
                      <w:szCs w:val="21"/>
                      <w:lang w:val="en-US" w:eastAsia="zh-CN"/>
                    </w:rPr>
                  </w:pPr>
                  <w:r>
                    <w:rPr>
                      <w:rFonts w:hint="eastAsia"/>
                      <w:color w:val="auto"/>
                      <w:sz w:val="21"/>
                      <w:szCs w:val="21"/>
                      <w:lang w:val="en-US" w:eastAsia="zh-CN"/>
                    </w:rPr>
                    <w:t>7</w:t>
                  </w:r>
                </w:p>
              </w:tc>
              <w:tc>
                <w:tcPr>
                  <w:tcW w:w="893" w:type="pct"/>
                  <w:tcBorders>
                    <w:tl2br w:val="nil"/>
                    <w:tr2bl w:val="nil"/>
                  </w:tcBorders>
                  <w:vAlign w:val="center"/>
                </w:tcPr>
                <w:p w14:paraId="2FBDE54A">
                  <w:pPr>
                    <w:pStyle w:val="59"/>
                    <w:jc w:val="both"/>
                    <w:rPr>
                      <w:rFonts w:ascii="宋体" w:hAnsi="宋体" w:cs="宋体"/>
                      <w:color w:val="auto"/>
                      <w:kern w:val="0"/>
                      <w:sz w:val="21"/>
                      <w:szCs w:val="21"/>
                    </w:rPr>
                  </w:pPr>
                  <w:r>
                    <w:rPr>
                      <w:rFonts w:hint="eastAsia" w:ascii="宋体" w:hAnsi="宋体" w:cs="宋体"/>
                      <w:color w:val="auto"/>
                      <w:kern w:val="0"/>
                      <w:sz w:val="21"/>
                      <w:szCs w:val="21"/>
                    </w:rPr>
                    <w:t>人员紧急撤</w:t>
                  </w:r>
                </w:p>
                <w:p w14:paraId="185304CF">
                  <w:pPr>
                    <w:pStyle w:val="59"/>
                    <w:jc w:val="both"/>
                    <w:rPr>
                      <w:color w:val="auto"/>
                      <w:sz w:val="21"/>
                      <w:szCs w:val="21"/>
                    </w:rPr>
                  </w:pPr>
                  <w:r>
                    <w:rPr>
                      <w:rFonts w:hint="eastAsia" w:ascii="宋体" w:hAnsi="宋体" w:cs="宋体"/>
                      <w:color w:val="auto"/>
                      <w:kern w:val="0"/>
                      <w:sz w:val="21"/>
                      <w:szCs w:val="21"/>
                    </w:rPr>
                    <w:t>离、疏散计划</w:t>
                  </w:r>
                </w:p>
              </w:tc>
              <w:tc>
                <w:tcPr>
                  <w:tcW w:w="3640" w:type="pct"/>
                  <w:tcBorders>
                    <w:tl2br w:val="nil"/>
                    <w:tr2bl w:val="nil"/>
                  </w:tcBorders>
                  <w:vAlign w:val="center"/>
                </w:tcPr>
                <w:p w14:paraId="30A09062">
                  <w:pPr>
                    <w:pStyle w:val="59"/>
                    <w:jc w:val="both"/>
                    <w:rPr>
                      <w:color w:val="auto"/>
                      <w:sz w:val="21"/>
                      <w:szCs w:val="21"/>
                    </w:rPr>
                  </w:pPr>
                  <w:r>
                    <w:rPr>
                      <w:rFonts w:hint="eastAsia" w:ascii="宋体" w:hAnsi="宋体" w:cs="宋体"/>
                      <w:color w:val="auto"/>
                      <w:kern w:val="0"/>
                      <w:sz w:val="21"/>
                      <w:szCs w:val="21"/>
                    </w:rPr>
                    <w:t>事故现场、工厂邻近区、受事故影响的区域人员及公众对有毒有害物质应急剂量控制规定，制定紧急撤离组织计划和救护，医疗救护与公众健康。</w:t>
                  </w:r>
                </w:p>
              </w:tc>
            </w:tr>
            <w:tr w14:paraId="71763CA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6E35D240">
                  <w:pPr>
                    <w:pStyle w:val="59"/>
                    <w:rPr>
                      <w:rFonts w:hint="eastAsia" w:eastAsia="宋体"/>
                      <w:color w:val="auto"/>
                      <w:sz w:val="21"/>
                      <w:szCs w:val="21"/>
                      <w:lang w:val="en-US" w:eastAsia="zh-CN"/>
                    </w:rPr>
                  </w:pPr>
                  <w:r>
                    <w:rPr>
                      <w:rFonts w:hint="eastAsia"/>
                      <w:color w:val="auto"/>
                      <w:sz w:val="21"/>
                      <w:szCs w:val="21"/>
                      <w:lang w:val="en-US" w:eastAsia="zh-CN"/>
                    </w:rPr>
                    <w:t>8</w:t>
                  </w:r>
                </w:p>
              </w:tc>
              <w:tc>
                <w:tcPr>
                  <w:tcW w:w="893" w:type="pct"/>
                  <w:tcBorders>
                    <w:tl2br w:val="nil"/>
                    <w:tr2bl w:val="nil"/>
                  </w:tcBorders>
                  <w:vAlign w:val="center"/>
                </w:tcPr>
                <w:p w14:paraId="3D61FDC1">
                  <w:pPr>
                    <w:pStyle w:val="59"/>
                    <w:jc w:val="both"/>
                    <w:rPr>
                      <w:color w:val="auto"/>
                      <w:sz w:val="21"/>
                      <w:szCs w:val="21"/>
                    </w:rPr>
                  </w:pPr>
                  <w:r>
                    <w:rPr>
                      <w:rFonts w:hint="eastAsia" w:ascii="宋体" w:hAnsi="宋体" w:cs="宋体"/>
                      <w:color w:val="auto"/>
                      <w:kern w:val="0"/>
                      <w:sz w:val="21"/>
                      <w:szCs w:val="21"/>
                    </w:rPr>
                    <w:t>事故应急救援关闭程序</w:t>
                  </w:r>
                </w:p>
              </w:tc>
              <w:tc>
                <w:tcPr>
                  <w:tcW w:w="3640" w:type="pct"/>
                  <w:tcBorders>
                    <w:tl2br w:val="nil"/>
                    <w:tr2bl w:val="nil"/>
                  </w:tcBorders>
                  <w:vAlign w:val="center"/>
                </w:tcPr>
                <w:p w14:paraId="709839CE">
                  <w:pPr>
                    <w:pStyle w:val="59"/>
                    <w:jc w:val="both"/>
                    <w:rPr>
                      <w:color w:val="auto"/>
                      <w:sz w:val="21"/>
                      <w:szCs w:val="21"/>
                    </w:rPr>
                  </w:pPr>
                  <w:r>
                    <w:rPr>
                      <w:rFonts w:hint="eastAsia" w:ascii="宋体" w:hAnsi="宋体" w:cs="宋体"/>
                      <w:color w:val="auto"/>
                      <w:kern w:val="0"/>
                      <w:sz w:val="21"/>
                      <w:szCs w:val="21"/>
                    </w:rPr>
                    <w:t>制定相关应急状态终止程序，事故现场、受影响范围内的善后处理、恢复措施，邻近区域解除事故警戒及善后恢复措施。</w:t>
                  </w:r>
                </w:p>
              </w:tc>
            </w:tr>
            <w:tr w14:paraId="0D3D3E2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3268DB3F">
                  <w:pPr>
                    <w:pStyle w:val="59"/>
                    <w:rPr>
                      <w:rFonts w:hint="eastAsia" w:eastAsia="宋体"/>
                      <w:color w:val="auto"/>
                      <w:sz w:val="21"/>
                      <w:szCs w:val="21"/>
                      <w:lang w:val="en-US" w:eastAsia="zh-CN"/>
                    </w:rPr>
                  </w:pPr>
                  <w:r>
                    <w:rPr>
                      <w:rFonts w:hint="eastAsia"/>
                      <w:color w:val="auto"/>
                      <w:sz w:val="21"/>
                      <w:szCs w:val="21"/>
                      <w:lang w:val="en-US" w:eastAsia="zh-CN"/>
                    </w:rPr>
                    <w:t>9</w:t>
                  </w:r>
                </w:p>
              </w:tc>
              <w:tc>
                <w:tcPr>
                  <w:tcW w:w="893" w:type="pct"/>
                  <w:tcBorders>
                    <w:tl2br w:val="nil"/>
                    <w:tr2bl w:val="nil"/>
                  </w:tcBorders>
                  <w:vAlign w:val="center"/>
                </w:tcPr>
                <w:p w14:paraId="5961A2CF">
                  <w:pPr>
                    <w:pStyle w:val="59"/>
                    <w:jc w:val="both"/>
                    <w:rPr>
                      <w:color w:val="auto"/>
                      <w:sz w:val="21"/>
                      <w:szCs w:val="21"/>
                    </w:rPr>
                  </w:pPr>
                  <w:r>
                    <w:rPr>
                      <w:rFonts w:hint="eastAsia"/>
                      <w:color w:val="auto"/>
                      <w:sz w:val="21"/>
                      <w:szCs w:val="21"/>
                    </w:rPr>
                    <w:t>事故恢复措施</w:t>
                  </w:r>
                </w:p>
              </w:tc>
              <w:tc>
                <w:tcPr>
                  <w:tcW w:w="3640" w:type="pct"/>
                  <w:tcBorders>
                    <w:tl2br w:val="nil"/>
                    <w:tr2bl w:val="nil"/>
                  </w:tcBorders>
                  <w:vAlign w:val="center"/>
                </w:tcPr>
                <w:p w14:paraId="588CC70E">
                  <w:pPr>
                    <w:pStyle w:val="59"/>
                    <w:jc w:val="both"/>
                    <w:rPr>
                      <w:color w:val="auto"/>
                      <w:sz w:val="21"/>
                      <w:szCs w:val="21"/>
                    </w:rPr>
                  </w:pPr>
                  <w:r>
                    <w:rPr>
                      <w:rFonts w:hint="eastAsia" w:ascii="宋体" w:hAnsi="宋体" w:cs="宋体"/>
                      <w:color w:val="auto"/>
                      <w:kern w:val="0"/>
                      <w:sz w:val="21"/>
                      <w:szCs w:val="21"/>
                    </w:rPr>
                    <w:t>制定有关的环境恢复措施，组织专业人员对事故后的环境变化进行监测，对事故应急措施的环境可行性进行后影响评价。</w:t>
                  </w:r>
                </w:p>
              </w:tc>
            </w:tr>
            <w:tr w14:paraId="4D64E95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7E5D4FF1">
                  <w:pPr>
                    <w:pStyle w:val="59"/>
                    <w:rPr>
                      <w:rFonts w:hint="default" w:eastAsia="宋体"/>
                      <w:color w:val="auto"/>
                      <w:sz w:val="21"/>
                      <w:szCs w:val="21"/>
                      <w:lang w:val="en-US" w:eastAsia="zh-CN"/>
                    </w:rPr>
                  </w:pPr>
                  <w:r>
                    <w:rPr>
                      <w:rFonts w:hint="eastAsia"/>
                      <w:color w:val="auto"/>
                      <w:sz w:val="21"/>
                      <w:szCs w:val="21"/>
                      <w:lang w:val="en-US" w:eastAsia="zh-CN"/>
                    </w:rPr>
                    <w:t>10</w:t>
                  </w:r>
                </w:p>
              </w:tc>
              <w:tc>
                <w:tcPr>
                  <w:tcW w:w="893" w:type="pct"/>
                  <w:tcBorders>
                    <w:tl2br w:val="nil"/>
                    <w:tr2bl w:val="nil"/>
                  </w:tcBorders>
                  <w:vAlign w:val="center"/>
                </w:tcPr>
                <w:p w14:paraId="695677FC">
                  <w:pPr>
                    <w:pStyle w:val="59"/>
                    <w:jc w:val="both"/>
                    <w:rPr>
                      <w:color w:val="auto"/>
                      <w:sz w:val="21"/>
                      <w:szCs w:val="21"/>
                    </w:rPr>
                  </w:pPr>
                  <w:r>
                    <w:rPr>
                      <w:rFonts w:hint="eastAsia"/>
                      <w:color w:val="auto"/>
                      <w:sz w:val="21"/>
                      <w:szCs w:val="21"/>
                    </w:rPr>
                    <w:t>应急培训计划</w:t>
                  </w:r>
                </w:p>
              </w:tc>
              <w:tc>
                <w:tcPr>
                  <w:tcW w:w="3640" w:type="pct"/>
                  <w:tcBorders>
                    <w:tl2br w:val="nil"/>
                    <w:tr2bl w:val="nil"/>
                  </w:tcBorders>
                  <w:vAlign w:val="center"/>
                </w:tcPr>
                <w:p w14:paraId="652AC5EA">
                  <w:pPr>
                    <w:pStyle w:val="59"/>
                    <w:jc w:val="both"/>
                    <w:rPr>
                      <w:color w:val="auto"/>
                      <w:sz w:val="21"/>
                      <w:szCs w:val="21"/>
                    </w:rPr>
                  </w:pPr>
                  <w:r>
                    <w:rPr>
                      <w:rFonts w:hint="eastAsia"/>
                      <w:color w:val="auto"/>
                      <w:sz w:val="21"/>
                      <w:szCs w:val="21"/>
                    </w:rPr>
                    <w:t>定期安排有关人员进行培训与演练。</w:t>
                  </w:r>
                </w:p>
              </w:tc>
            </w:tr>
            <w:tr w14:paraId="4295CBC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66" w:type="pct"/>
                  <w:tcBorders>
                    <w:tl2br w:val="nil"/>
                    <w:tr2bl w:val="nil"/>
                  </w:tcBorders>
                  <w:vAlign w:val="center"/>
                </w:tcPr>
                <w:p w14:paraId="3E207B31">
                  <w:pPr>
                    <w:pStyle w:val="59"/>
                    <w:rPr>
                      <w:rFonts w:hint="eastAsia" w:eastAsia="宋体"/>
                      <w:color w:val="auto"/>
                      <w:sz w:val="21"/>
                      <w:szCs w:val="21"/>
                      <w:lang w:val="en-US" w:eastAsia="zh-CN"/>
                    </w:rPr>
                  </w:pPr>
                  <w:r>
                    <w:rPr>
                      <w:rFonts w:hint="eastAsia"/>
                      <w:color w:val="auto"/>
                      <w:sz w:val="21"/>
                      <w:szCs w:val="21"/>
                    </w:rPr>
                    <w:t>1</w:t>
                  </w:r>
                  <w:r>
                    <w:rPr>
                      <w:rFonts w:hint="eastAsia"/>
                      <w:color w:val="auto"/>
                      <w:sz w:val="21"/>
                      <w:szCs w:val="21"/>
                      <w:lang w:val="en-US" w:eastAsia="zh-CN"/>
                    </w:rPr>
                    <w:t>1</w:t>
                  </w:r>
                </w:p>
              </w:tc>
              <w:tc>
                <w:tcPr>
                  <w:tcW w:w="893" w:type="pct"/>
                  <w:tcBorders>
                    <w:tl2br w:val="nil"/>
                    <w:tr2bl w:val="nil"/>
                  </w:tcBorders>
                  <w:vAlign w:val="center"/>
                </w:tcPr>
                <w:p w14:paraId="30A3E1F8">
                  <w:pPr>
                    <w:pStyle w:val="59"/>
                    <w:jc w:val="both"/>
                    <w:rPr>
                      <w:color w:val="auto"/>
                      <w:sz w:val="21"/>
                      <w:szCs w:val="21"/>
                    </w:rPr>
                  </w:pPr>
                  <w:r>
                    <w:rPr>
                      <w:rFonts w:hint="eastAsia"/>
                      <w:color w:val="auto"/>
                      <w:sz w:val="21"/>
                      <w:szCs w:val="21"/>
                    </w:rPr>
                    <w:t>公众教育和信息</w:t>
                  </w:r>
                </w:p>
              </w:tc>
              <w:tc>
                <w:tcPr>
                  <w:tcW w:w="3640" w:type="pct"/>
                  <w:tcBorders>
                    <w:tl2br w:val="nil"/>
                    <w:tr2bl w:val="nil"/>
                  </w:tcBorders>
                  <w:vAlign w:val="center"/>
                </w:tcPr>
                <w:p w14:paraId="68C5DB93">
                  <w:pPr>
                    <w:pStyle w:val="59"/>
                    <w:jc w:val="both"/>
                    <w:rPr>
                      <w:color w:val="auto"/>
                      <w:sz w:val="21"/>
                      <w:szCs w:val="21"/>
                    </w:rPr>
                  </w:pPr>
                  <w:r>
                    <w:rPr>
                      <w:rFonts w:hint="eastAsia"/>
                      <w:color w:val="auto"/>
                      <w:sz w:val="21"/>
                      <w:szCs w:val="21"/>
                    </w:rPr>
                    <w:t>对工厂邻近地区开展公众教育、培训和发布有关信息。</w:t>
                  </w:r>
                </w:p>
              </w:tc>
            </w:tr>
          </w:tbl>
          <w:p w14:paraId="79951982">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7.4环境风险影响分析结论</w:t>
            </w:r>
          </w:p>
          <w:p w14:paraId="2519AEA2">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w:t>
            </w:r>
            <w:r>
              <w:rPr>
                <w:rFonts w:hint="eastAsia" w:ascii="Times New Roman" w:hAnsi="Times New Roman" w:eastAsia="宋体" w:cs="Times New Roman"/>
                <w:color w:val="auto"/>
                <w:kern w:val="0"/>
                <w:sz w:val="24"/>
              </w:rPr>
              <w:t>未构成</w:t>
            </w:r>
            <w:r>
              <w:rPr>
                <w:rFonts w:ascii="Times New Roman" w:hAnsi="Times New Roman" w:eastAsia="宋体" w:cs="Times New Roman"/>
                <w:color w:val="auto"/>
                <w:kern w:val="0"/>
                <w:sz w:val="24"/>
              </w:rPr>
              <w:t>重大危险源，在经过安全防范措施后能够基本杜绝风险事故发生，经认真贯彻预案中的应急措施，可将风险降至</w:t>
            </w:r>
            <w:r>
              <w:rPr>
                <w:rFonts w:hint="eastAsia" w:cs="Times New Roman"/>
                <w:color w:val="auto"/>
                <w:kern w:val="0"/>
                <w:sz w:val="24"/>
                <w:lang w:val="en-US" w:eastAsia="zh-CN"/>
              </w:rPr>
              <w:t>可</w:t>
            </w:r>
            <w:r>
              <w:rPr>
                <w:rFonts w:ascii="Times New Roman" w:hAnsi="Times New Roman" w:eastAsia="宋体" w:cs="Times New Roman"/>
                <w:color w:val="auto"/>
                <w:kern w:val="0"/>
                <w:sz w:val="24"/>
              </w:rPr>
              <w:t>接受水平内，故本项目的环境风险是可接受的。</w:t>
            </w:r>
          </w:p>
          <w:p w14:paraId="52EBBE8F">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rPr>
              <w:t>表4-1</w:t>
            </w:r>
            <w:r>
              <w:rPr>
                <w:rFonts w:hint="eastAsia" w:cs="Times New Roman"/>
                <w:color w:val="auto"/>
                <w:lang w:val="en-US" w:eastAsia="zh-CN"/>
              </w:rPr>
              <w:t>7</w:t>
            </w:r>
            <w:r>
              <w:rPr>
                <w:rFonts w:hint="eastAsia" w:ascii="Times New Roman" w:hAnsi="Times New Roman" w:eastAsia="宋体" w:cs="Times New Roman"/>
                <w:color w:val="auto"/>
              </w:rPr>
              <w:t xml:space="preserve">    建设项目环境风险简单分析内容表</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162"/>
              <w:gridCol w:w="648"/>
              <w:gridCol w:w="2170"/>
              <w:gridCol w:w="734"/>
              <w:gridCol w:w="2229"/>
            </w:tblGrid>
            <w:tr w14:paraId="62829FD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60" w:type="pct"/>
                  <w:tcBorders>
                    <w:bottom w:val="single" w:color="auto" w:sz="12" w:space="0"/>
                  </w:tcBorders>
                  <w:vAlign w:val="center"/>
                </w:tcPr>
                <w:p w14:paraId="3DD03931">
                  <w:pPr>
                    <w:jc w:val="center"/>
                    <w:rPr>
                      <w:color w:val="auto"/>
                      <w:sz w:val="21"/>
                      <w:szCs w:val="21"/>
                    </w:rPr>
                  </w:pPr>
                  <w:r>
                    <w:rPr>
                      <w:color w:val="auto"/>
                      <w:sz w:val="21"/>
                      <w:szCs w:val="21"/>
                    </w:rPr>
                    <w:t>建设项目名称</w:t>
                  </w:r>
                </w:p>
              </w:tc>
              <w:tc>
                <w:tcPr>
                  <w:tcW w:w="3639" w:type="pct"/>
                  <w:gridSpan w:val="4"/>
                  <w:tcBorders>
                    <w:bottom w:val="single" w:color="auto" w:sz="12" w:space="0"/>
                  </w:tcBorders>
                  <w:vAlign w:val="center"/>
                </w:tcPr>
                <w:p w14:paraId="75737383">
                  <w:pPr>
                    <w:jc w:val="center"/>
                    <w:rPr>
                      <w:rFonts w:hint="default" w:eastAsia="宋体"/>
                      <w:color w:val="auto"/>
                      <w:sz w:val="21"/>
                      <w:szCs w:val="21"/>
                      <w:lang w:val="en-US" w:eastAsia="zh-CN"/>
                    </w:rPr>
                  </w:pPr>
                  <w:r>
                    <w:rPr>
                      <w:rFonts w:hint="eastAsia"/>
                      <w:color w:val="auto"/>
                      <w:sz w:val="21"/>
                      <w:szCs w:val="21"/>
                    </w:rPr>
                    <w:t>木垒黑走马混凝土有限责任公司</w:t>
                  </w:r>
                  <w:r>
                    <w:rPr>
                      <w:rFonts w:hint="eastAsia"/>
                      <w:color w:val="auto"/>
                      <w:sz w:val="21"/>
                      <w:szCs w:val="21"/>
                      <w:lang w:val="en-US" w:eastAsia="zh-CN"/>
                    </w:rPr>
                    <w:t>大石头风电场商砼项目</w:t>
                  </w:r>
                </w:p>
              </w:tc>
            </w:tr>
            <w:tr w14:paraId="299DA35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60" w:type="pct"/>
                  <w:tcBorders>
                    <w:top w:val="single" w:color="auto" w:sz="12" w:space="0"/>
                    <w:tl2br w:val="nil"/>
                    <w:tr2bl w:val="nil"/>
                  </w:tcBorders>
                  <w:vAlign w:val="center"/>
                </w:tcPr>
                <w:p w14:paraId="2F9F2B7E">
                  <w:pPr>
                    <w:jc w:val="center"/>
                    <w:rPr>
                      <w:color w:val="auto"/>
                      <w:sz w:val="21"/>
                      <w:szCs w:val="21"/>
                    </w:rPr>
                  </w:pPr>
                  <w:r>
                    <w:rPr>
                      <w:color w:val="auto"/>
                      <w:sz w:val="21"/>
                      <w:szCs w:val="21"/>
                    </w:rPr>
                    <w:t>建设地点</w:t>
                  </w:r>
                </w:p>
              </w:tc>
              <w:tc>
                <w:tcPr>
                  <w:tcW w:w="3639" w:type="pct"/>
                  <w:gridSpan w:val="4"/>
                  <w:tcBorders>
                    <w:top w:val="single" w:color="auto" w:sz="12" w:space="0"/>
                    <w:tl2br w:val="nil"/>
                    <w:tr2bl w:val="nil"/>
                  </w:tcBorders>
                  <w:vAlign w:val="center"/>
                </w:tcPr>
                <w:p w14:paraId="2C498222">
                  <w:pPr>
                    <w:jc w:val="center"/>
                    <w:rPr>
                      <w:rFonts w:hint="default"/>
                      <w:color w:val="auto"/>
                      <w:sz w:val="21"/>
                      <w:szCs w:val="21"/>
                      <w:lang w:val="en-US"/>
                    </w:rPr>
                  </w:pPr>
                  <w:r>
                    <w:rPr>
                      <w:color w:val="auto"/>
                      <w:sz w:val="21"/>
                      <w:szCs w:val="21"/>
                    </w:rPr>
                    <w:t>新疆</w:t>
                  </w:r>
                  <w:r>
                    <w:rPr>
                      <w:rFonts w:hint="eastAsia"/>
                      <w:color w:val="auto"/>
                      <w:sz w:val="21"/>
                      <w:szCs w:val="21"/>
                    </w:rPr>
                    <w:t>维吾尔自治区昌吉回族自治州木垒县</w:t>
                  </w:r>
                  <w:r>
                    <w:rPr>
                      <w:rFonts w:hint="eastAsia"/>
                      <w:color w:val="auto"/>
                      <w:sz w:val="21"/>
                      <w:szCs w:val="21"/>
                      <w:lang w:val="en-US" w:eastAsia="zh-CN"/>
                    </w:rPr>
                    <w:t>大石头风电场</w:t>
                  </w:r>
                </w:p>
              </w:tc>
            </w:tr>
            <w:tr w14:paraId="669A6DD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60" w:type="pct"/>
                  <w:tcBorders>
                    <w:tl2br w:val="nil"/>
                    <w:tr2bl w:val="nil"/>
                  </w:tcBorders>
                  <w:vAlign w:val="center"/>
                </w:tcPr>
                <w:p w14:paraId="52747E35">
                  <w:pPr>
                    <w:jc w:val="center"/>
                    <w:rPr>
                      <w:color w:val="auto"/>
                      <w:sz w:val="21"/>
                      <w:szCs w:val="21"/>
                    </w:rPr>
                  </w:pPr>
                  <w:r>
                    <w:rPr>
                      <w:color w:val="auto"/>
                      <w:sz w:val="21"/>
                      <w:szCs w:val="21"/>
                    </w:rPr>
                    <w:t>地理坐标</w:t>
                  </w:r>
                </w:p>
              </w:tc>
              <w:tc>
                <w:tcPr>
                  <w:tcW w:w="407" w:type="pct"/>
                  <w:tcBorders>
                    <w:tl2br w:val="nil"/>
                    <w:tr2bl w:val="nil"/>
                  </w:tcBorders>
                  <w:vAlign w:val="center"/>
                </w:tcPr>
                <w:p w14:paraId="18539EE8">
                  <w:pPr>
                    <w:jc w:val="center"/>
                    <w:rPr>
                      <w:color w:val="auto"/>
                      <w:sz w:val="21"/>
                      <w:szCs w:val="21"/>
                    </w:rPr>
                  </w:pPr>
                  <w:r>
                    <w:rPr>
                      <w:color w:val="auto"/>
                      <w:sz w:val="21"/>
                      <w:szCs w:val="21"/>
                    </w:rPr>
                    <w:t>经度</w:t>
                  </w:r>
                </w:p>
              </w:tc>
              <w:tc>
                <w:tcPr>
                  <w:tcW w:w="1365" w:type="pct"/>
                  <w:tcBorders>
                    <w:tl2br w:val="nil"/>
                    <w:tr2bl w:val="nil"/>
                  </w:tcBorders>
                  <w:vAlign w:val="center"/>
                </w:tcPr>
                <w:p w14:paraId="1CE93178">
                  <w:pPr>
                    <w:jc w:val="center"/>
                    <w:rPr>
                      <w:color w:val="auto"/>
                      <w:sz w:val="21"/>
                      <w:szCs w:val="21"/>
                    </w:rPr>
                  </w:pPr>
                  <w:r>
                    <w:rPr>
                      <w:rFonts w:hint="eastAsia"/>
                      <w:color w:val="auto"/>
                      <w:sz w:val="21"/>
                      <w:szCs w:val="21"/>
                      <w:lang w:val="en-US" w:eastAsia="zh-CN"/>
                    </w:rPr>
                    <w:t>东经</w:t>
                  </w:r>
                  <w:r>
                    <w:rPr>
                      <w:color w:val="auto"/>
                      <w:sz w:val="21"/>
                      <w:szCs w:val="21"/>
                    </w:rPr>
                    <w:t>9</w:t>
                  </w:r>
                  <w:r>
                    <w:rPr>
                      <w:rFonts w:hint="eastAsia"/>
                      <w:color w:val="auto"/>
                      <w:sz w:val="21"/>
                      <w:szCs w:val="21"/>
                      <w:lang w:val="en-US" w:eastAsia="zh-CN"/>
                    </w:rPr>
                    <w:t>1</w:t>
                  </w:r>
                  <w:r>
                    <w:rPr>
                      <w:color w:val="auto"/>
                      <w:sz w:val="21"/>
                      <w:szCs w:val="21"/>
                    </w:rPr>
                    <w:t>度</w:t>
                  </w:r>
                  <w:r>
                    <w:rPr>
                      <w:rFonts w:hint="eastAsia"/>
                      <w:color w:val="auto"/>
                      <w:sz w:val="21"/>
                      <w:szCs w:val="21"/>
                      <w:lang w:val="en-US" w:eastAsia="zh-CN"/>
                    </w:rPr>
                    <w:t>05</w:t>
                  </w:r>
                  <w:r>
                    <w:rPr>
                      <w:color w:val="auto"/>
                      <w:sz w:val="21"/>
                      <w:szCs w:val="21"/>
                    </w:rPr>
                    <w:t>分</w:t>
                  </w:r>
                  <w:r>
                    <w:rPr>
                      <w:rFonts w:hint="eastAsia"/>
                      <w:color w:val="auto"/>
                      <w:sz w:val="21"/>
                      <w:szCs w:val="21"/>
                      <w:lang w:val="en-US" w:eastAsia="zh-CN"/>
                    </w:rPr>
                    <w:t>18.361</w:t>
                  </w:r>
                  <w:r>
                    <w:rPr>
                      <w:color w:val="auto"/>
                      <w:sz w:val="21"/>
                      <w:szCs w:val="21"/>
                    </w:rPr>
                    <w:t>秒</w:t>
                  </w:r>
                </w:p>
              </w:tc>
              <w:tc>
                <w:tcPr>
                  <w:tcW w:w="462" w:type="pct"/>
                  <w:tcBorders>
                    <w:tl2br w:val="nil"/>
                    <w:tr2bl w:val="nil"/>
                  </w:tcBorders>
                  <w:vAlign w:val="center"/>
                </w:tcPr>
                <w:p w14:paraId="27E1DFFC">
                  <w:pPr>
                    <w:jc w:val="center"/>
                    <w:rPr>
                      <w:color w:val="auto"/>
                      <w:sz w:val="21"/>
                      <w:szCs w:val="21"/>
                    </w:rPr>
                  </w:pPr>
                  <w:r>
                    <w:rPr>
                      <w:color w:val="auto"/>
                      <w:sz w:val="21"/>
                      <w:szCs w:val="21"/>
                    </w:rPr>
                    <w:t>纬度</w:t>
                  </w:r>
                </w:p>
              </w:tc>
              <w:tc>
                <w:tcPr>
                  <w:tcW w:w="1403" w:type="pct"/>
                  <w:tcBorders>
                    <w:tl2br w:val="nil"/>
                    <w:tr2bl w:val="nil"/>
                  </w:tcBorders>
                  <w:vAlign w:val="center"/>
                </w:tcPr>
                <w:p w14:paraId="443350EB">
                  <w:pPr>
                    <w:jc w:val="center"/>
                    <w:rPr>
                      <w:color w:val="auto"/>
                      <w:sz w:val="21"/>
                      <w:szCs w:val="21"/>
                    </w:rPr>
                  </w:pPr>
                  <w:r>
                    <w:rPr>
                      <w:rFonts w:hint="eastAsia"/>
                      <w:color w:val="auto"/>
                      <w:sz w:val="21"/>
                      <w:szCs w:val="21"/>
                      <w:lang w:val="en-US" w:eastAsia="zh-CN"/>
                    </w:rPr>
                    <w:t>北纬</w:t>
                  </w:r>
                  <w:r>
                    <w:rPr>
                      <w:color w:val="auto"/>
                      <w:sz w:val="21"/>
                      <w:szCs w:val="21"/>
                    </w:rPr>
                    <w:t>4</w:t>
                  </w:r>
                  <w:r>
                    <w:rPr>
                      <w:rFonts w:hint="eastAsia"/>
                      <w:color w:val="auto"/>
                      <w:sz w:val="21"/>
                      <w:szCs w:val="21"/>
                      <w:lang w:val="en-US" w:eastAsia="zh-CN"/>
                    </w:rPr>
                    <w:t>3</w:t>
                  </w:r>
                  <w:r>
                    <w:rPr>
                      <w:color w:val="auto"/>
                      <w:sz w:val="21"/>
                      <w:szCs w:val="21"/>
                    </w:rPr>
                    <w:t>度</w:t>
                  </w:r>
                  <w:r>
                    <w:rPr>
                      <w:rFonts w:hint="eastAsia"/>
                      <w:color w:val="auto"/>
                      <w:sz w:val="21"/>
                      <w:szCs w:val="21"/>
                      <w:lang w:val="en-US" w:eastAsia="zh-CN"/>
                    </w:rPr>
                    <w:t>45</w:t>
                  </w:r>
                  <w:r>
                    <w:rPr>
                      <w:color w:val="auto"/>
                      <w:sz w:val="21"/>
                      <w:szCs w:val="21"/>
                    </w:rPr>
                    <w:t>分</w:t>
                  </w:r>
                  <w:r>
                    <w:rPr>
                      <w:rFonts w:hint="eastAsia"/>
                      <w:color w:val="auto"/>
                      <w:sz w:val="21"/>
                      <w:szCs w:val="21"/>
                      <w:lang w:val="en-US" w:eastAsia="zh-CN"/>
                    </w:rPr>
                    <w:t>29.060</w:t>
                  </w:r>
                  <w:r>
                    <w:rPr>
                      <w:color w:val="auto"/>
                      <w:sz w:val="21"/>
                      <w:szCs w:val="21"/>
                    </w:rPr>
                    <w:t>秒</w:t>
                  </w:r>
                </w:p>
              </w:tc>
            </w:tr>
            <w:tr w14:paraId="1A0D425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1360" w:type="pct"/>
                  <w:tcBorders>
                    <w:tl2br w:val="nil"/>
                    <w:tr2bl w:val="nil"/>
                  </w:tcBorders>
                  <w:vAlign w:val="center"/>
                </w:tcPr>
                <w:p w14:paraId="2EA71516">
                  <w:pPr>
                    <w:jc w:val="center"/>
                    <w:rPr>
                      <w:color w:val="auto"/>
                      <w:sz w:val="21"/>
                      <w:szCs w:val="21"/>
                    </w:rPr>
                  </w:pPr>
                  <w:r>
                    <w:rPr>
                      <w:color w:val="auto"/>
                      <w:sz w:val="21"/>
                      <w:szCs w:val="21"/>
                    </w:rPr>
                    <w:t>主要危险物质及分布</w:t>
                  </w:r>
                </w:p>
              </w:tc>
              <w:tc>
                <w:tcPr>
                  <w:tcW w:w="3639" w:type="pct"/>
                  <w:gridSpan w:val="4"/>
                  <w:tcBorders>
                    <w:tl2br w:val="nil"/>
                    <w:tr2bl w:val="nil"/>
                  </w:tcBorders>
                  <w:vAlign w:val="center"/>
                </w:tcPr>
                <w:p w14:paraId="46D9909B">
                  <w:pPr>
                    <w:pStyle w:val="59"/>
                    <w:rPr>
                      <w:rFonts w:hint="default" w:eastAsia="宋体"/>
                      <w:color w:val="auto"/>
                      <w:sz w:val="21"/>
                      <w:szCs w:val="21"/>
                      <w:lang w:val="en-US" w:eastAsia="zh-CN"/>
                    </w:rPr>
                  </w:pPr>
                  <w:r>
                    <w:rPr>
                      <w:rFonts w:hint="eastAsia"/>
                      <w:color w:val="auto"/>
                      <w:sz w:val="21"/>
                      <w:szCs w:val="21"/>
                      <w:lang w:val="en-US" w:eastAsia="zh-CN"/>
                    </w:rPr>
                    <w:t>废机油，放置于危废暂存间</w:t>
                  </w:r>
                </w:p>
              </w:tc>
            </w:tr>
            <w:tr w14:paraId="2E1F16B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60" w:type="pct"/>
                  <w:tcBorders>
                    <w:tl2br w:val="nil"/>
                    <w:tr2bl w:val="nil"/>
                  </w:tcBorders>
                  <w:vAlign w:val="center"/>
                </w:tcPr>
                <w:p w14:paraId="0F2E8809">
                  <w:pPr>
                    <w:jc w:val="center"/>
                    <w:rPr>
                      <w:color w:val="auto"/>
                      <w:sz w:val="21"/>
                      <w:szCs w:val="21"/>
                    </w:rPr>
                  </w:pPr>
                  <w:r>
                    <w:rPr>
                      <w:color w:val="auto"/>
                      <w:sz w:val="21"/>
                      <w:szCs w:val="21"/>
                    </w:rPr>
                    <w:t>环境影响途径及危害后果（大气、地表水、地下水等）</w:t>
                  </w:r>
                </w:p>
              </w:tc>
              <w:tc>
                <w:tcPr>
                  <w:tcW w:w="3639" w:type="pct"/>
                  <w:gridSpan w:val="4"/>
                  <w:tcBorders>
                    <w:tl2br w:val="nil"/>
                    <w:tr2bl w:val="nil"/>
                  </w:tcBorders>
                  <w:vAlign w:val="center"/>
                </w:tcPr>
                <w:p w14:paraId="2503DD52">
                  <w:pPr>
                    <w:rPr>
                      <w:color w:val="auto"/>
                      <w:sz w:val="21"/>
                      <w:szCs w:val="21"/>
                    </w:rPr>
                  </w:pPr>
                  <w:r>
                    <w:rPr>
                      <w:color w:val="auto"/>
                      <w:sz w:val="21"/>
                      <w:szCs w:val="21"/>
                    </w:rPr>
                    <w:t>大气途径：</w:t>
                  </w:r>
                  <w:r>
                    <w:rPr>
                      <w:rFonts w:hint="eastAsia"/>
                      <w:color w:val="auto"/>
                      <w:sz w:val="21"/>
                      <w:szCs w:val="21"/>
                    </w:rPr>
                    <w:t>废气排放</w:t>
                  </w:r>
                </w:p>
                <w:p w14:paraId="1F5308D4">
                  <w:pPr>
                    <w:rPr>
                      <w:color w:val="auto"/>
                      <w:sz w:val="21"/>
                      <w:szCs w:val="21"/>
                    </w:rPr>
                  </w:pPr>
                  <w:r>
                    <w:rPr>
                      <w:color w:val="auto"/>
                      <w:sz w:val="21"/>
                      <w:szCs w:val="21"/>
                    </w:rPr>
                    <w:t>地表水途径：</w:t>
                  </w:r>
                  <w:r>
                    <w:rPr>
                      <w:rFonts w:hint="eastAsia"/>
                      <w:color w:val="auto"/>
                      <w:sz w:val="21"/>
                      <w:szCs w:val="21"/>
                    </w:rPr>
                    <w:t>无</w:t>
                  </w:r>
                  <w:r>
                    <w:rPr>
                      <w:color w:val="auto"/>
                      <w:sz w:val="21"/>
                      <w:szCs w:val="21"/>
                    </w:rPr>
                    <w:t>；</w:t>
                  </w:r>
                </w:p>
                <w:p w14:paraId="73996EF4">
                  <w:pPr>
                    <w:rPr>
                      <w:color w:val="auto"/>
                      <w:sz w:val="21"/>
                      <w:szCs w:val="21"/>
                    </w:rPr>
                  </w:pPr>
                  <w:r>
                    <w:rPr>
                      <w:color w:val="auto"/>
                      <w:sz w:val="21"/>
                      <w:szCs w:val="21"/>
                    </w:rPr>
                    <w:t>地下水途径：</w:t>
                  </w:r>
                  <w:r>
                    <w:rPr>
                      <w:rFonts w:hint="eastAsia"/>
                      <w:color w:val="auto"/>
                      <w:sz w:val="21"/>
                      <w:szCs w:val="21"/>
                    </w:rPr>
                    <w:t>无</w:t>
                  </w:r>
                  <w:r>
                    <w:rPr>
                      <w:color w:val="auto"/>
                      <w:sz w:val="21"/>
                      <w:szCs w:val="21"/>
                    </w:rPr>
                    <w:t>；</w:t>
                  </w:r>
                </w:p>
                <w:p w14:paraId="47A446C2">
                  <w:pPr>
                    <w:rPr>
                      <w:rFonts w:hint="default" w:eastAsia="宋体"/>
                      <w:lang w:val="en-US" w:eastAsia="zh-CN"/>
                    </w:rPr>
                  </w:pPr>
                  <w:r>
                    <w:rPr>
                      <w:rFonts w:hint="eastAsia"/>
                      <w:color w:val="auto"/>
                      <w:sz w:val="21"/>
                      <w:szCs w:val="21"/>
                    </w:rPr>
                    <w:t>土壤途径：无；</w:t>
                  </w:r>
                </w:p>
              </w:tc>
            </w:tr>
            <w:tr w14:paraId="77519E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360" w:type="pct"/>
                  <w:tcBorders>
                    <w:tl2br w:val="nil"/>
                    <w:tr2bl w:val="nil"/>
                  </w:tcBorders>
                  <w:vAlign w:val="center"/>
                </w:tcPr>
                <w:p w14:paraId="754786CD">
                  <w:pPr>
                    <w:jc w:val="center"/>
                    <w:rPr>
                      <w:color w:val="auto"/>
                      <w:sz w:val="21"/>
                      <w:szCs w:val="21"/>
                    </w:rPr>
                  </w:pPr>
                  <w:r>
                    <w:rPr>
                      <w:color w:val="auto"/>
                      <w:sz w:val="21"/>
                      <w:szCs w:val="21"/>
                    </w:rPr>
                    <w:t>风险防范措施要求</w:t>
                  </w:r>
                </w:p>
              </w:tc>
              <w:tc>
                <w:tcPr>
                  <w:tcW w:w="3639" w:type="pct"/>
                  <w:gridSpan w:val="4"/>
                  <w:tcBorders>
                    <w:tl2br w:val="nil"/>
                    <w:tr2bl w:val="nil"/>
                  </w:tcBorders>
                  <w:vAlign w:val="center"/>
                </w:tcPr>
                <w:p w14:paraId="742245F0">
                  <w:pPr>
                    <w:rPr>
                      <w:rFonts w:hint="eastAsia"/>
                      <w:color w:val="auto"/>
                      <w:sz w:val="21"/>
                      <w:szCs w:val="21"/>
                      <w:lang w:val="en-US" w:eastAsia="zh-CN"/>
                    </w:rPr>
                  </w:pPr>
                  <w:r>
                    <w:rPr>
                      <w:rFonts w:hint="eastAsia"/>
                      <w:color w:val="auto"/>
                      <w:sz w:val="21"/>
                      <w:szCs w:val="21"/>
                      <w:lang w:val="en-US" w:eastAsia="zh-CN"/>
                    </w:rPr>
                    <w:t>对除尘器组件定期维护</w:t>
                  </w:r>
                </w:p>
                <w:p w14:paraId="24DDC65C">
                  <w:pPr>
                    <w:rPr>
                      <w:rFonts w:hint="eastAsia"/>
                      <w:color w:val="auto"/>
                      <w:sz w:val="21"/>
                      <w:szCs w:val="21"/>
                      <w:lang w:val="en-US" w:eastAsia="zh-CN"/>
                    </w:rPr>
                  </w:pPr>
                  <w:r>
                    <w:rPr>
                      <w:rFonts w:hint="eastAsia"/>
                      <w:color w:val="auto"/>
                      <w:sz w:val="21"/>
                      <w:szCs w:val="21"/>
                      <w:lang w:val="en-US" w:eastAsia="zh-CN"/>
                    </w:rPr>
                    <w:t>安排专人管理环保</w:t>
                  </w:r>
                </w:p>
                <w:p w14:paraId="160AB7E0">
                  <w:pPr>
                    <w:rPr>
                      <w:rFonts w:hint="eastAsia"/>
                      <w:color w:val="auto"/>
                      <w:sz w:val="21"/>
                      <w:szCs w:val="21"/>
                      <w:lang w:val="en-US" w:eastAsia="zh-CN"/>
                    </w:rPr>
                  </w:pPr>
                  <w:r>
                    <w:rPr>
                      <w:rFonts w:hint="eastAsia"/>
                      <w:color w:val="auto"/>
                      <w:sz w:val="21"/>
                      <w:szCs w:val="21"/>
                      <w:lang w:val="en-US" w:eastAsia="zh-CN"/>
                    </w:rPr>
                    <w:t>厂区内设置报警仪</w:t>
                  </w:r>
                </w:p>
                <w:p w14:paraId="431DA02C">
                  <w:pPr>
                    <w:rPr>
                      <w:rFonts w:hint="default"/>
                      <w:lang w:val="en-US" w:eastAsia="zh-CN"/>
                    </w:rPr>
                  </w:pPr>
                  <w:r>
                    <w:rPr>
                      <w:rFonts w:hint="eastAsia"/>
                      <w:color w:val="auto"/>
                      <w:sz w:val="21"/>
                      <w:szCs w:val="21"/>
                      <w:lang w:val="en-US" w:eastAsia="zh-CN"/>
                    </w:rPr>
                    <w:t>制定严格的环保制度</w:t>
                  </w:r>
                </w:p>
              </w:tc>
            </w:tr>
            <w:tr w14:paraId="3DD59AC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000" w:type="pct"/>
                  <w:gridSpan w:val="5"/>
                  <w:tcBorders>
                    <w:tl2br w:val="nil"/>
                    <w:tr2bl w:val="nil"/>
                  </w:tcBorders>
                  <w:vAlign w:val="center"/>
                </w:tcPr>
                <w:p w14:paraId="435341D6">
                  <w:pPr>
                    <w:rPr>
                      <w:color w:val="auto"/>
                      <w:sz w:val="21"/>
                      <w:szCs w:val="21"/>
                    </w:rPr>
                  </w:pPr>
                  <w:r>
                    <w:rPr>
                      <w:color w:val="auto"/>
                      <w:sz w:val="21"/>
                      <w:szCs w:val="21"/>
                    </w:rPr>
                    <w:t>填表说明（列出项目相关信息及评价说明）：</w:t>
                  </w:r>
                </w:p>
                <w:p w14:paraId="2211FA3E">
                  <w:pPr>
                    <w:rPr>
                      <w:color w:val="auto"/>
                      <w:sz w:val="21"/>
                      <w:szCs w:val="21"/>
                    </w:rPr>
                  </w:pPr>
                  <w:r>
                    <w:rPr>
                      <w:color w:val="auto"/>
                      <w:sz w:val="21"/>
                      <w:szCs w:val="21"/>
                    </w:rPr>
                    <w:t>本项目风险评价根据《建设项目环境风险评价技术导则》（HJ169-2018）进行分析。</w:t>
                  </w:r>
                  <w:r>
                    <w:rPr>
                      <w:rFonts w:hint="eastAsia"/>
                      <w:color w:val="auto"/>
                      <w:sz w:val="21"/>
                      <w:szCs w:val="21"/>
                    </w:rPr>
                    <w:t>本项目</w:t>
                  </w:r>
                  <w:r>
                    <w:rPr>
                      <w:color w:val="auto"/>
                      <w:sz w:val="21"/>
                      <w:szCs w:val="21"/>
                    </w:rPr>
                    <w:t>环境风险潜势为</w:t>
                  </w:r>
                  <w:r>
                    <w:rPr>
                      <w:rFonts w:eastAsia="仿宋"/>
                      <w:color w:val="auto"/>
                      <w:sz w:val="21"/>
                      <w:szCs w:val="21"/>
                    </w:rPr>
                    <w:t>Ⅰ</w:t>
                  </w:r>
                  <w:r>
                    <w:rPr>
                      <w:color w:val="auto"/>
                      <w:sz w:val="21"/>
                      <w:szCs w:val="21"/>
                    </w:rPr>
                    <w:t>，评价等级为简单分析。在落实了环评提出的风险防范措施后，环境风险可控，不会对周围环境造成较大风险。</w:t>
                  </w:r>
                </w:p>
              </w:tc>
            </w:tr>
          </w:tbl>
          <w:p w14:paraId="2574B0CE">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bCs/>
                <w:color w:val="auto"/>
                <w:sz w:val="24"/>
                <w:lang w:eastAsia="zh-CN"/>
              </w:rPr>
            </w:pPr>
            <w:r>
              <w:rPr>
                <w:rFonts w:hint="eastAsia" w:ascii="Times New Roman" w:hAnsi="Times New Roman" w:eastAsia="宋体" w:cs="Times New Roman"/>
                <w:b/>
                <w:bCs/>
                <w:color w:val="auto"/>
                <w:kern w:val="2"/>
                <w:sz w:val="24"/>
                <w:szCs w:val="24"/>
                <w:lang w:val="en-US" w:eastAsia="zh-CN" w:bidi="ar-SA"/>
              </w:rPr>
              <w:t>9.</w:t>
            </w:r>
            <w:r>
              <w:rPr>
                <w:rFonts w:hint="eastAsia" w:ascii="Times New Roman" w:hAnsi="Times New Roman" w:eastAsia="宋体" w:cs="Times New Roman"/>
                <w:b/>
                <w:bCs/>
                <w:color w:val="auto"/>
                <w:sz w:val="24"/>
                <w:lang w:eastAsia="zh-CN"/>
              </w:rPr>
              <w:t>环境管理</w:t>
            </w:r>
          </w:p>
          <w:p w14:paraId="08FA7A5F">
            <w:pPr>
              <w:pStyle w:val="23"/>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cs="Times New Roman"/>
                <w:b/>
                <w:bCs/>
                <w:color w:val="auto"/>
                <w:sz w:val="24"/>
                <w:lang w:val="en-US" w:eastAsia="zh-CN"/>
              </w:rPr>
            </w:pPr>
            <w:r>
              <w:rPr>
                <w:rFonts w:hint="default" w:ascii="Times New Roman" w:hAnsi="Times New Roman" w:eastAsia="宋体" w:cs="Times New Roman"/>
                <w:b/>
                <w:bCs/>
                <w:color w:val="auto"/>
                <w:kern w:val="2"/>
                <w:sz w:val="24"/>
                <w:szCs w:val="24"/>
                <w:lang w:val="en-US" w:eastAsia="zh-CN" w:bidi="ar-SA"/>
              </w:rPr>
              <w:t>9.1</w:t>
            </w:r>
            <w:r>
              <w:rPr>
                <w:rFonts w:hint="eastAsia" w:cs="Times New Roman"/>
                <w:b/>
                <w:bCs/>
                <w:color w:val="auto"/>
                <w:sz w:val="24"/>
                <w:lang w:val="en-US" w:eastAsia="zh-CN"/>
              </w:rPr>
              <w:t>环境管理台账记录要求</w:t>
            </w:r>
          </w:p>
          <w:p w14:paraId="21649311">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 xml:space="preserve">（1）一般原则 </w:t>
            </w:r>
          </w:p>
          <w:p w14:paraId="37AE8F35">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排污单位应建立环境管理台账记录制度，落实环境管理台账记录的责任部门和责任人，明确工作职责，包括台账的记录、整理、维护和管理等，并对台账记录结果的真实性、完整性和规范性负责。</w:t>
            </w:r>
          </w:p>
          <w:p w14:paraId="100DF83D">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环境管理台账分为电子台账和纸质台账两种形式。</w:t>
            </w:r>
          </w:p>
          <w:p w14:paraId="35BDCAB8">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排污单位可在满足本标准要求的基础上根据实际情况自行制定记录格式，或参照资料性附录C样表格式，其中记录频次和内容须满足排污许可证环境管理要求。</w:t>
            </w:r>
          </w:p>
          <w:p w14:paraId="68B92C48">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（2）记录内容</w:t>
            </w:r>
          </w:p>
          <w:p w14:paraId="550B8AD3">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highlight w:val="none"/>
                <w:lang w:val="en-US" w:eastAsia="zh-CN"/>
              </w:rPr>
            </w:pPr>
            <w:r>
              <w:rPr>
                <w:rFonts w:hint="default" w:cs="Times New Roman"/>
                <w:b w:val="0"/>
                <w:bCs w:val="0"/>
                <w:color w:val="auto"/>
                <w:sz w:val="24"/>
                <w:highlight w:val="none"/>
                <w:lang w:val="en-US" w:eastAsia="zh-CN"/>
              </w:rPr>
              <w:t xml:space="preserve">包括污染治理设施运行管理信息和监测记录信息，参照资料性附录 C。污染治理设施、排放口编码应与排污许可证副本中载明的编码一致。 </w:t>
            </w:r>
          </w:p>
          <w:p w14:paraId="594D78FE">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 xml:space="preserve">①污染治理设施运行管理信息 </w:t>
            </w:r>
          </w:p>
          <w:p w14:paraId="68C5FD6E">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排污单位应记录废气及废水治理设施、固体废物产生及处理处置运行管理信息。</w:t>
            </w:r>
          </w:p>
          <w:p w14:paraId="3842B33B">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 xml:space="preserve">废气治理设施：应按照废气治理设施类别分别记录设施的实际运行相关 参数和维护记录，包括设施名称、编码、运行参数、运行状态等。 </w:t>
            </w:r>
          </w:p>
          <w:p w14:paraId="7B351467">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废水处理设施：包括设施名称、编码、主要参数、废水产生情况、废水排放情况、药剂名称及使用量、投加时间、运行状态等。</w:t>
            </w:r>
          </w:p>
          <w:p w14:paraId="239FDD76">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固体废物产生及处理处置：记录固体废物名称、类别、产生及预处理情况、综合利用量、处理处置量等。</w:t>
            </w:r>
          </w:p>
          <w:p w14:paraId="56250AC0">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异常情况说明包括：事件原因、是否报告、应对措施等。</w:t>
            </w:r>
          </w:p>
          <w:p w14:paraId="6E78806B">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②监测记录信息</w:t>
            </w:r>
          </w:p>
          <w:p w14:paraId="76C47365">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排污单位应建立污染治理设施运行管理监测记录，记录、台账的形式和质量控制参照HJ/T 373、HJ 819等相关要求执行。</w:t>
            </w:r>
          </w:p>
          <w:p w14:paraId="4574954A">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监测记录包括有组织废气污染物监测、无组织废气污染物监测、废水污染物监测。监测记录信息应包括采样时间、监测时间、监测结果、监测期间工况、若有超标记录超标原因。</w:t>
            </w:r>
          </w:p>
          <w:p w14:paraId="75F4165D">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 xml:space="preserve">（3）记录频次 </w:t>
            </w:r>
          </w:p>
          <w:p w14:paraId="3707B081">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①污染治理设施运行管理信息</w:t>
            </w:r>
          </w:p>
          <w:p w14:paraId="32ED649B">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a）正常情况：污染治理设施运行状况，按照污染治理设施管理单位班制记录，每班记录1次。</w:t>
            </w:r>
          </w:p>
          <w:p w14:paraId="431D643F">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b）异常情况：按照异常情况期记录，1次/异常情况期。</w:t>
            </w:r>
          </w:p>
          <w:p w14:paraId="2E7D0F33">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 xml:space="preserve">②监测记录信息 </w:t>
            </w:r>
          </w:p>
          <w:p w14:paraId="422B9F26">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 xml:space="preserve">监测数据的记录频次与本标准规定的废气、废水监测频次一致。 </w:t>
            </w:r>
          </w:p>
          <w:p w14:paraId="014918BF">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 xml:space="preserve">（4）记录存储及保存 </w:t>
            </w:r>
          </w:p>
          <w:p w14:paraId="4B5B8BF8">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 xml:space="preserve">①纸质存储 </w:t>
            </w:r>
          </w:p>
          <w:p w14:paraId="0DB1E1EE">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应将纸质台账存放于保护袋、卷夹或保护盒等保存介质中；由专人签字、定点保存；应采取防光、防热、防潮、防细菌及防污染等措施；如有破损应及时修补，并留存备查。</w:t>
            </w:r>
          </w:p>
          <w:p w14:paraId="0C08DA29">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 xml:space="preserve">②电子化存储 </w:t>
            </w:r>
          </w:p>
          <w:p w14:paraId="55FB6176">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cs="Times New Roman"/>
                <w:b w:val="0"/>
                <w:bCs w:val="0"/>
                <w:color w:val="auto"/>
                <w:sz w:val="24"/>
                <w:lang w:val="en-US" w:eastAsia="zh-CN"/>
              </w:rPr>
            </w:pPr>
            <w:r>
              <w:rPr>
                <w:rFonts w:hint="default" w:cs="Times New Roman"/>
                <w:b w:val="0"/>
                <w:bCs w:val="0"/>
                <w:color w:val="auto"/>
                <w:sz w:val="24"/>
                <w:lang w:val="en-US" w:eastAsia="zh-CN"/>
              </w:rPr>
              <w:t>应存放于电子存储介质中，并进行数据备份；可在排污许可管理信息平台填报并保存；由专人定期维护管理。</w:t>
            </w:r>
          </w:p>
          <w:p w14:paraId="4975FCE1">
            <w:pPr>
              <w:pStyle w:val="2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kern w:val="2"/>
                <w:sz w:val="24"/>
                <w:szCs w:val="24"/>
                <w:lang w:val="en-US" w:eastAsia="zh-CN" w:bidi="ar-SA"/>
              </w:rPr>
              <w:t>10.</w:t>
            </w:r>
            <w:r>
              <w:rPr>
                <w:rFonts w:hint="eastAsia" w:ascii="Times New Roman" w:hAnsi="Times New Roman" w:eastAsia="宋体" w:cs="Times New Roman"/>
                <w:b/>
                <w:bCs/>
                <w:color w:val="auto"/>
                <w:sz w:val="24"/>
              </w:rPr>
              <w:t>环保投资</w:t>
            </w:r>
          </w:p>
          <w:p w14:paraId="5403CE9E">
            <w:pPr>
              <w:pStyle w:val="3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本项目总投资</w:t>
            </w:r>
            <w:r>
              <w:rPr>
                <w:rFonts w:hint="eastAsia" w:ascii="Times New Roman" w:hAnsi="Times New Roman" w:cs="Times New Roman"/>
                <w:b w:val="0"/>
                <w:bCs/>
                <w:color w:val="auto"/>
                <w:kern w:val="0"/>
                <w:sz w:val="24"/>
                <w:szCs w:val="24"/>
                <w:lang w:val="en-US" w:eastAsia="zh-CN" w:bidi="ar-SA"/>
              </w:rPr>
              <w:t>5</w:t>
            </w:r>
            <w:r>
              <w:rPr>
                <w:rFonts w:hint="default" w:ascii="Times New Roman" w:hAnsi="Times New Roman" w:eastAsia="宋体" w:cs="Times New Roman"/>
                <w:b w:val="0"/>
                <w:bCs/>
                <w:color w:val="auto"/>
                <w:kern w:val="0"/>
                <w:sz w:val="24"/>
                <w:szCs w:val="24"/>
                <w:lang w:val="en-US" w:eastAsia="zh-CN" w:bidi="ar-SA"/>
              </w:rPr>
              <w:t>00万元，其中环保投资</w:t>
            </w:r>
            <w:r>
              <w:rPr>
                <w:rFonts w:hint="eastAsia" w:ascii="Times New Roman" w:hAnsi="Times New Roman" w:cs="Times New Roman"/>
                <w:b w:val="0"/>
                <w:bCs/>
                <w:color w:val="auto"/>
                <w:kern w:val="0"/>
                <w:sz w:val="24"/>
                <w:szCs w:val="24"/>
                <w:lang w:val="en-US" w:eastAsia="zh-CN" w:bidi="ar-SA"/>
              </w:rPr>
              <w:t>76.46</w:t>
            </w:r>
            <w:r>
              <w:rPr>
                <w:rFonts w:hint="default" w:ascii="Times New Roman" w:hAnsi="Times New Roman" w:eastAsia="宋体" w:cs="Times New Roman"/>
                <w:b w:val="0"/>
                <w:bCs/>
                <w:color w:val="auto"/>
                <w:kern w:val="0"/>
                <w:sz w:val="24"/>
                <w:szCs w:val="24"/>
                <w:lang w:val="en-US" w:eastAsia="zh-CN" w:bidi="ar-SA"/>
              </w:rPr>
              <w:t>万元，占总投资比例为</w:t>
            </w:r>
            <w:r>
              <w:rPr>
                <w:rFonts w:hint="eastAsia" w:ascii="Times New Roman" w:hAnsi="Times New Roman" w:cs="Times New Roman"/>
                <w:b w:val="0"/>
                <w:bCs/>
                <w:color w:val="auto"/>
                <w:kern w:val="0"/>
                <w:sz w:val="24"/>
                <w:szCs w:val="24"/>
                <w:lang w:val="en-US" w:eastAsia="zh-CN" w:bidi="ar-SA"/>
              </w:rPr>
              <w:t>15.29</w:t>
            </w:r>
            <w:r>
              <w:rPr>
                <w:rFonts w:hint="default" w:ascii="Times New Roman" w:hAnsi="Times New Roman" w:eastAsia="宋体" w:cs="Times New Roman"/>
                <w:b w:val="0"/>
                <w:bCs/>
                <w:color w:val="auto"/>
                <w:kern w:val="0"/>
                <w:sz w:val="24"/>
                <w:szCs w:val="24"/>
                <w:highlight w:val="none"/>
                <w:lang w:val="en-US" w:eastAsia="zh-CN" w:bidi="ar-SA"/>
              </w:rPr>
              <w:t>%</w:t>
            </w:r>
            <w:r>
              <w:rPr>
                <w:rFonts w:hint="default" w:ascii="Times New Roman" w:hAnsi="Times New Roman" w:eastAsia="宋体" w:cs="Times New Roman"/>
                <w:b w:val="0"/>
                <w:bCs/>
                <w:color w:val="auto"/>
                <w:kern w:val="0"/>
                <w:sz w:val="24"/>
                <w:szCs w:val="24"/>
                <w:lang w:val="en-US" w:eastAsia="zh-CN" w:bidi="ar-SA"/>
              </w:rPr>
              <w:t>，环保投资明细见表4-1</w:t>
            </w:r>
            <w:r>
              <w:rPr>
                <w:rFonts w:hint="eastAsia" w:ascii="Times New Roman" w:hAnsi="Times New Roman" w:cs="Times New Roman"/>
                <w:b w:val="0"/>
                <w:bCs/>
                <w:color w:val="auto"/>
                <w:kern w:val="0"/>
                <w:sz w:val="24"/>
                <w:szCs w:val="24"/>
                <w:lang w:val="en-US" w:eastAsia="zh-CN" w:bidi="ar-SA"/>
              </w:rPr>
              <w:t>8</w:t>
            </w:r>
            <w:r>
              <w:rPr>
                <w:rFonts w:hint="default" w:ascii="Times New Roman" w:hAnsi="Times New Roman" w:eastAsia="宋体" w:cs="Times New Roman"/>
                <w:b w:val="0"/>
                <w:bCs/>
                <w:color w:val="auto"/>
                <w:kern w:val="0"/>
                <w:sz w:val="24"/>
                <w:szCs w:val="24"/>
                <w:lang w:val="en-US" w:eastAsia="zh-CN" w:bidi="ar-SA"/>
              </w:rPr>
              <w:t>。</w:t>
            </w:r>
          </w:p>
          <w:p w14:paraId="7ACA560B">
            <w:pPr>
              <w:pStyle w:val="5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表</w:t>
            </w:r>
            <w:r>
              <w:rPr>
                <w:rFonts w:hint="eastAsia" w:ascii="Times New Roman" w:hAnsi="Times New Roman" w:eastAsia="宋体" w:cs="Times New Roman"/>
                <w:color w:val="auto"/>
              </w:rPr>
              <w:t>4-1</w:t>
            </w:r>
            <w:r>
              <w:rPr>
                <w:rFonts w:hint="eastAsia" w:cs="Times New Roman"/>
                <w:color w:val="auto"/>
                <w:lang w:val="en-US" w:eastAsia="zh-CN"/>
              </w:rPr>
              <w:t>8</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环保措施及投资估算表</w:t>
            </w:r>
            <w:r>
              <w:rPr>
                <w:rFonts w:hint="eastAsia" w:ascii="Times New Roman" w:hAnsi="Times New Roman" w:eastAsia="宋体" w:cs="Times New Roman"/>
                <w:color w:val="auto"/>
              </w:rPr>
              <w:t xml:space="preserve">  单位：万元</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16"/>
              <w:gridCol w:w="1228"/>
              <w:gridCol w:w="1536"/>
              <w:gridCol w:w="2868"/>
              <w:gridCol w:w="1095"/>
            </w:tblGrid>
            <w:tr w14:paraId="30D20E3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tcBorders>
                    <w:bottom w:val="single" w:color="auto" w:sz="12" w:space="0"/>
                  </w:tcBorders>
                  <w:vAlign w:val="center"/>
                </w:tcPr>
                <w:p w14:paraId="416A7EB9">
                  <w:pPr>
                    <w:jc w:val="center"/>
                    <w:rPr>
                      <w:b/>
                      <w:bCs/>
                      <w:color w:val="auto"/>
                      <w:sz w:val="21"/>
                      <w:szCs w:val="21"/>
                    </w:rPr>
                  </w:pPr>
                  <w:r>
                    <w:rPr>
                      <w:rFonts w:hint="eastAsia"/>
                      <w:b/>
                      <w:bCs/>
                      <w:color w:val="auto"/>
                      <w:sz w:val="21"/>
                      <w:szCs w:val="21"/>
                    </w:rPr>
                    <w:t>序号</w:t>
                  </w:r>
                </w:p>
              </w:tc>
              <w:tc>
                <w:tcPr>
                  <w:tcW w:w="773" w:type="pct"/>
                  <w:tcBorders>
                    <w:bottom w:val="single" w:color="auto" w:sz="12" w:space="0"/>
                  </w:tcBorders>
                  <w:vAlign w:val="center"/>
                </w:tcPr>
                <w:p w14:paraId="0A9D2114">
                  <w:pPr>
                    <w:jc w:val="center"/>
                    <w:rPr>
                      <w:b/>
                      <w:bCs/>
                      <w:color w:val="auto"/>
                      <w:sz w:val="21"/>
                      <w:szCs w:val="21"/>
                    </w:rPr>
                  </w:pPr>
                  <w:r>
                    <w:rPr>
                      <w:rFonts w:hint="eastAsia"/>
                      <w:b/>
                      <w:bCs/>
                      <w:color w:val="auto"/>
                      <w:sz w:val="21"/>
                      <w:szCs w:val="21"/>
                    </w:rPr>
                    <w:t>类别</w:t>
                  </w:r>
                </w:p>
              </w:tc>
              <w:tc>
                <w:tcPr>
                  <w:tcW w:w="966" w:type="pct"/>
                  <w:tcBorders>
                    <w:bottom w:val="single" w:color="auto" w:sz="12" w:space="0"/>
                  </w:tcBorders>
                  <w:vAlign w:val="center"/>
                </w:tcPr>
                <w:p w14:paraId="43B95832">
                  <w:pPr>
                    <w:jc w:val="center"/>
                    <w:rPr>
                      <w:b/>
                      <w:bCs/>
                      <w:color w:val="auto"/>
                      <w:sz w:val="21"/>
                      <w:szCs w:val="21"/>
                    </w:rPr>
                  </w:pPr>
                  <w:r>
                    <w:rPr>
                      <w:rFonts w:hint="eastAsia"/>
                      <w:b/>
                      <w:bCs/>
                      <w:color w:val="auto"/>
                      <w:sz w:val="21"/>
                      <w:szCs w:val="21"/>
                    </w:rPr>
                    <w:t>防治对象</w:t>
                  </w:r>
                </w:p>
              </w:tc>
              <w:tc>
                <w:tcPr>
                  <w:tcW w:w="1805" w:type="pct"/>
                  <w:tcBorders>
                    <w:bottom w:val="single" w:color="auto" w:sz="12" w:space="0"/>
                  </w:tcBorders>
                  <w:vAlign w:val="center"/>
                </w:tcPr>
                <w:p w14:paraId="69582EDD">
                  <w:pPr>
                    <w:jc w:val="center"/>
                    <w:rPr>
                      <w:b/>
                      <w:bCs/>
                      <w:color w:val="auto"/>
                      <w:sz w:val="21"/>
                      <w:szCs w:val="21"/>
                    </w:rPr>
                  </w:pPr>
                  <w:r>
                    <w:rPr>
                      <w:rFonts w:hint="eastAsia"/>
                      <w:b/>
                      <w:bCs/>
                      <w:color w:val="auto"/>
                      <w:sz w:val="21"/>
                      <w:szCs w:val="21"/>
                    </w:rPr>
                    <w:t>环保措施</w:t>
                  </w:r>
                </w:p>
              </w:tc>
              <w:tc>
                <w:tcPr>
                  <w:tcW w:w="689" w:type="pct"/>
                  <w:tcBorders>
                    <w:bottom w:val="single" w:color="auto" w:sz="12" w:space="0"/>
                  </w:tcBorders>
                  <w:vAlign w:val="center"/>
                </w:tcPr>
                <w:p w14:paraId="7229B735">
                  <w:pPr>
                    <w:jc w:val="center"/>
                    <w:rPr>
                      <w:b/>
                      <w:bCs/>
                      <w:color w:val="auto"/>
                      <w:sz w:val="21"/>
                      <w:szCs w:val="21"/>
                    </w:rPr>
                  </w:pPr>
                  <w:r>
                    <w:rPr>
                      <w:rFonts w:hint="eastAsia"/>
                      <w:b/>
                      <w:bCs/>
                      <w:color w:val="auto"/>
                      <w:sz w:val="21"/>
                      <w:szCs w:val="21"/>
                    </w:rPr>
                    <w:t>环保投资</w:t>
                  </w:r>
                </w:p>
              </w:tc>
            </w:tr>
            <w:tr w14:paraId="3C829DB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restart"/>
                  <w:tcBorders>
                    <w:top w:val="single" w:color="auto" w:sz="12" w:space="0"/>
                    <w:tl2br w:val="nil"/>
                    <w:tr2bl w:val="nil"/>
                  </w:tcBorders>
                  <w:vAlign w:val="center"/>
                </w:tcPr>
                <w:p w14:paraId="53B449C8">
                  <w:pPr>
                    <w:jc w:val="center"/>
                    <w:rPr>
                      <w:color w:val="auto"/>
                      <w:sz w:val="21"/>
                      <w:szCs w:val="21"/>
                    </w:rPr>
                  </w:pPr>
                  <w:r>
                    <w:rPr>
                      <w:rFonts w:hint="eastAsia"/>
                      <w:color w:val="auto"/>
                      <w:sz w:val="21"/>
                      <w:szCs w:val="21"/>
                    </w:rPr>
                    <w:t>1</w:t>
                  </w:r>
                </w:p>
              </w:tc>
              <w:tc>
                <w:tcPr>
                  <w:tcW w:w="773" w:type="pct"/>
                  <w:vMerge w:val="restart"/>
                  <w:tcBorders>
                    <w:top w:val="single" w:color="auto" w:sz="12" w:space="0"/>
                    <w:tl2br w:val="nil"/>
                    <w:tr2bl w:val="nil"/>
                  </w:tcBorders>
                  <w:vAlign w:val="center"/>
                </w:tcPr>
                <w:p w14:paraId="583BE7F0">
                  <w:pPr>
                    <w:jc w:val="center"/>
                    <w:rPr>
                      <w:color w:val="auto"/>
                      <w:sz w:val="21"/>
                      <w:szCs w:val="21"/>
                    </w:rPr>
                  </w:pPr>
                  <w:r>
                    <w:rPr>
                      <w:rFonts w:hint="eastAsia"/>
                      <w:color w:val="auto"/>
                      <w:sz w:val="21"/>
                      <w:szCs w:val="21"/>
                    </w:rPr>
                    <w:t>废气</w:t>
                  </w:r>
                </w:p>
              </w:tc>
              <w:tc>
                <w:tcPr>
                  <w:tcW w:w="966" w:type="pct"/>
                  <w:tcBorders>
                    <w:top w:val="single" w:color="auto" w:sz="12" w:space="0"/>
                    <w:tl2br w:val="nil"/>
                    <w:tr2bl w:val="nil"/>
                  </w:tcBorders>
                  <w:vAlign w:val="center"/>
                </w:tcPr>
                <w:p w14:paraId="2F539F83">
                  <w:pPr>
                    <w:jc w:val="center"/>
                    <w:rPr>
                      <w:color w:val="auto"/>
                      <w:sz w:val="21"/>
                      <w:szCs w:val="21"/>
                    </w:rPr>
                  </w:pPr>
                  <w:r>
                    <w:rPr>
                      <w:rFonts w:hint="eastAsia"/>
                      <w:color w:val="auto"/>
                      <w:sz w:val="21"/>
                      <w:szCs w:val="21"/>
                    </w:rPr>
                    <w:t>搅拌粉尘</w:t>
                  </w:r>
                </w:p>
              </w:tc>
              <w:tc>
                <w:tcPr>
                  <w:tcW w:w="1805" w:type="pct"/>
                  <w:tcBorders>
                    <w:top w:val="single" w:color="auto" w:sz="12" w:space="0"/>
                    <w:tl2br w:val="nil"/>
                    <w:tr2bl w:val="nil"/>
                  </w:tcBorders>
                  <w:vAlign w:val="center"/>
                </w:tcPr>
                <w:p w14:paraId="11FD95A8">
                  <w:pPr>
                    <w:jc w:val="both"/>
                    <w:rPr>
                      <w:color w:val="auto"/>
                      <w:sz w:val="21"/>
                      <w:szCs w:val="21"/>
                    </w:rPr>
                  </w:pPr>
                  <w:r>
                    <w:rPr>
                      <w:rFonts w:hint="eastAsia"/>
                      <w:color w:val="auto"/>
                      <w:sz w:val="21"/>
                      <w:szCs w:val="21"/>
                    </w:rPr>
                    <w:t>搅拌楼密闭，</w:t>
                  </w:r>
                  <w:r>
                    <w:rPr>
                      <w:rFonts w:hint="eastAsia"/>
                      <w:color w:val="auto"/>
                      <w:sz w:val="21"/>
                      <w:szCs w:val="21"/>
                      <w:lang w:val="en-US" w:eastAsia="zh-CN"/>
                    </w:rPr>
                    <w:t>封闭式</w:t>
                  </w:r>
                  <w:r>
                    <w:rPr>
                      <w:rFonts w:hint="eastAsia"/>
                      <w:color w:val="auto"/>
                      <w:sz w:val="21"/>
                      <w:szCs w:val="21"/>
                    </w:rPr>
                    <w:t>搅拌机</w:t>
                  </w:r>
                </w:p>
              </w:tc>
              <w:tc>
                <w:tcPr>
                  <w:tcW w:w="689" w:type="pct"/>
                  <w:tcBorders>
                    <w:top w:val="single" w:color="auto" w:sz="12" w:space="0"/>
                    <w:tl2br w:val="nil"/>
                    <w:tr2bl w:val="nil"/>
                  </w:tcBorders>
                  <w:vAlign w:val="center"/>
                </w:tcPr>
                <w:p w14:paraId="37C7971A">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15</w:t>
                  </w:r>
                </w:p>
              </w:tc>
            </w:tr>
            <w:tr w14:paraId="137E63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1EB0BCF5">
                  <w:pPr>
                    <w:jc w:val="center"/>
                    <w:rPr>
                      <w:color w:val="auto"/>
                      <w:sz w:val="21"/>
                      <w:szCs w:val="21"/>
                    </w:rPr>
                  </w:pPr>
                </w:p>
              </w:tc>
              <w:tc>
                <w:tcPr>
                  <w:tcW w:w="773" w:type="pct"/>
                  <w:vMerge w:val="continue"/>
                  <w:tcBorders>
                    <w:tl2br w:val="nil"/>
                    <w:tr2bl w:val="nil"/>
                  </w:tcBorders>
                  <w:vAlign w:val="center"/>
                </w:tcPr>
                <w:p w14:paraId="25736D62">
                  <w:pPr>
                    <w:jc w:val="center"/>
                    <w:rPr>
                      <w:color w:val="auto"/>
                      <w:sz w:val="21"/>
                      <w:szCs w:val="21"/>
                    </w:rPr>
                  </w:pPr>
                </w:p>
              </w:tc>
              <w:tc>
                <w:tcPr>
                  <w:tcW w:w="966" w:type="pct"/>
                  <w:tcBorders>
                    <w:tl2br w:val="nil"/>
                    <w:tr2bl w:val="nil"/>
                  </w:tcBorders>
                  <w:vAlign w:val="center"/>
                </w:tcPr>
                <w:p w14:paraId="593FB84F">
                  <w:pPr>
                    <w:jc w:val="center"/>
                    <w:rPr>
                      <w:color w:val="auto"/>
                      <w:sz w:val="21"/>
                      <w:szCs w:val="21"/>
                    </w:rPr>
                  </w:pPr>
                  <w:r>
                    <w:rPr>
                      <w:rFonts w:hint="eastAsia"/>
                      <w:color w:val="auto"/>
                      <w:sz w:val="21"/>
                      <w:szCs w:val="21"/>
                    </w:rPr>
                    <w:t>筒仓粉尘</w:t>
                  </w:r>
                </w:p>
              </w:tc>
              <w:tc>
                <w:tcPr>
                  <w:tcW w:w="1805" w:type="pct"/>
                  <w:tcBorders>
                    <w:tl2br w:val="nil"/>
                    <w:tr2bl w:val="nil"/>
                  </w:tcBorders>
                  <w:vAlign w:val="center"/>
                </w:tcPr>
                <w:p w14:paraId="11C76D7C">
                  <w:pPr>
                    <w:jc w:val="both"/>
                    <w:rPr>
                      <w:color w:val="auto"/>
                      <w:sz w:val="21"/>
                      <w:szCs w:val="21"/>
                    </w:rPr>
                  </w:pPr>
                  <w:r>
                    <w:rPr>
                      <w:rFonts w:hint="eastAsia"/>
                      <w:color w:val="auto"/>
                      <w:sz w:val="21"/>
                      <w:szCs w:val="21"/>
                    </w:rPr>
                    <w:t>筒仓配套脉冲布袋除尘器</w:t>
                  </w:r>
                </w:p>
              </w:tc>
              <w:tc>
                <w:tcPr>
                  <w:tcW w:w="689" w:type="pct"/>
                  <w:tcBorders>
                    <w:tl2br w:val="nil"/>
                    <w:tr2bl w:val="nil"/>
                  </w:tcBorders>
                  <w:vAlign w:val="center"/>
                </w:tcPr>
                <w:p w14:paraId="638E75E1">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r>
            <w:tr w14:paraId="4D7D14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39D3E5A6">
                  <w:pPr>
                    <w:jc w:val="center"/>
                    <w:rPr>
                      <w:color w:val="auto"/>
                      <w:sz w:val="21"/>
                      <w:szCs w:val="21"/>
                    </w:rPr>
                  </w:pPr>
                </w:p>
              </w:tc>
              <w:tc>
                <w:tcPr>
                  <w:tcW w:w="773" w:type="pct"/>
                  <w:vMerge w:val="continue"/>
                  <w:tcBorders>
                    <w:tl2br w:val="nil"/>
                    <w:tr2bl w:val="nil"/>
                  </w:tcBorders>
                  <w:vAlign w:val="center"/>
                </w:tcPr>
                <w:p w14:paraId="3C7DB6BB">
                  <w:pPr>
                    <w:jc w:val="center"/>
                    <w:rPr>
                      <w:color w:val="auto"/>
                      <w:sz w:val="21"/>
                      <w:szCs w:val="21"/>
                    </w:rPr>
                  </w:pPr>
                </w:p>
              </w:tc>
              <w:tc>
                <w:tcPr>
                  <w:tcW w:w="966" w:type="pct"/>
                  <w:tcBorders>
                    <w:tl2br w:val="nil"/>
                    <w:tr2bl w:val="nil"/>
                  </w:tcBorders>
                  <w:vAlign w:val="center"/>
                </w:tcPr>
                <w:p w14:paraId="7501B0B3">
                  <w:pPr>
                    <w:jc w:val="center"/>
                    <w:rPr>
                      <w:color w:val="auto"/>
                      <w:sz w:val="21"/>
                      <w:szCs w:val="21"/>
                    </w:rPr>
                  </w:pPr>
                  <w:r>
                    <w:rPr>
                      <w:rFonts w:hint="eastAsia"/>
                      <w:color w:val="auto"/>
                      <w:sz w:val="21"/>
                      <w:szCs w:val="21"/>
                    </w:rPr>
                    <w:t>卸料扬尘</w:t>
                  </w:r>
                </w:p>
              </w:tc>
              <w:tc>
                <w:tcPr>
                  <w:tcW w:w="1805" w:type="pct"/>
                  <w:tcBorders>
                    <w:tl2br w:val="nil"/>
                    <w:tr2bl w:val="nil"/>
                  </w:tcBorders>
                  <w:vAlign w:val="center"/>
                </w:tcPr>
                <w:p w14:paraId="09D6E709">
                  <w:pPr>
                    <w:jc w:val="both"/>
                    <w:rPr>
                      <w:color w:val="auto"/>
                      <w:sz w:val="21"/>
                      <w:szCs w:val="21"/>
                    </w:rPr>
                  </w:pPr>
                  <w:r>
                    <w:rPr>
                      <w:rFonts w:hint="eastAsia"/>
                      <w:color w:val="auto"/>
                      <w:sz w:val="21"/>
                      <w:szCs w:val="21"/>
                      <w:lang w:val="en-US" w:eastAsia="zh-CN"/>
                    </w:rPr>
                    <w:t>半封闭料场</w:t>
                  </w:r>
                  <w:r>
                    <w:rPr>
                      <w:rFonts w:hint="eastAsia"/>
                      <w:color w:val="auto"/>
                      <w:sz w:val="21"/>
                      <w:szCs w:val="21"/>
                    </w:rPr>
                    <w:t>，</w:t>
                  </w:r>
                  <w:r>
                    <w:rPr>
                      <w:rFonts w:hint="eastAsia"/>
                      <w:color w:val="auto"/>
                      <w:sz w:val="21"/>
                      <w:szCs w:val="21"/>
                      <w:lang w:val="en-US" w:eastAsia="zh-CN"/>
                    </w:rPr>
                    <w:t>篷布覆盖、</w:t>
                  </w:r>
                  <w:r>
                    <w:rPr>
                      <w:rFonts w:hint="eastAsia"/>
                      <w:color w:val="auto"/>
                      <w:sz w:val="21"/>
                      <w:szCs w:val="21"/>
                    </w:rPr>
                    <w:t>洒水降尘</w:t>
                  </w:r>
                </w:p>
              </w:tc>
              <w:tc>
                <w:tcPr>
                  <w:tcW w:w="689" w:type="pct"/>
                  <w:tcBorders>
                    <w:tl2br w:val="nil"/>
                    <w:tr2bl w:val="nil"/>
                  </w:tcBorders>
                  <w:vAlign w:val="center"/>
                </w:tcPr>
                <w:p w14:paraId="352595C4">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5</w:t>
                  </w:r>
                </w:p>
              </w:tc>
            </w:tr>
            <w:tr w14:paraId="102535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4029BD25">
                  <w:pPr>
                    <w:jc w:val="center"/>
                    <w:rPr>
                      <w:color w:val="auto"/>
                      <w:sz w:val="21"/>
                      <w:szCs w:val="21"/>
                    </w:rPr>
                  </w:pPr>
                </w:p>
              </w:tc>
              <w:tc>
                <w:tcPr>
                  <w:tcW w:w="773" w:type="pct"/>
                  <w:vMerge w:val="continue"/>
                  <w:tcBorders>
                    <w:tl2br w:val="nil"/>
                    <w:tr2bl w:val="nil"/>
                  </w:tcBorders>
                  <w:vAlign w:val="center"/>
                </w:tcPr>
                <w:p w14:paraId="7C96AB9C">
                  <w:pPr>
                    <w:jc w:val="center"/>
                    <w:rPr>
                      <w:color w:val="auto"/>
                      <w:sz w:val="21"/>
                      <w:szCs w:val="21"/>
                    </w:rPr>
                  </w:pPr>
                </w:p>
              </w:tc>
              <w:tc>
                <w:tcPr>
                  <w:tcW w:w="966" w:type="pct"/>
                  <w:tcBorders>
                    <w:tl2br w:val="nil"/>
                    <w:tr2bl w:val="nil"/>
                  </w:tcBorders>
                  <w:vAlign w:val="center"/>
                </w:tcPr>
                <w:p w14:paraId="7C274325">
                  <w:pPr>
                    <w:jc w:val="center"/>
                    <w:rPr>
                      <w:color w:val="auto"/>
                      <w:sz w:val="21"/>
                      <w:szCs w:val="21"/>
                    </w:rPr>
                  </w:pPr>
                  <w:r>
                    <w:rPr>
                      <w:rFonts w:hint="eastAsia"/>
                      <w:color w:val="auto"/>
                      <w:sz w:val="21"/>
                      <w:szCs w:val="21"/>
                    </w:rPr>
                    <w:t>运输扬尘</w:t>
                  </w:r>
                </w:p>
              </w:tc>
              <w:tc>
                <w:tcPr>
                  <w:tcW w:w="1805" w:type="pct"/>
                  <w:tcBorders>
                    <w:tl2br w:val="nil"/>
                    <w:tr2bl w:val="nil"/>
                  </w:tcBorders>
                  <w:vAlign w:val="center"/>
                </w:tcPr>
                <w:p w14:paraId="4D6D209E">
                  <w:pPr>
                    <w:jc w:val="both"/>
                    <w:rPr>
                      <w:color w:val="auto"/>
                      <w:sz w:val="21"/>
                      <w:szCs w:val="21"/>
                    </w:rPr>
                  </w:pPr>
                  <w:r>
                    <w:rPr>
                      <w:rFonts w:hint="eastAsia"/>
                      <w:color w:val="auto"/>
                      <w:sz w:val="21"/>
                      <w:szCs w:val="21"/>
                    </w:rPr>
                    <w:t>运输车辆要封闭遮盖，粉料采用密闭罐车运输，车辆清洗，地面洒水降尘、及时清扫</w:t>
                  </w:r>
                </w:p>
              </w:tc>
              <w:tc>
                <w:tcPr>
                  <w:tcW w:w="689" w:type="pct"/>
                  <w:tcBorders>
                    <w:tl2br w:val="nil"/>
                    <w:tr2bl w:val="nil"/>
                  </w:tcBorders>
                  <w:vAlign w:val="center"/>
                </w:tcPr>
                <w:p w14:paraId="0F9A785A">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r>
            <w:tr w14:paraId="03F2E07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74C71C9E">
                  <w:pPr>
                    <w:jc w:val="center"/>
                    <w:rPr>
                      <w:color w:val="auto"/>
                      <w:sz w:val="21"/>
                      <w:szCs w:val="21"/>
                    </w:rPr>
                  </w:pPr>
                </w:p>
              </w:tc>
              <w:tc>
                <w:tcPr>
                  <w:tcW w:w="773" w:type="pct"/>
                  <w:vMerge w:val="continue"/>
                  <w:tcBorders>
                    <w:tl2br w:val="nil"/>
                    <w:tr2bl w:val="nil"/>
                  </w:tcBorders>
                  <w:vAlign w:val="center"/>
                </w:tcPr>
                <w:p w14:paraId="455931E9">
                  <w:pPr>
                    <w:jc w:val="center"/>
                    <w:rPr>
                      <w:color w:val="auto"/>
                      <w:sz w:val="21"/>
                      <w:szCs w:val="21"/>
                    </w:rPr>
                  </w:pPr>
                </w:p>
              </w:tc>
              <w:tc>
                <w:tcPr>
                  <w:tcW w:w="966" w:type="pct"/>
                  <w:tcBorders>
                    <w:tl2br w:val="nil"/>
                    <w:tr2bl w:val="nil"/>
                  </w:tcBorders>
                  <w:vAlign w:val="center"/>
                </w:tcPr>
                <w:p w14:paraId="54158398">
                  <w:pPr>
                    <w:jc w:val="center"/>
                    <w:rPr>
                      <w:rFonts w:hint="eastAsia"/>
                      <w:color w:val="auto"/>
                      <w:sz w:val="21"/>
                      <w:szCs w:val="21"/>
                    </w:rPr>
                  </w:pPr>
                  <w:r>
                    <w:rPr>
                      <w:rFonts w:hint="eastAsia"/>
                      <w:color w:val="auto"/>
                      <w:sz w:val="21"/>
                      <w:szCs w:val="21"/>
                    </w:rPr>
                    <w:t>运输扬尘</w:t>
                  </w:r>
                </w:p>
              </w:tc>
              <w:tc>
                <w:tcPr>
                  <w:tcW w:w="1805" w:type="pct"/>
                  <w:tcBorders>
                    <w:tl2br w:val="nil"/>
                    <w:tr2bl w:val="nil"/>
                  </w:tcBorders>
                  <w:vAlign w:val="center"/>
                </w:tcPr>
                <w:p w14:paraId="3A1DE0B1">
                  <w:pPr>
                    <w:jc w:val="both"/>
                    <w:rPr>
                      <w:rFonts w:hint="default" w:eastAsia="宋体"/>
                      <w:color w:val="auto"/>
                      <w:sz w:val="21"/>
                      <w:szCs w:val="21"/>
                      <w:lang w:val="en-US" w:eastAsia="zh-CN"/>
                    </w:rPr>
                  </w:pPr>
                  <w:r>
                    <w:rPr>
                      <w:rFonts w:hint="eastAsia"/>
                      <w:color w:val="auto"/>
                      <w:sz w:val="21"/>
                      <w:szCs w:val="21"/>
                      <w:lang w:val="en-US" w:eastAsia="zh-CN"/>
                    </w:rPr>
                    <w:t>洗车平台</w:t>
                  </w:r>
                </w:p>
              </w:tc>
              <w:tc>
                <w:tcPr>
                  <w:tcW w:w="689" w:type="pct"/>
                  <w:tcBorders>
                    <w:tl2br w:val="nil"/>
                    <w:tr2bl w:val="nil"/>
                  </w:tcBorders>
                  <w:vAlign w:val="center"/>
                </w:tcPr>
                <w:p w14:paraId="3A57416E">
                  <w:pPr>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r>
            <w:tr w14:paraId="06B577F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0CC63025">
                  <w:pPr>
                    <w:jc w:val="center"/>
                    <w:rPr>
                      <w:color w:val="auto"/>
                      <w:sz w:val="21"/>
                      <w:szCs w:val="21"/>
                    </w:rPr>
                  </w:pPr>
                </w:p>
              </w:tc>
              <w:tc>
                <w:tcPr>
                  <w:tcW w:w="773" w:type="pct"/>
                  <w:vMerge w:val="continue"/>
                  <w:tcBorders>
                    <w:tl2br w:val="nil"/>
                    <w:tr2bl w:val="nil"/>
                  </w:tcBorders>
                  <w:vAlign w:val="center"/>
                </w:tcPr>
                <w:p w14:paraId="0D42A8DE">
                  <w:pPr>
                    <w:jc w:val="center"/>
                    <w:rPr>
                      <w:color w:val="auto"/>
                      <w:sz w:val="21"/>
                      <w:szCs w:val="21"/>
                    </w:rPr>
                  </w:pPr>
                </w:p>
              </w:tc>
              <w:tc>
                <w:tcPr>
                  <w:tcW w:w="966" w:type="pct"/>
                  <w:tcBorders>
                    <w:tl2br w:val="nil"/>
                    <w:tr2bl w:val="nil"/>
                  </w:tcBorders>
                  <w:vAlign w:val="center"/>
                </w:tcPr>
                <w:p w14:paraId="24404B34">
                  <w:pPr>
                    <w:jc w:val="center"/>
                    <w:rPr>
                      <w:color w:val="auto"/>
                      <w:sz w:val="21"/>
                      <w:szCs w:val="21"/>
                    </w:rPr>
                  </w:pPr>
                  <w:r>
                    <w:rPr>
                      <w:rFonts w:hint="eastAsia"/>
                      <w:color w:val="auto"/>
                      <w:sz w:val="21"/>
                      <w:szCs w:val="21"/>
                    </w:rPr>
                    <w:t>廊道运输</w:t>
                  </w:r>
                </w:p>
              </w:tc>
              <w:tc>
                <w:tcPr>
                  <w:tcW w:w="1805" w:type="pct"/>
                  <w:tcBorders>
                    <w:tl2br w:val="nil"/>
                    <w:tr2bl w:val="nil"/>
                  </w:tcBorders>
                  <w:vAlign w:val="center"/>
                </w:tcPr>
                <w:p w14:paraId="304A973B">
                  <w:pPr>
                    <w:jc w:val="both"/>
                    <w:rPr>
                      <w:color w:val="auto"/>
                      <w:sz w:val="21"/>
                      <w:szCs w:val="21"/>
                    </w:rPr>
                  </w:pPr>
                  <w:r>
                    <w:rPr>
                      <w:rFonts w:hint="eastAsia"/>
                      <w:color w:val="auto"/>
                      <w:sz w:val="21"/>
                      <w:szCs w:val="21"/>
                    </w:rPr>
                    <w:t>廊道密闭</w:t>
                  </w:r>
                </w:p>
              </w:tc>
              <w:tc>
                <w:tcPr>
                  <w:tcW w:w="689" w:type="pct"/>
                  <w:tcBorders>
                    <w:tl2br w:val="nil"/>
                    <w:tr2bl w:val="nil"/>
                  </w:tcBorders>
                  <w:vAlign w:val="center"/>
                </w:tcPr>
                <w:p w14:paraId="475C6CCD">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w:t>
                  </w:r>
                </w:p>
              </w:tc>
            </w:tr>
            <w:tr w14:paraId="3038062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5430915A">
                  <w:pPr>
                    <w:jc w:val="center"/>
                    <w:rPr>
                      <w:color w:val="auto"/>
                      <w:sz w:val="21"/>
                      <w:szCs w:val="21"/>
                    </w:rPr>
                  </w:pPr>
                </w:p>
              </w:tc>
              <w:tc>
                <w:tcPr>
                  <w:tcW w:w="773" w:type="pct"/>
                  <w:vMerge w:val="continue"/>
                  <w:tcBorders>
                    <w:tl2br w:val="nil"/>
                    <w:tr2bl w:val="nil"/>
                  </w:tcBorders>
                  <w:vAlign w:val="center"/>
                </w:tcPr>
                <w:p w14:paraId="0BBB64D4">
                  <w:pPr>
                    <w:jc w:val="center"/>
                    <w:rPr>
                      <w:color w:val="auto"/>
                      <w:sz w:val="21"/>
                      <w:szCs w:val="21"/>
                    </w:rPr>
                  </w:pPr>
                </w:p>
              </w:tc>
              <w:tc>
                <w:tcPr>
                  <w:tcW w:w="966" w:type="pct"/>
                  <w:tcBorders>
                    <w:tl2br w:val="nil"/>
                    <w:tr2bl w:val="nil"/>
                  </w:tcBorders>
                  <w:vAlign w:val="center"/>
                </w:tcPr>
                <w:p w14:paraId="7230799A">
                  <w:pPr>
                    <w:jc w:val="center"/>
                    <w:rPr>
                      <w:color w:val="auto"/>
                      <w:sz w:val="21"/>
                      <w:szCs w:val="21"/>
                    </w:rPr>
                  </w:pPr>
                  <w:r>
                    <w:rPr>
                      <w:rFonts w:hint="eastAsia"/>
                      <w:color w:val="auto"/>
                      <w:sz w:val="21"/>
                      <w:szCs w:val="21"/>
                    </w:rPr>
                    <w:t>食堂油烟</w:t>
                  </w:r>
                </w:p>
              </w:tc>
              <w:tc>
                <w:tcPr>
                  <w:tcW w:w="1805" w:type="pct"/>
                  <w:tcBorders>
                    <w:tl2br w:val="nil"/>
                    <w:tr2bl w:val="nil"/>
                  </w:tcBorders>
                  <w:vAlign w:val="center"/>
                </w:tcPr>
                <w:p w14:paraId="43413257">
                  <w:pPr>
                    <w:jc w:val="both"/>
                    <w:rPr>
                      <w:color w:val="auto"/>
                      <w:sz w:val="21"/>
                      <w:szCs w:val="21"/>
                    </w:rPr>
                  </w:pPr>
                  <w:r>
                    <w:rPr>
                      <w:rFonts w:hint="eastAsia"/>
                      <w:color w:val="auto"/>
                      <w:sz w:val="21"/>
                      <w:szCs w:val="21"/>
                    </w:rPr>
                    <w:t>油烟净化器+专用烟道</w:t>
                  </w:r>
                </w:p>
              </w:tc>
              <w:tc>
                <w:tcPr>
                  <w:tcW w:w="689" w:type="pct"/>
                  <w:tcBorders>
                    <w:tl2br w:val="nil"/>
                    <w:tr2bl w:val="nil"/>
                  </w:tcBorders>
                  <w:vAlign w:val="center"/>
                </w:tcPr>
                <w:p w14:paraId="1DA34F87">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1</w:t>
                  </w:r>
                </w:p>
              </w:tc>
            </w:tr>
            <w:tr w14:paraId="54DB802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restart"/>
                  <w:tcBorders>
                    <w:tl2br w:val="nil"/>
                    <w:tr2bl w:val="nil"/>
                  </w:tcBorders>
                  <w:vAlign w:val="center"/>
                </w:tcPr>
                <w:p w14:paraId="3F7E71E1">
                  <w:pPr>
                    <w:jc w:val="center"/>
                    <w:rPr>
                      <w:color w:val="auto"/>
                      <w:sz w:val="21"/>
                      <w:szCs w:val="21"/>
                    </w:rPr>
                  </w:pPr>
                  <w:r>
                    <w:rPr>
                      <w:rFonts w:hint="eastAsia"/>
                      <w:color w:val="auto"/>
                      <w:sz w:val="21"/>
                      <w:szCs w:val="21"/>
                    </w:rPr>
                    <w:t>2</w:t>
                  </w:r>
                </w:p>
              </w:tc>
              <w:tc>
                <w:tcPr>
                  <w:tcW w:w="773" w:type="pct"/>
                  <w:vMerge w:val="restart"/>
                  <w:tcBorders>
                    <w:tl2br w:val="nil"/>
                    <w:tr2bl w:val="nil"/>
                  </w:tcBorders>
                  <w:vAlign w:val="center"/>
                </w:tcPr>
                <w:p w14:paraId="70451024">
                  <w:pPr>
                    <w:jc w:val="center"/>
                    <w:rPr>
                      <w:color w:val="auto"/>
                      <w:sz w:val="21"/>
                      <w:szCs w:val="21"/>
                    </w:rPr>
                  </w:pPr>
                  <w:r>
                    <w:rPr>
                      <w:rFonts w:hint="eastAsia"/>
                      <w:color w:val="auto"/>
                      <w:sz w:val="21"/>
                      <w:szCs w:val="21"/>
                    </w:rPr>
                    <w:t>废水</w:t>
                  </w:r>
                </w:p>
              </w:tc>
              <w:tc>
                <w:tcPr>
                  <w:tcW w:w="966" w:type="pct"/>
                  <w:tcBorders>
                    <w:tl2br w:val="nil"/>
                    <w:tr2bl w:val="nil"/>
                  </w:tcBorders>
                  <w:vAlign w:val="center"/>
                </w:tcPr>
                <w:p w14:paraId="0DC05B18">
                  <w:pPr>
                    <w:jc w:val="center"/>
                    <w:rPr>
                      <w:color w:val="auto"/>
                      <w:sz w:val="21"/>
                      <w:szCs w:val="21"/>
                    </w:rPr>
                  </w:pPr>
                  <w:r>
                    <w:rPr>
                      <w:rFonts w:hint="eastAsia"/>
                      <w:color w:val="auto"/>
                      <w:sz w:val="21"/>
                      <w:szCs w:val="21"/>
                    </w:rPr>
                    <w:t>生产废水</w:t>
                  </w:r>
                </w:p>
              </w:tc>
              <w:tc>
                <w:tcPr>
                  <w:tcW w:w="1805" w:type="pct"/>
                  <w:tcBorders>
                    <w:tl2br w:val="nil"/>
                    <w:tr2bl w:val="nil"/>
                  </w:tcBorders>
                  <w:vAlign w:val="center"/>
                </w:tcPr>
                <w:p w14:paraId="5BBEF197">
                  <w:pPr>
                    <w:jc w:val="both"/>
                    <w:rPr>
                      <w:rFonts w:hint="default" w:eastAsia="宋体"/>
                      <w:color w:val="auto"/>
                      <w:sz w:val="21"/>
                      <w:szCs w:val="21"/>
                      <w:lang w:val="en-US" w:eastAsia="zh-CN"/>
                    </w:rPr>
                  </w:pPr>
                  <w:r>
                    <w:rPr>
                      <w:rFonts w:hint="eastAsia"/>
                      <w:color w:val="auto"/>
                      <w:sz w:val="21"/>
                      <w:szCs w:val="21"/>
                      <w:lang w:val="en-US" w:eastAsia="zh-CN"/>
                    </w:rPr>
                    <w:t>50m³三级沉淀池</w:t>
                  </w:r>
                </w:p>
              </w:tc>
              <w:tc>
                <w:tcPr>
                  <w:tcW w:w="689" w:type="pct"/>
                  <w:tcBorders>
                    <w:tl2br w:val="nil"/>
                    <w:tr2bl w:val="nil"/>
                  </w:tcBorders>
                  <w:vAlign w:val="center"/>
                </w:tcPr>
                <w:p w14:paraId="0049CE4C">
                  <w:pPr>
                    <w:jc w:val="center"/>
                    <w:rPr>
                      <w:color w:val="auto"/>
                      <w:sz w:val="21"/>
                      <w:szCs w:val="21"/>
                      <w:highlight w:val="none"/>
                    </w:rPr>
                  </w:pPr>
                  <w:r>
                    <w:rPr>
                      <w:rFonts w:hint="eastAsia"/>
                      <w:color w:val="auto"/>
                      <w:sz w:val="21"/>
                      <w:szCs w:val="21"/>
                      <w:highlight w:val="none"/>
                    </w:rPr>
                    <w:t>5</w:t>
                  </w:r>
                </w:p>
              </w:tc>
            </w:tr>
            <w:tr w14:paraId="605F6FC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3ADCD320">
                  <w:pPr>
                    <w:jc w:val="center"/>
                    <w:rPr>
                      <w:color w:val="auto"/>
                      <w:sz w:val="21"/>
                      <w:szCs w:val="21"/>
                    </w:rPr>
                  </w:pPr>
                </w:p>
              </w:tc>
              <w:tc>
                <w:tcPr>
                  <w:tcW w:w="773" w:type="pct"/>
                  <w:vMerge w:val="continue"/>
                  <w:tcBorders>
                    <w:tl2br w:val="nil"/>
                    <w:tr2bl w:val="nil"/>
                  </w:tcBorders>
                  <w:vAlign w:val="center"/>
                </w:tcPr>
                <w:p w14:paraId="5540EAE6">
                  <w:pPr>
                    <w:jc w:val="center"/>
                    <w:rPr>
                      <w:color w:val="auto"/>
                      <w:sz w:val="21"/>
                      <w:szCs w:val="21"/>
                    </w:rPr>
                  </w:pPr>
                </w:p>
              </w:tc>
              <w:tc>
                <w:tcPr>
                  <w:tcW w:w="966" w:type="pct"/>
                  <w:tcBorders>
                    <w:tl2br w:val="nil"/>
                    <w:tr2bl w:val="nil"/>
                  </w:tcBorders>
                  <w:vAlign w:val="center"/>
                </w:tcPr>
                <w:p w14:paraId="60168AC8">
                  <w:pPr>
                    <w:jc w:val="center"/>
                    <w:rPr>
                      <w:color w:val="auto"/>
                      <w:sz w:val="21"/>
                      <w:szCs w:val="21"/>
                    </w:rPr>
                  </w:pPr>
                  <w:r>
                    <w:rPr>
                      <w:rFonts w:hint="eastAsia"/>
                      <w:color w:val="auto"/>
                      <w:sz w:val="21"/>
                      <w:szCs w:val="21"/>
                    </w:rPr>
                    <w:t>生活污水</w:t>
                  </w:r>
                </w:p>
              </w:tc>
              <w:tc>
                <w:tcPr>
                  <w:tcW w:w="1805" w:type="pct"/>
                  <w:tcBorders>
                    <w:tl2br w:val="nil"/>
                    <w:tr2bl w:val="nil"/>
                  </w:tcBorders>
                  <w:vAlign w:val="center"/>
                </w:tcPr>
                <w:p w14:paraId="40EDDBFE">
                  <w:pPr>
                    <w:jc w:val="both"/>
                    <w:rPr>
                      <w:color w:val="auto"/>
                      <w:sz w:val="21"/>
                      <w:szCs w:val="21"/>
                    </w:rPr>
                  </w:pPr>
                  <w:r>
                    <w:rPr>
                      <w:rFonts w:hint="eastAsia"/>
                      <w:color w:val="auto"/>
                      <w:sz w:val="21"/>
                      <w:szCs w:val="21"/>
                    </w:rPr>
                    <w:t>地埋式一体化污水处理系统</w:t>
                  </w:r>
                </w:p>
              </w:tc>
              <w:tc>
                <w:tcPr>
                  <w:tcW w:w="689" w:type="pct"/>
                  <w:tcBorders>
                    <w:tl2br w:val="nil"/>
                    <w:tr2bl w:val="nil"/>
                  </w:tcBorders>
                  <w:vAlign w:val="center"/>
                </w:tcPr>
                <w:p w14:paraId="076C46D4">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w:t>
                  </w:r>
                </w:p>
              </w:tc>
            </w:tr>
            <w:tr w14:paraId="74673E9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tcBorders>
                    <w:tl2br w:val="nil"/>
                    <w:tr2bl w:val="nil"/>
                  </w:tcBorders>
                  <w:vAlign w:val="center"/>
                </w:tcPr>
                <w:p w14:paraId="4B15ABAB">
                  <w:pPr>
                    <w:jc w:val="center"/>
                    <w:rPr>
                      <w:color w:val="auto"/>
                      <w:sz w:val="21"/>
                      <w:szCs w:val="21"/>
                    </w:rPr>
                  </w:pPr>
                  <w:r>
                    <w:rPr>
                      <w:rFonts w:hint="eastAsia"/>
                      <w:color w:val="auto"/>
                      <w:sz w:val="21"/>
                      <w:szCs w:val="21"/>
                    </w:rPr>
                    <w:t>3</w:t>
                  </w:r>
                </w:p>
              </w:tc>
              <w:tc>
                <w:tcPr>
                  <w:tcW w:w="773" w:type="pct"/>
                  <w:tcBorders>
                    <w:tl2br w:val="nil"/>
                    <w:tr2bl w:val="nil"/>
                  </w:tcBorders>
                  <w:vAlign w:val="center"/>
                </w:tcPr>
                <w:p w14:paraId="3DFA106D">
                  <w:pPr>
                    <w:jc w:val="center"/>
                    <w:rPr>
                      <w:color w:val="auto"/>
                      <w:sz w:val="21"/>
                      <w:szCs w:val="21"/>
                    </w:rPr>
                  </w:pPr>
                  <w:r>
                    <w:rPr>
                      <w:rFonts w:hint="eastAsia"/>
                      <w:color w:val="auto"/>
                      <w:sz w:val="21"/>
                      <w:szCs w:val="21"/>
                    </w:rPr>
                    <w:t>噪声</w:t>
                  </w:r>
                </w:p>
              </w:tc>
              <w:tc>
                <w:tcPr>
                  <w:tcW w:w="966" w:type="pct"/>
                  <w:tcBorders>
                    <w:tl2br w:val="nil"/>
                    <w:tr2bl w:val="nil"/>
                  </w:tcBorders>
                  <w:vAlign w:val="center"/>
                </w:tcPr>
                <w:p w14:paraId="304F1E7F">
                  <w:pPr>
                    <w:jc w:val="center"/>
                    <w:rPr>
                      <w:color w:val="auto"/>
                      <w:sz w:val="21"/>
                      <w:szCs w:val="21"/>
                    </w:rPr>
                  </w:pPr>
                  <w:r>
                    <w:rPr>
                      <w:snapToGrid w:val="0"/>
                      <w:color w:val="auto"/>
                      <w:kern w:val="0"/>
                      <w:sz w:val="21"/>
                      <w:szCs w:val="21"/>
                    </w:rPr>
                    <w:t>生产设备</w:t>
                  </w:r>
                </w:p>
              </w:tc>
              <w:tc>
                <w:tcPr>
                  <w:tcW w:w="1805" w:type="pct"/>
                  <w:tcBorders>
                    <w:tl2br w:val="nil"/>
                    <w:tr2bl w:val="nil"/>
                  </w:tcBorders>
                  <w:vAlign w:val="center"/>
                </w:tcPr>
                <w:p w14:paraId="6731D4DC">
                  <w:pPr>
                    <w:jc w:val="both"/>
                    <w:rPr>
                      <w:color w:val="auto"/>
                      <w:sz w:val="21"/>
                      <w:szCs w:val="21"/>
                    </w:rPr>
                  </w:pPr>
                  <w:r>
                    <w:rPr>
                      <w:bCs/>
                      <w:color w:val="auto"/>
                      <w:sz w:val="21"/>
                      <w:szCs w:val="21"/>
                    </w:rPr>
                    <w:t>基础减震，房屋隔声</w:t>
                  </w:r>
                </w:p>
              </w:tc>
              <w:tc>
                <w:tcPr>
                  <w:tcW w:w="689" w:type="pct"/>
                  <w:tcBorders>
                    <w:tl2br w:val="nil"/>
                    <w:tr2bl w:val="nil"/>
                  </w:tcBorders>
                  <w:vAlign w:val="center"/>
                </w:tcPr>
                <w:p w14:paraId="1DBD46C5">
                  <w:pPr>
                    <w:jc w:val="center"/>
                    <w:rPr>
                      <w:color w:val="auto"/>
                      <w:sz w:val="21"/>
                      <w:szCs w:val="21"/>
                    </w:rPr>
                  </w:pPr>
                  <w:r>
                    <w:rPr>
                      <w:rFonts w:hint="eastAsia"/>
                      <w:color w:val="auto"/>
                      <w:sz w:val="21"/>
                      <w:szCs w:val="21"/>
                    </w:rPr>
                    <w:t>2</w:t>
                  </w:r>
                </w:p>
              </w:tc>
            </w:tr>
            <w:tr w14:paraId="6848EC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restart"/>
                  <w:tcBorders>
                    <w:tl2br w:val="nil"/>
                    <w:tr2bl w:val="nil"/>
                  </w:tcBorders>
                  <w:vAlign w:val="center"/>
                </w:tcPr>
                <w:p w14:paraId="5ED49F09">
                  <w:pPr>
                    <w:jc w:val="center"/>
                    <w:rPr>
                      <w:color w:val="auto"/>
                      <w:sz w:val="21"/>
                      <w:szCs w:val="21"/>
                    </w:rPr>
                  </w:pPr>
                  <w:r>
                    <w:rPr>
                      <w:rFonts w:hint="eastAsia"/>
                      <w:color w:val="auto"/>
                      <w:sz w:val="21"/>
                      <w:szCs w:val="21"/>
                    </w:rPr>
                    <w:t>4</w:t>
                  </w:r>
                </w:p>
              </w:tc>
              <w:tc>
                <w:tcPr>
                  <w:tcW w:w="773" w:type="pct"/>
                  <w:vMerge w:val="restart"/>
                  <w:tcBorders>
                    <w:tl2br w:val="nil"/>
                    <w:tr2bl w:val="nil"/>
                  </w:tcBorders>
                  <w:vAlign w:val="center"/>
                </w:tcPr>
                <w:p w14:paraId="52C20E78">
                  <w:pPr>
                    <w:jc w:val="center"/>
                    <w:rPr>
                      <w:color w:val="auto"/>
                      <w:sz w:val="21"/>
                      <w:szCs w:val="21"/>
                    </w:rPr>
                  </w:pPr>
                  <w:r>
                    <w:rPr>
                      <w:rFonts w:hint="eastAsia"/>
                      <w:color w:val="auto"/>
                      <w:sz w:val="21"/>
                      <w:szCs w:val="21"/>
                    </w:rPr>
                    <w:t>固废</w:t>
                  </w:r>
                </w:p>
              </w:tc>
              <w:tc>
                <w:tcPr>
                  <w:tcW w:w="966" w:type="pct"/>
                  <w:tcBorders>
                    <w:tl2br w:val="nil"/>
                    <w:tr2bl w:val="nil"/>
                  </w:tcBorders>
                  <w:vAlign w:val="center"/>
                </w:tcPr>
                <w:p w14:paraId="05AC42EB">
                  <w:pPr>
                    <w:jc w:val="center"/>
                    <w:rPr>
                      <w:snapToGrid w:val="0"/>
                      <w:color w:val="auto"/>
                      <w:kern w:val="0"/>
                      <w:sz w:val="21"/>
                      <w:szCs w:val="21"/>
                    </w:rPr>
                  </w:pPr>
                  <w:r>
                    <w:rPr>
                      <w:rFonts w:hint="eastAsia"/>
                      <w:snapToGrid w:val="0"/>
                      <w:color w:val="auto"/>
                      <w:kern w:val="0"/>
                      <w:sz w:val="21"/>
                      <w:szCs w:val="21"/>
                    </w:rPr>
                    <w:t>生活垃圾</w:t>
                  </w:r>
                </w:p>
              </w:tc>
              <w:tc>
                <w:tcPr>
                  <w:tcW w:w="1805" w:type="pct"/>
                  <w:tcBorders>
                    <w:tl2br w:val="nil"/>
                    <w:tr2bl w:val="nil"/>
                  </w:tcBorders>
                  <w:vAlign w:val="center"/>
                </w:tcPr>
                <w:p w14:paraId="4AEF1131">
                  <w:pPr>
                    <w:jc w:val="both"/>
                    <w:rPr>
                      <w:bCs/>
                      <w:color w:val="auto"/>
                      <w:sz w:val="21"/>
                      <w:szCs w:val="21"/>
                    </w:rPr>
                  </w:pPr>
                  <w:r>
                    <w:rPr>
                      <w:rFonts w:hint="eastAsia"/>
                      <w:bCs/>
                      <w:color w:val="auto"/>
                      <w:sz w:val="21"/>
                      <w:szCs w:val="21"/>
                    </w:rPr>
                    <w:t>垃圾桶、垃圾箱</w:t>
                  </w:r>
                </w:p>
              </w:tc>
              <w:tc>
                <w:tcPr>
                  <w:tcW w:w="689" w:type="pct"/>
                  <w:tcBorders>
                    <w:tl2br w:val="nil"/>
                    <w:tr2bl w:val="nil"/>
                  </w:tcBorders>
                  <w:vAlign w:val="center"/>
                </w:tcPr>
                <w:p w14:paraId="32B5F767">
                  <w:pPr>
                    <w:jc w:val="center"/>
                    <w:rPr>
                      <w:color w:val="auto"/>
                      <w:sz w:val="21"/>
                      <w:szCs w:val="21"/>
                    </w:rPr>
                  </w:pPr>
                  <w:r>
                    <w:rPr>
                      <w:rFonts w:hint="eastAsia"/>
                      <w:color w:val="auto"/>
                      <w:sz w:val="21"/>
                      <w:szCs w:val="21"/>
                    </w:rPr>
                    <w:t>0.5</w:t>
                  </w:r>
                </w:p>
              </w:tc>
            </w:tr>
            <w:tr w14:paraId="7A03F32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7B1409E4">
                  <w:pPr>
                    <w:jc w:val="center"/>
                    <w:rPr>
                      <w:color w:val="auto"/>
                      <w:sz w:val="21"/>
                      <w:szCs w:val="21"/>
                    </w:rPr>
                  </w:pPr>
                </w:p>
              </w:tc>
              <w:tc>
                <w:tcPr>
                  <w:tcW w:w="773" w:type="pct"/>
                  <w:vMerge w:val="continue"/>
                  <w:tcBorders>
                    <w:tl2br w:val="nil"/>
                    <w:tr2bl w:val="nil"/>
                  </w:tcBorders>
                  <w:vAlign w:val="center"/>
                </w:tcPr>
                <w:p w14:paraId="6916BBC2">
                  <w:pPr>
                    <w:jc w:val="center"/>
                    <w:rPr>
                      <w:color w:val="auto"/>
                      <w:sz w:val="21"/>
                      <w:szCs w:val="21"/>
                    </w:rPr>
                  </w:pPr>
                </w:p>
              </w:tc>
              <w:tc>
                <w:tcPr>
                  <w:tcW w:w="966" w:type="pct"/>
                  <w:tcBorders>
                    <w:tl2br w:val="nil"/>
                    <w:tr2bl w:val="nil"/>
                  </w:tcBorders>
                  <w:vAlign w:val="center"/>
                </w:tcPr>
                <w:p w14:paraId="73124561">
                  <w:pPr>
                    <w:jc w:val="center"/>
                    <w:rPr>
                      <w:snapToGrid w:val="0"/>
                      <w:color w:val="auto"/>
                      <w:kern w:val="0"/>
                      <w:sz w:val="21"/>
                      <w:szCs w:val="21"/>
                    </w:rPr>
                  </w:pPr>
                  <w:r>
                    <w:rPr>
                      <w:rFonts w:hint="eastAsia"/>
                      <w:snapToGrid w:val="0"/>
                      <w:color w:val="auto"/>
                      <w:kern w:val="0"/>
                      <w:sz w:val="21"/>
                      <w:szCs w:val="21"/>
                    </w:rPr>
                    <w:t>不合格混凝土</w:t>
                  </w:r>
                </w:p>
              </w:tc>
              <w:tc>
                <w:tcPr>
                  <w:tcW w:w="1805" w:type="pct"/>
                  <w:vMerge w:val="restart"/>
                  <w:tcBorders>
                    <w:tl2br w:val="nil"/>
                    <w:tr2bl w:val="nil"/>
                  </w:tcBorders>
                  <w:vAlign w:val="center"/>
                </w:tcPr>
                <w:p w14:paraId="15275CAB">
                  <w:pPr>
                    <w:jc w:val="both"/>
                    <w:rPr>
                      <w:bCs/>
                      <w:color w:val="auto"/>
                      <w:sz w:val="21"/>
                      <w:szCs w:val="21"/>
                    </w:rPr>
                  </w:pPr>
                  <w:r>
                    <w:rPr>
                      <w:rFonts w:hint="eastAsia"/>
                      <w:bCs/>
                      <w:color w:val="auto"/>
                      <w:sz w:val="21"/>
                      <w:szCs w:val="21"/>
                    </w:rPr>
                    <w:t>回用于混凝土生产</w:t>
                  </w:r>
                </w:p>
              </w:tc>
              <w:tc>
                <w:tcPr>
                  <w:tcW w:w="689" w:type="pct"/>
                  <w:vMerge w:val="restart"/>
                  <w:tcBorders>
                    <w:tl2br w:val="nil"/>
                    <w:tr2bl w:val="nil"/>
                  </w:tcBorders>
                  <w:vAlign w:val="center"/>
                </w:tcPr>
                <w:p w14:paraId="64A66ED8">
                  <w:pPr>
                    <w:jc w:val="center"/>
                    <w:rPr>
                      <w:color w:val="auto"/>
                      <w:sz w:val="21"/>
                      <w:szCs w:val="21"/>
                    </w:rPr>
                  </w:pPr>
                  <w:r>
                    <w:rPr>
                      <w:rFonts w:hint="eastAsia"/>
                      <w:color w:val="auto"/>
                      <w:sz w:val="21"/>
                      <w:szCs w:val="21"/>
                    </w:rPr>
                    <w:t>1</w:t>
                  </w:r>
                </w:p>
              </w:tc>
            </w:tr>
            <w:tr w14:paraId="22A87D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6B4EE36B">
                  <w:pPr>
                    <w:jc w:val="center"/>
                    <w:rPr>
                      <w:color w:val="auto"/>
                      <w:sz w:val="21"/>
                      <w:szCs w:val="21"/>
                    </w:rPr>
                  </w:pPr>
                </w:p>
              </w:tc>
              <w:tc>
                <w:tcPr>
                  <w:tcW w:w="773" w:type="pct"/>
                  <w:vMerge w:val="continue"/>
                  <w:tcBorders>
                    <w:tl2br w:val="nil"/>
                    <w:tr2bl w:val="nil"/>
                  </w:tcBorders>
                  <w:vAlign w:val="center"/>
                </w:tcPr>
                <w:p w14:paraId="274E1970">
                  <w:pPr>
                    <w:jc w:val="center"/>
                    <w:rPr>
                      <w:color w:val="auto"/>
                      <w:sz w:val="21"/>
                      <w:szCs w:val="21"/>
                    </w:rPr>
                  </w:pPr>
                </w:p>
              </w:tc>
              <w:tc>
                <w:tcPr>
                  <w:tcW w:w="966" w:type="pct"/>
                  <w:tcBorders>
                    <w:tl2br w:val="nil"/>
                    <w:tr2bl w:val="nil"/>
                  </w:tcBorders>
                  <w:vAlign w:val="center"/>
                </w:tcPr>
                <w:p w14:paraId="70E46F06">
                  <w:pPr>
                    <w:jc w:val="center"/>
                    <w:rPr>
                      <w:snapToGrid w:val="0"/>
                      <w:color w:val="auto"/>
                      <w:kern w:val="0"/>
                      <w:sz w:val="21"/>
                      <w:szCs w:val="21"/>
                    </w:rPr>
                  </w:pPr>
                  <w:r>
                    <w:rPr>
                      <w:rFonts w:hint="eastAsia"/>
                      <w:snapToGrid w:val="0"/>
                      <w:color w:val="auto"/>
                      <w:kern w:val="0"/>
                      <w:sz w:val="21"/>
                      <w:szCs w:val="21"/>
                    </w:rPr>
                    <w:t>除尘灰</w:t>
                  </w:r>
                </w:p>
              </w:tc>
              <w:tc>
                <w:tcPr>
                  <w:tcW w:w="1805" w:type="pct"/>
                  <w:vMerge w:val="continue"/>
                  <w:tcBorders>
                    <w:tl2br w:val="nil"/>
                    <w:tr2bl w:val="nil"/>
                  </w:tcBorders>
                  <w:vAlign w:val="center"/>
                </w:tcPr>
                <w:p w14:paraId="0B9B260E">
                  <w:pPr>
                    <w:jc w:val="center"/>
                    <w:rPr>
                      <w:bCs/>
                      <w:color w:val="auto"/>
                      <w:sz w:val="21"/>
                      <w:szCs w:val="21"/>
                    </w:rPr>
                  </w:pPr>
                </w:p>
              </w:tc>
              <w:tc>
                <w:tcPr>
                  <w:tcW w:w="689" w:type="pct"/>
                  <w:vMerge w:val="continue"/>
                  <w:tcBorders>
                    <w:tl2br w:val="nil"/>
                    <w:tr2bl w:val="nil"/>
                  </w:tcBorders>
                  <w:vAlign w:val="center"/>
                </w:tcPr>
                <w:p w14:paraId="7F895877">
                  <w:pPr>
                    <w:jc w:val="center"/>
                    <w:rPr>
                      <w:color w:val="auto"/>
                      <w:sz w:val="21"/>
                      <w:szCs w:val="21"/>
                    </w:rPr>
                  </w:pPr>
                </w:p>
              </w:tc>
            </w:tr>
            <w:tr w14:paraId="3B0CEF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57161C65">
                  <w:pPr>
                    <w:jc w:val="center"/>
                    <w:rPr>
                      <w:color w:val="auto"/>
                      <w:sz w:val="21"/>
                      <w:szCs w:val="21"/>
                    </w:rPr>
                  </w:pPr>
                </w:p>
              </w:tc>
              <w:tc>
                <w:tcPr>
                  <w:tcW w:w="773" w:type="pct"/>
                  <w:vMerge w:val="continue"/>
                  <w:tcBorders>
                    <w:tl2br w:val="nil"/>
                    <w:tr2bl w:val="nil"/>
                  </w:tcBorders>
                  <w:vAlign w:val="center"/>
                </w:tcPr>
                <w:p w14:paraId="2FD21D3C">
                  <w:pPr>
                    <w:jc w:val="center"/>
                    <w:rPr>
                      <w:color w:val="auto"/>
                      <w:sz w:val="21"/>
                      <w:szCs w:val="21"/>
                    </w:rPr>
                  </w:pPr>
                </w:p>
              </w:tc>
              <w:tc>
                <w:tcPr>
                  <w:tcW w:w="966" w:type="pct"/>
                  <w:tcBorders>
                    <w:tl2br w:val="nil"/>
                    <w:tr2bl w:val="nil"/>
                  </w:tcBorders>
                  <w:vAlign w:val="center"/>
                </w:tcPr>
                <w:p w14:paraId="3E2F7F8B">
                  <w:pPr>
                    <w:jc w:val="center"/>
                    <w:rPr>
                      <w:snapToGrid w:val="0"/>
                      <w:color w:val="auto"/>
                      <w:kern w:val="0"/>
                      <w:sz w:val="21"/>
                      <w:szCs w:val="21"/>
                    </w:rPr>
                  </w:pPr>
                  <w:r>
                    <w:rPr>
                      <w:rFonts w:hint="eastAsia"/>
                      <w:snapToGrid w:val="0"/>
                      <w:color w:val="auto"/>
                      <w:kern w:val="0"/>
                      <w:sz w:val="21"/>
                      <w:szCs w:val="21"/>
                    </w:rPr>
                    <w:t>沉淀池沉渣</w:t>
                  </w:r>
                </w:p>
              </w:tc>
              <w:tc>
                <w:tcPr>
                  <w:tcW w:w="1805" w:type="pct"/>
                  <w:vMerge w:val="continue"/>
                  <w:tcBorders>
                    <w:tl2br w:val="nil"/>
                    <w:tr2bl w:val="nil"/>
                  </w:tcBorders>
                  <w:vAlign w:val="center"/>
                </w:tcPr>
                <w:p w14:paraId="6ACE1857">
                  <w:pPr>
                    <w:jc w:val="center"/>
                    <w:rPr>
                      <w:bCs/>
                      <w:color w:val="auto"/>
                      <w:sz w:val="21"/>
                      <w:szCs w:val="21"/>
                    </w:rPr>
                  </w:pPr>
                </w:p>
              </w:tc>
              <w:tc>
                <w:tcPr>
                  <w:tcW w:w="689" w:type="pct"/>
                  <w:vMerge w:val="continue"/>
                  <w:tcBorders>
                    <w:tl2br w:val="nil"/>
                    <w:tr2bl w:val="nil"/>
                  </w:tcBorders>
                  <w:vAlign w:val="center"/>
                </w:tcPr>
                <w:p w14:paraId="527ECD3B">
                  <w:pPr>
                    <w:jc w:val="center"/>
                    <w:rPr>
                      <w:color w:val="auto"/>
                      <w:sz w:val="21"/>
                      <w:szCs w:val="21"/>
                    </w:rPr>
                  </w:pPr>
                </w:p>
              </w:tc>
            </w:tr>
            <w:tr w14:paraId="2915451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59E2A9E2">
                  <w:pPr>
                    <w:jc w:val="center"/>
                    <w:rPr>
                      <w:color w:val="auto"/>
                      <w:sz w:val="21"/>
                      <w:szCs w:val="21"/>
                    </w:rPr>
                  </w:pPr>
                </w:p>
              </w:tc>
              <w:tc>
                <w:tcPr>
                  <w:tcW w:w="773" w:type="pct"/>
                  <w:vMerge w:val="continue"/>
                  <w:tcBorders>
                    <w:tl2br w:val="nil"/>
                    <w:tr2bl w:val="nil"/>
                  </w:tcBorders>
                  <w:vAlign w:val="center"/>
                </w:tcPr>
                <w:p w14:paraId="180E86D3">
                  <w:pPr>
                    <w:jc w:val="center"/>
                    <w:rPr>
                      <w:color w:val="auto"/>
                      <w:sz w:val="21"/>
                      <w:szCs w:val="21"/>
                    </w:rPr>
                  </w:pPr>
                </w:p>
              </w:tc>
              <w:tc>
                <w:tcPr>
                  <w:tcW w:w="966" w:type="pct"/>
                  <w:tcBorders>
                    <w:tl2br w:val="nil"/>
                    <w:tr2bl w:val="nil"/>
                  </w:tcBorders>
                  <w:vAlign w:val="center"/>
                </w:tcPr>
                <w:p w14:paraId="06CF74CD">
                  <w:pPr>
                    <w:jc w:val="center"/>
                    <w:rPr>
                      <w:rFonts w:hint="default" w:eastAsia="宋体"/>
                      <w:snapToGrid w:val="0"/>
                      <w:color w:val="auto"/>
                      <w:kern w:val="0"/>
                      <w:sz w:val="21"/>
                      <w:szCs w:val="21"/>
                      <w:lang w:val="en-US" w:eastAsia="zh-CN"/>
                    </w:rPr>
                  </w:pPr>
                  <w:r>
                    <w:rPr>
                      <w:rFonts w:hint="eastAsia"/>
                      <w:snapToGrid w:val="0"/>
                      <w:color w:val="auto"/>
                      <w:kern w:val="0"/>
                      <w:sz w:val="21"/>
                      <w:szCs w:val="21"/>
                      <w:lang w:val="en-US" w:eastAsia="zh-CN"/>
                    </w:rPr>
                    <w:t>实验室废料</w:t>
                  </w:r>
                </w:p>
              </w:tc>
              <w:tc>
                <w:tcPr>
                  <w:tcW w:w="1805" w:type="pct"/>
                  <w:vMerge w:val="continue"/>
                  <w:tcBorders>
                    <w:tl2br w:val="nil"/>
                    <w:tr2bl w:val="nil"/>
                  </w:tcBorders>
                  <w:vAlign w:val="center"/>
                </w:tcPr>
                <w:p w14:paraId="68A207D0">
                  <w:pPr>
                    <w:jc w:val="center"/>
                    <w:rPr>
                      <w:bCs/>
                      <w:color w:val="auto"/>
                      <w:sz w:val="21"/>
                      <w:szCs w:val="21"/>
                    </w:rPr>
                  </w:pPr>
                </w:p>
              </w:tc>
              <w:tc>
                <w:tcPr>
                  <w:tcW w:w="689" w:type="pct"/>
                  <w:vMerge w:val="continue"/>
                  <w:tcBorders>
                    <w:tl2br w:val="nil"/>
                    <w:tr2bl w:val="nil"/>
                  </w:tcBorders>
                  <w:vAlign w:val="center"/>
                </w:tcPr>
                <w:p w14:paraId="1B9AE4EB">
                  <w:pPr>
                    <w:jc w:val="center"/>
                    <w:rPr>
                      <w:color w:val="auto"/>
                      <w:sz w:val="21"/>
                      <w:szCs w:val="21"/>
                    </w:rPr>
                  </w:pPr>
                </w:p>
              </w:tc>
            </w:tr>
            <w:tr w14:paraId="648D58E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70BA502A">
                  <w:pPr>
                    <w:jc w:val="center"/>
                    <w:rPr>
                      <w:color w:val="auto"/>
                      <w:sz w:val="21"/>
                      <w:szCs w:val="21"/>
                    </w:rPr>
                  </w:pPr>
                </w:p>
              </w:tc>
              <w:tc>
                <w:tcPr>
                  <w:tcW w:w="773" w:type="pct"/>
                  <w:vMerge w:val="continue"/>
                  <w:tcBorders>
                    <w:tl2br w:val="nil"/>
                    <w:tr2bl w:val="nil"/>
                  </w:tcBorders>
                  <w:vAlign w:val="center"/>
                </w:tcPr>
                <w:p w14:paraId="70E85A03">
                  <w:pPr>
                    <w:jc w:val="center"/>
                    <w:rPr>
                      <w:color w:val="auto"/>
                      <w:sz w:val="21"/>
                      <w:szCs w:val="21"/>
                    </w:rPr>
                  </w:pPr>
                </w:p>
              </w:tc>
              <w:tc>
                <w:tcPr>
                  <w:tcW w:w="966" w:type="pct"/>
                  <w:tcBorders>
                    <w:tl2br w:val="nil"/>
                    <w:tr2bl w:val="nil"/>
                  </w:tcBorders>
                  <w:vAlign w:val="center"/>
                </w:tcPr>
                <w:p w14:paraId="23BC8CF8">
                  <w:pPr>
                    <w:jc w:val="center"/>
                    <w:rPr>
                      <w:rFonts w:hint="default"/>
                      <w:snapToGrid w:val="0"/>
                      <w:color w:val="auto"/>
                      <w:kern w:val="0"/>
                      <w:sz w:val="21"/>
                      <w:szCs w:val="21"/>
                      <w:lang w:val="en-US" w:eastAsia="zh-CN"/>
                    </w:rPr>
                  </w:pPr>
                  <w:r>
                    <w:rPr>
                      <w:rFonts w:hint="eastAsia"/>
                      <w:snapToGrid w:val="0"/>
                      <w:color w:val="auto"/>
                      <w:kern w:val="0"/>
                      <w:sz w:val="21"/>
                      <w:szCs w:val="21"/>
                      <w:lang w:val="en-US" w:eastAsia="zh-CN"/>
                    </w:rPr>
                    <w:t>污泥</w:t>
                  </w:r>
                </w:p>
              </w:tc>
              <w:tc>
                <w:tcPr>
                  <w:tcW w:w="1805" w:type="pct"/>
                  <w:tcBorders>
                    <w:tl2br w:val="nil"/>
                    <w:tr2bl w:val="nil"/>
                  </w:tcBorders>
                  <w:vAlign w:val="center"/>
                </w:tcPr>
                <w:p w14:paraId="3174C50B">
                  <w:pPr>
                    <w:jc w:val="left"/>
                    <w:rPr>
                      <w:rFonts w:hint="default" w:eastAsia="宋体"/>
                      <w:bCs/>
                      <w:color w:val="auto"/>
                      <w:sz w:val="21"/>
                      <w:szCs w:val="21"/>
                      <w:lang w:val="en-US" w:eastAsia="zh-CN"/>
                    </w:rPr>
                  </w:pPr>
                  <w:r>
                    <w:rPr>
                      <w:rFonts w:hint="eastAsia"/>
                      <w:bCs/>
                      <w:color w:val="auto"/>
                      <w:sz w:val="21"/>
                      <w:szCs w:val="21"/>
                      <w:lang w:val="en-US" w:eastAsia="zh-CN"/>
                    </w:rPr>
                    <w:t>定期由有资质单位拉运处理</w:t>
                  </w:r>
                </w:p>
              </w:tc>
              <w:tc>
                <w:tcPr>
                  <w:tcW w:w="689" w:type="pct"/>
                  <w:tcBorders>
                    <w:tl2br w:val="nil"/>
                    <w:tr2bl w:val="nil"/>
                  </w:tcBorders>
                  <w:vAlign w:val="center"/>
                </w:tcPr>
                <w:p w14:paraId="7BA6A78D">
                  <w:pPr>
                    <w:jc w:val="center"/>
                    <w:rPr>
                      <w:rFonts w:hint="default" w:eastAsia="宋体"/>
                      <w:color w:val="auto"/>
                      <w:sz w:val="21"/>
                      <w:szCs w:val="21"/>
                      <w:lang w:val="en-US" w:eastAsia="zh-CN"/>
                    </w:rPr>
                  </w:pPr>
                  <w:r>
                    <w:rPr>
                      <w:rFonts w:hint="eastAsia"/>
                      <w:color w:val="auto"/>
                      <w:sz w:val="21"/>
                      <w:szCs w:val="21"/>
                      <w:lang w:val="en-US" w:eastAsia="zh-CN"/>
                    </w:rPr>
                    <w:t>0.5</w:t>
                  </w:r>
                </w:p>
              </w:tc>
            </w:tr>
            <w:tr w14:paraId="1BDD7D9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vMerge w:val="continue"/>
                  <w:tcBorders>
                    <w:tl2br w:val="nil"/>
                    <w:tr2bl w:val="nil"/>
                  </w:tcBorders>
                  <w:vAlign w:val="center"/>
                </w:tcPr>
                <w:p w14:paraId="32BAFDE4">
                  <w:pPr>
                    <w:jc w:val="center"/>
                    <w:rPr>
                      <w:color w:val="auto"/>
                      <w:sz w:val="21"/>
                      <w:szCs w:val="21"/>
                    </w:rPr>
                  </w:pPr>
                </w:p>
              </w:tc>
              <w:tc>
                <w:tcPr>
                  <w:tcW w:w="773" w:type="pct"/>
                  <w:vMerge w:val="continue"/>
                  <w:tcBorders>
                    <w:tl2br w:val="nil"/>
                    <w:tr2bl w:val="nil"/>
                  </w:tcBorders>
                  <w:vAlign w:val="center"/>
                </w:tcPr>
                <w:p w14:paraId="5E83EA2F">
                  <w:pPr>
                    <w:jc w:val="center"/>
                    <w:rPr>
                      <w:color w:val="auto"/>
                      <w:sz w:val="21"/>
                      <w:szCs w:val="21"/>
                    </w:rPr>
                  </w:pPr>
                </w:p>
              </w:tc>
              <w:tc>
                <w:tcPr>
                  <w:tcW w:w="966" w:type="pct"/>
                  <w:tcBorders>
                    <w:tl2br w:val="nil"/>
                    <w:tr2bl w:val="nil"/>
                  </w:tcBorders>
                  <w:vAlign w:val="center"/>
                </w:tcPr>
                <w:p w14:paraId="0D90315E">
                  <w:pPr>
                    <w:jc w:val="center"/>
                    <w:rPr>
                      <w:snapToGrid w:val="0"/>
                      <w:color w:val="auto"/>
                      <w:kern w:val="0"/>
                      <w:sz w:val="21"/>
                      <w:szCs w:val="21"/>
                    </w:rPr>
                  </w:pPr>
                  <w:r>
                    <w:rPr>
                      <w:rFonts w:hint="eastAsia"/>
                      <w:snapToGrid w:val="0"/>
                      <w:color w:val="auto"/>
                      <w:kern w:val="0"/>
                      <w:sz w:val="21"/>
                      <w:szCs w:val="21"/>
                    </w:rPr>
                    <w:t>废机油</w:t>
                  </w:r>
                </w:p>
              </w:tc>
              <w:tc>
                <w:tcPr>
                  <w:tcW w:w="1805" w:type="pct"/>
                  <w:tcBorders>
                    <w:tl2br w:val="nil"/>
                    <w:tr2bl w:val="nil"/>
                  </w:tcBorders>
                  <w:vAlign w:val="center"/>
                </w:tcPr>
                <w:p w14:paraId="53660328">
                  <w:pPr>
                    <w:jc w:val="both"/>
                    <w:rPr>
                      <w:bCs/>
                      <w:color w:val="auto"/>
                      <w:sz w:val="21"/>
                      <w:szCs w:val="21"/>
                    </w:rPr>
                  </w:pPr>
                  <w:r>
                    <w:rPr>
                      <w:rFonts w:hint="eastAsia"/>
                      <w:bCs/>
                      <w:color w:val="auto"/>
                      <w:sz w:val="21"/>
                      <w:szCs w:val="21"/>
                    </w:rPr>
                    <w:t>10m</w:t>
                  </w:r>
                  <w:r>
                    <w:rPr>
                      <w:rFonts w:hint="eastAsia"/>
                      <w:bCs/>
                      <w:color w:val="auto"/>
                      <w:sz w:val="21"/>
                      <w:szCs w:val="21"/>
                      <w:vertAlign w:val="superscript"/>
                      <w:lang w:val="en-US" w:eastAsia="zh-CN"/>
                    </w:rPr>
                    <w:t>2</w:t>
                  </w:r>
                  <w:r>
                    <w:rPr>
                      <w:rFonts w:hint="eastAsia"/>
                      <w:bCs/>
                      <w:color w:val="auto"/>
                      <w:sz w:val="21"/>
                      <w:szCs w:val="21"/>
                    </w:rPr>
                    <w:t>危废暂存间</w:t>
                  </w:r>
                </w:p>
              </w:tc>
              <w:tc>
                <w:tcPr>
                  <w:tcW w:w="689" w:type="pct"/>
                  <w:tcBorders>
                    <w:tl2br w:val="nil"/>
                    <w:tr2bl w:val="nil"/>
                  </w:tcBorders>
                  <w:vAlign w:val="center"/>
                </w:tcPr>
                <w:p w14:paraId="73A699EC">
                  <w:pPr>
                    <w:jc w:val="center"/>
                    <w:rPr>
                      <w:rFonts w:hint="default" w:eastAsia="宋体"/>
                      <w:color w:val="auto"/>
                      <w:sz w:val="21"/>
                      <w:szCs w:val="21"/>
                      <w:lang w:val="en-US" w:eastAsia="zh-CN"/>
                    </w:rPr>
                  </w:pPr>
                  <w:r>
                    <w:rPr>
                      <w:rFonts w:hint="eastAsia"/>
                      <w:color w:val="auto"/>
                      <w:sz w:val="21"/>
                      <w:szCs w:val="21"/>
                      <w:lang w:val="en-US" w:eastAsia="zh-CN"/>
                    </w:rPr>
                    <w:t>2</w:t>
                  </w:r>
                </w:p>
              </w:tc>
            </w:tr>
            <w:tr w14:paraId="38E57A3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tcBorders>
                    <w:tl2br w:val="nil"/>
                    <w:tr2bl w:val="nil"/>
                  </w:tcBorders>
                  <w:vAlign w:val="center"/>
                </w:tcPr>
                <w:p w14:paraId="74D967F5">
                  <w:pPr>
                    <w:jc w:val="center"/>
                    <w:rPr>
                      <w:rFonts w:hint="eastAsia" w:eastAsia="宋体"/>
                      <w:color w:val="auto"/>
                      <w:sz w:val="21"/>
                      <w:szCs w:val="21"/>
                      <w:lang w:val="en-US" w:eastAsia="zh-CN"/>
                    </w:rPr>
                  </w:pPr>
                  <w:r>
                    <w:rPr>
                      <w:rFonts w:hint="eastAsia"/>
                      <w:color w:val="auto"/>
                      <w:sz w:val="21"/>
                      <w:szCs w:val="21"/>
                      <w:lang w:val="en-US" w:eastAsia="zh-CN"/>
                    </w:rPr>
                    <w:t>5</w:t>
                  </w:r>
                </w:p>
              </w:tc>
              <w:tc>
                <w:tcPr>
                  <w:tcW w:w="3545" w:type="pct"/>
                  <w:gridSpan w:val="3"/>
                  <w:tcBorders>
                    <w:tl2br w:val="nil"/>
                    <w:tr2bl w:val="nil"/>
                  </w:tcBorders>
                  <w:vAlign w:val="center"/>
                </w:tcPr>
                <w:p w14:paraId="2E920601">
                  <w:pPr>
                    <w:jc w:val="center"/>
                    <w:rPr>
                      <w:rFonts w:hint="eastAsia" w:eastAsia="宋体"/>
                      <w:bCs/>
                      <w:color w:val="auto"/>
                      <w:sz w:val="21"/>
                      <w:szCs w:val="21"/>
                      <w:lang w:val="en-US" w:eastAsia="zh-CN"/>
                    </w:rPr>
                  </w:pPr>
                  <w:r>
                    <w:rPr>
                      <w:rFonts w:hint="eastAsia"/>
                      <w:bCs/>
                      <w:color w:val="auto"/>
                      <w:sz w:val="21"/>
                      <w:szCs w:val="21"/>
                      <w:lang w:val="en-US" w:eastAsia="zh-CN"/>
                    </w:rPr>
                    <w:t>厂区绿化</w:t>
                  </w:r>
                </w:p>
              </w:tc>
              <w:tc>
                <w:tcPr>
                  <w:tcW w:w="689" w:type="pct"/>
                  <w:tcBorders>
                    <w:tl2br w:val="nil"/>
                    <w:tr2bl w:val="nil"/>
                  </w:tcBorders>
                  <w:vAlign w:val="center"/>
                </w:tcPr>
                <w:p w14:paraId="7EE8F19C">
                  <w:pPr>
                    <w:jc w:val="center"/>
                    <w:rPr>
                      <w:rFonts w:hint="default"/>
                      <w:color w:val="auto"/>
                      <w:sz w:val="21"/>
                      <w:szCs w:val="21"/>
                      <w:lang w:val="en-US" w:eastAsia="zh-CN"/>
                    </w:rPr>
                  </w:pPr>
                  <w:r>
                    <w:rPr>
                      <w:rFonts w:hint="eastAsia"/>
                      <w:color w:val="auto"/>
                      <w:sz w:val="21"/>
                      <w:szCs w:val="21"/>
                      <w:lang w:val="en-US" w:eastAsia="zh-CN"/>
                    </w:rPr>
                    <w:t>5</w:t>
                  </w:r>
                </w:p>
              </w:tc>
            </w:tr>
            <w:tr w14:paraId="279BAC8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tcBorders>
                    <w:tl2br w:val="nil"/>
                    <w:tr2bl w:val="nil"/>
                  </w:tcBorders>
                  <w:vAlign w:val="center"/>
                </w:tcPr>
                <w:p w14:paraId="788F6792">
                  <w:pPr>
                    <w:jc w:val="center"/>
                    <w:rPr>
                      <w:rFonts w:hint="default"/>
                      <w:color w:val="auto"/>
                      <w:sz w:val="21"/>
                      <w:szCs w:val="21"/>
                      <w:lang w:val="en-US" w:eastAsia="zh-CN"/>
                    </w:rPr>
                  </w:pPr>
                  <w:r>
                    <w:rPr>
                      <w:rFonts w:hint="eastAsia"/>
                      <w:color w:val="auto"/>
                      <w:sz w:val="21"/>
                      <w:szCs w:val="21"/>
                      <w:lang w:val="en-US" w:eastAsia="zh-CN"/>
                    </w:rPr>
                    <w:t>6</w:t>
                  </w:r>
                </w:p>
              </w:tc>
              <w:tc>
                <w:tcPr>
                  <w:tcW w:w="3545" w:type="pct"/>
                  <w:gridSpan w:val="3"/>
                  <w:tcBorders>
                    <w:tl2br w:val="nil"/>
                    <w:tr2bl w:val="nil"/>
                  </w:tcBorders>
                  <w:vAlign w:val="center"/>
                </w:tcPr>
                <w:p w14:paraId="74A11221">
                  <w:pPr>
                    <w:jc w:val="center"/>
                    <w:rPr>
                      <w:rFonts w:hint="default"/>
                      <w:bCs/>
                      <w:color w:val="auto"/>
                      <w:sz w:val="21"/>
                      <w:szCs w:val="21"/>
                      <w:lang w:val="en-US" w:eastAsia="zh-CN"/>
                    </w:rPr>
                  </w:pPr>
                  <w:r>
                    <w:rPr>
                      <w:rFonts w:hint="eastAsia"/>
                      <w:bCs/>
                      <w:color w:val="auto"/>
                      <w:sz w:val="21"/>
                      <w:szCs w:val="21"/>
                      <w:lang w:val="en-US" w:eastAsia="zh-CN"/>
                    </w:rPr>
                    <w:t>土地复垦</w:t>
                  </w:r>
                </w:p>
              </w:tc>
              <w:tc>
                <w:tcPr>
                  <w:tcW w:w="689" w:type="pct"/>
                  <w:tcBorders>
                    <w:tl2br w:val="nil"/>
                    <w:tr2bl w:val="nil"/>
                  </w:tcBorders>
                  <w:vAlign w:val="center"/>
                </w:tcPr>
                <w:p w14:paraId="5F5ADE67">
                  <w:pPr>
                    <w:jc w:val="center"/>
                    <w:rPr>
                      <w:rFonts w:hint="default"/>
                      <w:color w:val="auto"/>
                      <w:sz w:val="21"/>
                      <w:szCs w:val="21"/>
                      <w:highlight w:val="none"/>
                      <w:lang w:val="en-US" w:eastAsia="zh-CN"/>
                    </w:rPr>
                  </w:pPr>
                  <w:r>
                    <w:rPr>
                      <w:rFonts w:hint="eastAsia"/>
                      <w:color w:val="auto"/>
                      <w:sz w:val="21"/>
                      <w:szCs w:val="21"/>
                      <w:highlight w:val="none"/>
                      <w:lang w:val="en-US" w:eastAsia="zh-CN"/>
                    </w:rPr>
                    <w:t>20.46</w:t>
                  </w:r>
                </w:p>
              </w:tc>
            </w:tr>
            <w:tr w14:paraId="2E48DF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765" w:type="pct"/>
                  <w:tcBorders>
                    <w:tl2br w:val="nil"/>
                    <w:tr2bl w:val="nil"/>
                  </w:tcBorders>
                  <w:vAlign w:val="center"/>
                </w:tcPr>
                <w:p w14:paraId="63118A06">
                  <w:pPr>
                    <w:jc w:val="center"/>
                    <w:rPr>
                      <w:color w:val="auto"/>
                      <w:sz w:val="21"/>
                      <w:szCs w:val="21"/>
                    </w:rPr>
                  </w:pPr>
                  <w:r>
                    <w:rPr>
                      <w:rFonts w:hint="eastAsia"/>
                      <w:color w:val="auto"/>
                      <w:sz w:val="21"/>
                      <w:szCs w:val="21"/>
                    </w:rPr>
                    <w:t>合计</w:t>
                  </w:r>
                </w:p>
              </w:tc>
              <w:tc>
                <w:tcPr>
                  <w:tcW w:w="3545" w:type="pct"/>
                  <w:gridSpan w:val="3"/>
                  <w:tcBorders>
                    <w:tl2br w:val="nil"/>
                    <w:tr2bl w:val="nil"/>
                  </w:tcBorders>
                  <w:vAlign w:val="center"/>
                </w:tcPr>
                <w:p w14:paraId="2BEEDE7C">
                  <w:pPr>
                    <w:jc w:val="center"/>
                    <w:rPr>
                      <w:bCs/>
                      <w:color w:val="auto"/>
                      <w:sz w:val="21"/>
                      <w:szCs w:val="21"/>
                    </w:rPr>
                  </w:pPr>
                  <w:r>
                    <w:rPr>
                      <w:rFonts w:hint="eastAsia"/>
                      <w:bCs/>
                      <w:color w:val="auto"/>
                      <w:sz w:val="21"/>
                      <w:szCs w:val="21"/>
                    </w:rPr>
                    <w:t>/</w:t>
                  </w:r>
                </w:p>
              </w:tc>
              <w:tc>
                <w:tcPr>
                  <w:tcW w:w="689" w:type="pct"/>
                  <w:tcBorders>
                    <w:tl2br w:val="nil"/>
                    <w:tr2bl w:val="nil"/>
                  </w:tcBorders>
                  <w:vAlign w:val="center"/>
                </w:tcPr>
                <w:p w14:paraId="3C88B77D">
                  <w:pPr>
                    <w:jc w:val="center"/>
                    <w:rPr>
                      <w:rFonts w:hint="default" w:eastAsia="宋体"/>
                      <w:color w:val="auto"/>
                      <w:sz w:val="21"/>
                      <w:szCs w:val="21"/>
                      <w:lang w:val="en-US" w:eastAsia="zh-CN"/>
                    </w:rPr>
                  </w:pPr>
                  <w:r>
                    <w:rPr>
                      <w:rFonts w:hint="eastAsia"/>
                      <w:color w:val="auto"/>
                      <w:sz w:val="21"/>
                      <w:szCs w:val="21"/>
                      <w:lang w:val="en-US" w:eastAsia="zh-CN"/>
                    </w:rPr>
                    <w:t>76.46</w:t>
                  </w:r>
                </w:p>
              </w:tc>
            </w:tr>
          </w:tbl>
          <w:p w14:paraId="4D0DA953">
            <w:pPr>
              <w:spacing w:line="360" w:lineRule="auto"/>
              <w:rPr>
                <w:b/>
                <w:bCs/>
                <w:color w:val="auto"/>
                <w:sz w:val="24"/>
                <w:highlight w:val="none"/>
              </w:rPr>
            </w:pPr>
            <w:r>
              <w:rPr>
                <w:rFonts w:hint="eastAsia"/>
                <w:b/>
                <w:bCs/>
                <w:color w:val="auto"/>
                <w:sz w:val="24"/>
                <w:highlight w:val="none"/>
                <w:lang w:val="en-US" w:eastAsia="zh-CN"/>
              </w:rPr>
              <w:t>11.</w:t>
            </w:r>
            <w:r>
              <w:rPr>
                <w:b/>
                <w:bCs/>
                <w:color w:val="auto"/>
                <w:sz w:val="24"/>
                <w:highlight w:val="none"/>
              </w:rPr>
              <w:t>建设项目竣工环保验收</w:t>
            </w:r>
          </w:p>
          <w:p w14:paraId="0A5D84CC">
            <w:pPr>
              <w:topLinePunct/>
              <w:adjustRightInd w:val="0"/>
              <w:snapToGrid w:val="0"/>
              <w:spacing w:line="360" w:lineRule="auto"/>
              <w:ind w:firstLine="480" w:firstLineChars="200"/>
              <w:jc w:val="left"/>
              <w:rPr>
                <w:color w:val="auto"/>
                <w:sz w:val="21"/>
                <w:szCs w:val="21"/>
                <w:highlight w:val="none"/>
              </w:rPr>
            </w:pPr>
            <w:r>
              <w:rPr>
                <w:color w:val="auto"/>
                <w:kern w:val="0"/>
                <w:sz w:val="24"/>
                <w:highlight w:val="none"/>
              </w:rPr>
              <w:t>建设项目竣工环保“三同时”验收内容具体见表</w:t>
            </w:r>
            <w:r>
              <w:rPr>
                <w:rFonts w:hint="eastAsia"/>
                <w:color w:val="auto"/>
                <w:kern w:val="0"/>
                <w:sz w:val="24"/>
                <w:highlight w:val="none"/>
                <w:lang w:val="en-US" w:eastAsia="zh-CN"/>
              </w:rPr>
              <w:t>4-19</w:t>
            </w:r>
            <w:r>
              <w:rPr>
                <w:color w:val="auto"/>
                <w:kern w:val="0"/>
                <w:sz w:val="24"/>
                <w:highlight w:val="none"/>
              </w:rPr>
              <w:t>。</w:t>
            </w:r>
          </w:p>
          <w:p w14:paraId="672E8A57">
            <w:pPr>
              <w:pStyle w:val="6"/>
              <w:spacing w:line="240" w:lineRule="auto"/>
              <w:rPr>
                <w:color w:val="auto"/>
                <w:sz w:val="21"/>
                <w:szCs w:val="21"/>
                <w:highlight w:val="none"/>
              </w:rPr>
            </w:pPr>
            <w:r>
              <w:rPr>
                <w:color w:val="auto"/>
                <w:sz w:val="21"/>
                <w:szCs w:val="21"/>
                <w:highlight w:val="none"/>
              </w:rPr>
              <w:t>表</w:t>
            </w:r>
            <w:r>
              <w:rPr>
                <w:rFonts w:hint="eastAsia"/>
                <w:color w:val="auto"/>
                <w:sz w:val="21"/>
                <w:szCs w:val="21"/>
                <w:highlight w:val="none"/>
                <w:lang w:val="en-US" w:eastAsia="zh-CN"/>
              </w:rPr>
              <w:t>4-19</w:t>
            </w:r>
            <w:r>
              <w:rPr>
                <w:color w:val="auto"/>
                <w:sz w:val="21"/>
                <w:szCs w:val="21"/>
                <w:highlight w:val="none"/>
              </w:rPr>
              <w:t xml:space="preserve">  环保“三同时”验收一览表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739"/>
              <w:gridCol w:w="1105"/>
              <w:gridCol w:w="1409"/>
              <w:gridCol w:w="2854"/>
              <w:gridCol w:w="1377"/>
            </w:tblGrid>
            <w:tr w14:paraId="1A03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84" w:type="pct"/>
                  <w:vAlign w:val="center"/>
                </w:tcPr>
                <w:p w14:paraId="2FAEA95D">
                  <w:pPr>
                    <w:pStyle w:val="54"/>
                    <w:spacing w:line="240" w:lineRule="auto"/>
                    <w:rPr>
                      <w:b/>
                      <w:bCs/>
                      <w:color w:val="auto"/>
                      <w:highlight w:val="none"/>
                    </w:rPr>
                  </w:pPr>
                  <w:r>
                    <w:rPr>
                      <w:b/>
                      <w:bCs/>
                      <w:color w:val="auto"/>
                      <w:highlight w:val="none"/>
                    </w:rPr>
                    <w:t>序号</w:t>
                  </w:r>
                </w:p>
              </w:tc>
              <w:tc>
                <w:tcPr>
                  <w:tcW w:w="465" w:type="pct"/>
                  <w:vAlign w:val="center"/>
                </w:tcPr>
                <w:p w14:paraId="167EE7E3">
                  <w:pPr>
                    <w:pStyle w:val="54"/>
                    <w:spacing w:line="240" w:lineRule="auto"/>
                    <w:rPr>
                      <w:b/>
                      <w:bCs/>
                      <w:color w:val="auto"/>
                      <w:highlight w:val="none"/>
                    </w:rPr>
                  </w:pPr>
                  <w:r>
                    <w:rPr>
                      <w:b/>
                      <w:bCs/>
                      <w:color w:val="auto"/>
                      <w:spacing w:val="-6"/>
                      <w:highlight w:val="none"/>
                    </w:rPr>
                    <w:t>污染源分类</w:t>
                  </w:r>
                </w:p>
              </w:tc>
              <w:tc>
                <w:tcPr>
                  <w:tcW w:w="696" w:type="pct"/>
                  <w:vAlign w:val="center"/>
                </w:tcPr>
                <w:p w14:paraId="74CB4502">
                  <w:pPr>
                    <w:pStyle w:val="54"/>
                    <w:spacing w:line="240" w:lineRule="auto"/>
                    <w:rPr>
                      <w:b/>
                      <w:bCs/>
                      <w:color w:val="auto"/>
                      <w:highlight w:val="none"/>
                    </w:rPr>
                  </w:pPr>
                  <w:r>
                    <w:rPr>
                      <w:b/>
                      <w:bCs/>
                      <w:color w:val="auto"/>
                      <w:highlight w:val="none"/>
                    </w:rPr>
                    <w:t>验收监测因子</w:t>
                  </w:r>
                </w:p>
              </w:tc>
              <w:tc>
                <w:tcPr>
                  <w:tcW w:w="887" w:type="pct"/>
                  <w:vAlign w:val="center"/>
                </w:tcPr>
                <w:p w14:paraId="3C1AE57D">
                  <w:pPr>
                    <w:pStyle w:val="54"/>
                    <w:spacing w:line="240" w:lineRule="auto"/>
                    <w:rPr>
                      <w:b/>
                      <w:bCs/>
                      <w:color w:val="auto"/>
                      <w:highlight w:val="none"/>
                    </w:rPr>
                  </w:pPr>
                  <w:r>
                    <w:rPr>
                      <w:b/>
                      <w:bCs/>
                      <w:color w:val="auto"/>
                      <w:highlight w:val="none"/>
                    </w:rPr>
                    <w:t>环保措施</w:t>
                  </w:r>
                </w:p>
              </w:tc>
              <w:tc>
                <w:tcPr>
                  <w:tcW w:w="1798" w:type="pct"/>
                  <w:vAlign w:val="center"/>
                </w:tcPr>
                <w:p w14:paraId="70E189E2">
                  <w:pPr>
                    <w:pStyle w:val="54"/>
                    <w:spacing w:line="240" w:lineRule="auto"/>
                    <w:rPr>
                      <w:rFonts w:hint="eastAsia" w:eastAsia="宋体"/>
                      <w:b/>
                      <w:bCs/>
                      <w:color w:val="auto"/>
                      <w:highlight w:val="none"/>
                      <w:lang w:eastAsia="zh-CN"/>
                    </w:rPr>
                  </w:pPr>
                  <w:r>
                    <w:rPr>
                      <w:rFonts w:hint="eastAsia"/>
                      <w:b/>
                      <w:bCs/>
                      <w:color w:val="auto"/>
                      <w:highlight w:val="none"/>
                      <w:lang w:val="en-US" w:eastAsia="zh-CN"/>
                    </w:rPr>
                    <w:t>执行标准</w:t>
                  </w:r>
                </w:p>
              </w:tc>
              <w:tc>
                <w:tcPr>
                  <w:tcW w:w="867" w:type="pct"/>
                  <w:vAlign w:val="center"/>
                </w:tcPr>
                <w:p w14:paraId="176045AC">
                  <w:pPr>
                    <w:pStyle w:val="54"/>
                    <w:spacing w:line="240" w:lineRule="auto"/>
                    <w:rPr>
                      <w:rFonts w:hint="eastAsia" w:eastAsia="宋体"/>
                      <w:b/>
                      <w:bCs/>
                      <w:color w:val="auto"/>
                      <w:highlight w:val="none"/>
                      <w:lang w:val="en-US" w:eastAsia="zh-CN"/>
                    </w:rPr>
                  </w:pPr>
                  <w:r>
                    <w:rPr>
                      <w:rFonts w:hint="eastAsia"/>
                      <w:b/>
                      <w:bCs/>
                      <w:color w:val="auto"/>
                      <w:highlight w:val="none"/>
                      <w:lang w:val="en-US" w:eastAsia="zh-CN"/>
                    </w:rPr>
                    <w:t>排放限值</w:t>
                  </w:r>
                </w:p>
              </w:tc>
            </w:tr>
            <w:tr w14:paraId="2790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restart"/>
                  <w:vAlign w:val="center"/>
                </w:tcPr>
                <w:p w14:paraId="51FE5EED">
                  <w:pPr>
                    <w:pStyle w:val="54"/>
                    <w:spacing w:line="240" w:lineRule="auto"/>
                    <w:rPr>
                      <w:color w:val="auto"/>
                      <w:highlight w:val="none"/>
                    </w:rPr>
                  </w:pPr>
                  <w:r>
                    <w:rPr>
                      <w:color w:val="auto"/>
                      <w:highlight w:val="none"/>
                    </w:rPr>
                    <w:t>1</w:t>
                  </w:r>
                </w:p>
              </w:tc>
              <w:tc>
                <w:tcPr>
                  <w:tcW w:w="465" w:type="pct"/>
                  <w:vAlign w:val="center"/>
                </w:tcPr>
                <w:p w14:paraId="3B6FAC17">
                  <w:pPr>
                    <w:pStyle w:val="54"/>
                    <w:spacing w:line="240" w:lineRule="auto"/>
                    <w:rPr>
                      <w:rFonts w:hint="default" w:eastAsia="宋体"/>
                      <w:color w:val="auto"/>
                      <w:highlight w:val="none"/>
                      <w:lang w:val="en-US" w:eastAsia="zh-CN"/>
                    </w:rPr>
                  </w:pPr>
                  <w:r>
                    <w:rPr>
                      <w:rFonts w:hint="eastAsia"/>
                      <w:color w:val="auto"/>
                      <w:highlight w:val="none"/>
                      <w:lang w:val="en-US" w:eastAsia="zh-CN"/>
                    </w:rPr>
                    <w:t>搅拌粉尘</w:t>
                  </w:r>
                </w:p>
              </w:tc>
              <w:tc>
                <w:tcPr>
                  <w:tcW w:w="696" w:type="pct"/>
                  <w:vAlign w:val="center"/>
                </w:tcPr>
                <w:p w14:paraId="7F856ABB">
                  <w:pPr>
                    <w:pStyle w:val="54"/>
                    <w:spacing w:line="240" w:lineRule="auto"/>
                    <w:rPr>
                      <w:rFonts w:hint="eastAsia" w:ascii="Times New Roman" w:hAnsi="Times New Roman" w:eastAsia="宋体" w:cs="Times New Roman"/>
                      <w:snapToGrid w:val="0"/>
                      <w:color w:val="auto"/>
                      <w:kern w:val="2"/>
                      <w:sz w:val="21"/>
                      <w:szCs w:val="21"/>
                      <w:highlight w:val="none"/>
                      <w:lang w:val="en-US" w:eastAsia="zh-CN" w:bidi="ar-SA"/>
                    </w:rPr>
                  </w:pPr>
                  <w:r>
                    <w:rPr>
                      <w:rFonts w:hint="eastAsia"/>
                      <w:color w:val="auto"/>
                      <w:highlight w:val="none"/>
                      <w:lang w:val="en-US" w:eastAsia="zh-CN"/>
                    </w:rPr>
                    <w:t>颗粒物</w:t>
                  </w:r>
                </w:p>
              </w:tc>
              <w:tc>
                <w:tcPr>
                  <w:tcW w:w="887" w:type="pct"/>
                  <w:vAlign w:val="center"/>
                </w:tcPr>
                <w:p w14:paraId="7366DFBB">
                  <w:pPr>
                    <w:pStyle w:val="54"/>
                    <w:spacing w:line="240" w:lineRule="auto"/>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Cs w:val="21"/>
                      <w:highlight w:val="none"/>
                      <w:lang w:val="en-US" w:eastAsia="zh-CN"/>
                    </w:rPr>
                    <w:t>集气罩</w:t>
                  </w:r>
                  <w:r>
                    <w:rPr>
                      <w:rFonts w:hint="default" w:ascii="Times New Roman" w:hAnsi="Times New Roman" w:cs="Times New Roman"/>
                      <w:color w:val="auto"/>
                      <w:szCs w:val="21"/>
                      <w:highlight w:val="none"/>
                    </w:rPr>
                    <w:t>（集气效率</w:t>
                  </w:r>
                  <w:r>
                    <w:rPr>
                      <w:rFonts w:hint="eastAsia" w:cs="Times New Roman"/>
                      <w:color w:val="auto"/>
                      <w:szCs w:val="21"/>
                      <w:highlight w:val="none"/>
                      <w:lang w:val="en-US" w:eastAsia="zh-CN"/>
                    </w:rPr>
                    <w:t>100%</w:t>
                  </w:r>
                  <w:r>
                    <w:rPr>
                      <w:rFonts w:hint="default" w:ascii="Times New Roman" w:hAnsi="Times New Roman" w:cs="Times New Roman"/>
                      <w:color w:val="auto"/>
                      <w:szCs w:val="21"/>
                      <w:highlight w:val="none"/>
                    </w:rPr>
                    <w:t>）+</w:t>
                  </w:r>
                  <w:r>
                    <w:rPr>
                      <w:rFonts w:hint="eastAsia" w:eastAsia="宋体" w:cs="Times New Roman"/>
                      <w:color w:val="auto"/>
                      <w:szCs w:val="21"/>
                      <w:highlight w:val="none"/>
                      <w:lang w:val="en-US" w:eastAsia="zh-CN"/>
                    </w:rPr>
                    <w:t>脉冲</w:t>
                  </w:r>
                  <w:r>
                    <w:rPr>
                      <w:rFonts w:hint="default" w:ascii="Times New Roman" w:hAnsi="Times New Roman" w:cs="Times New Roman"/>
                      <w:color w:val="auto"/>
                      <w:szCs w:val="21"/>
                      <w:highlight w:val="none"/>
                    </w:rPr>
                    <w:t>布袋除尘（处理效率9</w:t>
                  </w:r>
                  <w:r>
                    <w:rPr>
                      <w:rFonts w:hint="eastAsia" w:cs="Times New Roman"/>
                      <w:color w:val="auto"/>
                      <w:szCs w:val="21"/>
                      <w:highlight w:val="none"/>
                      <w:lang w:val="en-US" w:eastAsia="zh-CN"/>
                    </w:rPr>
                    <w:t>9.7</w:t>
                  </w:r>
                  <w:r>
                    <w:rPr>
                      <w:rFonts w:hint="default" w:ascii="Times New Roman" w:hAnsi="Times New Roman" w:cs="Times New Roman"/>
                      <w:color w:val="auto"/>
                      <w:szCs w:val="21"/>
                      <w:highlight w:val="none"/>
                    </w:rPr>
                    <w:t>%）+15m排气筒</w:t>
                  </w:r>
                  <w:r>
                    <w:rPr>
                      <w:rFonts w:hint="eastAsia" w:cs="Times New Roman"/>
                      <w:color w:val="auto"/>
                      <w:szCs w:val="21"/>
                      <w:highlight w:val="none"/>
                      <w:lang w:val="en-US" w:eastAsia="zh-CN"/>
                    </w:rPr>
                    <w:t>(DA001)</w:t>
                  </w:r>
                </w:p>
              </w:tc>
              <w:tc>
                <w:tcPr>
                  <w:tcW w:w="1798" w:type="pct"/>
                  <w:vAlign w:val="center"/>
                </w:tcPr>
                <w:p w14:paraId="3459AC23">
                  <w:pPr>
                    <w:adjustRightInd w:val="0"/>
                    <w:snapToGrid w:val="0"/>
                    <w:spacing w:line="240" w:lineRule="auto"/>
                    <w:jc w:val="center"/>
                    <w:rPr>
                      <w:rFonts w:ascii="Times New Roman" w:hAnsi="Times New Roman" w:eastAsia="宋体" w:cs="Times New Roman"/>
                      <w:snapToGrid w:val="0"/>
                      <w:color w:val="auto"/>
                      <w:kern w:val="2"/>
                      <w:sz w:val="21"/>
                      <w:szCs w:val="21"/>
                      <w:highlight w:val="none"/>
                      <w:lang w:val="en-US" w:eastAsia="zh-CN" w:bidi="ar-SA"/>
                    </w:rPr>
                  </w:pPr>
                  <w:r>
                    <w:rPr>
                      <w:rFonts w:hint="eastAsia"/>
                      <w:color w:val="auto"/>
                      <w:spacing w:val="0"/>
                      <w:sz w:val="21"/>
                      <w:szCs w:val="21"/>
                    </w:rPr>
                    <w:t>《水泥工业大气污染物排放标准》（GB4915-2013）表</w:t>
                  </w:r>
                  <w:r>
                    <w:rPr>
                      <w:rFonts w:hint="eastAsia"/>
                      <w:color w:val="auto"/>
                      <w:spacing w:val="0"/>
                      <w:sz w:val="21"/>
                      <w:szCs w:val="21"/>
                      <w:lang w:val="en-US" w:eastAsia="zh-CN"/>
                    </w:rPr>
                    <w:t>1</w:t>
                  </w:r>
                  <w:r>
                    <w:rPr>
                      <w:rFonts w:hint="eastAsia"/>
                      <w:color w:val="auto"/>
                      <w:spacing w:val="0"/>
                      <w:sz w:val="21"/>
                      <w:szCs w:val="21"/>
                    </w:rPr>
                    <w:t>大气污染物排放限值</w:t>
                  </w:r>
                </w:p>
              </w:tc>
              <w:tc>
                <w:tcPr>
                  <w:tcW w:w="867" w:type="pct"/>
                  <w:vAlign w:val="center"/>
                </w:tcPr>
                <w:p w14:paraId="784D3525">
                  <w:pPr>
                    <w:adjustRightInd w:val="0"/>
                    <w:snapToGrid w:val="0"/>
                    <w:spacing w:line="240" w:lineRule="auto"/>
                    <w:jc w:val="center"/>
                    <w:rPr>
                      <w:rFonts w:hint="default" w:ascii="Times New Roman" w:hAnsi="Times New Roman" w:cs="Times New Roman"/>
                      <w:snapToGrid w:val="0"/>
                      <w:color w:val="auto"/>
                      <w:kern w:val="0"/>
                      <w:szCs w:val="21"/>
                      <w:highlight w:val="none"/>
                    </w:rPr>
                  </w:pPr>
                  <w:r>
                    <w:rPr>
                      <w:rFonts w:hint="eastAsia" w:ascii="TimesNewRomanPSMT" w:hAnsi="TimesNewRomanPSMT" w:eastAsia="宋体" w:cs="TimesNewRomanPSMT"/>
                      <w:b w:val="0"/>
                      <w:bCs w:val="0"/>
                      <w:color w:val="000000"/>
                      <w:sz w:val="20"/>
                      <w:szCs w:val="20"/>
                      <w:lang w:val="en-US" w:eastAsia="zh-CN"/>
                    </w:rPr>
                    <w:t>20</w:t>
                  </w:r>
                  <w:r>
                    <w:rPr>
                      <w:rFonts w:ascii="TimesNewRomanPSMT" w:hAnsi="TimesNewRomanPSMT" w:eastAsia="TimesNewRomanPSMT" w:cs="TimesNewRomanPSMT"/>
                      <w:b w:val="0"/>
                      <w:bCs w:val="0"/>
                      <w:color w:val="000000"/>
                      <w:sz w:val="20"/>
                      <w:szCs w:val="20"/>
                    </w:rPr>
                    <w:t>mg/m</w:t>
                  </w:r>
                  <w:r>
                    <w:rPr>
                      <w:rFonts w:hint="default" w:ascii="TimesNewRomanPSMT" w:hAnsi="TimesNewRomanPSMT" w:eastAsia="TimesNewRomanPSMT" w:cs="TimesNewRomanPSMT"/>
                      <w:b w:val="0"/>
                      <w:bCs w:val="0"/>
                      <w:color w:val="000000"/>
                      <w:sz w:val="18"/>
                      <w:szCs w:val="18"/>
                      <w:vertAlign w:val="superscript"/>
                    </w:rPr>
                    <w:t>3</w:t>
                  </w:r>
                  <w:r>
                    <w:rPr>
                      <w:rFonts w:hint="default" w:ascii="TimesNewRomanPSMT" w:hAnsi="TimesNewRomanPSMT" w:eastAsia="TimesNewRomanPSMT" w:cs="TimesNewRomanPSMT"/>
                      <w:b w:val="0"/>
                      <w:bCs w:val="0"/>
                      <w:color w:val="000000"/>
                      <w:sz w:val="18"/>
                      <w:szCs w:val="18"/>
                    </w:rPr>
                    <w:t xml:space="preserve"> </w:t>
                  </w:r>
                </w:p>
              </w:tc>
            </w:tr>
            <w:tr w14:paraId="7770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 w:type="pct"/>
                  <w:vMerge w:val="continue"/>
                  <w:vAlign w:val="center"/>
                </w:tcPr>
                <w:p w14:paraId="39353E34">
                  <w:pPr>
                    <w:pStyle w:val="54"/>
                    <w:spacing w:line="240" w:lineRule="auto"/>
                    <w:rPr>
                      <w:color w:val="auto"/>
                      <w:highlight w:val="none"/>
                    </w:rPr>
                  </w:pPr>
                </w:p>
              </w:tc>
              <w:tc>
                <w:tcPr>
                  <w:tcW w:w="465" w:type="pct"/>
                  <w:vAlign w:val="center"/>
                </w:tcPr>
                <w:p w14:paraId="341DAE54">
                  <w:pPr>
                    <w:pStyle w:val="54"/>
                    <w:spacing w:line="240" w:lineRule="auto"/>
                    <w:rPr>
                      <w:rFonts w:hint="default" w:eastAsia="宋体"/>
                      <w:color w:val="auto"/>
                      <w:highlight w:val="none"/>
                      <w:lang w:val="en-US" w:eastAsia="zh-CN"/>
                    </w:rPr>
                  </w:pPr>
                  <w:r>
                    <w:rPr>
                      <w:rFonts w:hint="eastAsia"/>
                      <w:color w:val="auto"/>
                      <w:highlight w:val="none"/>
                      <w:lang w:val="en-US" w:eastAsia="zh-CN"/>
                    </w:rPr>
                    <w:t>筒仓粉尘</w:t>
                  </w:r>
                </w:p>
              </w:tc>
              <w:tc>
                <w:tcPr>
                  <w:tcW w:w="696" w:type="pct"/>
                  <w:vAlign w:val="center"/>
                </w:tcPr>
                <w:p w14:paraId="3FC3F863">
                  <w:pPr>
                    <w:pStyle w:val="54"/>
                    <w:spacing w:line="240" w:lineRule="auto"/>
                    <w:rPr>
                      <w:rFonts w:hint="default"/>
                      <w:color w:val="auto"/>
                      <w:highlight w:val="none"/>
                      <w:lang w:val="en-US" w:eastAsia="zh-CN"/>
                    </w:rPr>
                  </w:pPr>
                  <w:r>
                    <w:rPr>
                      <w:rFonts w:hint="eastAsia"/>
                      <w:color w:val="auto"/>
                      <w:highlight w:val="none"/>
                      <w:lang w:val="en-US" w:eastAsia="zh-CN"/>
                    </w:rPr>
                    <w:t>颗粒物</w:t>
                  </w:r>
                </w:p>
              </w:tc>
              <w:tc>
                <w:tcPr>
                  <w:tcW w:w="887" w:type="pct"/>
                  <w:vAlign w:val="center"/>
                </w:tcPr>
                <w:p w14:paraId="68923E27">
                  <w:pPr>
                    <w:pStyle w:val="54"/>
                    <w:spacing w:line="240" w:lineRule="auto"/>
                    <w:rPr>
                      <w:rFonts w:hint="default" w:cs="Times New Roman"/>
                      <w:color w:val="auto"/>
                      <w:szCs w:val="21"/>
                      <w:highlight w:val="none"/>
                      <w:lang w:val="en-US" w:eastAsia="zh-CN"/>
                    </w:rPr>
                  </w:pPr>
                  <w:r>
                    <w:rPr>
                      <w:rFonts w:hint="eastAsia" w:cs="Times New Roman"/>
                      <w:color w:val="auto"/>
                      <w:szCs w:val="21"/>
                      <w:highlight w:val="none"/>
                      <w:lang w:val="en-US" w:eastAsia="zh-CN"/>
                    </w:rPr>
                    <w:t>设备自带脉冲布袋除尘器</w:t>
                  </w:r>
                </w:p>
              </w:tc>
              <w:tc>
                <w:tcPr>
                  <w:tcW w:w="1798" w:type="pct"/>
                  <w:vMerge w:val="restart"/>
                  <w:vAlign w:val="center"/>
                </w:tcPr>
                <w:p w14:paraId="5ECC31DE">
                  <w:pPr>
                    <w:adjustRightInd w:val="0"/>
                    <w:snapToGrid w:val="0"/>
                    <w:spacing w:line="240" w:lineRule="auto"/>
                    <w:jc w:val="center"/>
                    <w:rPr>
                      <w:rFonts w:hint="eastAsia" w:ascii="Times New Roman" w:hAnsi="Times New Roman" w:eastAsia="宋体" w:cs="Times New Roman"/>
                      <w:snapToGrid w:val="0"/>
                      <w:color w:val="auto"/>
                      <w:kern w:val="0"/>
                      <w:szCs w:val="21"/>
                      <w:highlight w:val="none"/>
                      <w:lang w:val="en-US" w:eastAsia="zh-CN"/>
                    </w:rPr>
                  </w:pPr>
                  <w:r>
                    <w:rPr>
                      <w:rFonts w:hint="eastAsia"/>
                      <w:color w:val="auto"/>
                      <w:spacing w:val="0"/>
                      <w:sz w:val="21"/>
                      <w:szCs w:val="21"/>
                    </w:rPr>
                    <w:t>《水泥工业大气污染物排放标准》（GB4915-2013）表3大气污染物无组织排放限值</w:t>
                  </w:r>
                </w:p>
              </w:tc>
              <w:tc>
                <w:tcPr>
                  <w:tcW w:w="867" w:type="pct"/>
                  <w:vMerge w:val="restart"/>
                  <w:vAlign w:val="center"/>
                </w:tcPr>
                <w:p w14:paraId="79A4FB4C">
                  <w:pPr>
                    <w:adjustRightInd w:val="0"/>
                    <w:snapToGrid w:val="0"/>
                    <w:spacing w:line="240" w:lineRule="auto"/>
                    <w:jc w:val="center"/>
                    <w:rPr>
                      <w:rFonts w:hint="default" w:ascii="TimesNewRomanPSMT" w:hAnsi="TimesNewRomanPSMT" w:eastAsia="宋体" w:cs="TimesNewRomanPSMT"/>
                      <w:b w:val="0"/>
                      <w:bCs w:val="0"/>
                      <w:color w:val="000000"/>
                      <w:sz w:val="20"/>
                      <w:szCs w:val="20"/>
                      <w:lang w:val="en-US" w:eastAsia="zh-CN"/>
                    </w:rPr>
                  </w:pPr>
                  <w:r>
                    <w:rPr>
                      <w:rFonts w:hint="eastAsia" w:ascii="TimesNewRomanPSMT" w:hAnsi="TimesNewRomanPSMT" w:cs="TimesNewRomanPSMT"/>
                      <w:b w:val="0"/>
                      <w:bCs w:val="0"/>
                      <w:color w:val="000000"/>
                      <w:sz w:val="20"/>
                      <w:szCs w:val="20"/>
                      <w:lang w:val="en-US" w:eastAsia="zh-CN"/>
                    </w:rPr>
                    <w:t>0.5</w:t>
                  </w:r>
                  <w:r>
                    <w:rPr>
                      <w:rFonts w:ascii="TimesNewRomanPSMT" w:hAnsi="TimesNewRomanPSMT" w:eastAsia="TimesNewRomanPSMT" w:cs="TimesNewRomanPSMT"/>
                      <w:b w:val="0"/>
                      <w:bCs w:val="0"/>
                      <w:color w:val="000000"/>
                      <w:sz w:val="20"/>
                      <w:szCs w:val="20"/>
                    </w:rPr>
                    <w:t>mg/m</w:t>
                  </w:r>
                  <w:r>
                    <w:rPr>
                      <w:rFonts w:hint="default" w:ascii="TimesNewRomanPSMT" w:hAnsi="TimesNewRomanPSMT" w:eastAsia="TimesNewRomanPSMT" w:cs="TimesNewRomanPSMT"/>
                      <w:b w:val="0"/>
                      <w:bCs w:val="0"/>
                      <w:color w:val="000000"/>
                      <w:sz w:val="18"/>
                      <w:szCs w:val="18"/>
                      <w:vertAlign w:val="superscript"/>
                    </w:rPr>
                    <w:t>3</w:t>
                  </w:r>
                </w:p>
              </w:tc>
            </w:tr>
            <w:tr w14:paraId="14A9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84" w:type="pct"/>
                  <w:vMerge w:val="continue"/>
                  <w:vAlign w:val="center"/>
                </w:tcPr>
                <w:p w14:paraId="2E5C247A">
                  <w:pPr>
                    <w:pStyle w:val="54"/>
                    <w:spacing w:line="240" w:lineRule="auto"/>
                    <w:rPr>
                      <w:color w:val="auto"/>
                      <w:highlight w:val="none"/>
                    </w:rPr>
                  </w:pPr>
                </w:p>
              </w:tc>
              <w:tc>
                <w:tcPr>
                  <w:tcW w:w="465" w:type="pct"/>
                  <w:vAlign w:val="center"/>
                </w:tcPr>
                <w:p w14:paraId="070BFD0F">
                  <w:pPr>
                    <w:pStyle w:val="54"/>
                    <w:spacing w:line="240" w:lineRule="auto"/>
                    <w:rPr>
                      <w:rFonts w:hint="eastAsia"/>
                      <w:color w:val="auto"/>
                      <w:highlight w:val="none"/>
                      <w:lang w:val="en-US" w:eastAsia="zh-CN"/>
                    </w:rPr>
                  </w:pPr>
                  <w:r>
                    <w:rPr>
                      <w:rFonts w:hint="eastAsia"/>
                      <w:color w:val="auto"/>
                      <w:highlight w:val="none"/>
                      <w:lang w:val="en-US" w:eastAsia="zh-CN"/>
                    </w:rPr>
                    <w:t>料场扬尘及装卸扬尘</w:t>
                  </w:r>
                </w:p>
              </w:tc>
              <w:tc>
                <w:tcPr>
                  <w:tcW w:w="696" w:type="pct"/>
                  <w:vAlign w:val="center"/>
                </w:tcPr>
                <w:p w14:paraId="1FF472B3">
                  <w:pPr>
                    <w:pStyle w:val="54"/>
                    <w:spacing w:line="240" w:lineRule="auto"/>
                    <w:rPr>
                      <w:rFonts w:hint="default"/>
                      <w:color w:val="auto"/>
                      <w:highlight w:val="none"/>
                      <w:lang w:val="en-US" w:eastAsia="zh-CN"/>
                    </w:rPr>
                  </w:pPr>
                  <w:r>
                    <w:rPr>
                      <w:rFonts w:hint="eastAsia"/>
                      <w:color w:val="auto"/>
                      <w:highlight w:val="none"/>
                      <w:lang w:val="en-US" w:eastAsia="zh-CN"/>
                    </w:rPr>
                    <w:t>颗粒物</w:t>
                  </w:r>
                </w:p>
              </w:tc>
              <w:tc>
                <w:tcPr>
                  <w:tcW w:w="887" w:type="pct"/>
                  <w:vAlign w:val="center"/>
                </w:tcPr>
                <w:p w14:paraId="6E519FA7">
                  <w:pPr>
                    <w:pStyle w:val="54"/>
                    <w:spacing w:line="240" w:lineRule="auto"/>
                    <w:rPr>
                      <w:rFonts w:hint="eastAsia" w:cs="Times New Roman"/>
                      <w:color w:val="auto"/>
                      <w:szCs w:val="21"/>
                      <w:highlight w:val="none"/>
                      <w:lang w:val="en-US" w:eastAsia="zh-CN"/>
                    </w:rPr>
                  </w:pPr>
                  <w:r>
                    <w:rPr>
                      <w:rFonts w:hint="eastAsia"/>
                      <w:color w:val="auto"/>
                      <w:sz w:val="21"/>
                      <w:szCs w:val="21"/>
                      <w:lang w:val="en-US" w:eastAsia="zh-CN"/>
                    </w:rPr>
                    <w:t>半封闭式料场</w:t>
                  </w:r>
                  <w:r>
                    <w:rPr>
                      <w:rFonts w:hint="eastAsia"/>
                      <w:color w:val="auto"/>
                      <w:sz w:val="21"/>
                      <w:szCs w:val="21"/>
                    </w:rPr>
                    <w:t>，</w:t>
                  </w:r>
                  <w:r>
                    <w:rPr>
                      <w:rFonts w:hint="eastAsia"/>
                      <w:color w:val="auto"/>
                      <w:sz w:val="21"/>
                      <w:szCs w:val="21"/>
                      <w:lang w:val="en-US" w:eastAsia="zh-CN"/>
                    </w:rPr>
                    <w:t>篷布覆盖、</w:t>
                  </w:r>
                  <w:r>
                    <w:rPr>
                      <w:rFonts w:hint="eastAsia"/>
                      <w:color w:val="auto"/>
                      <w:sz w:val="21"/>
                      <w:szCs w:val="21"/>
                    </w:rPr>
                    <w:t>洒水降尘</w:t>
                  </w:r>
                </w:p>
              </w:tc>
              <w:tc>
                <w:tcPr>
                  <w:tcW w:w="1798" w:type="pct"/>
                  <w:vMerge w:val="continue"/>
                  <w:vAlign w:val="center"/>
                </w:tcPr>
                <w:p w14:paraId="2168833D">
                  <w:pPr>
                    <w:adjustRightInd w:val="0"/>
                    <w:snapToGrid w:val="0"/>
                    <w:spacing w:line="240" w:lineRule="auto"/>
                    <w:jc w:val="center"/>
                    <w:rPr>
                      <w:rFonts w:hint="default" w:ascii="Times New Roman" w:hAnsi="Times New Roman" w:cs="Times New Roman"/>
                      <w:snapToGrid w:val="0"/>
                      <w:color w:val="auto"/>
                      <w:kern w:val="0"/>
                      <w:szCs w:val="21"/>
                      <w:highlight w:val="none"/>
                    </w:rPr>
                  </w:pPr>
                </w:p>
              </w:tc>
              <w:tc>
                <w:tcPr>
                  <w:tcW w:w="867" w:type="pct"/>
                  <w:vMerge w:val="continue"/>
                  <w:vAlign w:val="center"/>
                </w:tcPr>
                <w:p w14:paraId="473AD8D5">
                  <w:pPr>
                    <w:adjustRightInd w:val="0"/>
                    <w:snapToGrid w:val="0"/>
                    <w:spacing w:line="240" w:lineRule="auto"/>
                    <w:jc w:val="center"/>
                    <w:rPr>
                      <w:rFonts w:hint="eastAsia" w:ascii="TimesNewRomanPSMT" w:hAnsi="TimesNewRomanPSMT" w:eastAsia="宋体" w:cs="TimesNewRomanPSMT"/>
                      <w:b w:val="0"/>
                      <w:bCs w:val="0"/>
                      <w:color w:val="000000"/>
                      <w:sz w:val="20"/>
                      <w:szCs w:val="20"/>
                      <w:lang w:val="en-US" w:eastAsia="zh-CN"/>
                    </w:rPr>
                  </w:pPr>
                </w:p>
              </w:tc>
            </w:tr>
            <w:tr w14:paraId="7B4A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84" w:type="pct"/>
                  <w:vMerge w:val="continue"/>
                  <w:vAlign w:val="center"/>
                </w:tcPr>
                <w:p w14:paraId="0BE673D6">
                  <w:pPr>
                    <w:pStyle w:val="54"/>
                    <w:spacing w:line="240" w:lineRule="auto"/>
                    <w:rPr>
                      <w:color w:val="auto"/>
                      <w:highlight w:val="none"/>
                    </w:rPr>
                  </w:pPr>
                </w:p>
              </w:tc>
              <w:tc>
                <w:tcPr>
                  <w:tcW w:w="465" w:type="pct"/>
                  <w:vAlign w:val="center"/>
                </w:tcPr>
                <w:p w14:paraId="5F691A62">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运输扬尘</w:t>
                  </w:r>
                </w:p>
              </w:tc>
              <w:tc>
                <w:tcPr>
                  <w:tcW w:w="696" w:type="pct"/>
                  <w:vAlign w:val="center"/>
                </w:tcPr>
                <w:p w14:paraId="35AC3BCA">
                  <w:pPr>
                    <w:jc w:val="center"/>
                    <w:rPr>
                      <w:rFonts w:hint="eastAsia" w:ascii="Times New Roman" w:hAnsi="Times New Roman" w:eastAsia="宋体" w:cs="Times New Roman"/>
                      <w:color w:val="auto"/>
                      <w:kern w:val="2"/>
                      <w:sz w:val="21"/>
                      <w:szCs w:val="21"/>
                      <w:lang w:val="en-US" w:eastAsia="zh-CN" w:bidi="ar-SA"/>
                    </w:rPr>
                  </w:pPr>
                  <w:r>
                    <w:rPr>
                      <w:rFonts w:hint="eastAsia"/>
                      <w:color w:val="auto"/>
                      <w:highlight w:val="none"/>
                      <w:lang w:val="en-US" w:eastAsia="zh-CN"/>
                    </w:rPr>
                    <w:t>颗粒物</w:t>
                  </w:r>
                </w:p>
              </w:tc>
              <w:tc>
                <w:tcPr>
                  <w:tcW w:w="887" w:type="pct"/>
                  <w:vAlign w:val="center"/>
                </w:tcPr>
                <w:p w14:paraId="2B379244">
                  <w:pPr>
                    <w:pStyle w:val="54"/>
                    <w:spacing w:line="240" w:lineRule="auto"/>
                    <w:rPr>
                      <w:rFonts w:hint="eastAsia" w:cs="Times New Roman"/>
                      <w:color w:val="auto"/>
                      <w:szCs w:val="21"/>
                      <w:highlight w:val="none"/>
                      <w:lang w:val="en-US" w:eastAsia="zh-CN"/>
                    </w:rPr>
                  </w:pPr>
                  <w:r>
                    <w:rPr>
                      <w:rFonts w:hint="eastAsia"/>
                      <w:color w:val="auto"/>
                      <w:sz w:val="21"/>
                      <w:szCs w:val="21"/>
                    </w:rPr>
                    <w:t>运输车辆要封闭遮盖，粉料采用密闭罐车运输，车辆清洗，地面洒水降尘、及时清扫</w:t>
                  </w:r>
                </w:p>
              </w:tc>
              <w:tc>
                <w:tcPr>
                  <w:tcW w:w="1798" w:type="pct"/>
                  <w:vMerge w:val="continue"/>
                  <w:vAlign w:val="center"/>
                </w:tcPr>
                <w:p w14:paraId="6AA8FE8E">
                  <w:pPr>
                    <w:adjustRightInd w:val="0"/>
                    <w:snapToGrid w:val="0"/>
                    <w:spacing w:line="240" w:lineRule="auto"/>
                    <w:jc w:val="center"/>
                    <w:rPr>
                      <w:rFonts w:hint="default" w:ascii="Times New Roman" w:hAnsi="Times New Roman" w:cs="Times New Roman"/>
                      <w:snapToGrid w:val="0"/>
                      <w:color w:val="auto"/>
                      <w:kern w:val="0"/>
                      <w:szCs w:val="21"/>
                      <w:highlight w:val="none"/>
                    </w:rPr>
                  </w:pPr>
                </w:p>
              </w:tc>
              <w:tc>
                <w:tcPr>
                  <w:tcW w:w="867" w:type="pct"/>
                  <w:vMerge w:val="continue"/>
                  <w:vAlign w:val="center"/>
                </w:tcPr>
                <w:p w14:paraId="740E4518">
                  <w:pPr>
                    <w:adjustRightInd w:val="0"/>
                    <w:snapToGrid w:val="0"/>
                    <w:spacing w:line="240" w:lineRule="auto"/>
                    <w:jc w:val="center"/>
                    <w:rPr>
                      <w:rFonts w:hint="eastAsia" w:ascii="TimesNewRomanPSMT" w:hAnsi="TimesNewRomanPSMT" w:eastAsia="宋体" w:cs="TimesNewRomanPSMT"/>
                      <w:b w:val="0"/>
                      <w:bCs w:val="0"/>
                      <w:color w:val="000000"/>
                      <w:sz w:val="20"/>
                      <w:szCs w:val="20"/>
                      <w:lang w:val="en-US" w:eastAsia="zh-CN"/>
                    </w:rPr>
                  </w:pPr>
                </w:p>
              </w:tc>
            </w:tr>
            <w:tr w14:paraId="5BA1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84" w:type="pct"/>
                  <w:vMerge w:val="continue"/>
                  <w:vAlign w:val="center"/>
                </w:tcPr>
                <w:p w14:paraId="424D7FF9">
                  <w:pPr>
                    <w:pStyle w:val="54"/>
                    <w:spacing w:line="240" w:lineRule="auto"/>
                    <w:rPr>
                      <w:color w:val="auto"/>
                      <w:highlight w:val="none"/>
                    </w:rPr>
                  </w:pPr>
                </w:p>
              </w:tc>
              <w:tc>
                <w:tcPr>
                  <w:tcW w:w="465" w:type="pct"/>
                  <w:vAlign w:val="center"/>
                </w:tcPr>
                <w:p w14:paraId="54920A80">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廊道运输</w:t>
                  </w:r>
                </w:p>
              </w:tc>
              <w:tc>
                <w:tcPr>
                  <w:tcW w:w="696" w:type="pct"/>
                  <w:vAlign w:val="center"/>
                </w:tcPr>
                <w:p w14:paraId="22F8E376">
                  <w:pPr>
                    <w:jc w:val="center"/>
                    <w:rPr>
                      <w:rFonts w:hint="eastAsia" w:ascii="Times New Roman" w:hAnsi="Times New Roman" w:eastAsia="宋体" w:cs="Times New Roman"/>
                      <w:color w:val="auto"/>
                      <w:kern w:val="2"/>
                      <w:sz w:val="21"/>
                      <w:szCs w:val="21"/>
                      <w:lang w:val="en-US" w:eastAsia="zh-CN" w:bidi="ar-SA"/>
                    </w:rPr>
                  </w:pPr>
                  <w:r>
                    <w:rPr>
                      <w:rFonts w:hint="eastAsia"/>
                      <w:color w:val="auto"/>
                      <w:highlight w:val="none"/>
                      <w:lang w:val="en-US" w:eastAsia="zh-CN"/>
                    </w:rPr>
                    <w:t>颗粒物</w:t>
                  </w:r>
                </w:p>
              </w:tc>
              <w:tc>
                <w:tcPr>
                  <w:tcW w:w="887" w:type="pct"/>
                  <w:vAlign w:val="center"/>
                </w:tcPr>
                <w:p w14:paraId="06810010">
                  <w:pPr>
                    <w:pStyle w:val="54"/>
                    <w:spacing w:line="240" w:lineRule="auto"/>
                    <w:rPr>
                      <w:rFonts w:hint="eastAsia" w:cs="Times New Roman"/>
                      <w:color w:val="auto"/>
                      <w:szCs w:val="21"/>
                      <w:highlight w:val="none"/>
                      <w:lang w:val="en-US" w:eastAsia="zh-CN"/>
                    </w:rPr>
                  </w:pPr>
                  <w:r>
                    <w:rPr>
                      <w:rFonts w:hint="eastAsia"/>
                      <w:color w:val="auto"/>
                      <w:sz w:val="21"/>
                      <w:szCs w:val="21"/>
                    </w:rPr>
                    <w:t>廊道密闭</w:t>
                  </w:r>
                </w:p>
              </w:tc>
              <w:tc>
                <w:tcPr>
                  <w:tcW w:w="1798" w:type="pct"/>
                  <w:vMerge w:val="continue"/>
                  <w:vAlign w:val="center"/>
                </w:tcPr>
                <w:p w14:paraId="1B8B9ABB">
                  <w:pPr>
                    <w:adjustRightInd w:val="0"/>
                    <w:snapToGrid w:val="0"/>
                    <w:spacing w:line="240" w:lineRule="auto"/>
                    <w:jc w:val="center"/>
                    <w:rPr>
                      <w:rFonts w:hint="default" w:ascii="Times New Roman" w:hAnsi="Times New Roman" w:cs="Times New Roman"/>
                      <w:snapToGrid w:val="0"/>
                      <w:color w:val="auto"/>
                      <w:kern w:val="0"/>
                      <w:szCs w:val="21"/>
                      <w:highlight w:val="none"/>
                    </w:rPr>
                  </w:pPr>
                </w:p>
              </w:tc>
              <w:tc>
                <w:tcPr>
                  <w:tcW w:w="867" w:type="pct"/>
                  <w:vMerge w:val="continue"/>
                  <w:vAlign w:val="center"/>
                </w:tcPr>
                <w:p w14:paraId="5DB53B0E">
                  <w:pPr>
                    <w:adjustRightInd w:val="0"/>
                    <w:snapToGrid w:val="0"/>
                    <w:spacing w:line="240" w:lineRule="auto"/>
                    <w:jc w:val="center"/>
                    <w:rPr>
                      <w:rFonts w:hint="eastAsia" w:ascii="TimesNewRomanPSMT" w:hAnsi="TimesNewRomanPSMT" w:eastAsia="宋体" w:cs="TimesNewRomanPSMT"/>
                      <w:b w:val="0"/>
                      <w:bCs w:val="0"/>
                      <w:color w:val="000000"/>
                      <w:sz w:val="20"/>
                      <w:szCs w:val="20"/>
                      <w:lang w:val="en-US" w:eastAsia="zh-CN"/>
                    </w:rPr>
                  </w:pPr>
                </w:p>
              </w:tc>
            </w:tr>
            <w:tr w14:paraId="6421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continue"/>
                  <w:vAlign w:val="center"/>
                </w:tcPr>
                <w:p w14:paraId="3DE2E9AF">
                  <w:pPr>
                    <w:pStyle w:val="54"/>
                    <w:spacing w:line="240" w:lineRule="auto"/>
                    <w:rPr>
                      <w:color w:val="auto"/>
                      <w:highlight w:val="none"/>
                    </w:rPr>
                  </w:pPr>
                </w:p>
              </w:tc>
              <w:tc>
                <w:tcPr>
                  <w:tcW w:w="465" w:type="pct"/>
                  <w:vAlign w:val="center"/>
                </w:tcPr>
                <w:p w14:paraId="47BCCAFA">
                  <w:pPr>
                    <w:pStyle w:val="54"/>
                    <w:spacing w:line="240" w:lineRule="auto"/>
                    <w:rPr>
                      <w:rFonts w:hint="eastAsia" w:eastAsia="宋体"/>
                      <w:color w:val="auto"/>
                      <w:highlight w:val="none"/>
                      <w:lang w:val="en-US" w:eastAsia="zh-CN"/>
                    </w:rPr>
                  </w:pPr>
                  <w:r>
                    <w:rPr>
                      <w:rFonts w:hint="eastAsia"/>
                      <w:color w:val="auto"/>
                      <w:highlight w:val="none"/>
                      <w:lang w:val="en-US" w:eastAsia="zh-CN"/>
                    </w:rPr>
                    <w:t>食堂油烟</w:t>
                  </w:r>
                </w:p>
              </w:tc>
              <w:tc>
                <w:tcPr>
                  <w:tcW w:w="696" w:type="pct"/>
                  <w:vAlign w:val="center"/>
                </w:tcPr>
                <w:p w14:paraId="5A540532">
                  <w:pPr>
                    <w:pStyle w:val="54"/>
                    <w:spacing w:line="240" w:lineRule="auto"/>
                    <w:rPr>
                      <w:rFonts w:hint="default"/>
                      <w:color w:val="auto"/>
                      <w:highlight w:val="none"/>
                      <w:lang w:val="en-US" w:eastAsia="zh-CN"/>
                    </w:rPr>
                  </w:pPr>
                  <w:r>
                    <w:rPr>
                      <w:rFonts w:hint="eastAsia"/>
                      <w:color w:val="auto"/>
                      <w:highlight w:val="none"/>
                      <w:lang w:val="en-US" w:eastAsia="zh-CN"/>
                    </w:rPr>
                    <w:t>食堂油烟</w:t>
                  </w:r>
                </w:p>
              </w:tc>
              <w:tc>
                <w:tcPr>
                  <w:tcW w:w="887" w:type="pct"/>
                  <w:vAlign w:val="center"/>
                </w:tcPr>
                <w:p w14:paraId="763A355B">
                  <w:pPr>
                    <w:pStyle w:val="54"/>
                    <w:spacing w:line="240" w:lineRule="auto"/>
                    <w:rPr>
                      <w:rFonts w:hint="default" w:cs="Times New Roman"/>
                      <w:color w:val="auto"/>
                      <w:szCs w:val="21"/>
                      <w:highlight w:val="none"/>
                      <w:lang w:val="en-US" w:eastAsia="zh-CN"/>
                    </w:rPr>
                  </w:pPr>
                  <w:r>
                    <w:rPr>
                      <w:rFonts w:hint="eastAsia" w:cs="Times New Roman"/>
                      <w:color w:val="auto"/>
                      <w:szCs w:val="21"/>
                      <w:highlight w:val="none"/>
                      <w:lang w:val="en-US" w:eastAsia="zh-CN"/>
                    </w:rPr>
                    <w:t>食堂油烟净化器+专用烟道</w:t>
                  </w:r>
                </w:p>
              </w:tc>
              <w:tc>
                <w:tcPr>
                  <w:tcW w:w="1798" w:type="pct"/>
                  <w:vAlign w:val="center"/>
                </w:tcPr>
                <w:p w14:paraId="126D756B">
                  <w:pPr>
                    <w:adjustRightInd w:val="0"/>
                    <w:snapToGrid w:val="0"/>
                    <w:spacing w:line="240" w:lineRule="auto"/>
                    <w:jc w:val="center"/>
                    <w:rPr>
                      <w:rFonts w:hint="eastAsia" w:ascii="Times New Roman" w:hAnsi="Times New Roman" w:eastAsia="宋体" w:cs="Times New Roman"/>
                      <w:snapToGrid w:val="0"/>
                      <w:color w:val="auto"/>
                      <w:kern w:val="0"/>
                      <w:szCs w:val="21"/>
                      <w:highlight w:val="none"/>
                      <w:lang w:eastAsia="zh-CN"/>
                    </w:rPr>
                  </w:pPr>
                  <w:r>
                    <w:rPr>
                      <w:rFonts w:hint="eastAsia" w:cs="Times New Roman"/>
                      <w:snapToGrid w:val="0"/>
                      <w:color w:val="auto"/>
                      <w:kern w:val="0"/>
                      <w:szCs w:val="21"/>
                      <w:highlight w:val="none"/>
                      <w:lang w:val="en-US" w:eastAsia="zh-CN"/>
                    </w:rPr>
                    <w:t>/</w:t>
                  </w:r>
                </w:p>
              </w:tc>
              <w:tc>
                <w:tcPr>
                  <w:tcW w:w="867" w:type="pct"/>
                  <w:vAlign w:val="center"/>
                </w:tcPr>
                <w:p w14:paraId="6F03A83D">
                  <w:pPr>
                    <w:adjustRightInd w:val="0"/>
                    <w:snapToGrid w:val="0"/>
                    <w:spacing w:line="240" w:lineRule="auto"/>
                    <w:jc w:val="center"/>
                    <w:rPr>
                      <w:rFonts w:ascii="TimesNewRomanPSMT" w:hAnsi="TimesNewRomanPSMT" w:eastAsia="TimesNewRomanPSMT" w:cs="TimesNewRomanPSMT"/>
                      <w:b w:val="0"/>
                      <w:bCs w:val="0"/>
                      <w:color w:val="000000"/>
                      <w:sz w:val="20"/>
                      <w:szCs w:val="20"/>
                    </w:rPr>
                  </w:pPr>
                  <w:r>
                    <w:rPr>
                      <w:rFonts w:hint="eastAsia" w:ascii="TimesNewRomanPSMT" w:hAnsi="TimesNewRomanPSMT" w:cs="TimesNewRomanPSMT"/>
                      <w:b w:val="0"/>
                      <w:bCs w:val="0"/>
                      <w:color w:val="000000"/>
                      <w:sz w:val="20"/>
                      <w:szCs w:val="20"/>
                      <w:lang w:val="en-US" w:eastAsia="zh-CN"/>
                    </w:rPr>
                    <w:t>/</w:t>
                  </w:r>
                </w:p>
              </w:tc>
            </w:tr>
            <w:tr w14:paraId="07BE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restart"/>
                  <w:vAlign w:val="center"/>
                </w:tcPr>
                <w:p w14:paraId="09E9E206">
                  <w:pPr>
                    <w:pStyle w:val="54"/>
                    <w:spacing w:line="240" w:lineRule="auto"/>
                    <w:rPr>
                      <w:color w:val="auto"/>
                      <w:highlight w:val="none"/>
                    </w:rPr>
                  </w:pPr>
                  <w:r>
                    <w:rPr>
                      <w:color w:val="auto"/>
                      <w:highlight w:val="none"/>
                    </w:rPr>
                    <w:t>2</w:t>
                  </w:r>
                </w:p>
              </w:tc>
              <w:tc>
                <w:tcPr>
                  <w:tcW w:w="465" w:type="pct"/>
                  <w:vMerge w:val="restart"/>
                  <w:vAlign w:val="center"/>
                </w:tcPr>
                <w:p w14:paraId="75CFD2AC">
                  <w:pPr>
                    <w:pStyle w:val="54"/>
                    <w:spacing w:line="240" w:lineRule="auto"/>
                    <w:rPr>
                      <w:color w:val="auto"/>
                      <w:highlight w:val="none"/>
                    </w:rPr>
                  </w:pPr>
                  <w:r>
                    <w:rPr>
                      <w:color w:val="auto"/>
                      <w:highlight w:val="none"/>
                    </w:rPr>
                    <w:t>生活</w:t>
                  </w:r>
                  <w:r>
                    <w:rPr>
                      <w:rFonts w:hint="eastAsia"/>
                      <w:color w:val="auto"/>
                      <w:highlight w:val="none"/>
                      <w:lang w:val="en-US" w:eastAsia="zh-CN"/>
                    </w:rPr>
                    <w:t>废</w:t>
                  </w:r>
                  <w:r>
                    <w:rPr>
                      <w:color w:val="auto"/>
                      <w:highlight w:val="none"/>
                    </w:rPr>
                    <w:t>水</w:t>
                  </w:r>
                </w:p>
                <w:p w14:paraId="0C18626D">
                  <w:pPr>
                    <w:pStyle w:val="54"/>
                    <w:spacing w:line="240" w:lineRule="auto"/>
                    <w:rPr>
                      <w:color w:val="auto"/>
                      <w:highlight w:val="none"/>
                    </w:rPr>
                  </w:pPr>
                </w:p>
              </w:tc>
              <w:tc>
                <w:tcPr>
                  <w:tcW w:w="696" w:type="pct"/>
                  <w:vAlign w:val="center"/>
                </w:tcPr>
                <w:p w14:paraId="500FFC22">
                  <w:pPr>
                    <w:pStyle w:val="54"/>
                    <w:spacing w:line="240" w:lineRule="auto"/>
                    <w:rPr>
                      <w:rFonts w:hint="default" w:eastAsia="宋体"/>
                      <w:color w:val="auto"/>
                      <w:highlight w:val="none"/>
                      <w:lang w:val="en-US" w:eastAsia="zh-CN"/>
                    </w:rPr>
                  </w:pPr>
                  <w:r>
                    <w:rPr>
                      <w:rFonts w:hint="eastAsia"/>
                      <w:color w:val="auto"/>
                      <w:highlight w:val="none"/>
                      <w:lang w:val="en-US" w:eastAsia="zh-CN"/>
                    </w:rPr>
                    <w:t>COD</w:t>
                  </w:r>
                </w:p>
              </w:tc>
              <w:tc>
                <w:tcPr>
                  <w:tcW w:w="887" w:type="pct"/>
                  <w:vMerge w:val="restart"/>
                  <w:vAlign w:val="center"/>
                </w:tcPr>
                <w:p w14:paraId="1D272961">
                  <w:pPr>
                    <w:pStyle w:val="54"/>
                    <w:spacing w:line="240" w:lineRule="auto"/>
                    <w:rPr>
                      <w:rFonts w:hint="default" w:eastAsia="宋体"/>
                      <w:color w:val="auto"/>
                      <w:highlight w:val="none"/>
                      <w:lang w:val="en-US" w:eastAsia="zh-CN"/>
                    </w:rPr>
                  </w:pPr>
                  <w:r>
                    <w:rPr>
                      <w:rFonts w:hint="eastAsia" w:cs="Times New Roman"/>
                      <w:color w:val="000000"/>
                      <w:lang w:val="en-US" w:eastAsia="zh-CN"/>
                    </w:rPr>
                    <w:t>采用一体化污水处理设施，处理后用于料场洒水降尘</w:t>
                  </w:r>
                </w:p>
              </w:tc>
              <w:tc>
                <w:tcPr>
                  <w:tcW w:w="1798" w:type="pct"/>
                  <w:vMerge w:val="restart"/>
                  <w:vAlign w:val="center"/>
                </w:tcPr>
                <w:p w14:paraId="19FB78BC">
                  <w:pPr>
                    <w:pStyle w:val="54"/>
                    <w:spacing w:line="240" w:lineRule="auto"/>
                    <w:rPr>
                      <w:color w:val="auto"/>
                      <w:highlight w:val="none"/>
                    </w:rPr>
                  </w:pPr>
                  <w:r>
                    <w:rPr>
                      <w:rFonts w:hint="eastAsia"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农村生活污水处理排放标准</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DB65/4275-2019</w:t>
                  </w:r>
                  <w:r>
                    <w:rPr>
                      <w:rFonts w:ascii="Times New Roman" w:hAnsi="Times New Roman" w:eastAsia="宋体" w:cs="Times New Roman"/>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表2中C级排放浓度限值</w:t>
                  </w:r>
                </w:p>
              </w:tc>
              <w:tc>
                <w:tcPr>
                  <w:tcW w:w="867" w:type="pct"/>
                  <w:vAlign w:val="center"/>
                </w:tcPr>
                <w:p w14:paraId="441F247D">
                  <w:pPr>
                    <w:pStyle w:val="54"/>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200mg/L</w:t>
                  </w:r>
                </w:p>
              </w:tc>
            </w:tr>
            <w:tr w14:paraId="5C35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continue"/>
                  <w:vAlign w:val="center"/>
                </w:tcPr>
                <w:p w14:paraId="50E03556">
                  <w:pPr>
                    <w:pStyle w:val="54"/>
                    <w:spacing w:line="240" w:lineRule="auto"/>
                    <w:rPr>
                      <w:color w:val="auto"/>
                      <w:highlight w:val="none"/>
                    </w:rPr>
                  </w:pPr>
                </w:p>
              </w:tc>
              <w:tc>
                <w:tcPr>
                  <w:tcW w:w="465" w:type="pct"/>
                  <w:vMerge w:val="continue"/>
                  <w:vAlign w:val="center"/>
                </w:tcPr>
                <w:p w14:paraId="7426334A">
                  <w:pPr>
                    <w:pStyle w:val="54"/>
                    <w:spacing w:line="240" w:lineRule="auto"/>
                    <w:rPr>
                      <w:color w:val="auto"/>
                      <w:highlight w:val="none"/>
                    </w:rPr>
                  </w:pPr>
                </w:p>
              </w:tc>
              <w:tc>
                <w:tcPr>
                  <w:tcW w:w="696" w:type="pct"/>
                  <w:vAlign w:val="center"/>
                </w:tcPr>
                <w:p w14:paraId="7B525FB8">
                  <w:pPr>
                    <w:pStyle w:val="54"/>
                    <w:spacing w:line="240" w:lineRule="auto"/>
                    <w:rPr>
                      <w:rFonts w:hint="default" w:eastAsia="宋体"/>
                      <w:color w:val="auto"/>
                      <w:highlight w:val="none"/>
                      <w:vertAlign w:val="subscript"/>
                      <w:lang w:val="en-US" w:eastAsia="zh-CN"/>
                    </w:rPr>
                  </w:pPr>
                  <w:r>
                    <w:rPr>
                      <w:rFonts w:hint="eastAsia"/>
                      <w:color w:val="auto"/>
                      <w:highlight w:val="none"/>
                      <w:lang w:val="en-US" w:eastAsia="zh-CN"/>
                    </w:rPr>
                    <w:t>BOD</w:t>
                  </w:r>
                  <w:r>
                    <w:rPr>
                      <w:rFonts w:hint="eastAsia"/>
                      <w:color w:val="auto"/>
                      <w:highlight w:val="none"/>
                      <w:vertAlign w:val="subscript"/>
                      <w:lang w:val="en-US" w:eastAsia="zh-CN"/>
                    </w:rPr>
                    <w:t>5</w:t>
                  </w:r>
                </w:p>
              </w:tc>
              <w:tc>
                <w:tcPr>
                  <w:tcW w:w="887" w:type="pct"/>
                  <w:vMerge w:val="continue"/>
                  <w:vAlign w:val="center"/>
                </w:tcPr>
                <w:p w14:paraId="716DDC72">
                  <w:pPr>
                    <w:pStyle w:val="54"/>
                    <w:spacing w:line="240" w:lineRule="auto"/>
                    <w:rPr>
                      <w:rFonts w:hint="eastAsia" w:cs="Times New Roman"/>
                      <w:color w:val="000000"/>
                      <w:lang w:val="en-US" w:eastAsia="zh-CN"/>
                    </w:rPr>
                  </w:pPr>
                </w:p>
              </w:tc>
              <w:tc>
                <w:tcPr>
                  <w:tcW w:w="1798" w:type="pct"/>
                  <w:vMerge w:val="continue"/>
                  <w:vAlign w:val="center"/>
                </w:tcPr>
                <w:p w14:paraId="419602CE">
                  <w:pPr>
                    <w:pStyle w:val="54"/>
                    <w:spacing w:line="240" w:lineRule="auto"/>
                    <w:rPr>
                      <w:rFonts w:ascii="宋体" w:hAnsi="宋体" w:eastAsia="宋体" w:cs="宋体"/>
                      <w:b w:val="0"/>
                      <w:bCs w:val="0"/>
                      <w:color w:val="000000"/>
                      <w:sz w:val="20"/>
                      <w:szCs w:val="20"/>
                    </w:rPr>
                  </w:pPr>
                </w:p>
              </w:tc>
              <w:tc>
                <w:tcPr>
                  <w:tcW w:w="867" w:type="pct"/>
                  <w:vAlign w:val="center"/>
                </w:tcPr>
                <w:p w14:paraId="3100F794">
                  <w:pPr>
                    <w:pStyle w:val="54"/>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r>
            <w:tr w14:paraId="3F47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continue"/>
                  <w:vAlign w:val="center"/>
                </w:tcPr>
                <w:p w14:paraId="28F22D10">
                  <w:pPr>
                    <w:pStyle w:val="54"/>
                    <w:spacing w:line="240" w:lineRule="auto"/>
                    <w:rPr>
                      <w:color w:val="auto"/>
                      <w:highlight w:val="none"/>
                    </w:rPr>
                  </w:pPr>
                </w:p>
              </w:tc>
              <w:tc>
                <w:tcPr>
                  <w:tcW w:w="465" w:type="pct"/>
                  <w:vMerge w:val="continue"/>
                  <w:vAlign w:val="center"/>
                </w:tcPr>
                <w:p w14:paraId="344995C1">
                  <w:pPr>
                    <w:pStyle w:val="54"/>
                    <w:spacing w:line="240" w:lineRule="auto"/>
                    <w:rPr>
                      <w:color w:val="auto"/>
                      <w:highlight w:val="none"/>
                    </w:rPr>
                  </w:pPr>
                </w:p>
              </w:tc>
              <w:tc>
                <w:tcPr>
                  <w:tcW w:w="696" w:type="pct"/>
                  <w:vAlign w:val="center"/>
                </w:tcPr>
                <w:p w14:paraId="7E83226D">
                  <w:pPr>
                    <w:pStyle w:val="54"/>
                    <w:spacing w:line="240" w:lineRule="auto"/>
                    <w:rPr>
                      <w:color w:val="auto"/>
                      <w:highlight w:val="none"/>
                    </w:rPr>
                  </w:pPr>
                  <w:r>
                    <w:rPr>
                      <w:rFonts w:hint="eastAsia"/>
                      <w:color w:val="auto"/>
                      <w:highlight w:val="none"/>
                      <w:lang w:val="en-US" w:eastAsia="zh-CN"/>
                    </w:rPr>
                    <w:t>SS</w:t>
                  </w:r>
                </w:p>
              </w:tc>
              <w:tc>
                <w:tcPr>
                  <w:tcW w:w="887" w:type="pct"/>
                  <w:vMerge w:val="continue"/>
                  <w:vAlign w:val="center"/>
                </w:tcPr>
                <w:p w14:paraId="3918BDB1">
                  <w:pPr>
                    <w:pStyle w:val="54"/>
                    <w:spacing w:line="240" w:lineRule="auto"/>
                    <w:rPr>
                      <w:rFonts w:hint="default" w:eastAsia="宋体"/>
                      <w:color w:val="auto"/>
                      <w:highlight w:val="none"/>
                      <w:lang w:val="en-US" w:eastAsia="zh-CN"/>
                    </w:rPr>
                  </w:pPr>
                </w:p>
              </w:tc>
              <w:tc>
                <w:tcPr>
                  <w:tcW w:w="1798" w:type="pct"/>
                  <w:vMerge w:val="continue"/>
                  <w:vAlign w:val="center"/>
                </w:tcPr>
                <w:p w14:paraId="5C084481">
                  <w:pPr>
                    <w:pStyle w:val="54"/>
                    <w:spacing w:line="240" w:lineRule="auto"/>
                    <w:rPr>
                      <w:color w:val="auto"/>
                      <w:highlight w:val="none"/>
                    </w:rPr>
                  </w:pPr>
                </w:p>
              </w:tc>
              <w:tc>
                <w:tcPr>
                  <w:tcW w:w="867" w:type="pct"/>
                  <w:vAlign w:val="center"/>
                </w:tcPr>
                <w:p w14:paraId="2DDEE25D">
                  <w:pPr>
                    <w:pStyle w:val="54"/>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100mg/L</w:t>
                  </w:r>
                </w:p>
              </w:tc>
            </w:tr>
            <w:tr w14:paraId="7BA0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continue"/>
                  <w:vAlign w:val="center"/>
                </w:tcPr>
                <w:p w14:paraId="73B98AD7">
                  <w:pPr>
                    <w:pStyle w:val="54"/>
                    <w:spacing w:line="240" w:lineRule="auto"/>
                    <w:rPr>
                      <w:color w:val="auto"/>
                      <w:highlight w:val="none"/>
                    </w:rPr>
                  </w:pPr>
                </w:p>
              </w:tc>
              <w:tc>
                <w:tcPr>
                  <w:tcW w:w="465" w:type="pct"/>
                  <w:vMerge w:val="continue"/>
                  <w:vAlign w:val="center"/>
                </w:tcPr>
                <w:p w14:paraId="3D8520F3">
                  <w:pPr>
                    <w:pStyle w:val="54"/>
                    <w:spacing w:line="240" w:lineRule="auto"/>
                    <w:rPr>
                      <w:color w:val="auto"/>
                      <w:highlight w:val="none"/>
                    </w:rPr>
                  </w:pPr>
                </w:p>
              </w:tc>
              <w:tc>
                <w:tcPr>
                  <w:tcW w:w="696" w:type="pct"/>
                  <w:vAlign w:val="center"/>
                </w:tcPr>
                <w:p w14:paraId="7E1B2712">
                  <w:pPr>
                    <w:pStyle w:val="54"/>
                    <w:spacing w:line="240" w:lineRule="auto"/>
                    <w:rPr>
                      <w:rFonts w:hint="default" w:eastAsia="宋体"/>
                      <w:color w:val="auto"/>
                      <w:highlight w:val="none"/>
                      <w:lang w:val="en-US" w:eastAsia="zh-CN"/>
                    </w:rPr>
                  </w:pPr>
                  <w:r>
                    <w:rPr>
                      <w:rFonts w:hint="eastAsia"/>
                      <w:color w:val="auto"/>
                      <w:highlight w:val="none"/>
                      <w:lang w:val="en-US" w:eastAsia="zh-CN"/>
                    </w:rPr>
                    <w:t>NH</w:t>
                  </w:r>
                  <w:r>
                    <w:rPr>
                      <w:rFonts w:hint="eastAsia"/>
                      <w:color w:val="auto"/>
                      <w:highlight w:val="none"/>
                      <w:vertAlign w:val="subscript"/>
                      <w:lang w:val="en-US" w:eastAsia="zh-CN"/>
                    </w:rPr>
                    <w:t>3</w:t>
                  </w:r>
                  <w:r>
                    <w:rPr>
                      <w:rFonts w:hint="eastAsia"/>
                      <w:color w:val="auto"/>
                      <w:highlight w:val="none"/>
                      <w:lang w:val="en-US" w:eastAsia="zh-CN"/>
                    </w:rPr>
                    <w:t>-N</w:t>
                  </w:r>
                </w:p>
              </w:tc>
              <w:tc>
                <w:tcPr>
                  <w:tcW w:w="887" w:type="pct"/>
                  <w:vMerge w:val="continue"/>
                  <w:vAlign w:val="center"/>
                </w:tcPr>
                <w:p w14:paraId="07F0D190">
                  <w:pPr>
                    <w:pStyle w:val="54"/>
                    <w:spacing w:line="240" w:lineRule="auto"/>
                    <w:rPr>
                      <w:rFonts w:hint="eastAsia" w:cs="Times New Roman"/>
                      <w:color w:val="000000"/>
                      <w:lang w:val="en-US" w:eastAsia="zh-CN"/>
                    </w:rPr>
                  </w:pPr>
                </w:p>
              </w:tc>
              <w:tc>
                <w:tcPr>
                  <w:tcW w:w="1798" w:type="pct"/>
                  <w:vMerge w:val="continue"/>
                  <w:vAlign w:val="center"/>
                </w:tcPr>
                <w:p w14:paraId="5E29A8B4">
                  <w:pPr>
                    <w:pStyle w:val="54"/>
                    <w:spacing w:line="240" w:lineRule="auto"/>
                    <w:rPr>
                      <w:rFonts w:ascii="宋体" w:hAnsi="宋体" w:eastAsia="宋体" w:cs="宋体"/>
                      <w:b w:val="0"/>
                      <w:bCs w:val="0"/>
                      <w:color w:val="000000"/>
                      <w:sz w:val="20"/>
                      <w:szCs w:val="20"/>
                    </w:rPr>
                  </w:pPr>
                </w:p>
              </w:tc>
              <w:tc>
                <w:tcPr>
                  <w:tcW w:w="867" w:type="pct"/>
                  <w:vAlign w:val="center"/>
                </w:tcPr>
                <w:p w14:paraId="4DD98F28">
                  <w:pPr>
                    <w:pStyle w:val="54"/>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r>
            <w:tr w14:paraId="3D7B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Align w:val="center"/>
                </w:tcPr>
                <w:p w14:paraId="46B0B38E">
                  <w:pPr>
                    <w:pStyle w:val="54"/>
                    <w:spacing w:line="240" w:lineRule="auto"/>
                    <w:rPr>
                      <w:color w:val="auto"/>
                      <w:highlight w:val="none"/>
                    </w:rPr>
                  </w:pPr>
                  <w:r>
                    <w:rPr>
                      <w:color w:val="auto"/>
                      <w:highlight w:val="none"/>
                    </w:rPr>
                    <w:t>3</w:t>
                  </w:r>
                </w:p>
              </w:tc>
              <w:tc>
                <w:tcPr>
                  <w:tcW w:w="465" w:type="pct"/>
                  <w:vAlign w:val="center"/>
                </w:tcPr>
                <w:p w14:paraId="1029476A">
                  <w:pPr>
                    <w:pStyle w:val="54"/>
                    <w:spacing w:line="240" w:lineRule="auto"/>
                    <w:rPr>
                      <w:color w:val="auto"/>
                      <w:highlight w:val="none"/>
                    </w:rPr>
                  </w:pPr>
                  <w:r>
                    <w:rPr>
                      <w:color w:val="auto"/>
                      <w:highlight w:val="none"/>
                    </w:rPr>
                    <w:t>噪声</w:t>
                  </w:r>
                </w:p>
              </w:tc>
              <w:tc>
                <w:tcPr>
                  <w:tcW w:w="696" w:type="pct"/>
                  <w:vAlign w:val="center"/>
                </w:tcPr>
                <w:p w14:paraId="75252D13">
                  <w:pPr>
                    <w:pStyle w:val="54"/>
                    <w:spacing w:line="240" w:lineRule="auto"/>
                    <w:rPr>
                      <w:color w:val="auto"/>
                      <w:highlight w:val="none"/>
                    </w:rPr>
                  </w:pPr>
                  <w:r>
                    <w:rPr>
                      <w:color w:val="auto"/>
                      <w:highlight w:val="none"/>
                    </w:rPr>
                    <w:t>等效连续A声级(Leq(A))</w:t>
                  </w:r>
                </w:p>
              </w:tc>
              <w:tc>
                <w:tcPr>
                  <w:tcW w:w="887" w:type="pct"/>
                  <w:vAlign w:val="center"/>
                </w:tcPr>
                <w:p w14:paraId="5D6A3FDC">
                  <w:pPr>
                    <w:pStyle w:val="54"/>
                    <w:spacing w:line="240" w:lineRule="auto"/>
                    <w:rPr>
                      <w:color w:val="auto"/>
                      <w:highlight w:val="none"/>
                    </w:rPr>
                  </w:pPr>
                  <w:r>
                    <w:rPr>
                      <w:color w:val="auto"/>
                      <w:highlight w:val="none"/>
                    </w:rPr>
                    <w:t>噪声源全部安装在室内，设备采取减振措施</w:t>
                  </w:r>
                </w:p>
              </w:tc>
              <w:tc>
                <w:tcPr>
                  <w:tcW w:w="1798" w:type="pct"/>
                  <w:vAlign w:val="center"/>
                </w:tcPr>
                <w:p w14:paraId="09F99BB4">
                  <w:pPr>
                    <w:pStyle w:val="54"/>
                    <w:spacing w:line="240" w:lineRule="auto"/>
                    <w:rPr>
                      <w:color w:val="auto"/>
                      <w:highlight w:val="none"/>
                    </w:rPr>
                  </w:pPr>
                  <w:r>
                    <w:rPr>
                      <w:color w:val="auto"/>
                      <w:highlight w:val="none"/>
                    </w:rPr>
                    <w:t>厂界噪声达《工业企业厂界环境噪声排放标准》（GB12348-2008）中的</w:t>
                  </w:r>
                  <w:r>
                    <w:rPr>
                      <w:rFonts w:hint="eastAsia" w:eastAsia="宋体"/>
                      <w:color w:val="auto"/>
                      <w:highlight w:val="none"/>
                      <w:lang w:val="en-US" w:eastAsia="zh-CN"/>
                    </w:rPr>
                    <w:t>2</w:t>
                  </w:r>
                  <w:r>
                    <w:rPr>
                      <w:color w:val="auto"/>
                      <w:highlight w:val="none"/>
                    </w:rPr>
                    <w:t>类标准</w:t>
                  </w:r>
                </w:p>
              </w:tc>
              <w:tc>
                <w:tcPr>
                  <w:tcW w:w="867" w:type="pct"/>
                  <w:vAlign w:val="center"/>
                </w:tcPr>
                <w:p w14:paraId="5C53624F">
                  <w:pPr>
                    <w:pStyle w:val="54"/>
                    <w:spacing w:line="240" w:lineRule="auto"/>
                    <w:jc w:val="center"/>
                    <w:rPr>
                      <w:rFonts w:hint="eastAsia"/>
                      <w:color w:val="auto"/>
                      <w:highlight w:val="none"/>
                      <w:lang w:val="en-US" w:eastAsia="zh-CN"/>
                    </w:rPr>
                  </w:pPr>
                  <w:r>
                    <w:rPr>
                      <w:rFonts w:hint="eastAsia"/>
                      <w:color w:val="auto"/>
                      <w:highlight w:val="none"/>
                      <w:lang w:val="en-US" w:eastAsia="zh-CN"/>
                    </w:rPr>
                    <w:t>昼间：60dB（A）</w:t>
                  </w:r>
                </w:p>
                <w:p w14:paraId="4ACC5A0D">
                  <w:pPr>
                    <w:pStyle w:val="54"/>
                    <w:spacing w:line="240" w:lineRule="auto"/>
                    <w:jc w:val="center"/>
                    <w:rPr>
                      <w:rFonts w:hint="default" w:eastAsia="宋体"/>
                      <w:color w:val="auto"/>
                      <w:highlight w:val="none"/>
                      <w:lang w:val="en-US" w:eastAsia="zh-CN"/>
                    </w:rPr>
                  </w:pPr>
                  <w:r>
                    <w:rPr>
                      <w:rFonts w:hint="eastAsia"/>
                      <w:color w:val="auto"/>
                      <w:highlight w:val="none"/>
                      <w:lang w:val="en-US" w:eastAsia="zh-CN"/>
                    </w:rPr>
                    <w:t>夜间：50dB（A）</w:t>
                  </w:r>
                </w:p>
              </w:tc>
            </w:tr>
            <w:tr w14:paraId="3FA5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restart"/>
                  <w:vAlign w:val="center"/>
                </w:tcPr>
                <w:p w14:paraId="0E23480C">
                  <w:pPr>
                    <w:pStyle w:val="54"/>
                    <w:spacing w:line="240" w:lineRule="auto"/>
                    <w:rPr>
                      <w:rFonts w:hint="eastAsia" w:eastAsia="宋体"/>
                      <w:color w:val="auto"/>
                      <w:highlight w:val="none"/>
                      <w:lang w:val="en-US" w:eastAsia="zh-CN"/>
                    </w:rPr>
                  </w:pPr>
                  <w:r>
                    <w:rPr>
                      <w:rFonts w:hint="eastAsia" w:eastAsia="宋体"/>
                      <w:color w:val="auto"/>
                      <w:highlight w:val="none"/>
                      <w:lang w:val="en-US" w:eastAsia="zh-CN"/>
                    </w:rPr>
                    <w:t>4</w:t>
                  </w:r>
                </w:p>
              </w:tc>
              <w:tc>
                <w:tcPr>
                  <w:tcW w:w="465" w:type="pct"/>
                  <w:vMerge w:val="restart"/>
                  <w:vAlign w:val="center"/>
                </w:tcPr>
                <w:p w14:paraId="6EBBCD4A">
                  <w:pPr>
                    <w:pStyle w:val="54"/>
                    <w:spacing w:line="240" w:lineRule="auto"/>
                    <w:rPr>
                      <w:rFonts w:hint="eastAsia" w:eastAsia="宋体"/>
                      <w:color w:val="auto"/>
                      <w:highlight w:val="none"/>
                      <w:lang w:val="en-US" w:eastAsia="zh-CN"/>
                    </w:rPr>
                  </w:pPr>
                  <w:r>
                    <w:rPr>
                      <w:rFonts w:hint="eastAsia"/>
                      <w:color w:val="auto"/>
                      <w:highlight w:val="none"/>
                      <w:lang w:val="en-US" w:eastAsia="zh-CN"/>
                    </w:rPr>
                    <w:t>固废</w:t>
                  </w:r>
                </w:p>
              </w:tc>
              <w:tc>
                <w:tcPr>
                  <w:tcW w:w="696" w:type="pct"/>
                  <w:vAlign w:val="center"/>
                </w:tcPr>
                <w:p w14:paraId="59037045">
                  <w:pPr>
                    <w:jc w:val="center"/>
                    <w:rPr>
                      <w:rFonts w:hint="default" w:eastAsia="宋体"/>
                      <w:color w:val="auto"/>
                      <w:highlight w:val="none"/>
                      <w:lang w:val="en-US" w:eastAsia="zh-CN"/>
                    </w:rPr>
                  </w:pPr>
                  <w:r>
                    <w:rPr>
                      <w:rFonts w:hint="eastAsia"/>
                      <w:snapToGrid w:val="0"/>
                      <w:color w:val="auto"/>
                      <w:kern w:val="0"/>
                      <w:sz w:val="21"/>
                      <w:szCs w:val="21"/>
                    </w:rPr>
                    <w:t>生活垃圾</w:t>
                  </w:r>
                </w:p>
              </w:tc>
              <w:tc>
                <w:tcPr>
                  <w:tcW w:w="887" w:type="pct"/>
                  <w:vAlign w:val="center"/>
                </w:tcPr>
                <w:p w14:paraId="1208CEB2">
                  <w:pPr>
                    <w:adjustRightInd w:val="0"/>
                    <w:snapToGrid w:val="0"/>
                    <w:spacing w:line="240" w:lineRule="auto"/>
                    <w:jc w:val="center"/>
                    <w:rPr>
                      <w:rFonts w:hint="default" w:eastAsia="宋体"/>
                      <w:color w:val="auto"/>
                      <w:highlight w:val="none"/>
                      <w:lang w:val="en-US" w:eastAsia="zh-CN"/>
                    </w:rPr>
                  </w:pPr>
                  <w:r>
                    <w:rPr>
                      <w:rFonts w:hint="eastAsia" w:cs="Times New Roman"/>
                      <w:color w:val="auto"/>
                      <w:szCs w:val="21"/>
                      <w:highlight w:val="none"/>
                      <w:lang w:val="en-US" w:eastAsia="zh-CN"/>
                    </w:rPr>
                    <w:t>集中收集后</w:t>
                  </w:r>
                  <w:r>
                    <w:rPr>
                      <w:rFonts w:hint="default" w:ascii="Times New Roman" w:hAnsi="Times New Roman" w:cs="Times New Roman"/>
                      <w:color w:val="auto"/>
                      <w:szCs w:val="21"/>
                      <w:highlight w:val="none"/>
                    </w:rPr>
                    <w:t>交由环卫部门统一处置</w:t>
                  </w:r>
                </w:p>
              </w:tc>
              <w:tc>
                <w:tcPr>
                  <w:tcW w:w="1798" w:type="pct"/>
                  <w:vMerge w:val="restart"/>
                  <w:vAlign w:val="center"/>
                </w:tcPr>
                <w:p w14:paraId="0B093917">
                  <w:pPr>
                    <w:pStyle w:val="54"/>
                    <w:spacing w:line="240" w:lineRule="auto"/>
                    <w:rPr>
                      <w:rFonts w:hint="default" w:eastAsia="宋体"/>
                      <w:color w:val="auto"/>
                      <w:highlight w:val="none"/>
                      <w:lang w:val="en-US" w:eastAsia="zh-CN"/>
                    </w:rPr>
                  </w:pPr>
                  <w:r>
                    <w:rPr>
                      <w:rFonts w:hint="default" w:ascii="Times New Roman" w:hAnsi="Times New Roman" w:cs="Times New Roman"/>
                      <w:szCs w:val="21"/>
                    </w:rPr>
                    <w:t>《一般工业固体废物贮存和填埋污染控制标准》（GB18599-2020）</w:t>
                  </w:r>
                </w:p>
              </w:tc>
              <w:tc>
                <w:tcPr>
                  <w:tcW w:w="867" w:type="pct"/>
                  <w:vAlign w:val="center"/>
                </w:tcPr>
                <w:p w14:paraId="49D3EF0A">
                  <w:pPr>
                    <w:adjustRightInd w:val="0"/>
                    <w:snapToGrid w:val="0"/>
                    <w:spacing w:line="240" w:lineRule="auto"/>
                    <w:jc w:val="center"/>
                    <w:rPr>
                      <w:rFonts w:hint="eastAsia" w:eastAsia="宋体"/>
                      <w:color w:val="auto"/>
                      <w:highlight w:val="yellow"/>
                      <w:lang w:val="en-US" w:eastAsia="zh-CN"/>
                    </w:rPr>
                  </w:pPr>
                  <w:r>
                    <w:rPr>
                      <w:rFonts w:hint="eastAsia" w:cs="Times New Roman"/>
                      <w:color w:val="auto"/>
                      <w:szCs w:val="21"/>
                      <w:highlight w:val="none"/>
                      <w:lang w:val="en-US" w:eastAsia="zh-CN"/>
                    </w:rPr>
                    <w:t>集中收集后</w:t>
                  </w:r>
                  <w:r>
                    <w:rPr>
                      <w:rFonts w:hint="default" w:ascii="Times New Roman" w:hAnsi="Times New Roman" w:cs="Times New Roman"/>
                      <w:color w:val="auto"/>
                      <w:szCs w:val="21"/>
                      <w:highlight w:val="none"/>
                    </w:rPr>
                    <w:t>交由环卫部门统一处置</w:t>
                  </w:r>
                </w:p>
              </w:tc>
            </w:tr>
            <w:tr w14:paraId="56B2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continue"/>
                  <w:vAlign w:val="center"/>
                </w:tcPr>
                <w:p w14:paraId="40BFF56C">
                  <w:pPr>
                    <w:pStyle w:val="54"/>
                    <w:spacing w:line="240" w:lineRule="auto"/>
                    <w:rPr>
                      <w:color w:val="auto"/>
                      <w:highlight w:val="none"/>
                    </w:rPr>
                  </w:pPr>
                </w:p>
              </w:tc>
              <w:tc>
                <w:tcPr>
                  <w:tcW w:w="465" w:type="pct"/>
                  <w:vMerge w:val="continue"/>
                  <w:vAlign w:val="center"/>
                </w:tcPr>
                <w:p w14:paraId="58DC48DA">
                  <w:pPr>
                    <w:pStyle w:val="54"/>
                    <w:spacing w:line="240" w:lineRule="auto"/>
                    <w:rPr>
                      <w:color w:val="auto"/>
                      <w:highlight w:val="none"/>
                    </w:rPr>
                  </w:pPr>
                </w:p>
              </w:tc>
              <w:tc>
                <w:tcPr>
                  <w:tcW w:w="696" w:type="pct"/>
                  <w:vAlign w:val="center"/>
                </w:tcPr>
                <w:p w14:paraId="49EFCC08">
                  <w:pPr>
                    <w:spacing w:line="240" w:lineRule="auto"/>
                    <w:jc w:val="center"/>
                    <w:rPr>
                      <w:rFonts w:hint="default" w:eastAsia="宋体"/>
                      <w:color w:val="auto"/>
                      <w:highlight w:val="none"/>
                      <w:lang w:val="en-US" w:eastAsia="zh-CN"/>
                    </w:rPr>
                  </w:pPr>
                  <w:r>
                    <w:rPr>
                      <w:rFonts w:hint="eastAsia"/>
                      <w:snapToGrid w:val="0"/>
                      <w:color w:val="auto"/>
                      <w:kern w:val="0"/>
                      <w:sz w:val="21"/>
                      <w:szCs w:val="21"/>
                      <w:lang w:val="en-US" w:eastAsia="zh-CN"/>
                    </w:rPr>
                    <w:t>污泥</w:t>
                  </w:r>
                </w:p>
              </w:tc>
              <w:tc>
                <w:tcPr>
                  <w:tcW w:w="887" w:type="pct"/>
                  <w:vAlign w:val="center"/>
                </w:tcPr>
                <w:p w14:paraId="69A0A2AB">
                  <w:pPr>
                    <w:pStyle w:val="54"/>
                    <w:spacing w:line="240" w:lineRule="auto"/>
                    <w:rPr>
                      <w:rFonts w:hint="default" w:eastAsia="宋体"/>
                      <w:color w:val="auto"/>
                      <w:highlight w:val="none"/>
                      <w:lang w:val="en-US" w:eastAsia="zh-CN"/>
                    </w:rPr>
                  </w:pPr>
                  <w:r>
                    <w:rPr>
                      <w:rFonts w:hint="eastAsia" w:ascii="Times New Roman" w:hAnsi="Times New Roman" w:eastAsia="宋体" w:cs="Times New Roman"/>
                      <w:snapToGrid/>
                      <w:color w:val="auto"/>
                      <w:kern w:val="2"/>
                      <w:sz w:val="21"/>
                      <w:szCs w:val="21"/>
                      <w:lang w:val="en-US" w:eastAsia="zh-CN" w:bidi="ar-SA"/>
                    </w:rPr>
                    <w:t>定期由有资质公司专人处理</w:t>
                  </w:r>
                </w:p>
              </w:tc>
              <w:tc>
                <w:tcPr>
                  <w:tcW w:w="1798" w:type="pct"/>
                  <w:vMerge w:val="continue"/>
                  <w:tcBorders/>
                  <w:vAlign w:val="center"/>
                </w:tcPr>
                <w:p w14:paraId="262AF8B2">
                  <w:pPr>
                    <w:pStyle w:val="54"/>
                    <w:spacing w:line="240" w:lineRule="auto"/>
                    <w:rPr>
                      <w:color w:val="auto"/>
                      <w:highlight w:val="none"/>
                    </w:rPr>
                  </w:pPr>
                </w:p>
              </w:tc>
              <w:tc>
                <w:tcPr>
                  <w:tcW w:w="867" w:type="pct"/>
                  <w:vAlign w:val="center"/>
                </w:tcPr>
                <w:p w14:paraId="2A91EB14">
                  <w:pPr>
                    <w:pStyle w:val="54"/>
                    <w:spacing w:line="240" w:lineRule="auto"/>
                    <w:jc w:val="center"/>
                    <w:rPr>
                      <w:rFonts w:hint="eastAsia" w:eastAsia="宋体"/>
                      <w:color w:val="auto"/>
                      <w:highlight w:val="yellow"/>
                      <w:lang w:val="en-US" w:eastAsia="zh-CN"/>
                    </w:rPr>
                  </w:pPr>
                  <w:r>
                    <w:rPr>
                      <w:rFonts w:hint="eastAsia" w:ascii="Times New Roman" w:hAnsi="Times New Roman" w:eastAsia="宋体" w:cs="Times New Roman"/>
                      <w:snapToGrid/>
                      <w:color w:val="auto"/>
                      <w:kern w:val="2"/>
                      <w:sz w:val="21"/>
                      <w:szCs w:val="21"/>
                      <w:lang w:val="en-US" w:eastAsia="zh-CN" w:bidi="ar-SA"/>
                    </w:rPr>
                    <w:t>/</w:t>
                  </w:r>
                </w:p>
              </w:tc>
            </w:tr>
            <w:tr w14:paraId="7C49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continue"/>
                  <w:vAlign w:val="center"/>
                </w:tcPr>
                <w:p w14:paraId="5A57601A">
                  <w:pPr>
                    <w:pStyle w:val="54"/>
                    <w:spacing w:line="240" w:lineRule="auto"/>
                    <w:rPr>
                      <w:color w:val="auto"/>
                      <w:highlight w:val="none"/>
                    </w:rPr>
                  </w:pPr>
                </w:p>
              </w:tc>
              <w:tc>
                <w:tcPr>
                  <w:tcW w:w="465" w:type="pct"/>
                  <w:vMerge w:val="continue"/>
                  <w:vAlign w:val="center"/>
                </w:tcPr>
                <w:p w14:paraId="559AE3CA">
                  <w:pPr>
                    <w:pStyle w:val="54"/>
                    <w:spacing w:line="240" w:lineRule="auto"/>
                    <w:rPr>
                      <w:color w:val="auto"/>
                      <w:highlight w:val="none"/>
                    </w:rPr>
                  </w:pPr>
                </w:p>
              </w:tc>
              <w:tc>
                <w:tcPr>
                  <w:tcW w:w="696" w:type="pct"/>
                  <w:vAlign w:val="center"/>
                </w:tcPr>
                <w:p w14:paraId="6E45E0DE">
                  <w:pPr>
                    <w:jc w:val="center"/>
                    <w:rPr>
                      <w:rFonts w:hint="default" w:ascii="Times New Roman" w:hAnsi="Times New Roman" w:cs="Times New Roman"/>
                      <w:color w:val="auto"/>
                      <w:szCs w:val="21"/>
                      <w:highlight w:val="none"/>
                    </w:rPr>
                  </w:pPr>
                  <w:r>
                    <w:rPr>
                      <w:rFonts w:hint="eastAsia"/>
                      <w:snapToGrid w:val="0"/>
                      <w:color w:val="auto"/>
                      <w:kern w:val="0"/>
                      <w:sz w:val="21"/>
                      <w:szCs w:val="21"/>
                    </w:rPr>
                    <w:t>不合格混凝土</w:t>
                  </w:r>
                </w:p>
              </w:tc>
              <w:tc>
                <w:tcPr>
                  <w:tcW w:w="887" w:type="pct"/>
                  <w:vAlign w:val="center"/>
                </w:tcPr>
                <w:p w14:paraId="28530F37">
                  <w:pPr>
                    <w:pStyle w:val="54"/>
                    <w:spacing w:line="240" w:lineRule="auto"/>
                    <w:rPr>
                      <w:rFonts w:hint="default"/>
                      <w:color w:val="auto"/>
                      <w:highlight w:val="none"/>
                      <w:lang w:val="en-US" w:eastAsia="zh-CN"/>
                    </w:rPr>
                  </w:pPr>
                  <w:r>
                    <w:rPr>
                      <w:rFonts w:hint="eastAsia"/>
                      <w:bCs/>
                      <w:color w:val="auto"/>
                      <w:sz w:val="21"/>
                      <w:szCs w:val="21"/>
                      <w:lang w:val="en-US" w:eastAsia="zh-CN"/>
                    </w:rPr>
                    <w:t>集中收集后回用于生产</w:t>
                  </w:r>
                </w:p>
              </w:tc>
              <w:tc>
                <w:tcPr>
                  <w:tcW w:w="1798" w:type="pct"/>
                  <w:vMerge w:val="continue"/>
                  <w:tcBorders/>
                  <w:vAlign w:val="center"/>
                </w:tcPr>
                <w:p w14:paraId="49BAB94B">
                  <w:pPr>
                    <w:pStyle w:val="54"/>
                    <w:spacing w:line="240" w:lineRule="auto"/>
                    <w:rPr>
                      <w:color w:val="auto"/>
                      <w:highlight w:val="none"/>
                    </w:rPr>
                  </w:pPr>
                </w:p>
              </w:tc>
              <w:tc>
                <w:tcPr>
                  <w:tcW w:w="867" w:type="pct"/>
                  <w:vAlign w:val="center"/>
                </w:tcPr>
                <w:p w14:paraId="5FB06BE0">
                  <w:pPr>
                    <w:pStyle w:val="54"/>
                    <w:spacing w:line="240" w:lineRule="auto"/>
                    <w:jc w:val="center"/>
                    <w:rPr>
                      <w:rFonts w:hint="eastAsia"/>
                      <w:color w:val="auto"/>
                      <w:highlight w:val="none"/>
                      <w:lang w:val="en-US" w:eastAsia="zh-CN"/>
                    </w:rPr>
                  </w:pPr>
                  <w:r>
                    <w:rPr>
                      <w:rFonts w:hint="eastAsia"/>
                      <w:bCs/>
                      <w:color w:val="auto"/>
                      <w:sz w:val="21"/>
                      <w:szCs w:val="21"/>
                      <w:lang w:val="en-US" w:eastAsia="zh-CN"/>
                    </w:rPr>
                    <w:t>集中收集后回用于生产</w:t>
                  </w:r>
                </w:p>
              </w:tc>
            </w:tr>
            <w:tr w14:paraId="042A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continue"/>
                  <w:vAlign w:val="center"/>
                </w:tcPr>
                <w:p w14:paraId="42348029">
                  <w:pPr>
                    <w:pStyle w:val="54"/>
                    <w:spacing w:line="240" w:lineRule="auto"/>
                    <w:rPr>
                      <w:color w:val="auto"/>
                      <w:highlight w:val="none"/>
                    </w:rPr>
                  </w:pPr>
                </w:p>
              </w:tc>
              <w:tc>
                <w:tcPr>
                  <w:tcW w:w="465" w:type="pct"/>
                  <w:vMerge w:val="continue"/>
                  <w:vAlign w:val="center"/>
                </w:tcPr>
                <w:p w14:paraId="54A344EE">
                  <w:pPr>
                    <w:pStyle w:val="54"/>
                    <w:spacing w:line="240" w:lineRule="auto"/>
                    <w:rPr>
                      <w:color w:val="auto"/>
                      <w:highlight w:val="none"/>
                    </w:rPr>
                  </w:pPr>
                </w:p>
              </w:tc>
              <w:tc>
                <w:tcPr>
                  <w:tcW w:w="696" w:type="pct"/>
                  <w:vAlign w:val="center"/>
                </w:tcPr>
                <w:p w14:paraId="25A6DFD4">
                  <w:pPr>
                    <w:jc w:val="center"/>
                    <w:rPr>
                      <w:rFonts w:hint="default" w:eastAsia="宋体"/>
                      <w:snapToGrid w:val="0"/>
                      <w:color w:val="auto"/>
                      <w:kern w:val="0"/>
                      <w:sz w:val="21"/>
                      <w:szCs w:val="21"/>
                      <w:lang w:val="en-US" w:eastAsia="zh-CN"/>
                    </w:rPr>
                  </w:pPr>
                  <w:r>
                    <w:rPr>
                      <w:rFonts w:hint="eastAsia"/>
                      <w:snapToGrid w:val="0"/>
                      <w:color w:val="auto"/>
                      <w:kern w:val="0"/>
                      <w:sz w:val="21"/>
                      <w:szCs w:val="21"/>
                      <w:lang w:val="en-US" w:eastAsia="zh-CN"/>
                    </w:rPr>
                    <w:t>实验室废料</w:t>
                  </w:r>
                </w:p>
              </w:tc>
              <w:tc>
                <w:tcPr>
                  <w:tcW w:w="887" w:type="pct"/>
                  <w:vAlign w:val="center"/>
                </w:tcPr>
                <w:p w14:paraId="45721524">
                  <w:pPr>
                    <w:pStyle w:val="54"/>
                    <w:spacing w:line="240" w:lineRule="auto"/>
                    <w:rPr>
                      <w:rFonts w:hint="default"/>
                      <w:bCs/>
                      <w:color w:val="auto"/>
                      <w:sz w:val="21"/>
                      <w:szCs w:val="21"/>
                      <w:lang w:val="en-US" w:eastAsia="zh-CN"/>
                    </w:rPr>
                  </w:pPr>
                  <w:r>
                    <w:rPr>
                      <w:rFonts w:hint="eastAsia"/>
                      <w:bCs/>
                      <w:color w:val="auto"/>
                      <w:sz w:val="21"/>
                      <w:szCs w:val="21"/>
                      <w:lang w:val="en-US" w:eastAsia="zh-CN"/>
                    </w:rPr>
                    <w:t>人工破碎后回用于生产</w:t>
                  </w:r>
                </w:p>
              </w:tc>
              <w:tc>
                <w:tcPr>
                  <w:tcW w:w="1798" w:type="pct"/>
                  <w:vMerge w:val="continue"/>
                  <w:tcBorders/>
                  <w:vAlign w:val="center"/>
                </w:tcPr>
                <w:p w14:paraId="48075603">
                  <w:pPr>
                    <w:pStyle w:val="54"/>
                    <w:spacing w:line="240" w:lineRule="auto"/>
                    <w:rPr>
                      <w:color w:val="auto"/>
                      <w:highlight w:val="none"/>
                    </w:rPr>
                  </w:pPr>
                </w:p>
              </w:tc>
              <w:tc>
                <w:tcPr>
                  <w:tcW w:w="867" w:type="pct"/>
                  <w:vAlign w:val="center"/>
                </w:tcPr>
                <w:p w14:paraId="3D34C188">
                  <w:pPr>
                    <w:pStyle w:val="54"/>
                    <w:spacing w:line="240" w:lineRule="auto"/>
                    <w:jc w:val="center"/>
                    <w:rPr>
                      <w:rFonts w:hint="eastAsia"/>
                      <w:bCs/>
                      <w:color w:val="auto"/>
                      <w:sz w:val="21"/>
                      <w:szCs w:val="21"/>
                      <w:lang w:val="en-US" w:eastAsia="zh-CN"/>
                    </w:rPr>
                  </w:pPr>
                  <w:r>
                    <w:rPr>
                      <w:rFonts w:hint="eastAsia"/>
                      <w:bCs/>
                      <w:color w:val="auto"/>
                      <w:sz w:val="21"/>
                      <w:szCs w:val="21"/>
                      <w:lang w:val="en-US" w:eastAsia="zh-CN"/>
                    </w:rPr>
                    <w:t>人工破碎后回用于生产</w:t>
                  </w:r>
                </w:p>
              </w:tc>
            </w:tr>
            <w:tr w14:paraId="1D1B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continue"/>
                  <w:vAlign w:val="center"/>
                </w:tcPr>
                <w:p w14:paraId="54F9B668">
                  <w:pPr>
                    <w:pStyle w:val="54"/>
                    <w:spacing w:line="240" w:lineRule="auto"/>
                    <w:rPr>
                      <w:color w:val="auto"/>
                      <w:highlight w:val="none"/>
                    </w:rPr>
                  </w:pPr>
                </w:p>
              </w:tc>
              <w:tc>
                <w:tcPr>
                  <w:tcW w:w="465" w:type="pct"/>
                  <w:vMerge w:val="continue"/>
                  <w:vAlign w:val="center"/>
                </w:tcPr>
                <w:p w14:paraId="156C7523">
                  <w:pPr>
                    <w:pStyle w:val="54"/>
                    <w:spacing w:line="240" w:lineRule="auto"/>
                    <w:rPr>
                      <w:color w:val="auto"/>
                      <w:highlight w:val="none"/>
                    </w:rPr>
                  </w:pPr>
                </w:p>
              </w:tc>
              <w:tc>
                <w:tcPr>
                  <w:tcW w:w="696" w:type="pct"/>
                  <w:vAlign w:val="center"/>
                </w:tcPr>
                <w:p w14:paraId="1472DB05">
                  <w:pPr>
                    <w:jc w:val="center"/>
                    <w:rPr>
                      <w:rFonts w:hint="eastAsia" w:eastAsia="宋体"/>
                      <w:color w:val="auto"/>
                      <w:highlight w:val="none"/>
                      <w:lang w:eastAsia="zh-CN"/>
                    </w:rPr>
                  </w:pPr>
                  <w:r>
                    <w:rPr>
                      <w:rFonts w:hint="eastAsia"/>
                      <w:snapToGrid w:val="0"/>
                      <w:color w:val="auto"/>
                      <w:kern w:val="0"/>
                      <w:sz w:val="21"/>
                      <w:szCs w:val="21"/>
                      <w:lang w:eastAsia="zh-CN"/>
                    </w:rPr>
                    <w:t>布袋除尘器收集的粉尘</w:t>
                  </w:r>
                </w:p>
              </w:tc>
              <w:tc>
                <w:tcPr>
                  <w:tcW w:w="887" w:type="pct"/>
                  <w:vAlign w:val="center"/>
                </w:tcPr>
                <w:p w14:paraId="2BA80738">
                  <w:pPr>
                    <w:pStyle w:val="54"/>
                    <w:spacing w:line="240" w:lineRule="auto"/>
                    <w:rPr>
                      <w:color w:val="auto"/>
                      <w:highlight w:val="none"/>
                    </w:rPr>
                  </w:pPr>
                  <w:r>
                    <w:rPr>
                      <w:rFonts w:hint="eastAsia"/>
                      <w:bCs/>
                      <w:color w:val="auto"/>
                      <w:sz w:val="21"/>
                      <w:szCs w:val="21"/>
                      <w:lang w:val="en-US" w:eastAsia="zh-CN"/>
                    </w:rPr>
                    <w:t>集中收集后回用于生产</w:t>
                  </w:r>
                </w:p>
              </w:tc>
              <w:tc>
                <w:tcPr>
                  <w:tcW w:w="1798" w:type="pct"/>
                  <w:vMerge w:val="continue"/>
                  <w:tcBorders/>
                  <w:vAlign w:val="center"/>
                </w:tcPr>
                <w:p w14:paraId="0B2EF84B">
                  <w:pPr>
                    <w:pStyle w:val="54"/>
                    <w:spacing w:line="240" w:lineRule="auto"/>
                    <w:rPr>
                      <w:color w:val="auto"/>
                      <w:highlight w:val="none"/>
                    </w:rPr>
                  </w:pPr>
                </w:p>
              </w:tc>
              <w:tc>
                <w:tcPr>
                  <w:tcW w:w="867" w:type="pct"/>
                  <w:vAlign w:val="center"/>
                </w:tcPr>
                <w:p w14:paraId="2F9369F7">
                  <w:pPr>
                    <w:pStyle w:val="54"/>
                    <w:spacing w:line="240" w:lineRule="auto"/>
                    <w:jc w:val="center"/>
                    <w:rPr>
                      <w:rFonts w:hint="eastAsia" w:eastAsia="宋体"/>
                      <w:color w:val="auto"/>
                      <w:highlight w:val="yellow"/>
                      <w:lang w:val="en-US" w:eastAsia="zh-CN"/>
                    </w:rPr>
                  </w:pPr>
                  <w:r>
                    <w:rPr>
                      <w:rFonts w:hint="eastAsia"/>
                      <w:bCs/>
                      <w:color w:val="auto"/>
                      <w:sz w:val="21"/>
                      <w:szCs w:val="21"/>
                      <w:lang w:val="en-US" w:eastAsia="zh-CN"/>
                    </w:rPr>
                    <w:t>集中收集后回用于生产</w:t>
                  </w:r>
                </w:p>
              </w:tc>
            </w:tr>
            <w:tr w14:paraId="1B70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continue"/>
                  <w:vAlign w:val="center"/>
                </w:tcPr>
                <w:p w14:paraId="268CA1C9">
                  <w:pPr>
                    <w:pStyle w:val="54"/>
                    <w:spacing w:line="240" w:lineRule="auto"/>
                    <w:rPr>
                      <w:color w:val="auto"/>
                      <w:highlight w:val="none"/>
                    </w:rPr>
                  </w:pPr>
                </w:p>
              </w:tc>
              <w:tc>
                <w:tcPr>
                  <w:tcW w:w="465" w:type="pct"/>
                  <w:vMerge w:val="continue"/>
                  <w:vAlign w:val="center"/>
                </w:tcPr>
                <w:p w14:paraId="098F0189">
                  <w:pPr>
                    <w:pStyle w:val="54"/>
                    <w:spacing w:line="240" w:lineRule="auto"/>
                    <w:rPr>
                      <w:color w:val="auto"/>
                      <w:highlight w:val="none"/>
                    </w:rPr>
                  </w:pPr>
                </w:p>
              </w:tc>
              <w:tc>
                <w:tcPr>
                  <w:tcW w:w="696" w:type="pct"/>
                  <w:vAlign w:val="center"/>
                </w:tcPr>
                <w:p w14:paraId="22832C79">
                  <w:pPr>
                    <w:jc w:val="center"/>
                    <w:rPr>
                      <w:rFonts w:hint="default"/>
                      <w:color w:val="auto"/>
                      <w:highlight w:val="none"/>
                      <w:lang w:val="en-US" w:eastAsia="zh-CN"/>
                    </w:rPr>
                  </w:pPr>
                  <w:r>
                    <w:rPr>
                      <w:rFonts w:hint="eastAsia"/>
                      <w:snapToGrid w:val="0"/>
                      <w:color w:val="auto"/>
                      <w:kern w:val="0"/>
                      <w:sz w:val="21"/>
                      <w:szCs w:val="21"/>
                      <w:lang w:eastAsia="zh-CN"/>
                    </w:rPr>
                    <w:t>沉淀池沉淀物</w:t>
                  </w:r>
                </w:p>
              </w:tc>
              <w:tc>
                <w:tcPr>
                  <w:tcW w:w="887" w:type="pct"/>
                  <w:vAlign w:val="center"/>
                </w:tcPr>
                <w:p w14:paraId="1D372472">
                  <w:pPr>
                    <w:adjustRightInd w:val="0"/>
                    <w:snapToGrid w:val="0"/>
                    <w:spacing w:line="240" w:lineRule="auto"/>
                    <w:jc w:val="center"/>
                    <w:rPr>
                      <w:color w:val="auto"/>
                      <w:highlight w:val="none"/>
                    </w:rPr>
                  </w:pPr>
                  <w:r>
                    <w:rPr>
                      <w:rFonts w:hint="eastAsia"/>
                      <w:bCs/>
                      <w:color w:val="auto"/>
                      <w:sz w:val="21"/>
                      <w:szCs w:val="21"/>
                      <w:lang w:val="en-US" w:eastAsia="zh-CN"/>
                    </w:rPr>
                    <w:t>集中收集后回用于生产</w:t>
                  </w:r>
                </w:p>
              </w:tc>
              <w:tc>
                <w:tcPr>
                  <w:tcW w:w="1798" w:type="pct"/>
                  <w:vMerge w:val="continue"/>
                  <w:tcBorders/>
                  <w:vAlign w:val="center"/>
                </w:tcPr>
                <w:p w14:paraId="602CEFE9">
                  <w:pPr>
                    <w:pStyle w:val="54"/>
                    <w:spacing w:line="240" w:lineRule="auto"/>
                    <w:rPr>
                      <w:rFonts w:hint="eastAsia" w:eastAsia="宋体"/>
                      <w:color w:val="auto"/>
                      <w:highlight w:val="none"/>
                      <w:lang w:val="en-US" w:eastAsia="zh-CN"/>
                    </w:rPr>
                  </w:pPr>
                </w:p>
              </w:tc>
              <w:tc>
                <w:tcPr>
                  <w:tcW w:w="867" w:type="pct"/>
                  <w:vAlign w:val="center"/>
                </w:tcPr>
                <w:p w14:paraId="79B136BF">
                  <w:pPr>
                    <w:adjustRightInd w:val="0"/>
                    <w:snapToGrid w:val="0"/>
                    <w:spacing w:line="240" w:lineRule="auto"/>
                    <w:jc w:val="center"/>
                    <w:rPr>
                      <w:rFonts w:hint="default"/>
                      <w:color w:val="auto"/>
                      <w:highlight w:val="yellow"/>
                      <w:lang w:val="en-US" w:eastAsia="zh-CN"/>
                    </w:rPr>
                  </w:pPr>
                  <w:r>
                    <w:rPr>
                      <w:rFonts w:hint="eastAsia"/>
                      <w:bCs/>
                      <w:color w:val="auto"/>
                      <w:sz w:val="21"/>
                      <w:szCs w:val="21"/>
                      <w:lang w:val="en-US" w:eastAsia="zh-CN"/>
                    </w:rPr>
                    <w:t>集中收集后回用于生产</w:t>
                  </w:r>
                </w:p>
              </w:tc>
            </w:tr>
            <w:tr w14:paraId="345C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continue"/>
                  <w:vAlign w:val="center"/>
                </w:tcPr>
                <w:p w14:paraId="5210771E">
                  <w:pPr>
                    <w:pStyle w:val="54"/>
                    <w:spacing w:line="240" w:lineRule="auto"/>
                    <w:rPr>
                      <w:color w:val="auto"/>
                      <w:highlight w:val="none"/>
                    </w:rPr>
                  </w:pPr>
                </w:p>
              </w:tc>
              <w:tc>
                <w:tcPr>
                  <w:tcW w:w="465" w:type="pct"/>
                  <w:vMerge w:val="continue"/>
                  <w:vAlign w:val="center"/>
                </w:tcPr>
                <w:p w14:paraId="367AF961">
                  <w:pPr>
                    <w:pStyle w:val="54"/>
                    <w:spacing w:line="240" w:lineRule="auto"/>
                    <w:rPr>
                      <w:color w:val="auto"/>
                      <w:highlight w:val="none"/>
                    </w:rPr>
                  </w:pPr>
                </w:p>
              </w:tc>
              <w:tc>
                <w:tcPr>
                  <w:tcW w:w="696" w:type="pct"/>
                  <w:vAlign w:val="center"/>
                </w:tcPr>
                <w:p w14:paraId="543DB2F9">
                  <w:pPr>
                    <w:jc w:val="center"/>
                    <w:rPr>
                      <w:rFonts w:hint="default"/>
                      <w:snapToGrid w:val="0"/>
                      <w:color w:val="auto"/>
                      <w:kern w:val="0"/>
                      <w:sz w:val="21"/>
                      <w:szCs w:val="21"/>
                      <w:lang w:val="en-US" w:eastAsia="zh-CN"/>
                    </w:rPr>
                  </w:pPr>
                  <w:r>
                    <w:rPr>
                      <w:rFonts w:hint="eastAsia"/>
                      <w:snapToGrid w:val="0"/>
                      <w:color w:val="auto"/>
                      <w:kern w:val="0"/>
                      <w:sz w:val="21"/>
                      <w:szCs w:val="21"/>
                      <w:lang w:val="en-US" w:eastAsia="zh-CN"/>
                    </w:rPr>
                    <w:t>废包装桶</w:t>
                  </w:r>
                </w:p>
              </w:tc>
              <w:tc>
                <w:tcPr>
                  <w:tcW w:w="887" w:type="pct"/>
                  <w:vAlign w:val="center"/>
                </w:tcPr>
                <w:p w14:paraId="6EFB5A3A">
                  <w:pPr>
                    <w:adjustRightInd w:val="0"/>
                    <w:snapToGrid w:val="0"/>
                    <w:spacing w:line="240" w:lineRule="auto"/>
                    <w:jc w:val="center"/>
                    <w:rPr>
                      <w:rFonts w:hint="default"/>
                      <w:bCs/>
                      <w:color w:val="auto"/>
                      <w:sz w:val="21"/>
                      <w:szCs w:val="21"/>
                      <w:lang w:val="en-US" w:eastAsia="zh-CN"/>
                    </w:rPr>
                  </w:pPr>
                  <w:r>
                    <w:rPr>
                      <w:rFonts w:hint="eastAsia"/>
                      <w:bCs/>
                      <w:color w:val="auto"/>
                      <w:sz w:val="21"/>
                      <w:szCs w:val="21"/>
                      <w:lang w:val="en-US" w:eastAsia="zh-CN"/>
                    </w:rPr>
                    <w:t>外售</w:t>
                  </w:r>
                </w:p>
              </w:tc>
              <w:tc>
                <w:tcPr>
                  <w:tcW w:w="1798" w:type="pct"/>
                  <w:vMerge w:val="continue"/>
                  <w:tcBorders/>
                  <w:vAlign w:val="center"/>
                </w:tcPr>
                <w:p w14:paraId="5F71CDB7">
                  <w:pPr>
                    <w:pStyle w:val="54"/>
                    <w:spacing w:line="240" w:lineRule="auto"/>
                    <w:rPr>
                      <w:rFonts w:hint="eastAsia" w:eastAsia="宋体"/>
                      <w:color w:val="auto"/>
                      <w:highlight w:val="none"/>
                      <w:lang w:val="en-US" w:eastAsia="zh-CN"/>
                    </w:rPr>
                  </w:pPr>
                </w:p>
              </w:tc>
              <w:tc>
                <w:tcPr>
                  <w:tcW w:w="867" w:type="pct"/>
                  <w:vAlign w:val="center"/>
                </w:tcPr>
                <w:p w14:paraId="3B71538C">
                  <w:pPr>
                    <w:adjustRightInd w:val="0"/>
                    <w:snapToGrid w:val="0"/>
                    <w:spacing w:line="240" w:lineRule="auto"/>
                    <w:jc w:val="center"/>
                    <w:rPr>
                      <w:rFonts w:hint="default"/>
                      <w:bCs/>
                      <w:color w:val="auto"/>
                      <w:sz w:val="21"/>
                      <w:szCs w:val="21"/>
                      <w:lang w:val="en-US" w:eastAsia="zh-CN"/>
                    </w:rPr>
                  </w:pPr>
                  <w:r>
                    <w:rPr>
                      <w:rFonts w:hint="eastAsia"/>
                      <w:bCs/>
                      <w:color w:val="auto"/>
                      <w:sz w:val="21"/>
                      <w:szCs w:val="21"/>
                      <w:lang w:val="en-US" w:eastAsia="zh-CN"/>
                    </w:rPr>
                    <w:t>/</w:t>
                  </w:r>
                </w:p>
              </w:tc>
            </w:tr>
            <w:tr w14:paraId="798C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 w:type="pct"/>
                  <w:vMerge w:val="continue"/>
                  <w:vAlign w:val="center"/>
                </w:tcPr>
                <w:p w14:paraId="6E23B56C">
                  <w:pPr>
                    <w:pStyle w:val="54"/>
                    <w:spacing w:line="240" w:lineRule="auto"/>
                    <w:rPr>
                      <w:color w:val="auto"/>
                      <w:highlight w:val="none"/>
                    </w:rPr>
                  </w:pPr>
                </w:p>
              </w:tc>
              <w:tc>
                <w:tcPr>
                  <w:tcW w:w="465" w:type="pct"/>
                  <w:vMerge w:val="continue"/>
                  <w:vAlign w:val="center"/>
                </w:tcPr>
                <w:p w14:paraId="10587544">
                  <w:pPr>
                    <w:pStyle w:val="54"/>
                    <w:spacing w:line="240" w:lineRule="auto"/>
                    <w:rPr>
                      <w:color w:val="auto"/>
                      <w:highlight w:val="none"/>
                    </w:rPr>
                  </w:pPr>
                </w:p>
              </w:tc>
              <w:tc>
                <w:tcPr>
                  <w:tcW w:w="696" w:type="pct"/>
                  <w:vAlign w:val="center"/>
                </w:tcPr>
                <w:p w14:paraId="453E5DAD">
                  <w:pPr>
                    <w:adjustRightInd w:val="0"/>
                    <w:snapToGrid w:val="0"/>
                    <w:spacing w:line="240" w:lineRule="auto"/>
                    <w:jc w:val="center"/>
                    <w:rPr>
                      <w:color w:val="auto"/>
                      <w:highlight w:val="none"/>
                    </w:rPr>
                  </w:pPr>
                  <w:r>
                    <w:rPr>
                      <w:rFonts w:hint="default" w:ascii="Times New Roman" w:hAnsi="Times New Roman" w:cs="Times New Roman"/>
                      <w:color w:val="auto"/>
                      <w:szCs w:val="21"/>
                      <w:highlight w:val="none"/>
                    </w:rPr>
                    <w:t>废机油</w:t>
                  </w:r>
                </w:p>
              </w:tc>
              <w:tc>
                <w:tcPr>
                  <w:tcW w:w="887" w:type="pct"/>
                  <w:vAlign w:val="center"/>
                </w:tcPr>
                <w:p w14:paraId="5D440758">
                  <w:pPr>
                    <w:adjustRightInd w:val="0"/>
                    <w:snapToGrid w:val="0"/>
                    <w:spacing w:line="240" w:lineRule="auto"/>
                    <w:jc w:val="center"/>
                    <w:rPr>
                      <w:color w:val="auto"/>
                      <w:highlight w:val="none"/>
                    </w:rPr>
                  </w:pPr>
                  <w:r>
                    <w:rPr>
                      <w:rFonts w:hint="default" w:ascii="Times New Roman" w:hAnsi="Times New Roman" w:cs="Times New Roman"/>
                      <w:color w:val="auto"/>
                      <w:szCs w:val="21"/>
                      <w:highlight w:val="none"/>
                    </w:rPr>
                    <w:t>暂存于危废暂存间，委托具有处理资质的单位定期拉运处置</w:t>
                  </w:r>
                </w:p>
              </w:tc>
              <w:tc>
                <w:tcPr>
                  <w:tcW w:w="1798" w:type="pct"/>
                  <w:vAlign w:val="center"/>
                </w:tcPr>
                <w:p w14:paraId="583B10E1">
                  <w:pPr>
                    <w:pStyle w:val="54"/>
                    <w:spacing w:line="240" w:lineRule="auto"/>
                    <w:rPr>
                      <w:color w:val="auto"/>
                      <w:highlight w:val="none"/>
                    </w:rPr>
                  </w:pPr>
                  <w:r>
                    <w:rPr>
                      <w:color w:val="auto"/>
                      <w:highlight w:val="none"/>
                    </w:rPr>
                    <w:t>《危险废物贮存污染控制标准》（GB18597-20</w:t>
                  </w:r>
                  <w:r>
                    <w:rPr>
                      <w:rFonts w:hint="eastAsia"/>
                      <w:color w:val="auto"/>
                      <w:highlight w:val="none"/>
                      <w:lang w:val="en-US" w:eastAsia="zh-CN"/>
                    </w:rPr>
                    <w:t>23</w:t>
                  </w:r>
                  <w:r>
                    <w:rPr>
                      <w:color w:val="auto"/>
                      <w:highlight w:val="none"/>
                    </w:rPr>
                    <w:t>）相关要求</w:t>
                  </w:r>
                </w:p>
              </w:tc>
              <w:tc>
                <w:tcPr>
                  <w:tcW w:w="867" w:type="pct"/>
                  <w:vAlign w:val="center"/>
                </w:tcPr>
                <w:p w14:paraId="01EE2DA7">
                  <w:pPr>
                    <w:pStyle w:val="54"/>
                    <w:spacing w:line="240" w:lineRule="auto"/>
                    <w:jc w:val="center"/>
                    <w:rPr>
                      <w:rFonts w:hint="eastAsia" w:eastAsia="宋体"/>
                      <w:color w:val="auto"/>
                      <w:highlight w:val="none"/>
                      <w:lang w:val="en-US" w:eastAsia="zh-CN"/>
                    </w:rPr>
                  </w:pPr>
                  <w:r>
                    <w:rPr>
                      <w:rFonts w:hint="default" w:ascii="Times New Roman" w:hAnsi="Times New Roman" w:cs="Times New Roman"/>
                      <w:color w:val="auto"/>
                      <w:szCs w:val="21"/>
                      <w:highlight w:val="none"/>
                    </w:rPr>
                    <w:t>暂存于危废暂存间，委托具有处理资质的单位定期拉运处置</w:t>
                  </w:r>
                </w:p>
              </w:tc>
            </w:tr>
          </w:tbl>
          <w:p w14:paraId="79058C65">
            <w:pPr>
              <w:adjustRightInd w:val="0"/>
              <w:snapToGrid w:val="0"/>
              <w:rPr>
                <w:rFonts w:ascii="宋体" w:hAnsi="宋体" w:cs="宋体"/>
                <w:bCs/>
                <w:color w:val="auto"/>
                <w:spacing w:val="-10"/>
                <w:szCs w:val="21"/>
              </w:rPr>
            </w:pPr>
          </w:p>
        </w:tc>
      </w:tr>
    </w:tbl>
    <w:p w14:paraId="7D43B5DB">
      <w:pPr>
        <w:adjustRightInd w:val="0"/>
        <w:snapToGrid w:val="0"/>
        <w:spacing w:line="360" w:lineRule="auto"/>
        <w:rPr>
          <w:rFonts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74DD8773">
      <w:pPr>
        <w:pStyle w:val="24"/>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2" w:name="_Hlk54167917"/>
      <w:r>
        <w:rPr>
          <w:rFonts w:hint="eastAsia" w:ascii="黑体" w:hAnsi="黑体" w:eastAsia="黑体"/>
          <w:snapToGrid w:val="0"/>
          <w:color w:val="auto"/>
          <w:sz w:val="30"/>
          <w:szCs w:val="30"/>
        </w:rPr>
        <w:t>环境保护措施监督检查清单</w:t>
      </w:r>
      <w:bookmarkEnd w:id="2"/>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556"/>
        <w:gridCol w:w="1669"/>
        <w:gridCol w:w="2042"/>
      </w:tblGrid>
      <w:tr w14:paraId="38871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tcBorders>
              <w:tl2br w:val="single" w:color="auto" w:sz="4" w:space="0"/>
            </w:tcBorders>
            <w:vAlign w:val="center"/>
          </w:tcPr>
          <w:p w14:paraId="205363C5">
            <w:pPr>
              <w:adjustRightInd w:val="0"/>
              <w:snapToGrid w:val="0"/>
              <w:jc w:val="center"/>
              <w:rPr>
                <w:rFonts w:ascii="宋体" w:hAnsi="宋体" w:cs="宋体"/>
                <w:color w:val="auto"/>
                <w:szCs w:val="21"/>
              </w:rPr>
            </w:pPr>
            <w:r>
              <w:rPr>
                <w:rFonts w:hint="eastAsia" w:ascii="宋体" w:hAnsi="宋体" w:cs="宋体"/>
                <w:color w:val="auto"/>
                <w:szCs w:val="21"/>
              </w:rPr>
              <w:t>内容</w:t>
            </w:r>
          </w:p>
          <w:p w14:paraId="6AE71BD2">
            <w:pPr>
              <w:adjustRightInd w:val="0"/>
              <w:snapToGrid w:val="0"/>
              <w:jc w:val="center"/>
              <w:rPr>
                <w:rFonts w:ascii="宋体" w:hAnsi="宋体" w:cs="宋体"/>
                <w:color w:val="auto"/>
                <w:szCs w:val="21"/>
              </w:rPr>
            </w:pPr>
            <w:r>
              <w:rPr>
                <w:rFonts w:hint="eastAsia" w:ascii="宋体" w:hAnsi="宋体" w:cs="宋体"/>
                <w:color w:val="auto"/>
                <w:szCs w:val="21"/>
              </w:rPr>
              <w:t>要素</w:t>
            </w:r>
          </w:p>
        </w:tc>
        <w:tc>
          <w:tcPr>
            <w:tcW w:w="1755" w:type="dxa"/>
            <w:vAlign w:val="center"/>
          </w:tcPr>
          <w:p w14:paraId="5177B034">
            <w:pPr>
              <w:adjustRightInd w:val="0"/>
              <w:snapToGrid w:val="0"/>
              <w:jc w:val="center"/>
              <w:rPr>
                <w:rFonts w:ascii="宋体" w:hAnsi="宋体" w:cs="宋体"/>
                <w:color w:val="auto"/>
                <w:szCs w:val="21"/>
              </w:rPr>
            </w:pPr>
            <w:r>
              <w:rPr>
                <w:rFonts w:hint="eastAsia" w:ascii="宋体" w:hAnsi="宋体" w:cs="宋体"/>
                <w:color w:val="auto"/>
                <w:szCs w:val="21"/>
              </w:rPr>
              <w:t>排放口</w:t>
            </w:r>
            <w:r>
              <w:rPr>
                <w:rFonts w:hint="eastAsia" w:ascii="宋体" w:hAnsi="宋体" w:cs="宋体"/>
                <w:color w:val="auto"/>
                <w:szCs w:val="21"/>
                <w:lang w:eastAsia="zh-CN"/>
              </w:rPr>
              <w:t>（</w:t>
            </w:r>
            <w:r>
              <w:rPr>
                <w:rFonts w:hint="eastAsia" w:ascii="宋体" w:hAnsi="宋体" w:cs="宋体"/>
                <w:color w:val="auto"/>
                <w:szCs w:val="21"/>
              </w:rPr>
              <w:t>编号、</w:t>
            </w:r>
          </w:p>
          <w:p w14:paraId="13E5AD6F">
            <w:pPr>
              <w:adjustRightInd w:val="0"/>
              <w:snapToGrid w:val="0"/>
              <w:jc w:val="center"/>
              <w:rPr>
                <w:rFonts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lang w:eastAsia="zh-CN"/>
              </w:rPr>
              <w:t>）</w:t>
            </w:r>
            <w:r>
              <w:rPr>
                <w:rFonts w:hint="eastAsia" w:ascii="宋体" w:hAnsi="宋体" w:cs="宋体"/>
                <w:color w:val="auto"/>
                <w:szCs w:val="21"/>
              </w:rPr>
              <w:t>/污染源</w:t>
            </w:r>
          </w:p>
        </w:tc>
        <w:tc>
          <w:tcPr>
            <w:tcW w:w="1556" w:type="dxa"/>
            <w:vAlign w:val="center"/>
          </w:tcPr>
          <w:p w14:paraId="6A78EAB7">
            <w:pPr>
              <w:adjustRightInd w:val="0"/>
              <w:snapToGrid w:val="0"/>
              <w:jc w:val="center"/>
              <w:rPr>
                <w:rFonts w:ascii="宋体" w:hAnsi="宋体" w:cs="宋体"/>
                <w:color w:val="auto"/>
                <w:szCs w:val="21"/>
              </w:rPr>
            </w:pPr>
            <w:r>
              <w:rPr>
                <w:rFonts w:hint="eastAsia" w:ascii="宋体" w:hAnsi="宋体" w:cs="宋体"/>
                <w:color w:val="auto"/>
                <w:szCs w:val="21"/>
              </w:rPr>
              <w:t>污染物项目</w:t>
            </w:r>
          </w:p>
        </w:tc>
        <w:tc>
          <w:tcPr>
            <w:tcW w:w="1669" w:type="dxa"/>
            <w:vAlign w:val="center"/>
          </w:tcPr>
          <w:p w14:paraId="7E48C741">
            <w:pPr>
              <w:adjustRightInd w:val="0"/>
              <w:snapToGrid w:val="0"/>
              <w:jc w:val="center"/>
              <w:rPr>
                <w:rFonts w:ascii="宋体" w:hAnsi="宋体" w:cs="宋体"/>
                <w:color w:val="auto"/>
                <w:szCs w:val="21"/>
              </w:rPr>
            </w:pPr>
            <w:r>
              <w:rPr>
                <w:rFonts w:hint="eastAsia" w:ascii="宋体" w:hAnsi="宋体" w:cs="宋体"/>
                <w:color w:val="auto"/>
                <w:szCs w:val="21"/>
              </w:rPr>
              <w:t>环境保护措施</w:t>
            </w:r>
          </w:p>
        </w:tc>
        <w:tc>
          <w:tcPr>
            <w:tcW w:w="2042" w:type="dxa"/>
            <w:vAlign w:val="center"/>
          </w:tcPr>
          <w:p w14:paraId="423D670D">
            <w:pPr>
              <w:adjustRightInd w:val="0"/>
              <w:snapToGrid w:val="0"/>
              <w:jc w:val="center"/>
              <w:rPr>
                <w:rFonts w:ascii="宋体" w:hAnsi="宋体" w:cs="宋体"/>
                <w:color w:val="auto"/>
                <w:szCs w:val="21"/>
              </w:rPr>
            </w:pPr>
            <w:r>
              <w:rPr>
                <w:rFonts w:hint="eastAsia" w:ascii="宋体" w:hAnsi="宋体" w:cs="宋体"/>
                <w:color w:val="auto"/>
                <w:szCs w:val="21"/>
              </w:rPr>
              <w:t>执行标准</w:t>
            </w:r>
          </w:p>
        </w:tc>
      </w:tr>
      <w:tr w14:paraId="3F1E9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778" w:type="dxa"/>
            <w:vMerge w:val="restart"/>
            <w:vAlign w:val="center"/>
          </w:tcPr>
          <w:p w14:paraId="4CD4A2EE">
            <w:pPr>
              <w:adjustRightInd w:val="0"/>
              <w:snapToGrid w:val="0"/>
              <w:jc w:val="center"/>
              <w:rPr>
                <w:rFonts w:ascii="宋体" w:hAnsi="宋体" w:cs="宋体"/>
                <w:color w:val="auto"/>
                <w:szCs w:val="21"/>
              </w:rPr>
            </w:pPr>
            <w:r>
              <w:rPr>
                <w:rFonts w:hint="eastAsia" w:ascii="宋体" w:hAnsi="宋体" w:cs="宋体"/>
                <w:color w:val="auto"/>
                <w:szCs w:val="21"/>
              </w:rPr>
              <w:t>大气环境</w:t>
            </w:r>
          </w:p>
        </w:tc>
        <w:tc>
          <w:tcPr>
            <w:tcW w:w="1755" w:type="dxa"/>
            <w:vAlign w:val="center"/>
          </w:tcPr>
          <w:p w14:paraId="31D514D5">
            <w:pPr>
              <w:jc w:val="center"/>
              <w:rPr>
                <w:rFonts w:ascii="宋体" w:hAnsi="宋体" w:cs="宋体"/>
                <w:color w:val="auto"/>
                <w:szCs w:val="21"/>
              </w:rPr>
            </w:pPr>
            <w:r>
              <w:rPr>
                <w:rFonts w:hint="eastAsia"/>
                <w:color w:val="auto"/>
                <w:szCs w:val="21"/>
              </w:rPr>
              <w:t>搅拌粉尘</w:t>
            </w:r>
          </w:p>
        </w:tc>
        <w:tc>
          <w:tcPr>
            <w:tcW w:w="1556" w:type="dxa"/>
            <w:vAlign w:val="center"/>
          </w:tcPr>
          <w:p w14:paraId="1467D093">
            <w:pPr>
              <w:adjustRightInd w:val="0"/>
              <w:snapToGrid w:val="0"/>
              <w:jc w:val="center"/>
              <w:rPr>
                <w:rFonts w:ascii="宋体" w:hAnsi="宋体" w:cs="宋体"/>
                <w:color w:val="auto"/>
                <w:szCs w:val="21"/>
              </w:rPr>
            </w:pPr>
            <w:r>
              <w:rPr>
                <w:rFonts w:hint="eastAsia" w:ascii="宋体" w:hAnsi="宋体" w:cs="宋体"/>
                <w:color w:val="auto"/>
                <w:szCs w:val="21"/>
              </w:rPr>
              <w:t>颗粒物</w:t>
            </w:r>
          </w:p>
        </w:tc>
        <w:tc>
          <w:tcPr>
            <w:tcW w:w="1669" w:type="dxa"/>
            <w:vAlign w:val="center"/>
          </w:tcPr>
          <w:p w14:paraId="10092E3B">
            <w:pPr>
              <w:jc w:val="both"/>
              <w:rPr>
                <w:rFonts w:ascii="宋体" w:hAnsi="宋体" w:cs="宋体"/>
                <w:color w:val="auto"/>
                <w:szCs w:val="21"/>
              </w:rPr>
            </w:pPr>
            <w:r>
              <w:rPr>
                <w:rFonts w:hint="eastAsia"/>
                <w:color w:val="auto"/>
                <w:szCs w:val="21"/>
              </w:rPr>
              <w:t>搅拌楼密闭，每台搅拌机配套脉冲布袋除尘器</w:t>
            </w:r>
          </w:p>
        </w:tc>
        <w:tc>
          <w:tcPr>
            <w:tcW w:w="2042" w:type="dxa"/>
            <w:vAlign w:val="center"/>
          </w:tcPr>
          <w:p w14:paraId="225CF5ED">
            <w:pPr>
              <w:adjustRightInd w:val="0"/>
              <w:snapToGrid w:val="0"/>
              <w:jc w:val="both"/>
              <w:rPr>
                <w:rFonts w:ascii="宋体" w:hAnsi="宋体" w:cs="宋体"/>
                <w:color w:val="auto"/>
                <w:szCs w:val="21"/>
              </w:rPr>
            </w:pPr>
            <w:r>
              <w:rPr>
                <w:rFonts w:hint="eastAsia"/>
                <w:color w:val="auto"/>
                <w:szCs w:val="21"/>
              </w:rPr>
              <w:t>《</w:t>
            </w:r>
            <w:r>
              <w:rPr>
                <w:rFonts w:hint="eastAsia" w:ascii="Times New Roman" w:hAnsi="Times New Roman" w:eastAsia="宋体" w:cs="Times New Roman"/>
                <w:color w:val="auto"/>
                <w:spacing w:val="0"/>
                <w:sz w:val="21"/>
                <w:szCs w:val="21"/>
              </w:rPr>
              <w:t>水泥工业大气污染物排放标准》（GB4915-2013）表</w:t>
            </w:r>
            <w:r>
              <w:rPr>
                <w:rFonts w:hint="eastAsia" w:ascii="Times New Roman" w:hAnsi="Times New Roman" w:eastAsia="宋体" w:cs="Times New Roman"/>
                <w:color w:val="auto"/>
                <w:spacing w:val="0"/>
                <w:sz w:val="21"/>
                <w:szCs w:val="21"/>
                <w:lang w:val="en-US" w:eastAsia="zh-CN"/>
              </w:rPr>
              <w:t>1现有与新建企业大气污染物排放限值</w:t>
            </w:r>
          </w:p>
        </w:tc>
      </w:tr>
      <w:tr w14:paraId="19052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74B24122">
            <w:pPr>
              <w:adjustRightInd w:val="0"/>
              <w:snapToGrid w:val="0"/>
              <w:jc w:val="center"/>
              <w:rPr>
                <w:rFonts w:ascii="宋体" w:hAnsi="宋体" w:cs="宋体"/>
                <w:color w:val="auto"/>
                <w:szCs w:val="21"/>
              </w:rPr>
            </w:pPr>
          </w:p>
        </w:tc>
        <w:tc>
          <w:tcPr>
            <w:tcW w:w="1755" w:type="dxa"/>
            <w:vAlign w:val="center"/>
          </w:tcPr>
          <w:p w14:paraId="694A8FEF">
            <w:pPr>
              <w:jc w:val="center"/>
              <w:rPr>
                <w:rFonts w:ascii="宋体" w:hAnsi="宋体" w:cs="宋体"/>
                <w:color w:val="auto"/>
                <w:szCs w:val="21"/>
              </w:rPr>
            </w:pPr>
            <w:r>
              <w:rPr>
                <w:rFonts w:hint="eastAsia"/>
                <w:color w:val="auto"/>
                <w:szCs w:val="21"/>
              </w:rPr>
              <w:t>筒仓粉尘</w:t>
            </w:r>
          </w:p>
        </w:tc>
        <w:tc>
          <w:tcPr>
            <w:tcW w:w="1556" w:type="dxa"/>
            <w:vAlign w:val="center"/>
          </w:tcPr>
          <w:p w14:paraId="404A463D">
            <w:pPr>
              <w:adjustRightInd w:val="0"/>
              <w:snapToGrid w:val="0"/>
              <w:jc w:val="center"/>
              <w:rPr>
                <w:rFonts w:ascii="宋体" w:hAnsi="宋体" w:cs="宋体"/>
                <w:color w:val="auto"/>
                <w:szCs w:val="21"/>
              </w:rPr>
            </w:pPr>
            <w:r>
              <w:rPr>
                <w:rFonts w:hint="eastAsia" w:ascii="宋体" w:hAnsi="宋体" w:cs="宋体"/>
                <w:color w:val="auto"/>
                <w:szCs w:val="21"/>
              </w:rPr>
              <w:t>颗粒物</w:t>
            </w:r>
          </w:p>
        </w:tc>
        <w:tc>
          <w:tcPr>
            <w:tcW w:w="1669" w:type="dxa"/>
            <w:vAlign w:val="center"/>
          </w:tcPr>
          <w:p w14:paraId="63CCED02">
            <w:pPr>
              <w:jc w:val="both"/>
              <w:rPr>
                <w:rFonts w:hint="default" w:ascii="宋体" w:hAnsi="宋体" w:eastAsia="宋体" w:cs="宋体"/>
                <w:color w:val="auto"/>
                <w:szCs w:val="21"/>
                <w:lang w:val="en-US" w:eastAsia="zh-CN"/>
              </w:rPr>
            </w:pPr>
            <w:r>
              <w:rPr>
                <w:rFonts w:hint="eastAsia"/>
                <w:color w:val="auto"/>
                <w:szCs w:val="21"/>
                <w:lang w:val="en-US" w:eastAsia="zh-CN"/>
              </w:rPr>
              <w:t>每个筒仓采用一套布袋除尘器</w:t>
            </w:r>
          </w:p>
        </w:tc>
        <w:tc>
          <w:tcPr>
            <w:tcW w:w="2042" w:type="dxa"/>
            <w:vAlign w:val="center"/>
          </w:tcPr>
          <w:p w14:paraId="184767E0">
            <w:pPr>
              <w:adjustRightInd w:val="0"/>
              <w:snapToGrid w:val="0"/>
              <w:jc w:val="both"/>
              <w:rPr>
                <w:rFonts w:ascii="宋体" w:hAnsi="宋体" w:cs="宋体"/>
                <w:color w:val="auto"/>
                <w:szCs w:val="21"/>
              </w:rPr>
            </w:pPr>
            <w:r>
              <w:rPr>
                <w:rFonts w:hint="eastAsia"/>
                <w:color w:val="auto"/>
                <w:spacing w:val="0"/>
                <w:sz w:val="21"/>
                <w:szCs w:val="21"/>
              </w:rPr>
              <w:t>《水泥工业大气污染物排放标准》（GB4915-2013）表</w:t>
            </w:r>
            <w:r>
              <w:rPr>
                <w:rFonts w:hint="eastAsia"/>
                <w:color w:val="auto"/>
                <w:spacing w:val="0"/>
                <w:sz w:val="21"/>
                <w:szCs w:val="21"/>
                <w:lang w:val="en-US" w:eastAsia="zh-CN"/>
              </w:rPr>
              <w:t>3</w:t>
            </w:r>
            <w:r>
              <w:rPr>
                <w:rFonts w:hint="eastAsia"/>
                <w:color w:val="auto"/>
                <w:spacing w:val="0"/>
                <w:sz w:val="21"/>
                <w:szCs w:val="21"/>
              </w:rPr>
              <w:t>大气污染物无组织排放限值</w:t>
            </w:r>
          </w:p>
        </w:tc>
      </w:tr>
      <w:tr w14:paraId="7119A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4A30E009">
            <w:pPr>
              <w:adjustRightInd w:val="0"/>
              <w:snapToGrid w:val="0"/>
              <w:jc w:val="center"/>
              <w:rPr>
                <w:rFonts w:ascii="宋体" w:hAnsi="宋体" w:cs="宋体"/>
                <w:color w:val="auto"/>
                <w:szCs w:val="21"/>
              </w:rPr>
            </w:pPr>
          </w:p>
        </w:tc>
        <w:tc>
          <w:tcPr>
            <w:tcW w:w="1755" w:type="dxa"/>
            <w:vAlign w:val="center"/>
          </w:tcPr>
          <w:p w14:paraId="7A034ABA">
            <w:pPr>
              <w:adjustRightInd w:val="0"/>
              <w:snapToGrid w:val="0"/>
              <w:jc w:val="center"/>
              <w:rPr>
                <w:rFonts w:ascii="宋体" w:hAnsi="宋体" w:cs="宋体"/>
                <w:color w:val="auto"/>
                <w:szCs w:val="21"/>
              </w:rPr>
            </w:pPr>
            <w:r>
              <w:rPr>
                <w:rFonts w:hint="eastAsia" w:ascii="宋体" w:hAnsi="宋体" w:cs="宋体"/>
                <w:color w:val="auto"/>
                <w:szCs w:val="21"/>
              </w:rPr>
              <w:t>卸料粉尘</w:t>
            </w:r>
          </w:p>
        </w:tc>
        <w:tc>
          <w:tcPr>
            <w:tcW w:w="1556" w:type="dxa"/>
            <w:vAlign w:val="center"/>
          </w:tcPr>
          <w:p w14:paraId="087011F2">
            <w:pPr>
              <w:adjustRightInd w:val="0"/>
              <w:snapToGrid w:val="0"/>
              <w:jc w:val="center"/>
              <w:rPr>
                <w:rFonts w:ascii="宋体" w:hAnsi="宋体" w:cs="宋体"/>
                <w:color w:val="auto"/>
                <w:szCs w:val="21"/>
              </w:rPr>
            </w:pPr>
            <w:r>
              <w:rPr>
                <w:rFonts w:hint="eastAsia" w:ascii="宋体" w:hAnsi="宋体" w:cs="宋体"/>
                <w:color w:val="auto"/>
                <w:szCs w:val="21"/>
              </w:rPr>
              <w:t>颗粒物</w:t>
            </w:r>
          </w:p>
        </w:tc>
        <w:tc>
          <w:tcPr>
            <w:tcW w:w="1669" w:type="dxa"/>
            <w:vAlign w:val="center"/>
          </w:tcPr>
          <w:p w14:paraId="2BF6D6FE">
            <w:pPr>
              <w:jc w:val="both"/>
              <w:rPr>
                <w:rFonts w:ascii="宋体" w:hAnsi="宋体" w:cs="宋体"/>
                <w:color w:val="auto"/>
                <w:szCs w:val="21"/>
              </w:rPr>
            </w:pPr>
            <w:r>
              <w:rPr>
                <w:rFonts w:hint="eastAsia"/>
                <w:color w:val="auto"/>
                <w:szCs w:val="21"/>
              </w:rPr>
              <w:t>料场</w:t>
            </w:r>
            <w:r>
              <w:rPr>
                <w:rFonts w:hint="eastAsia"/>
                <w:color w:val="auto"/>
                <w:szCs w:val="21"/>
                <w:lang w:val="en-US" w:eastAsia="zh-CN"/>
              </w:rPr>
              <w:t>半</w:t>
            </w:r>
            <w:r>
              <w:rPr>
                <w:rFonts w:hint="eastAsia"/>
                <w:color w:val="auto"/>
                <w:szCs w:val="21"/>
              </w:rPr>
              <w:t>封闭，</w:t>
            </w:r>
            <w:r>
              <w:rPr>
                <w:rFonts w:hint="eastAsia"/>
                <w:color w:val="auto"/>
                <w:szCs w:val="21"/>
                <w:lang w:val="en-US" w:eastAsia="zh-CN"/>
              </w:rPr>
              <w:t>物料篷布</w:t>
            </w:r>
            <w:r>
              <w:rPr>
                <w:rFonts w:hint="eastAsia"/>
                <w:color w:val="auto"/>
                <w:szCs w:val="21"/>
              </w:rPr>
              <w:t>覆盖</w:t>
            </w:r>
            <w:r>
              <w:rPr>
                <w:rFonts w:hint="eastAsia"/>
                <w:color w:val="auto"/>
                <w:szCs w:val="21"/>
                <w:lang w:eastAsia="zh-CN"/>
              </w:rPr>
              <w:t>，</w:t>
            </w:r>
            <w:r>
              <w:rPr>
                <w:rFonts w:hint="eastAsia"/>
                <w:color w:val="auto"/>
                <w:szCs w:val="21"/>
              </w:rPr>
              <w:t>洒水降尘</w:t>
            </w:r>
          </w:p>
        </w:tc>
        <w:tc>
          <w:tcPr>
            <w:tcW w:w="2042" w:type="dxa"/>
            <w:vMerge w:val="restart"/>
            <w:vAlign w:val="center"/>
          </w:tcPr>
          <w:p w14:paraId="539DD04C">
            <w:pPr>
              <w:adjustRightInd w:val="0"/>
              <w:snapToGrid w:val="0"/>
              <w:jc w:val="both"/>
              <w:rPr>
                <w:rFonts w:hint="eastAsia" w:ascii="宋体" w:hAnsi="宋体" w:eastAsia="宋体" w:cs="宋体"/>
                <w:color w:val="auto"/>
                <w:szCs w:val="21"/>
                <w:lang w:val="en-US" w:eastAsia="zh-CN"/>
              </w:rPr>
            </w:pPr>
            <w:r>
              <w:rPr>
                <w:rFonts w:hint="eastAsia"/>
                <w:color w:val="auto"/>
                <w:spacing w:val="0"/>
                <w:sz w:val="21"/>
                <w:szCs w:val="21"/>
              </w:rPr>
              <w:t>《水泥工业大气污染物排放标准》（GB4915-2013）表3大气污染物无组织排放限值</w:t>
            </w:r>
          </w:p>
        </w:tc>
      </w:tr>
      <w:tr w14:paraId="0127E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04D80B4B">
            <w:pPr>
              <w:adjustRightInd w:val="0"/>
              <w:snapToGrid w:val="0"/>
              <w:jc w:val="center"/>
              <w:rPr>
                <w:rFonts w:ascii="宋体" w:hAnsi="宋体" w:cs="宋体"/>
                <w:color w:val="auto"/>
                <w:szCs w:val="21"/>
              </w:rPr>
            </w:pPr>
          </w:p>
        </w:tc>
        <w:tc>
          <w:tcPr>
            <w:tcW w:w="1755" w:type="dxa"/>
            <w:vAlign w:val="center"/>
          </w:tcPr>
          <w:p w14:paraId="421A9865">
            <w:pPr>
              <w:adjustRightInd w:val="0"/>
              <w:snapToGrid w:val="0"/>
              <w:jc w:val="center"/>
              <w:rPr>
                <w:rFonts w:ascii="宋体" w:hAnsi="宋体" w:cs="宋体"/>
                <w:color w:val="auto"/>
                <w:szCs w:val="21"/>
              </w:rPr>
            </w:pPr>
            <w:r>
              <w:rPr>
                <w:rFonts w:hint="eastAsia" w:ascii="宋体" w:hAnsi="宋体" w:cs="宋体"/>
                <w:color w:val="auto"/>
                <w:szCs w:val="21"/>
              </w:rPr>
              <w:t>运输粉尘</w:t>
            </w:r>
          </w:p>
        </w:tc>
        <w:tc>
          <w:tcPr>
            <w:tcW w:w="1556" w:type="dxa"/>
            <w:vAlign w:val="center"/>
          </w:tcPr>
          <w:p w14:paraId="52F0254F">
            <w:pPr>
              <w:adjustRightInd w:val="0"/>
              <w:snapToGrid w:val="0"/>
              <w:jc w:val="center"/>
              <w:rPr>
                <w:rFonts w:ascii="宋体" w:hAnsi="宋体" w:cs="宋体"/>
                <w:color w:val="auto"/>
                <w:szCs w:val="21"/>
              </w:rPr>
            </w:pPr>
            <w:r>
              <w:rPr>
                <w:rFonts w:hint="eastAsia" w:ascii="宋体" w:hAnsi="宋体" w:cs="宋体"/>
                <w:color w:val="auto"/>
                <w:szCs w:val="21"/>
              </w:rPr>
              <w:t>颗粒物</w:t>
            </w:r>
          </w:p>
        </w:tc>
        <w:tc>
          <w:tcPr>
            <w:tcW w:w="1669" w:type="dxa"/>
            <w:vAlign w:val="center"/>
          </w:tcPr>
          <w:p w14:paraId="750D9C60">
            <w:pPr>
              <w:jc w:val="both"/>
              <w:rPr>
                <w:rFonts w:ascii="宋体" w:hAnsi="宋体" w:cs="宋体"/>
                <w:color w:val="auto"/>
                <w:szCs w:val="21"/>
              </w:rPr>
            </w:pPr>
            <w:r>
              <w:rPr>
                <w:rFonts w:hint="eastAsia"/>
                <w:color w:val="auto"/>
                <w:szCs w:val="21"/>
              </w:rPr>
              <w:t>运输车辆封闭遮盖，粉料采用密闭罐车运输，车辆清洗，地面洒水降尘、及时清扫</w:t>
            </w:r>
          </w:p>
        </w:tc>
        <w:tc>
          <w:tcPr>
            <w:tcW w:w="2042" w:type="dxa"/>
            <w:vMerge w:val="continue"/>
            <w:vAlign w:val="center"/>
          </w:tcPr>
          <w:p w14:paraId="7FD2F5B5">
            <w:pPr>
              <w:adjustRightInd w:val="0"/>
              <w:snapToGrid w:val="0"/>
              <w:jc w:val="center"/>
              <w:rPr>
                <w:rFonts w:ascii="宋体" w:hAnsi="宋体" w:cs="宋体"/>
                <w:color w:val="auto"/>
                <w:szCs w:val="21"/>
              </w:rPr>
            </w:pPr>
          </w:p>
        </w:tc>
      </w:tr>
      <w:tr w14:paraId="24DB6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14392AEB">
            <w:pPr>
              <w:adjustRightInd w:val="0"/>
              <w:snapToGrid w:val="0"/>
              <w:jc w:val="center"/>
              <w:rPr>
                <w:rFonts w:ascii="宋体" w:hAnsi="宋体" w:cs="宋体"/>
                <w:color w:val="auto"/>
                <w:szCs w:val="21"/>
              </w:rPr>
            </w:pPr>
          </w:p>
        </w:tc>
        <w:tc>
          <w:tcPr>
            <w:tcW w:w="1755" w:type="dxa"/>
            <w:vAlign w:val="center"/>
          </w:tcPr>
          <w:p w14:paraId="1393E072">
            <w:pPr>
              <w:adjustRightInd w:val="0"/>
              <w:snapToGrid w:val="0"/>
              <w:jc w:val="center"/>
              <w:rPr>
                <w:rFonts w:ascii="宋体" w:hAnsi="宋体" w:cs="宋体"/>
                <w:color w:val="auto"/>
                <w:szCs w:val="21"/>
              </w:rPr>
            </w:pPr>
            <w:r>
              <w:rPr>
                <w:rFonts w:hint="eastAsia" w:ascii="宋体" w:hAnsi="宋体" w:cs="宋体"/>
                <w:color w:val="auto"/>
                <w:szCs w:val="21"/>
              </w:rPr>
              <w:t>廊道运输</w:t>
            </w:r>
          </w:p>
        </w:tc>
        <w:tc>
          <w:tcPr>
            <w:tcW w:w="1556" w:type="dxa"/>
            <w:vAlign w:val="center"/>
          </w:tcPr>
          <w:p w14:paraId="447A941A">
            <w:pPr>
              <w:adjustRightInd w:val="0"/>
              <w:snapToGrid w:val="0"/>
              <w:jc w:val="center"/>
              <w:rPr>
                <w:rFonts w:ascii="宋体" w:hAnsi="宋体" w:cs="宋体"/>
                <w:color w:val="auto"/>
                <w:szCs w:val="21"/>
              </w:rPr>
            </w:pPr>
            <w:r>
              <w:rPr>
                <w:rFonts w:hint="eastAsia" w:ascii="宋体" w:hAnsi="宋体" w:cs="宋体"/>
                <w:color w:val="auto"/>
                <w:szCs w:val="21"/>
              </w:rPr>
              <w:t>颗粒物</w:t>
            </w:r>
          </w:p>
        </w:tc>
        <w:tc>
          <w:tcPr>
            <w:tcW w:w="1669" w:type="dxa"/>
            <w:vAlign w:val="center"/>
          </w:tcPr>
          <w:p w14:paraId="748B7BB9">
            <w:pPr>
              <w:jc w:val="both"/>
              <w:rPr>
                <w:rFonts w:ascii="宋体" w:hAnsi="宋体" w:cs="宋体"/>
                <w:color w:val="auto"/>
                <w:szCs w:val="21"/>
              </w:rPr>
            </w:pPr>
            <w:r>
              <w:rPr>
                <w:rFonts w:hint="eastAsia"/>
                <w:color w:val="auto"/>
                <w:szCs w:val="21"/>
              </w:rPr>
              <w:t>廊道密闭</w:t>
            </w:r>
          </w:p>
        </w:tc>
        <w:tc>
          <w:tcPr>
            <w:tcW w:w="2042" w:type="dxa"/>
            <w:vMerge w:val="continue"/>
            <w:vAlign w:val="center"/>
          </w:tcPr>
          <w:p w14:paraId="388E40EF">
            <w:pPr>
              <w:adjustRightInd w:val="0"/>
              <w:snapToGrid w:val="0"/>
              <w:jc w:val="center"/>
              <w:rPr>
                <w:rFonts w:ascii="宋体" w:hAnsi="宋体" w:cs="宋体"/>
                <w:color w:val="auto"/>
                <w:szCs w:val="21"/>
              </w:rPr>
            </w:pPr>
          </w:p>
        </w:tc>
      </w:tr>
      <w:tr w14:paraId="41501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00A2D2E1">
            <w:pPr>
              <w:adjustRightInd w:val="0"/>
              <w:snapToGrid w:val="0"/>
              <w:jc w:val="center"/>
              <w:rPr>
                <w:rFonts w:ascii="宋体" w:hAnsi="宋体" w:cs="宋体"/>
                <w:color w:val="auto"/>
                <w:szCs w:val="21"/>
              </w:rPr>
            </w:pPr>
          </w:p>
        </w:tc>
        <w:tc>
          <w:tcPr>
            <w:tcW w:w="1755" w:type="dxa"/>
            <w:vAlign w:val="center"/>
          </w:tcPr>
          <w:p w14:paraId="057BD56A">
            <w:pPr>
              <w:adjustRightInd w:val="0"/>
              <w:snapToGrid w:val="0"/>
              <w:jc w:val="center"/>
              <w:rPr>
                <w:rFonts w:ascii="宋体" w:hAnsi="宋体" w:cs="宋体"/>
                <w:color w:val="auto"/>
                <w:szCs w:val="21"/>
              </w:rPr>
            </w:pPr>
            <w:r>
              <w:rPr>
                <w:rFonts w:hint="eastAsia" w:ascii="宋体" w:hAnsi="宋体" w:cs="宋体"/>
                <w:color w:val="auto"/>
                <w:szCs w:val="21"/>
              </w:rPr>
              <w:t>食堂油烟</w:t>
            </w:r>
          </w:p>
        </w:tc>
        <w:tc>
          <w:tcPr>
            <w:tcW w:w="1556" w:type="dxa"/>
            <w:vAlign w:val="center"/>
          </w:tcPr>
          <w:p w14:paraId="74F47B48">
            <w:pPr>
              <w:adjustRightInd w:val="0"/>
              <w:snapToGrid w:val="0"/>
              <w:jc w:val="center"/>
              <w:rPr>
                <w:rFonts w:ascii="宋体" w:hAnsi="宋体" w:cs="宋体"/>
                <w:color w:val="auto"/>
                <w:szCs w:val="21"/>
              </w:rPr>
            </w:pPr>
            <w:r>
              <w:rPr>
                <w:rFonts w:hint="eastAsia" w:ascii="宋体" w:hAnsi="宋体" w:cs="宋体"/>
                <w:color w:val="auto"/>
                <w:szCs w:val="21"/>
              </w:rPr>
              <w:t>油烟</w:t>
            </w:r>
          </w:p>
        </w:tc>
        <w:tc>
          <w:tcPr>
            <w:tcW w:w="1669" w:type="dxa"/>
            <w:vAlign w:val="center"/>
          </w:tcPr>
          <w:p w14:paraId="1D7C0397">
            <w:pPr>
              <w:jc w:val="both"/>
              <w:rPr>
                <w:rFonts w:ascii="宋体" w:hAnsi="宋体" w:cs="宋体"/>
                <w:color w:val="auto"/>
                <w:szCs w:val="21"/>
              </w:rPr>
            </w:pPr>
            <w:r>
              <w:rPr>
                <w:rFonts w:hint="eastAsia"/>
                <w:color w:val="auto"/>
                <w:szCs w:val="21"/>
              </w:rPr>
              <w:t>油烟净化器+专用烟道</w:t>
            </w:r>
          </w:p>
        </w:tc>
        <w:tc>
          <w:tcPr>
            <w:tcW w:w="2042" w:type="dxa"/>
            <w:vAlign w:val="center"/>
          </w:tcPr>
          <w:p w14:paraId="5ADA5B76">
            <w:pPr>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tc>
      </w:tr>
      <w:tr w14:paraId="349B2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restart"/>
            <w:vAlign w:val="center"/>
          </w:tcPr>
          <w:p w14:paraId="79090329">
            <w:pPr>
              <w:adjustRightInd w:val="0"/>
              <w:snapToGrid w:val="0"/>
              <w:jc w:val="center"/>
              <w:rPr>
                <w:rFonts w:ascii="宋体" w:hAnsi="宋体" w:cs="宋体"/>
                <w:color w:val="auto"/>
                <w:szCs w:val="21"/>
              </w:rPr>
            </w:pPr>
            <w:r>
              <w:rPr>
                <w:rFonts w:hint="eastAsia" w:ascii="宋体" w:hAnsi="宋体" w:cs="宋体"/>
                <w:color w:val="auto"/>
                <w:szCs w:val="21"/>
              </w:rPr>
              <w:t>地表水环境</w:t>
            </w:r>
          </w:p>
        </w:tc>
        <w:tc>
          <w:tcPr>
            <w:tcW w:w="1755" w:type="dxa"/>
            <w:vAlign w:val="center"/>
          </w:tcPr>
          <w:p w14:paraId="01FEF514">
            <w:pPr>
              <w:adjustRightInd w:val="0"/>
              <w:snapToGrid w:val="0"/>
              <w:jc w:val="center"/>
              <w:rPr>
                <w:rFonts w:ascii="宋体" w:hAnsi="宋体" w:cs="宋体"/>
                <w:color w:val="auto"/>
                <w:szCs w:val="21"/>
              </w:rPr>
            </w:pPr>
            <w:r>
              <w:rPr>
                <w:rFonts w:hint="eastAsia" w:ascii="宋体" w:hAnsi="宋体" w:cs="宋体"/>
                <w:color w:val="auto"/>
                <w:szCs w:val="21"/>
              </w:rPr>
              <w:t>生产废水</w:t>
            </w:r>
          </w:p>
        </w:tc>
        <w:tc>
          <w:tcPr>
            <w:tcW w:w="1556" w:type="dxa"/>
            <w:vAlign w:val="center"/>
          </w:tcPr>
          <w:p w14:paraId="3D44C0FC">
            <w:pPr>
              <w:adjustRightInd w:val="0"/>
              <w:snapToGrid w:val="0"/>
              <w:jc w:val="center"/>
              <w:rPr>
                <w:rFonts w:ascii="宋体" w:hAnsi="宋体" w:cs="宋体"/>
                <w:color w:val="auto"/>
                <w:szCs w:val="21"/>
              </w:rPr>
            </w:pPr>
            <w:r>
              <w:rPr>
                <w:rFonts w:hint="eastAsia" w:ascii="宋体" w:hAnsi="宋体" w:cs="宋体"/>
                <w:color w:val="auto"/>
                <w:szCs w:val="21"/>
              </w:rPr>
              <w:t>/</w:t>
            </w:r>
          </w:p>
        </w:tc>
        <w:tc>
          <w:tcPr>
            <w:tcW w:w="1669" w:type="dxa"/>
            <w:vAlign w:val="center"/>
          </w:tcPr>
          <w:p w14:paraId="56F2B24A">
            <w:pPr>
              <w:jc w:val="both"/>
              <w:rPr>
                <w:rFonts w:ascii="宋体" w:hAnsi="宋体" w:cs="宋体"/>
                <w:color w:val="auto"/>
                <w:szCs w:val="21"/>
              </w:rPr>
            </w:pPr>
            <w:r>
              <w:rPr>
                <w:rFonts w:hint="eastAsia"/>
                <w:color w:val="auto"/>
                <w:szCs w:val="21"/>
              </w:rPr>
              <w:t>1座</w:t>
            </w:r>
            <w:r>
              <w:rPr>
                <w:rFonts w:hint="eastAsia"/>
                <w:color w:val="auto"/>
                <w:szCs w:val="21"/>
                <w:lang w:val="en-US" w:eastAsia="zh-CN"/>
              </w:rPr>
              <w:t>5</w:t>
            </w:r>
            <w:r>
              <w:rPr>
                <w:rFonts w:hint="eastAsia"/>
                <w:color w:val="auto"/>
                <w:szCs w:val="21"/>
              </w:rPr>
              <w:t>0m</w:t>
            </w:r>
            <w:r>
              <w:rPr>
                <w:rFonts w:hint="eastAsia"/>
                <w:color w:val="auto"/>
                <w:szCs w:val="21"/>
                <w:vertAlign w:val="superscript"/>
              </w:rPr>
              <w:t>3</w:t>
            </w:r>
            <w:r>
              <w:rPr>
                <w:rFonts w:hint="eastAsia"/>
                <w:color w:val="auto"/>
                <w:szCs w:val="21"/>
              </w:rPr>
              <w:t>三级沉淀池</w:t>
            </w:r>
          </w:p>
        </w:tc>
        <w:tc>
          <w:tcPr>
            <w:tcW w:w="2042" w:type="dxa"/>
            <w:vAlign w:val="center"/>
          </w:tcPr>
          <w:p w14:paraId="427888CB">
            <w:pPr>
              <w:adjustRightInd w:val="0"/>
              <w:snapToGrid w:val="0"/>
              <w:jc w:val="center"/>
              <w:rPr>
                <w:rFonts w:ascii="宋体" w:hAnsi="宋体" w:cs="宋体"/>
                <w:color w:val="auto"/>
                <w:szCs w:val="21"/>
              </w:rPr>
            </w:pPr>
            <w:r>
              <w:rPr>
                <w:rFonts w:hint="eastAsia" w:ascii="宋体" w:hAnsi="宋体" w:cs="宋体"/>
                <w:color w:val="auto"/>
                <w:szCs w:val="21"/>
              </w:rPr>
              <w:t>/</w:t>
            </w:r>
          </w:p>
        </w:tc>
      </w:tr>
      <w:tr w14:paraId="4D8BE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Merge w:val="continue"/>
            <w:vAlign w:val="center"/>
          </w:tcPr>
          <w:p w14:paraId="61535E40">
            <w:pPr>
              <w:adjustRightInd w:val="0"/>
              <w:snapToGrid w:val="0"/>
              <w:jc w:val="center"/>
              <w:rPr>
                <w:rFonts w:ascii="宋体" w:hAnsi="宋体" w:cs="宋体"/>
                <w:color w:val="auto"/>
                <w:szCs w:val="21"/>
              </w:rPr>
            </w:pPr>
          </w:p>
        </w:tc>
        <w:tc>
          <w:tcPr>
            <w:tcW w:w="1755" w:type="dxa"/>
            <w:vAlign w:val="center"/>
          </w:tcPr>
          <w:p w14:paraId="1030AB58">
            <w:pPr>
              <w:adjustRightInd w:val="0"/>
              <w:snapToGrid w:val="0"/>
              <w:jc w:val="center"/>
              <w:rPr>
                <w:rFonts w:ascii="宋体" w:hAnsi="宋体" w:cs="宋体"/>
                <w:color w:val="auto"/>
                <w:szCs w:val="21"/>
              </w:rPr>
            </w:pPr>
            <w:r>
              <w:rPr>
                <w:rFonts w:hint="eastAsia" w:ascii="宋体" w:hAnsi="宋体" w:cs="宋体"/>
                <w:color w:val="auto"/>
                <w:szCs w:val="21"/>
              </w:rPr>
              <w:t>生活污水</w:t>
            </w:r>
          </w:p>
        </w:tc>
        <w:tc>
          <w:tcPr>
            <w:tcW w:w="1556" w:type="dxa"/>
            <w:vAlign w:val="center"/>
          </w:tcPr>
          <w:p w14:paraId="704EF895">
            <w:pPr>
              <w:pStyle w:val="33"/>
              <w:tabs>
                <w:tab w:val="left" w:pos="312"/>
                <w:tab w:val="clear" w:pos="1845"/>
              </w:tabs>
              <w:adjustRightInd/>
              <w:snapToGrid/>
              <w:spacing w:line="240" w:lineRule="auto"/>
              <w:rPr>
                <w:rFonts w:ascii="宋体" w:hAnsi="宋体" w:cs="宋体"/>
                <w:color w:val="auto"/>
                <w:szCs w:val="21"/>
              </w:rPr>
            </w:pPr>
            <w:r>
              <w:rPr>
                <w:rFonts w:hint="default" w:ascii="Times New Roman" w:hAnsi="Times New Roman"/>
                <w:b w:val="0"/>
                <w:bCs/>
                <w:color w:val="auto"/>
                <w:sz w:val="21"/>
              </w:rPr>
              <w:t>COD、BOD</w:t>
            </w:r>
            <w:r>
              <w:rPr>
                <w:rFonts w:hint="default" w:ascii="Times New Roman" w:hAnsi="Times New Roman"/>
                <w:b w:val="0"/>
                <w:bCs/>
                <w:color w:val="auto"/>
                <w:sz w:val="21"/>
                <w:vertAlign w:val="subscript"/>
              </w:rPr>
              <w:t>5</w:t>
            </w:r>
            <w:r>
              <w:rPr>
                <w:rFonts w:hint="default" w:ascii="Times New Roman" w:hAnsi="Times New Roman"/>
                <w:b w:val="0"/>
                <w:bCs/>
                <w:color w:val="auto"/>
                <w:sz w:val="21"/>
              </w:rPr>
              <w:t>、NH</w:t>
            </w:r>
            <w:r>
              <w:rPr>
                <w:rFonts w:hint="default" w:ascii="Times New Roman" w:hAnsi="Times New Roman"/>
                <w:b w:val="0"/>
                <w:bCs/>
                <w:color w:val="auto"/>
                <w:sz w:val="21"/>
                <w:vertAlign w:val="subscript"/>
              </w:rPr>
              <w:t>3</w:t>
            </w:r>
            <w:r>
              <w:rPr>
                <w:rFonts w:hint="default" w:ascii="Times New Roman" w:hAnsi="Times New Roman"/>
                <w:b w:val="0"/>
                <w:bCs/>
                <w:color w:val="auto"/>
                <w:sz w:val="21"/>
              </w:rPr>
              <w:t>-N、</w:t>
            </w:r>
            <w:r>
              <w:rPr>
                <w:rFonts w:hint="default" w:ascii="Times New Roman" w:hAnsi="Times New Roman" w:cs="Times New Roman"/>
                <w:bCs/>
                <w:color w:val="auto"/>
                <w:szCs w:val="21"/>
              </w:rPr>
              <w:t>SS</w:t>
            </w:r>
          </w:p>
        </w:tc>
        <w:tc>
          <w:tcPr>
            <w:tcW w:w="1669" w:type="dxa"/>
            <w:vAlign w:val="center"/>
          </w:tcPr>
          <w:p w14:paraId="05FF444D">
            <w:pPr>
              <w:jc w:val="both"/>
              <w:rPr>
                <w:rFonts w:ascii="宋体" w:hAnsi="宋体" w:cs="宋体"/>
                <w:color w:val="auto"/>
                <w:szCs w:val="21"/>
              </w:rPr>
            </w:pPr>
            <w:r>
              <w:rPr>
                <w:rFonts w:hint="eastAsia"/>
                <w:color w:val="auto"/>
                <w:szCs w:val="21"/>
                <w:lang w:val="en-US" w:eastAsia="zh-CN"/>
              </w:rPr>
              <w:t>一体化</w:t>
            </w:r>
            <w:r>
              <w:rPr>
                <w:rFonts w:hint="eastAsia"/>
                <w:color w:val="auto"/>
                <w:szCs w:val="21"/>
              </w:rPr>
              <w:t>污水处理系统</w:t>
            </w:r>
          </w:p>
        </w:tc>
        <w:tc>
          <w:tcPr>
            <w:tcW w:w="2042" w:type="dxa"/>
            <w:vAlign w:val="center"/>
          </w:tcPr>
          <w:p w14:paraId="5FD87038">
            <w:pPr>
              <w:adjustRightInd w:val="0"/>
              <w:snapToGrid w:val="0"/>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农村生活污水处理排放标准》（DB65/4275-2019）表2中C级标准</w:t>
            </w:r>
          </w:p>
        </w:tc>
      </w:tr>
      <w:tr w14:paraId="5C6E9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6D7552FD">
            <w:pPr>
              <w:adjustRightInd w:val="0"/>
              <w:snapToGrid w:val="0"/>
              <w:jc w:val="center"/>
              <w:rPr>
                <w:rFonts w:ascii="宋体" w:hAnsi="宋体" w:cs="宋体"/>
                <w:color w:val="auto"/>
                <w:szCs w:val="21"/>
              </w:rPr>
            </w:pPr>
            <w:r>
              <w:rPr>
                <w:rFonts w:hint="eastAsia" w:ascii="宋体" w:hAnsi="宋体" w:cs="宋体"/>
                <w:color w:val="auto"/>
                <w:szCs w:val="21"/>
              </w:rPr>
              <w:t>声环境</w:t>
            </w:r>
          </w:p>
        </w:tc>
        <w:tc>
          <w:tcPr>
            <w:tcW w:w="1755" w:type="dxa"/>
            <w:vAlign w:val="center"/>
          </w:tcPr>
          <w:p w14:paraId="03B38AB9">
            <w:pPr>
              <w:adjustRightInd w:val="0"/>
              <w:snapToGrid w:val="0"/>
              <w:jc w:val="center"/>
              <w:rPr>
                <w:rFonts w:ascii="宋体" w:hAnsi="宋体" w:cs="宋体"/>
                <w:color w:val="auto"/>
                <w:szCs w:val="21"/>
              </w:rPr>
            </w:pPr>
            <w:r>
              <w:rPr>
                <w:rFonts w:hint="eastAsia" w:ascii="宋体" w:hAnsi="宋体" w:cs="宋体"/>
                <w:color w:val="auto"/>
                <w:szCs w:val="21"/>
              </w:rPr>
              <w:t>生产设备</w:t>
            </w:r>
          </w:p>
        </w:tc>
        <w:tc>
          <w:tcPr>
            <w:tcW w:w="1556" w:type="dxa"/>
            <w:vAlign w:val="center"/>
          </w:tcPr>
          <w:p w14:paraId="73C2877E">
            <w:pPr>
              <w:adjustRightInd w:val="0"/>
              <w:snapToGrid w:val="0"/>
              <w:jc w:val="center"/>
              <w:rPr>
                <w:rFonts w:ascii="宋体" w:hAnsi="宋体" w:cs="宋体"/>
                <w:color w:val="auto"/>
                <w:szCs w:val="21"/>
              </w:rPr>
            </w:pPr>
            <w:r>
              <w:rPr>
                <w:rFonts w:hint="eastAsia" w:ascii="宋体" w:hAnsi="宋体" w:cs="宋体"/>
                <w:color w:val="auto"/>
                <w:szCs w:val="21"/>
              </w:rPr>
              <w:t>机械噪声</w:t>
            </w:r>
          </w:p>
        </w:tc>
        <w:tc>
          <w:tcPr>
            <w:tcW w:w="1669" w:type="dxa"/>
            <w:vAlign w:val="center"/>
          </w:tcPr>
          <w:p w14:paraId="698201A2">
            <w:pPr>
              <w:adjustRightInd w:val="0"/>
              <w:snapToGrid w:val="0"/>
              <w:jc w:val="both"/>
              <w:rPr>
                <w:rFonts w:ascii="宋体" w:hAnsi="宋体" w:cs="宋体"/>
                <w:color w:val="auto"/>
                <w:szCs w:val="21"/>
              </w:rPr>
            </w:pPr>
            <w:r>
              <w:rPr>
                <w:color w:val="auto"/>
                <w:szCs w:val="21"/>
              </w:rPr>
              <w:t>基础减震+厂房隔声+</w:t>
            </w:r>
            <w:r>
              <w:rPr>
                <w:rFonts w:hint="eastAsia"/>
                <w:color w:val="auto"/>
                <w:szCs w:val="21"/>
              </w:rPr>
              <w:t>设备</w:t>
            </w:r>
            <w:r>
              <w:rPr>
                <w:color w:val="auto"/>
                <w:szCs w:val="21"/>
              </w:rPr>
              <w:t>定期维护保养</w:t>
            </w:r>
          </w:p>
        </w:tc>
        <w:tc>
          <w:tcPr>
            <w:tcW w:w="2042" w:type="dxa"/>
            <w:vAlign w:val="center"/>
          </w:tcPr>
          <w:p w14:paraId="01A77C27">
            <w:pPr>
              <w:adjustRightInd w:val="0"/>
              <w:snapToGrid w:val="0"/>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《工业企业厂界环境噪声排放标准》（GB12348-2008）中</w:t>
            </w:r>
            <w:r>
              <w:rPr>
                <w:rFonts w:hint="eastAsia" w:cs="Times New Roman"/>
                <w:color w:val="auto"/>
                <w:szCs w:val="21"/>
                <w:lang w:val="en-US" w:eastAsia="zh-CN"/>
              </w:rPr>
              <w:t>2</w:t>
            </w:r>
            <w:r>
              <w:rPr>
                <w:rFonts w:hint="eastAsia" w:ascii="Times New Roman" w:hAnsi="Times New Roman" w:eastAsia="宋体" w:cs="Times New Roman"/>
                <w:color w:val="auto"/>
                <w:szCs w:val="21"/>
              </w:rPr>
              <w:t>类标准</w:t>
            </w:r>
          </w:p>
        </w:tc>
      </w:tr>
      <w:tr w14:paraId="7E02C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13D03FEE">
            <w:pPr>
              <w:adjustRightInd w:val="0"/>
              <w:snapToGrid w:val="0"/>
              <w:jc w:val="center"/>
              <w:rPr>
                <w:rFonts w:ascii="宋体" w:hAnsi="宋体" w:cs="宋体"/>
                <w:color w:val="auto"/>
                <w:szCs w:val="21"/>
              </w:rPr>
            </w:pPr>
            <w:r>
              <w:rPr>
                <w:rFonts w:hint="eastAsia" w:ascii="宋体" w:hAnsi="宋体" w:cs="宋体"/>
                <w:color w:val="auto"/>
                <w:szCs w:val="21"/>
              </w:rPr>
              <w:t>电磁辐射</w:t>
            </w:r>
          </w:p>
        </w:tc>
        <w:tc>
          <w:tcPr>
            <w:tcW w:w="7022" w:type="dxa"/>
            <w:gridSpan w:val="4"/>
            <w:vAlign w:val="center"/>
          </w:tcPr>
          <w:p w14:paraId="1C53FED3">
            <w:pPr>
              <w:adjustRightInd w:val="0"/>
              <w:snapToGrid w:val="0"/>
              <w:jc w:val="center"/>
              <w:rPr>
                <w:rFonts w:ascii="宋体" w:hAnsi="宋体" w:cs="宋体"/>
                <w:color w:val="auto"/>
                <w:szCs w:val="21"/>
              </w:rPr>
            </w:pPr>
            <w:r>
              <w:rPr>
                <w:rFonts w:hint="eastAsia" w:ascii="宋体" w:hAnsi="宋体" w:cs="宋体"/>
                <w:color w:val="auto"/>
                <w:szCs w:val="21"/>
              </w:rPr>
              <w:t>/</w:t>
            </w:r>
          </w:p>
        </w:tc>
      </w:tr>
      <w:tr w14:paraId="7F042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593711B9">
            <w:pPr>
              <w:adjustRightInd w:val="0"/>
              <w:snapToGrid w:val="0"/>
              <w:jc w:val="center"/>
              <w:rPr>
                <w:rFonts w:ascii="宋体" w:hAnsi="宋体" w:cs="宋体"/>
                <w:color w:val="auto"/>
                <w:szCs w:val="21"/>
              </w:rPr>
            </w:pPr>
            <w:r>
              <w:rPr>
                <w:rFonts w:hint="eastAsia" w:ascii="宋体" w:hAnsi="宋体" w:cs="宋体"/>
                <w:color w:val="auto"/>
                <w:szCs w:val="21"/>
              </w:rPr>
              <w:t>固体废物</w:t>
            </w:r>
          </w:p>
        </w:tc>
        <w:tc>
          <w:tcPr>
            <w:tcW w:w="7022" w:type="dxa"/>
            <w:gridSpan w:val="4"/>
            <w:vAlign w:val="center"/>
          </w:tcPr>
          <w:p w14:paraId="644F66EA">
            <w:pPr>
              <w:adjustRightInd w:val="0"/>
              <w:snapToGrid w:val="0"/>
              <w:jc w:val="both"/>
              <w:rPr>
                <w:rFonts w:hint="default" w:ascii="宋体" w:hAnsi="宋体" w:eastAsia="宋体" w:cs="宋体"/>
                <w:color w:val="auto"/>
                <w:szCs w:val="21"/>
                <w:lang w:val="en-US" w:eastAsia="zh-CN"/>
              </w:rPr>
            </w:pPr>
            <w:r>
              <w:rPr>
                <w:rFonts w:hint="eastAsia" w:ascii="宋体" w:hAnsi="宋体" w:cs="宋体"/>
                <w:color w:val="auto"/>
                <w:szCs w:val="21"/>
              </w:rPr>
              <w:t>本项目生产废物全部回用于混凝土的生产过程；</w:t>
            </w:r>
            <w:r>
              <w:rPr>
                <w:rFonts w:hint="eastAsia" w:ascii="宋体" w:hAnsi="宋体" w:cs="宋体"/>
                <w:color w:val="auto"/>
                <w:szCs w:val="21"/>
                <w:lang w:val="en-US" w:eastAsia="zh-CN"/>
              </w:rPr>
              <w:t>生产过程产生的废包装桶全部外售给废品收购站回收综合利用；</w:t>
            </w:r>
            <w:r>
              <w:rPr>
                <w:rFonts w:hint="eastAsia" w:ascii="宋体" w:hAnsi="宋体" w:cs="宋体"/>
                <w:color w:val="auto"/>
                <w:szCs w:val="21"/>
              </w:rPr>
              <w:t>生活垃圾</w:t>
            </w:r>
            <w:r>
              <w:rPr>
                <w:rFonts w:hint="eastAsia"/>
                <w:color w:val="auto"/>
                <w:szCs w:val="21"/>
              </w:rPr>
              <w:t>集中收集于垃圾箱，由环卫部门</w:t>
            </w:r>
            <w:r>
              <w:rPr>
                <w:rFonts w:hint="eastAsia"/>
                <w:color w:val="auto"/>
                <w:szCs w:val="21"/>
                <w:lang w:val="en-US" w:eastAsia="zh-CN"/>
              </w:rPr>
              <w:t>定期</w:t>
            </w:r>
            <w:r>
              <w:rPr>
                <w:rFonts w:hint="eastAsia"/>
                <w:color w:val="auto"/>
                <w:szCs w:val="21"/>
              </w:rPr>
              <w:t>统一清运，</w:t>
            </w:r>
            <w:r>
              <w:rPr>
                <w:color w:val="auto"/>
                <w:szCs w:val="21"/>
              </w:rPr>
              <w:t>一般固体废物满足《一般工业固体废物贮存和填埋污染控制标准》（GB18599-20</w:t>
            </w:r>
            <w:r>
              <w:rPr>
                <w:rFonts w:hint="eastAsia"/>
                <w:color w:val="auto"/>
                <w:szCs w:val="21"/>
              </w:rPr>
              <w:t>20</w:t>
            </w:r>
            <w:r>
              <w:rPr>
                <w:color w:val="auto"/>
                <w:szCs w:val="21"/>
              </w:rPr>
              <w:t>）</w:t>
            </w:r>
            <w:r>
              <w:rPr>
                <w:rFonts w:hint="eastAsia"/>
                <w:color w:val="auto"/>
                <w:szCs w:val="21"/>
                <w:lang w:val="en-US" w:eastAsia="zh-CN"/>
              </w:rPr>
              <w:t>,</w:t>
            </w:r>
            <w:r>
              <w:rPr>
                <w:rFonts w:hint="default"/>
                <w:color w:val="auto"/>
                <w:szCs w:val="21"/>
                <w:lang w:val="en-US" w:eastAsia="zh-CN"/>
              </w:rPr>
              <w:t>禁止随意倾倒不合格混凝土、罐车剩余</w:t>
            </w:r>
            <w:r>
              <w:rPr>
                <w:rFonts w:hint="eastAsia"/>
                <w:color w:val="auto"/>
                <w:szCs w:val="21"/>
              </w:rPr>
              <w:t>；危险废物暂存于10m</w:t>
            </w:r>
            <w:r>
              <w:rPr>
                <w:rFonts w:hint="eastAsia"/>
                <w:color w:val="auto"/>
                <w:szCs w:val="21"/>
                <w:vertAlign w:val="superscript"/>
              </w:rPr>
              <w:t>2</w:t>
            </w:r>
            <w:r>
              <w:rPr>
                <w:rFonts w:hint="eastAsia"/>
                <w:color w:val="auto"/>
                <w:szCs w:val="21"/>
              </w:rPr>
              <w:t>危废暂存间，定期交由有资质的单位进行处置，</w:t>
            </w:r>
            <w:r>
              <w:rPr>
                <w:rFonts w:hint="eastAsia"/>
                <w:bCs/>
                <w:color w:val="auto"/>
                <w:szCs w:val="21"/>
              </w:rPr>
              <w:t>危险废物执行</w:t>
            </w:r>
            <w:r>
              <w:rPr>
                <w:rFonts w:hint="eastAsia" w:hAnsi="宋体"/>
                <w:color w:val="auto"/>
                <w:szCs w:val="21"/>
              </w:rPr>
              <w:t>《危险废物贮存污染控制标准》（GB18597-</w:t>
            </w:r>
            <w:r>
              <w:rPr>
                <w:rFonts w:hint="eastAsia" w:hAnsi="宋体"/>
                <w:color w:val="auto"/>
                <w:szCs w:val="21"/>
                <w:lang w:val="en-US" w:eastAsia="zh-CN"/>
              </w:rPr>
              <w:t>2023）</w:t>
            </w:r>
          </w:p>
        </w:tc>
      </w:tr>
      <w:tr w14:paraId="10965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6419FEBD">
            <w:pPr>
              <w:adjustRightInd w:val="0"/>
              <w:snapToGrid w:val="0"/>
              <w:jc w:val="center"/>
              <w:rPr>
                <w:rFonts w:ascii="宋体" w:hAnsi="宋体" w:cs="宋体"/>
                <w:color w:val="auto"/>
                <w:szCs w:val="21"/>
              </w:rPr>
            </w:pPr>
            <w:r>
              <w:rPr>
                <w:rFonts w:hint="eastAsia" w:ascii="宋体" w:hAnsi="宋体" w:cs="宋体"/>
                <w:color w:val="auto"/>
                <w:szCs w:val="21"/>
              </w:rPr>
              <w:t>土壤及地下水</w:t>
            </w:r>
          </w:p>
          <w:p w14:paraId="73F62B99">
            <w:pPr>
              <w:adjustRightInd w:val="0"/>
              <w:snapToGrid w:val="0"/>
              <w:jc w:val="center"/>
              <w:rPr>
                <w:rFonts w:ascii="宋体" w:hAnsi="宋体" w:cs="宋体"/>
                <w:color w:val="auto"/>
                <w:szCs w:val="21"/>
              </w:rPr>
            </w:pPr>
            <w:r>
              <w:rPr>
                <w:rFonts w:hint="eastAsia" w:ascii="宋体" w:hAnsi="宋体" w:cs="宋体"/>
                <w:color w:val="auto"/>
                <w:szCs w:val="21"/>
              </w:rPr>
              <w:t>污染防治措施</w:t>
            </w:r>
          </w:p>
        </w:tc>
        <w:tc>
          <w:tcPr>
            <w:tcW w:w="7022" w:type="dxa"/>
            <w:gridSpan w:val="4"/>
            <w:vAlign w:val="center"/>
          </w:tcPr>
          <w:p w14:paraId="1288D6E8">
            <w:pPr>
              <w:adjustRightInd w:val="0"/>
              <w:snapToGrid w:val="0"/>
              <w:jc w:val="center"/>
              <w:rPr>
                <w:rFonts w:ascii="宋体" w:hAnsi="宋体" w:cs="宋体"/>
                <w:color w:val="auto"/>
                <w:szCs w:val="21"/>
              </w:rPr>
            </w:pPr>
            <w:r>
              <w:rPr>
                <w:rFonts w:hint="eastAsia" w:ascii="宋体" w:hAnsi="宋体" w:cs="宋体"/>
                <w:color w:val="auto"/>
                <w:szCs w:val="21"/>
              </w:rPr>
              <w:t>/</w:t>
            </w:r>
          </w:p>
        </w:tc>
      </w:tr>
      <w:tr w14:paraId="623EB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20209C6B">
            <w:pPr>
              <w:adjustRightInd w:val="0"/>
              <w:snapToGrid w:val="0"/>
              <w:jc w:val="center"/>
              <w:rPr>
                <w:rFonts w:ascii="宋体" w:hAnsi="宋体" w:cs="宋体"/>
                <w:color w:val="auto"/>
                <w:szCs w:val="21"/>
              </w:rPr>
            </w:pPr>
            <w:r>
              <w:rPr>
                <w:rFonts w:hint="eastAsia" w:ascii="宋体" w:hAnsi="宋体" w:cs="宋体"/>
                <w:color w:val="auto"/>
                <w:szCs w:val="21"/>
              </w:rPr>
              <w:t>生态保护措施</w:t>
            </w:r>
          </w:p>
        </w:tc>
        <w:tc>
          <w:tcPr>
            <w:tcW w:w="7022" w:type="dxa"/>
            <w:gridSpan w:val="4"/>
            <w:vAlign w:val="center"/>
          </w:tcPr>
          <w:p w14:paraId="03CE00DD">
            <w:pPr>
              <w:adjustRightInd w:val="0"/>
              <w:snapToGrid w:val="0"/>
              <w:jc w:val="center"/>
              <w:rPr>
                <w:rFonts w:ascii="宋体" w:hAnsi="宋体" w:cs="宋体"/>
                <w:color w:val="auto"/>
                <w:szCs w:val="21"/>
              </w:rPr>
            </w:pPr>
            <w:r>
              <w:rPr>
                <w:rFonts w:hint="eastAsia" w:ascii="宋体" w:hAnsi="宋体" w:cs="宋体"/>
                <w:color w:val="auto"/>
                <w:szCs w:val="21"/>
              </w:rPr>
              <w:t>加强厂区洒水降尘</w:t>
            </w:r>
          </w:p>
        </w:tc>
      </w:tr>
      <w:tr w14:paraId="613D2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8" w:type="dxa"/>
            <w:vAlign w:val="center"/>
          </w:tcPr>
          <w:p w14:paraId="425A19E2">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环境风险</w:t>
            </w:r>
          </w:p>
          <w:p w14:paraId="59569365">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防范措施</w:t>
            </w:r>
          </w:p>
        </w:tc>
        <w:tc>
          <w:tcPr>
            <w:tcW w:w="7022" w:type="dxa"/>
            <w:gridSpan w:val="4"/>
            <w:vAlign w:val="center"/>
          </w:tcPr>
          <w:p w14:paraId="017EFA90">
            <w:pPr>
              <w:adjustRightInd w:val="0"/>
              <w:snapToGrid w:val="0"/>
              <w:jc w:val="left"/>
              <w:rPr>
                <w:rFonts w:ascii="宋体" w:hAnsi="宋体" w:cs="宋体"/>
                <w:color w:val="auto"/>
                <w:szCs w:val="21"/>
              </w:rPr>
            </w:pPr>
            <w:r>
              <w:rPr>
                <w:rFonts w:hint="eastAsia" w:ascii="宋体" w:hAnsi="宋体" w:cs="宋体"/>
                <w:color w:val="auto"/>
                <w:szCs w:val="21"/>
              </w:rPr>
              <w:t>①坚持“安全第一，预防为主”的基本原则</w:t>
            </w:r>
            <w:r>
              <w:rPr>
                <w:rFonts w:hint="eastAsia" w:ascii="宋体" w:hAnsi="宋体" w:cs="宋体"/>
                <w:color w:val="auto"/>
                <w:szCs w:val="21"/>
                <w:lang w:eastAsia="zh-CN"/>
              </w:rPr>
              <w:t>，</w:t>
            </w:r>
            <w:r>
              <w:rPr>
                <w:rFonts w:hint="eastAsia" w:ascii="宋体" w:hAnsi="宋体" w:cs="宋体"/>
                <w:color w:val="auto"/>
                <w:szCs w:val="21"/>
              </w:rPr>
              <w:t>加强员工的安全意识与知识教育，提高员工安全意识。</w:t>
            </w:r>
          </w:p>
          <w:p w14:paraId="143BDD2F">
            <w:pPr>
              <w:adjustRightInd w:val="0"/>
              <w:snapToGrid w:val="0"/>
              <w:jc w:val="left"/>
              <w:rPr>
                <w:rFonts w:ascii="宋体" w:hAnsi="宋体" w:cs="宋体"/>
                <w:color w:val="auto"/>
                <w:szCs w:val="21"/>
              </w:rPr>
            </w:pPr>
            <w:r>
              <w:rPr>
                <w:rFonts w:hint="eastAsia" w:ascii="宋体" w:hAnsi="宋体" w:cs="宋体"/>
                <w:color w:val="auto"/>
                <w:szCs w:val="21"/>
              </w:rPr>
              <w:t>②</w:t>
            </w:r>
            <w:r>
              <w:rPr>
                <w:rFonts w:hint="eastAsia"/>
                <w:color w:val="auto"/>
              </w:rPr>
              <w:t>要落实安全责任制，严格规章制度。</w:t>
            </w:r>
          </w:p>
          <w:p w14:paraId="51877C80">
            <w:pPr>
              <w:adjustRightInd w:val="0"/>
              <w:snapToGrid w:val="0"/>
              <w:rPr>
                <w:rFonts w:ascii="宋体" w:hAnsi="宋体" w:cs="宋体"/>
                <w:color w:val="auto"/>
                <w:szCs w:val="21"/>
              </w:rPr>
            </w:pPr>
            <w:r>
              <w:rPr>
                <w:rFonts w:hint="eastAsia" w:ascii="宋体" w:hAnsi="宋体" w:cs="宋体"/>
                <w:color w:val="auto"/>
                <w:szCs w:val="21"/>
              </w:rPr>
              <w:t>③按照布袋使用期限，及时更换布袋，不允许袋收尘器布袋超期运行；按计划进行定期维护。</w:t>
            </w:r>
          </w:p>
          <w:p w14:paraId="106F9C9B">
            <w:pPr>
              <w:adjustRightInd w:val="0"/>
              <w:snapToGrid w:val="0"/>
              <w:rPr>
                <w:rFonts w:ascii="宋体" w:hAnsi="宋体" w:cs="宋体"/>
                <w:color w:val="auto"/>
                <w:szCs w:val="21"/>
              </w:rPr>
            </w:pPr>
            <w:r>
              <w:rPr>
                <w:rFonts w:hint="eastAsia" w:ascii="宋体" w:hAnsi="宋体" w:cs="宋体"/>
                <w:color w:val="auto"/>
                <w:szCs w:val="21"/>
              </w:rPr>
              <w:t>④收尘器发生故障时，及时关闭相应的袋体进行维修更换。</w:t>
            </w:r>
          </w:p>
          <w:p w14:paraId="36C4F713">
            <w:pPr>
              <w:adjustRightInd w:val="0"/>
              <w:snapToGrid w:val="0"/>
              <w:rPr>
                <w:rFonts w:ascii="宋体" w:hAnsi="宋体" w:cs="宋体"/>
                <w:color w:val="auto"/>
                <w:szCs w:val="21"/>
              </w:rPr>
            </w:pPr>
            <w:r>
              <w:rPr>
                <w:rFonts w:hint="eastAsia" w:ascii="宋体" w:hAnsi="宋体" w:cs="宋体"/>
                <w:color w:val="auto"/>
                <w:szCs w:val="21"/>
              </w:rPr>
              <w:t>⑤厂区内设置报警仪，防火、防爆、防静电安全装置等相关防护措施，并纳入日常安全生产管理制度中去。</w:t>
            </w:r>
          </w:p>
          <w:p w14:paraId="78C9AD37">
            <w:pPr>
              <w:adjustRightInd w:val="0"/>
              <w:snapToGrid w:val="0"/>
              <w:rPr>
                <w:rFonts w:ascii="宋体" w:hAnsi="宋体" w:cs="宋体"/>
                <w:color w:val="auto"/>
                <w:szCs w:val="21"/>
              </w:rPr>
            </w:pPr>
            <w:r>
              <w:rPr>
                <w:rFonts w:hint="eastAsia" w:ascii="宋体" w:hAnsi="宋体" w:cs="宋体"/>
                <w:color w:val="auto"/>
                <w:szCs w:val="21"/>
              </w:rPr>
              <w:t>⑥制定严格的环保制度，所有人员必须遵守环保制度，以制度对全厂环保实施进行管理，加强设备运行状态监控，发现问题及时处理。</w:t>
            </w:r>
          </w:p>
          <w:p w14:paraId="02EFF5C9">
            <w:pPr>
              <w:adjustRightInd w:val="0"/>
              <w:snapToGrid w:val="0"/>
              <w:rPr>
                <w:rFonts w:ascii="宋体" w:hAnsi="宋体" w:cs="宋体"/>
                <w:color w:val="auto"/>
                <w:szCs w:val="21"/>
              </w:rPr>
            </w:pPr>
            <w:r>
              <w:rPr>
                <w:rFonts w:hint="eastAsia" w:ascii="宋体" w:hAnsi="宋体" w:cs="宋体"/>
                <w:color w:val="auto"/>
                <w:szCs w:val="21"/>
              </w:rPr>
              <w:t>⑦完善全厂突发环境事件应急预案，定期开展应急演练和培训。</w:t>
            </w:r>
          </w:p>
        </w:tc>
      </w:tr>
      <w:tr w14:paraId="59C31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61" w:hRule="atLeast"/>
          <w:jc w:val="center"/>
        </w:trPr>
        <w:tc>
          <w:tcPr>
            <w:tcW w:w="1778" w:type="dxa"/>
            <w:vAlign w:val="center"/>
          </w:tcPr>
          <w:p w14:paraId="631EC91E">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其他环境</w:t>
            </w:r>
          </w:p>
          <w:p w14:paraId="109AA956">
            <w:pPr>
              <w:adjustRightInd w:val="0"/>
              <w:snapToGrid w:val="0"/>
              <w:jc w:val="center"/>
              <w:rPr>
                <w:rFonts w:ascii="宋体" w:hAnsi="宋体" w:cs="宋体"/>
                <w:color w:val="auto"/>
                <w:spacing w:val="-8"/>
                <w:szCs w:val="21"/>
              </w:rPr>
            </w:pPr>
            <w:r>
              <w:rPr>
                <w:rFonts w:hint="eastAsia" w:ascii="宋体" w:hAnsi="宋体" w:cs="宋体"/>
                <w:color w:val="auto"/>
                <w:spacing w:val="-8"/>
                <w:szCs w:val="21"/>
              </w:rPr>
              <w:t>管理要求</w:t>
            </w:r>
          </w:p>
        </w:tc>
        <w:tc>
          <w:tcPr>
            <w:tcW w:w="7022" w:type="dxa"/>
            <w:gridSpan w:val="4"/>
            <w:vAlign w:val="center"/>
          </w:tcPr>
          <w:p w14:paraId="053652CB">
            <w:pPr>
              <w:keepNext w:val="0"/>
              <w:keepLines w:val="0"/>
              <w:pageBreakBefore w:val="0"/>
              <w:kinsoku/>
              <w:wordWrap/>
              <w:overflowPunct/>
              <w:topLinePunct w:val="0"/>
              <w:autoSpaceDE/>
              <w:autoSpaceDN/>
              <w:bidi w:val="0"/>
              <w:adjustRightInd w:val="0"/>
              <w:snapToGrid w:val="0"/>
              <w:spacing w:line="240" w:lineRule="auto"/>
              <w:ind w:firstLine="422" w:firstLineChars="200"/>
              <w:jc w:val="both"/>
              <w:rPr>
                <w:rFonts w:hint="default" w:ascii="Times New Roman" w:hAnsi="Times New Roman" w:eastAsia="宋体" w:cs="Times New Roman"/>
                <w:b/>
                <w:bCs/>
                <w:lang w:val="en-US" w:eastAsia="zh-CN"/>
              </w:rPr>
            </w:pPr>
            <w:r>
              <w:rPr>
                <w:rFonts w:hint="eastAsia" w:cs="Times New Roman"/>
                <w:b/>
                <w:bCs/>
                <w:lang w:val="en-US" w:eastAsia="zh-CN"/>
              </w:rPr>
              <w:t>1.</w:t>
            </w:r>
            <w:r>
              <w:rPr>
                <w:rFonts w:hint="default" w:ascii="Times New Roman" w:hAnsi="Times New Roman" w:cs="Times New Roman"/>
                <w:b/>
                <w:bCs/>
                <w:lang w:val="en-US" w:eastAsia="zh-CN"/>
              </w:rPr>
              <w:t>排污许可衔接</w:t>
            </w:r>
          </w:p>
          <w:p w14:paraId="4F69D5E7">
            <w:pPr>
              <w:keepNext w:val="0"/>
              <w:keepLines w:val="0"/>
              <w:pageBreakBefore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rPr>
            </w:pPr>
            <w:r>
              <w:rPr>
                <w:rFonts w:hint="default" w:ascii="Times New Roman" w:hAnsi="Times New Roman" w:cs="Times New Roman"/>
              </w:rPr>
              <w:t>按照《一般工业固体废物管理台账制定指南（试行）》（生态环境部 公告 2021年 第82号）要求，建立并规范运行工业固废利用台账。企业申请排污许可证，然后根据排污许可要求规范执行排污许可执行报告、台账、环境信息公开、监测计划。根据《固定污染源排污许可分类管理名录（2019年版）》，本项目属于“</w:t>
            </w:r>
            <w:r>
              <w:rPr>
                <w:rFonts w:hint="eastAsia" w:cs="Times New Roman"/>
                <w:lang w:val="en-US" w:eastAsia="zh-CN"/>
              </w:rPr>
              <w:t>二十五</w:t>
            </w:r>
            <w:r>
              <w:rPr>
                <w:rFonts w:hint="default" w:ascii="Times New Roman" w:hAnsi="Times New Roman" w:cs="Times New Roman"/>
              </w:rPr>
              <w:t>、</w:t>
            </w:r>
            <w:r>
              <w:rPr>
                <w:rFonts w:hint="eastAsia" w:cs="Times New Roman"/>
                <w:lang w:val="en-US" w:eastAsia="zh-CN"/>
              </w:rPr>
              <w:t>非金属矿物制品业63</w:t>
            </w:r>
            <w:r>
              <w:rPr>
                <w:rFonts w:hint="default" w:ascii="Times New Roman" w:hAnsi="Times New Roman" w:cs="Times New Roman"/>
              </w:rPr>
              <w:t>——</w:t>
            </w:r>
            <w:r>
              <w:rPr>
                <w:rFonts w:hint="eastAsia" w:cs="Times New Roman"/>
                <w:lang w:val="en-US" w:eastAsia="zh-CN"/>
              </w:rPr>
              <w:t>石膏、水泥制品及类似制品制造302</w:t>
            </w:r>
            <w:r>
              <w:rPr>
                <w:rFonts w:hint="default" w:ascii="Times New Roman" w:hAnsi="Times New Roman" w:cs="Times New Roman"/>
              </w:rPr>
              <w:t>——</w:t>
            </w:r>
            <w:r>
              <w:rPr>
                <w:rFonts w:hint="eastAsia" w:cs="Times New Roman"/>
                <w:lang w:val="en-US" w:eastAsia="zh-CN"/>
              </w:rPr>
              <w:t>登记管理</w:t>
            </w:r>
            <w:r>
              <w:rPr>
                <w:rFonts w:hint="default" w:ascii="Times New Roman" w:hAnsi="Times New Roman" w:cs="Times New Roman"/>
              </w:rPr>
              <w:t>”</w:t>
            </w:r>
            <w:r>
              <w:rPr>
                <w:rFonts w:hint="eastAsia" w:cs="Times New Roman"/>
                <w:lang w:eastAsia="zh-CN"/>
              </w:rPr>
              <w:t>，</w:t>
            </w:r>
            <w:r>
              <w:rPr>
                <w:rFonts w:hint="default" w:ascii="Times New Roman" w:hAnsi="Times New Roman" w:cs="Times New Roman"/>
              </w:rPr>
              <w:t>为</w:t>
            </w:r>
            <w:r>
              <w:rPr>
                <w:rFonts w:hint="eastAsia" w:cs="Times New Roman"/>
                <w:lang w:val="en-US" w:eastAsia="zh-CN"/>
              </w:rPr>
              <w:t>登记</w:t>
            </w:r>
            <w:r>
              <w:rPr>
                <w:rFonts w:hint="default" w:ascii="Times New Roman" w:hAnsi="Times New Roman" w:cs="Times New Roman"/>
              </w:rPr>
              <w:t>管理行业。</w:t>
            </w:r>
          </w:p>
          <w:p w14:paraId="264EA964">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rPr>
                <w:rFonts w:hint="default" w:ascii="Times New Roman" w:hAnsi="Times New Roman" w:cs="Times New Roman"/>
                <w:b/>
                <w:bCs/>
                <w:sz w:val="21"/>
                <w:szCs w:val="21"/>
              </w:rPr>
            </w:pPr>
            <w:r>
              <w:rPr>
                <w:rFonts w:hint="eastAsia" w:cs="Times New Roman"/>
                <w:b/>
                <w:bCs/>
                <w:sz w:val="21"/>
                <w:szCs w:val="21"/>
                <w:lang w:val="en-US" w:eastAsia="zh-CN"/>
              </w:rPr>
              <w:t>2.</w:t>
            </w:r>
            <w:r>
              <w:rPr>
                <w:rFonts w:hint="default" w:ascii="Times New Roman" w:hAnsi="Times New Roman" w:cs="Times New Roman"/>
                <w:b/>
                <w:bCs/>
                <w:sz w:val="21"/>
                <w:szCs w:val="21"/>
              </w:rPr>
              <w:t>排污口规范化建设要求</w:t>
            </w:r>
          </w:p>
          <w:p w14:paraId="3DC419B1">
            <w:pPr>
              <w:pStyle w:val="72"/>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建设单位应在各排污口处设立较明显的排污口标志牌，对排放源及固体废物贮存场也应设立明显的标志牌。标志的设置应严格执行《环境保护图形</w:t>
            </w:r>
            <w:r>
              <w:rPr>
                <w:rFonts w:hint="default" w:ascii="Times New Roman" w:hAnsi="Times New Roman" w:cs="Times New Roman"/>
                <w:sz w:val="21"/>
                <w:szCs w:val="21"/>
                <w:highlight w:val="none"/>
              </w:rPr>
              <w:t>标志排放口（源）》（GB15562.1-1995）和《环境保护图形标志</w:t>
            </w:r>
            <w:r>
              <w:rPr>
                <w:rFonts w:hint="eastAsia" w:cs="Times New Roman"/>
                <w:sz w:val="21"/>
                <w:szCs w:val="21"/>
                <w:highlight w:val="none"/>
                <w:lang w:val="en-US" w:eastAsia="zh-CN"/>
              </w:rPr>
              <w:t>-</w:t>
            </w:r>
            <w:r>
              <w:rPr>
                <w:rFonts w:hint="default" w:ascii="Times New Roman" w:hAnsi="Times New Roman" w:cs="Times New Roman"/>
                <w:sz w:val="21"/>
                <w:szCs w:val="21"/>
                <w:highlight w:val="none"/>
              </w:rPr>
              <w:t>固体废物贮存（处置）场》（GB15562.2-1995）</w:t>
            </w:r>
            <w:r>
              <w:rPr>
                <w:rFonts w:hint="eastAsia" w:cs="Times New Roman"/>
                <w:sz w:val="21"/>
                <w:szCs w:val="21"/>
                <w:highlight w:val="none"/>
                <w:lang w:val="en-US" w:eastAsia="zh-CN"/>
              </w:rPr>
              <w:t>修改单</w:t>
            </w:r>
            <w:r>
              <w:rPr>
                <w:rFonts w:hint="default" w:ascii="Times New Roman" w:hAnsi="Times New Roman" w:cs="Times New Roman"/>
                <w:sz w:val="21"/>
                <w:szCs w:val="21"/>
              </w:rPr>
              <w:t>《危险废物贮存污染控制标准》（GB18597-2023）中有关规定。</w:t>
            </w:r>
          </w:p>
          <w:p w14:paraId="6B7937C6">
            <w:pPr>
              <w:pStyle w:val="72"/>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需按照《排污单位污染物排放口二维码标识技术规范》（HJ1297—2023）中唯一性原则、稳定性原则、便捷性原则设置排污口二维码。</w:t>
            </w:r>
          </w:p>
          <w:p w14:paraId="570B79AC">
            <w:pPr>
              <w:pStyle w:val="72"/>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危险废物标签需按照《危险废物识别标志设置技术规范》（HJ1276—2022）进行管理，其中规定：危险废物标签的设置位置应明显可见且易读，不应被容器、包装物自身的任何部分或其他标签遮挡。对于盛装同一类危险废物的组合包装容器，应在组合包装容器的外表面设置危险废物标签。</w:t>
            </w:r>
          </w:p>
          <w:p w14:paraId="0B98902D">
            <w:pPr>
              <w:pStyle w:val="73"/>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baseline"/>
              <w:rPr>
                <w:rFonts w:hint="default" w:ascii="Times New Roman" w:hAnsi="Times New Roman" w:cs="Times New Roman"/>
                <w:sz w:val="21"/>
                <w:szCs w:val="21"/>
              </w:rPr>
            </w:pPr>
            <w:r>
              <w:rPr>
                <w:rFonts w:hint="default" w:ascii="Times New Roman" w:hAnsi="Times New Roman" w:eastAsia="宋体" w:cs="Times New Roman"/>
                <w:b/>
                <w:bCs/>
                <w:sz w:val="21"/>
                <w:szCs w:val="21"/>
              </w:rPr>
              <w:t>各排污口环境保护图形标志</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533"/>
              <w:gridCol w:w="1132"/>
              <w:gridCol w:w="1067"/>
              <w:gridCol w:w="975"/>
            </w:tblGrid>
            <w:tr w14:paraId="1067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noWrap w:val="0"/>
                  <w:vAlign w:val="center"/>
                </w:tcPr>
                <w:p w14:paraId="38F3FD2B">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排放口名称</w:t>
                  </w:r>
                </w:p>
              </w:tc>
              <w:tc>
                <w:tcPr>
                  <w:tcW w:w="1059" w:type="pct"/>
                  <w:tcBorders>
                    <w:left w:val="nil"/>
                  </w:tcBorders>
                  <w:noWrap w:val="0"/>
                  <w:vAlign w:val="center"/>
                </w:tcPr>
                <w:p w14:paraId="7C6D26E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图形符号</w:t>
                  </w:r>
                </w:p>
              </w:tc>
              <w:tc>
                <w:tcPr>
                  <w:tcW w:w="851" w:type="pct"/>
                  <w:tcBorders>
                    <w:left w:val="nil"/>
                  </w:tcBorders>
                  <w:noWrap w:val="0"/>
                  <w:vAlign w:val="center"/>
                </w:tcPr>
                <w:p w14:paraId="2D353EBC">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形状</w:t>
                  </w:r>
                </w:p>
              </w:tc>
              <w:tc>
                <w:tcPr>
                  <w:tcW w:w="802" w:type="pct"/>
                  <w:tcBorders>
                    <w:left w:val="nil"/>
                  </w:tcBorders>
                  <w:noWrap w:val="0"/>
                  <w:vAlign w:val="center"/>
                </w:tcPr>
                <w:p w14:paraId="288D627D">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背景颜色</w:t>
                  </w:r>
                </w:p>
              </w:tc>
              <w:tc>
                <w:tcPr>
                  <w:tcW w:w="734" w:type="pct"/>
                  <w:tcBorders>
                    <w:left w:val="nil"/>
                    <w:right w:val="nil"/>
                  </w:tcBorders>
                  <w:noWrap w:val="0"/>
                  <w:vAlign w:val="center"/>
                </w:tcPr>
                <w:p w14:paraId="64846ABF">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图形颜色</w:t>
                  </w:r>
                </w:p>
              </w:tc>
            </w:tr>
            <w:tr w14:paraId="7C84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noWrap w:val="0"/>
                  <w:vAlign w:val="center"/>
                </w:tcPr>
                <w:p w14:paraId="378E5C05">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噪声源</w:t>
                  </w:r>
                </w:p>
              </w:tc>
              <w:tc>
                <w:tcPr>
                  <w:tcW w:w="1059" w:type="pct"/>
                  <w:tcBorders>
                    <w:left w:val="nil"/>
                  </w:tcBorders>
                  <w:noWrap w:val="0"/>
                  <w:vAlign w:val="center"/>
                </w:tcPr>
                <w:p w14:paraId="27831CED">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kern w:val="0"/>
                      <w:sz w:val="21"/>
                      <w:szCs w:val="21"/>
                    </w:rPr>
                    <w:drawing>
                      <wp:inline distT="0" distB="0" distL="114300" distR="114300">
                        <wp:extent cx="752475" cy="7524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752475" cy="752475"/>
                                </a:xfrm>
                                <a:prstGeom prst="rect">
                                  <a:avLst/>
                                </a:prstGeom>
                                <a:noFill/>
                                <a:ln>
                                  <a:noFill/>
                                </a:ln>
                              </pic:spPr>
                            </pic:pic>
                          </a:graphicData>
                        </a:graphic>
                      </wp:inline>
                    </w:drawing>
                  </w:r>
                </w:p>
              </w:tc>
              <w:tc>
                <w:tcPr>
                  <w:tcW w:w="851" w:type="pct"/>
                  <w:tcBorders>
                    <w:left w:val="nil"/>
                  </w:tcBorders>
                  <w:noWrap w:val="0"/>
                  <w:vAlign w:val="center"/>
                </w:tcPr>
                <w:p w14:paraId="04F55D2D">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正方形边框</w:t>
                  </w:r>
                </w:p>
              </w:tc>
              <w:tc>
                <w:tcPr>
                  <w:tcW w:w="802" w:type="pct"/>
                  <w:tcBorders>
                    <w:left w:val="nil"/>
                  </w:tcBorders>
                  <w:noWrap w:val="0"/>
                  <w:vAlign w:val="center"/>
                </w:tcPr>
                <w:p w14:paraId="510BDBFA">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绿色</w:t>
                  </w:r>
                </w:p>
              </w:tc>
              <w:tc>
                <w:tcPr>
                  <w:tcW w:w="734" w:type="pct"/>
                  <w:tcBorders>
                    <w:left w:val="nil"/>
                    <w:right w:val="nil"/>
                  </w:tcBorders>
                  <w:noWrap w:val="0"/>
                  <w:vAlign w:val="center"/>
                </w:tcPr>
                <w:p w14:paraId="17DF864D">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白色</w:t>
                  </w:r>
                </w:p>
              </w:tc>
            </w:tr>
            <w:tr w14:paraId="051F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noWrap w:val="0"/>
                  <w:vAlign w:val="center"/>
                </w:tcPr>
                <w:p w14:paraId="5B6BC1E9">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废水</w:t>
                  </w:r>
                </w:p>
              </w:tc>
              <w:tc>
                <w:tcPr>
                  <w:tcW w:w="1059" w:type="pct"/>
                  <w:tcBorders>
                    <w:left w:val="nil"/>
                  </w:tcBorders>
                  <w:noWrap w:val="0"/>
                  <w:vAlign w:val="center"/>
                </w:tcPr>
                <w:p w14:paraId="61BEBF5D">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drawing>
                      <wp:inline distT="0" distB="0" distL="114300" distR="114300">
                        <wp:extent cx="772795" cy="767715"/>
                        <wp:effectExtent l="0" t="0" r="4445"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9"/>
                                <a:stretch>
                                  <a:fillRect/>
                                </a:stretch>
                              </pic:blipFill>
                              <pic:spPr>
                                <a:xfrm>
                                  <a:off x="0" y="0"/>
                                  <a:ext cx="772795" cy="767715"/>
                                </a:xfrm>
                                <a:prstGeom prst="rect">
                                  <a:avLst/>
                                </a:prstGeom>
                                <a:noFill/>
                                <a:ln>
                                  <a:noFill/>
                                </a:ln>
                              </pic:spPr>
                            </pic:pic>
                          </a:graphicData>
                        </a:graphic>
                      </wp:inline>
                    </w:drawing>
                  </w:r>
                </w:p>
              </w:tc>
              <w:tc>
                <w:tcPr>
                  <w:tcW w:w="851" w:type="pct"/>
                  <w:tcBorders>
                    <w:left w:val="nil"/>
                  </w:tcBorders>
                  <w:noWrap w:val="0"/>
                  <w:vAlign w:val="center"/>
                </w:tcPr>
                <w:p w14:paraId="5BDC231D">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三角形边框</w:t>
                  </w:r>
                </w:p>
              </w:tc>
              <w:tc>
                <w:tcPr>
                  <w:tcW w:w="802" w:type="pct"/>
                  <w:tcBorders>
                    <w:left w:val="nil"/>
                  </w:tcBorders>
                  <w:noWrap w:val="0"/>
                  <w:vAlign w:val="center"/>
                </w:tcPr>
                <w:p w14:paraId="68106A3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黄色</w:t>
                  </w:r>
                </w:p>
              </w:tc>
              <w:tc>
                <w:tcPr>
                  <w:tcW w:w="734" w:type="pct"/>
                  <w:tcBorders>
                    <w:left w:val="nil"/>
                    <w:right w:val="nil"/>
                  </w:tcBorders>
                  <w:noWrap w:val="0"/>
                  <w:vAlign w:val="center"/>
                </w:tcPr>
                <w:p w14:paraId="01007F2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黑色</w:t>
                  </w:r>
                </w:p>
              </w:tc>
            </w:tr>
            <w:tr w14:paraId="12EB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noWrap w:val="0"/>
                  <w:vAlign w:val="center"/>
                </w:tcPr>
                <w:p w14:paraId="293CF2B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一般固体废物</w:t>
                  </w:r>
                </w:p>
              </w:tc>
              <w:tc>
                <w:tcPr>
                  <w:tcW w:w="1059" w:type="pct"/>
                  <w:tcBorders>
                    <w:left w:val="nil"/>
                  </w:tcBorders>
                  <w:noWrap w:val="0"/>
                  <w:vAlign w:val="center"/>
                </w:tcPr>
                <w:p w14:paraId="74796B54">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855345" cy="861060"/>
                        <wp:effectExtent l="0" t="0" r="13335" b="762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20"/>
                                <a:stretch>
                                  <a:fillRect/>
                                </a:stretch>
                              </pic:blipFill>
                              <pic:spPr>
                                <a:xfrm>
                                  <a:off x="0" y="0"/>
                                  <a:ext cx="855345" cy="861060"/>
                                </a:xfrm>
                                <a:prstGeom prst="rect">
                                  <a:avLst/>
                                </a:prstGeom>
                                <a:noFill/>
                                <a:ln>
                                  <a:noFill/>
                                </a:ln>
                              </pic:spPr>
                            </pic:pic>
                          </a:graphicData>
                        </a:graphic>
                      </wp:inline>
                    </w:drawing>
                  </w:r>
                </w:p>
              </w:tc>
              <w:tc>
                <w:tcPr>
                  <w:tcW w:w="851" w:type="pct"/>
                  <w:tcBorders>
                    <w:left w:val="nil"/>
                  </w:tcBorders>
                  <w:noWrap w:val="0"/>
                  <w:vAlign w:val="center"/>
                </w:tcPr>
                <w:p w14:paraId="57365E7F">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正方形边框</w:t>
                  </w:r>
                </w:p>
              </w:tc>
              <w:tc>
                <w:tcPr>
                  <w:tcW w:w="802" w:type="pct"/>
                  <w:tcBorders>
                    <w:left w:val="nil"/>
                  </w:tcBorders>
                  <w:noWrap w:val="0"/>
                  <w:vAlign w:val="center"/>
                </w:tcPr>
                <w:p w14:paraId="5F815BD2">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绿色</w:t>
                  </w:r>
                </w:p>
              </w:tc>
              <w:tc>
                <w:tcPr>
                  <w:tcW w:w="734" w:type="pct"/>
                  <w:tcBorders>
                    <w:left w:val="nil"/>
                    <w:right w:val="nil"/>
                  </w:tcBorders>
                  <w:noWrap w:val="0"/>
                  <w:vAlign w:val="center"/>
                </w:tcPr>
                <w:p w14:paraId="6113C9A3">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白色</w:t>
                  </w:r>
                </w:p>
              </w:tc>
            </w:tr>
            <w:tr w14:paraId="28AF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noWrap w:val="0"/>
                  <w:vAlign w:val="center"/>
                </w:tcPr>
                <w:p w14:paraId="3265C546">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危险废物</w:t>
                  </w:r>
                </w:p>
              </w:tc>
              <w:tc>
                <w:tcPr>
                  <w:tcW w:w="1059" w:type="pct"/>
                  <w:tcBorders>
                    <w:left w:val="nil"/>
                  </w:tcBorders>
                  <w:noWrap w:val="0"/>
                  <w:vAlign w:val="center"/>
                </w:tcPr>
                <w:p w14:paraId="0CA5D2A0">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rPr>
                    <w:drawing>
                      <wp:inline distT="0" distB="0" distL="114300" distR="114300">
                        <wp:extent cx="819150" cy="774700"/>
                        <wp:effectExtent l="0" t="0" r="3810" b="254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1"/>
                                <a:stretch>
                                  <a:fillRect/>
                                </a:stretch>
                              </pic:blipFill>
                              <pic:spPr>
                                <a:xfrm>
                                  <a:off x="0" y="0"/>
                                  <a:ext cx="819150" cy="774700"/>
                                </a:xfrm>
                                <a:prstGeom prst="rect">
                                  <a:avLst/>
                                </a:prstGeom>
                                <a:noFill/>
                                <a:ln>
                                  <a:noFill/>
                                </a:ln>
                              </pic:spPr>
                            </pic:pic>
                          </a:graphicData>
                        </a:graphic>
                      </wp:inline>
                    </w:drawing>
                  </w:r>
                </w:p>
              </w:tc>
              <w:tc>
                <w:tcPr>
                  <w:tcW w:w="851" w:type="pct"/>
                  <w:tcBorders>
                    <w:left w:val="nil"/>
                  </w:tcBorders>
                  <w:noWrap w:val="0"/>
                  <w:vAlign w:val="center"/>
                </w:tcPr>
                <w:p w14:paraId="35D2F784">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三角形边框</w:t>
                  </w:r>
                </w:p>
              </w:tc>
              <w:tc>
                <w:tcPr>
                  <w:tcW w:w="802" w:type="pct"/>
                  <w:tcBorders>
                    <w:left w:val="nil"/>
                  </w:tcBorders>
                  <w:noWrap w:val="0"/>
                  <w:vAlign w:val="center"/>
                </w:tcPr>
                <w:p w14:paraId="2019D412">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黄色</w:t>
                  </w:r>
                </w:p>
              </w:tc>
              <w:tc>
                <w:tcPr>
                  <w:tcW w:w="734" w:type="pct"/>
                  <w:tcBorders>
                    <w:left w:val="nil"/>
                    <w:right w:val="nil"/>
                  </w:tcBorders>
                  <w:noWrap w:val="0"/>
                  <w:vAlign w:val="center"/>
                </w:tcPr>
                <w:p w14:paraId="15845E02">
                  <w:pPr>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黑色</w:t>
                  </w:r>
                </w:p>
              </w:tc>
            </w:tr>
          </w:tbl>
          <w:p w14:paraId="62C26A35">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rPr>
                <w:rFonts w:hint="default" w:ascii="Times New Roman" w:hAnsi="Times New Roman" w:cs="Times New Roman"/>
                <w:b/>
                <w:bCs/>
                <w:sz w:val="21"/>
                <w:szCs w:val="21"/>
              </w:rPr>
            </w:pPr>
            <w:r>
              <w:rPr>
                <w:rFonts w:hint="default" w:ascii="Times New Roman" w:hAnsi="Times New Roman" w:cs="Times New Roman"/>
                <w:b/>
                <w:bCs/>
                <w:sz w:val="21"/>
                <w:szCs w:val="21"/>
              </w:rPr>
              <w:t>竣工验收管理及要求</w:t>
            </w:r>
          </w:p>
          <w:p w14:paraId="69F7996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鼓励建设单位委托具备相应技术条件的第三方机构开展建设期环境监理。建设项目在投入生产或者使用前，建设单位应当依据环评文件及其审批意见，委托第三方机构编制建设项目环境保护设施竣工验收报告，向社会公开并向</w:t>
            </w:r>
            <w:r>
              <w:rPr>
                <w:rFonts w:hint="default" w:ascii="Times New Roman" w:hAnsi="Times New Roman" w:cs="Times New Roman"/>
                <w:b w:val="0"/>
                <w:bCs w:val="0"/>
                <w:sz w:val="21"/>
                <w:szCs w:val="21"/>
                <w:lang w:val="en-US" w:eastAsia="zh-CN"/>
              </w:rPr>
              <w:t>生态环境</w:t>
            </w:r>
            <w:r>
              <w:rPr>
                <w:rFonts w:hint="default" w:ascii="Times New Roman" w:hAnsi="Times New Roman" w:cs="Times New Roman"/>
                <w:b w:val="0"/>
                <w:bCs w:val="0"/>
                <w:sz w:val="21"/>
                <w:szCs w:val="21"/>
              </w:rPr>
              <w:t>部门备案。</w:t>
            </w:r>
          </w:p>
          <w:p w14:paraId="69D53B7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申请环境保护竣工验收条件为：</w:t>
            </w:r>
          </w:p>
          <w:p w14:paraId="764F4F1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（1）建设项目建设前期环境保护审查、审批手续完备，技术资料与环境保护档案齐全。</w:t>
            </w:r>
          </w:p>
          <w:p w14:paraId="580CF86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（2）环境保护设施按批准的环境影响报告书和设计要求建成，环境保护设施经负荷试车检测合格，其污染防治能力适应主体工程的需要。</w:t>
            </w:r>
          </w:p>
          <w:p w14:paraId="0E2688C5">
            <w:pPr>
              <w:adjustRightInd w:val="0"/>
              <w:snapToGrid w:val="0"/>
              <w:jc w:val="both"/>
              <w:rPr>
                <w:rFonts w:ascii="宋体" w:hAnsi="宋体" w:cs="宋体"/>
                <w:color w:val="auto"/>
                <w:szCs w:val="21"/>
              </w:rPr>
            </w:pPr>
          </w:p>
          <w:p w14:paraId="5295530D">
            <w:pPr>
              <w:adjustRightInd w:val="0"/>
              <w:snapToGrid w:val="0"/>
              <w:jc w:val="both"/>
              <w:rPr>
                <w:rFonts w:ascii="宋体" w:hAnsi="宋体" w:cs="宋体"/>
                <w:color w:val="auto"/>
                <w:szCs w:val="21"/>
              </w:rPr>
            </w:pPr>
          </w:p>
          <w:p w14:paraId="0E62597B">
            <w:pPr>
              <w:adjustRightInd w:val="0"/>
              <w:snapToGrid w:val="0"/>
              <w:jc w:val="both"/>
              <w:rPr>
                <w:rFonts w:ascii="宋体" w:hAnsi="宋体" w:cs="宋体"/>
                <w:color w:val="auto"/>
                <w:szCs w:val="21"/>
              </w:rPr>
            </w:pPr>
          </w:p>
          <w:p w14:paraId="74688401">
            <w:pPr>
              <w:adjustRightInd w:val="0"/>
              <w:snapToGrid w:val="0"/>
              <w:jc w:val="both"/>
              <w:rPr>
                <w:rFonts w:ascii="宋体" w:hAnsi="宋体" w:cs="宋体"/>
                <w:color w:val="auto"/>
                <w:szCs w:val="21"/>
              </w:rPr>
            </w:pPr>
          </w:p>
          <w:p w14:paraId="3406C6F1">
            <w:pPr>
              <w:adjustRightInd w:val="0"/>
              <w:snapToGrid w:val="0"/>
              <w:jc w:val="both"/>
              <w:rPr>
                <w:rFonts w:ascii="宋体" w:hAnsi="宋体" w:cs="宋体"/>
                <w:color w:val="auto"/>
                <w:szCs w:val="21"/>
              </w:rPr>
            </w:pPr>
          </w:p>
          <w:p w14:paraId="7FE3B71B">
            <w:pPr>
              <w:adjustRightInd w:val="0"/>
              <w:snapToGrid w:val="0"/>
              <w:jc w:val="both"/>
              <w:rPr>
                <w:rFonts w:ascii="宋体" w:hAnsi="宋体" w:cs="宋体"/>
                <w:color w:val="auto"/>
                <w:szCs w:val="21"/>
              </w:rPr>
            </w:pPr>
          </w:p>
          <w:p w14:paraId="6D812599">
            <w:pPr>
              <w:adjustRightInd w:val="0"/>
              <w:snapToGrid w:val="0"/>
              <w:jc w:val="both"/>
              <w:rPr>
                <w:rFonts w:ascii="宋体" w:hAnsi="宋体" w:cs="宋体"/>
                <w:color w:val="auto"/>
                <w:szCs w:val="21"/>
              </w:rPr>
            </w:pPr>
          </w:p>
          <w:p w14:paraId="6E0C0D82">
            <w:pPr>
              <w:adjustRightInd w:val="0"/>
              <w:snapToGrid w:val="0"/>
              <w:jc w:val="both"/>
              <w:rPr>
                <w:rFonts w:ascii="宋体" w:hAnsi="宋体" w:cs="宋体"/>
                <w:color w:val="auto"/>
                <w:szCs w:val="21"/>
              </w:rPr>
            </w:pPr>
          </w:p>
          <w:p w14:paraId="097716D7">
            <w:pPr>
              <w:adjustRightInd w:val="0"/>
              <w:snapToGrid w:val="0"/>
              <w:jc w:val="both"/>
              <w:rPr>
                <w:rFonts w:ascii="宋体" w:hAnsi="宋体" w:cs="宋体"/>
                <w:color w:val="auto"/>
                <w:szCs w:val="21"/>
              </w:rPr>
            </w:pPr>
          </w:p>
          <w:p w14:paraId="0FD340E0">
            <w:pPr>
              <w:adjustRightInd w:val="0"/>
              <w:snapToGrid w:val="0"/>
              <w:jc w:val="both"/>
              <w:rPr>
                <w:rFonts w:ascii="宋体" w:hAnsi="宋体" w:cs="宋体"/>
                <w:color w:val="auto"/>
                <w:szCs w:val="21"/>
              </w:rPr>
            </w:pPr>
          </w:p>
          <w:p w14:paraId="3F09F951">
            <w:pPr>
              <w:adjustRightInd w:val="0"/>
              <w:snapToGrid w:val="0"/>
              <w:jc w:val="both"/>
              <w:rPr>
                <w:rFonts w:ascii="宋体" w:hAnsi="宋体" w:cs="宋体"/>
                <w:color w:val="auto"/>
                <w:szCs w:val="21"/>
              </w:rPr>
            </w:pPr>
          </w:p>
          <w:p w14:paraId="337E0C55">
            <w:pPr>
              <w:adjustRightInd w:val="0"/>
              <w:snapToGrid w:val="0"/>
              <w:jc w:val="both"/>
              <w:rPr>
                <w:rFonts w:ascii="宋体" w:hAnsi="宋体" w:cs="宋体"/>
                <w:color w:val="auto"/>
                <w:szCs w:val="21"/>
              </w:rPr>
            </w:pPr>
          </w:p>
          <w:p w14:paraId="3199B959">
            <w:pPr>
              <w:adjustRightInd w:val="0"/>
              <w:snapToGrid w:val="0"/>
              <w:jc w:val="both"/>
              <w:rPr>
                <w:rFonts w:ascii="宋体" w:hAnsi="宋体" w:cs="宋体"/>
                <w:color w:val="auto"/>
                <w:szCs w:val="21"/>
              </w:rPr>
            </w:pPr>
          </w:p>
          <w:p w14:paraId="667C9787">
            <w:pPr>
              <w:adjustRightInd w:val="0"/>
              <w:snapToGrid w:val="0"/>
              <w:jc w:val="both"/>
              <w:rPr>
                <w:rFonts w:ascii="宋体" w:hAnsi="宋体" w:cs="宋体"/>
                <w:color w:val="auto"/>
                <w:szCs w:val="21"/>
              </w:rPr>
            </w:pPr>
          </w:p>
          <w:p w14:paraId="4FD5B7A0">
            <w:pPr>
              <w:adjustRightInd w:val="0"/>
              <w:snapToGrid w:val="0"/>
              <w:jc w:val="both"/>
              <w:rPr>
                <w:rFonts w:ascii="宋体" w:hAnsi="宋体" w:cs="宋体"/>
                <w:color w:val="auto"/>
                <w:szCs w:val="21"/>
              </w:rPr>
            </w:pPr>
          </w:p>
          <w:p w14:paraId="2388AF3A">
            <w:pPr>
              <w:adjustRightInd w:val="0"/>
              <w:snapToGrid w:val="0"/>
              <w:jc w:val="both"/>
              <w:rPr>
                <w:rFonts w:ascii="宋体" w:hAnsi="宋体" w:cs="宋体"/>
                <w:color w:val="auto"/>
                <w:szCs w:val="21"/>
              </w:rPr>
            </w:pPr>
          </w:p>
          <w:p w14:paraId="4160407A">
            <w:pPr>
              <w:adjustRightInd w:val="0"/>
              <w:snapToGrid w:val="0"/>
              <w:jc w:val="both"/>
              <w:rPr>
                <w:rFonts w:ascii="宋体" w:hAnsi="宋体" w:cs="宋体"/>
                <w:color w:val="auto"/>
                <w:szCs w:val="21"/>
              </w:rPr>
            </w:pPr>
          </w:p>
          <w:p w14:paraId="04E027EF">
            <w:pPr>
              <w:adjustRightInd w:val="0"/>
              <w:snapToGrid w:val="0"/>
              <w:jc w:val="both"/>
              <w:rPr>
                <w:rFonts w:ascii="宋体" w:hAnsi="宋体" w:cs="宋体"/>
                <w:color w:val="auto"/>
                <w:szCs w:val="21"/>
              </w:rPr>
            </w:pPr>
          </w:p>
          <w:p w14:paraId="7E4EFD69">
            <w:pPr>
              <w:adjustRightInd w:val="0"/>
              <w:snapToGrid w:val="0"/>
              <w:jc w:val="both"/>
              <w:rPr>
                <w:rFonts w:ascii="宋体" w:hAnsi="宋体" w:cs="宋体"/>
                <w:color w:val="auto"/>
                <w:szCs w:val="21"/>
              </w:rPr>
            </w:pPr>
          </w:p>
          <w:p w14:paraId="19E90DC9">
            <w:pPr>
              <w:adjustRightInd w:val="0"/>
              <w:snapToGrid w:val="0"/>
              <w:jc w:val="both"/>
              <w:rPr>
                <w:rFonts w:ascii="宋体" w:hAnsi="宋体" w:cs="宋体"/>
                <w:color w:val="auto"/>
                <w:szCs w:val="21"/>
              </w:rPr>
            </w:pPr>
          </w:p>
          <w:p w14:paraId="103128EB">
            <w:pPr>
              <w:adjustRightInd w:val="0"/>
              <w:snapToGrid w:val="0"/>
              <w:jc w:val="both"/>
              <w:rPr>
                <w:rFonts w:ascii="宋体" w:hAnsi="宋体" w:cs="宋体"/>
                <w:color w:val="auto"/>
                <w:szCs w:val="21"/>
              </w:rPr>
            </w:pPr>
          </w:p>
          <w:p w14:paraId="6EBC39DE">
            <w:pPr>
              <w:adjustRightInd w:val="0"/>
              <w:snapToGrid w:val="0"/>
              <w:jc w:val="both"/>
              <w:rPr>
                <w:rFonts w:ascii="宋体" w:hAnsi="宋体" w:cs="宋体"/>
                <w:color w:val="auto"/>
                <w:szCs w:val="21"/>
              </w:rPr>
            </w:pPr>
          </w:p>
          <w:p w14:paraId="2F829E41">
            <w:pPr>
              <w:adjustRightInd w:val="0"/>
              <w:snapToGrid w:val="0"/>
              <w:jc w:val="both"/>
              <w:rPr>
                <w:rFonts w:ascii="宋体" w:hAnsi="宋体" w:cs="宋体"/>
                <w:color w:val="auto"/>
                <w:szCs w:val="21"/>
              </w:rPr>
            </w:pPr>
          </w:p>
          <w:p w14:paraId="24AC2A70">
            <w:pPr>
              <w:adjustRightInd w:val="0"/>
              <w:snapToGrid w:val="0"/>
              <w:jc w:val="both"/>
              <w:rPr>
                <w:rFonts w:ascii="宋体" w:hAnsi="宋体" w:cs="宋体"/>
                <w:color w:val="auto"/>
                <w:szCs w:val="21"/>
              </w:rPr>
            </w:pPr>
          </w:p>
          <w:p w14:paraId="3030C0DF">
            <w:pPr>
              <w:adjustRightInd w:val="0"/>
              <w:snapToGrid w:val="0"/>
              <w:jc w:val="both"/>
              <w:rPr>
                <w:rFonts w:ascii="宋体" w:hAnsi="宋体" w:cs="宋体"/>
                <w:color w:val="auto"/>
                <w:szCs w:val="21"/>
              </w:rPr>
            </w:pPr>
          </w:p>
          <w:p w14:paraId="5B8D141A">
            <w:pPr>
              <w:adjustRightInd w:val="0"/>
              <w:snapToGrid w:val="0"/>
              <w:jc w:val="both"/>
              <w:rPr>
                <w:rFonts w:ascii="宋体" w:hAnsi="宋体" w:cs="宋体"/>
                <w:color w:val="auto"/>
                <w:szCs w:val="21"/>
              </w:rPr>
            </w:pPr>
          </w:p>
          <w:p w14:paraId="6F362DC7">
            <w:pPr>
              <w:adjustRightInd w:val="0"/>
              <w:snapToGrid w:val="0"/>
              <w:jc w:val="both"/>
              <w:rPr>
                <w:rFonts w:ascii="宋体" w:hAnsi="宋体" w:cs="宋体"/>
                <w:color w:val="auto"/>
                <w:szCs w:val="21"/>
              </w:rPr>
            </w:pPr>
          </w:p>
          <w:p w14:paraId="7029CA22">
            <w:pPr>
              <w:adjustRightInd w:val="0"/>
              <w:snapToGrid w:val="0"/>
              <w:jc w:val="both"/>
              <w:rPr>
                <w:rFonts w:ascii="宋体" w:hAnsi="宋体" w:cs="宋体"/>
                <w:color w:val="auto"/>
                <w:szCs w:val="21"/>
              </w:rPr>
            </w:pPr>
          </w:p>
          <w:p w14:paraId="02B26EA9">
            <w:pPr>
              <w:adjustRightInd w:val="0"/>
              <w:snapToGrid w:val="0"/>
              <w:jc w:val="both"/>
              <w:rPr>
                <w:rFonts w:ascii="宋体" w:hAnsi="宋体" w:cs="宋体"/>
                <w:color w:val="auto"/>
                <w:szCs w:val="21"/>
              </w:rPr>
            </w:pPr>
          </w:p>
          <w:p w14:paraId="6830EAAF">
            <w:pPr>
              <w:adjustRightInd w:val="0"/>
              <w:snapToGrid w:val="0"/>
              <w:jc w:val="both"/>
              <w:rPr>
                <w:rFonts w:ascii="宋体" w:hAnsi="宋体" w:cs="宋体"/>
                <w:color w:val="auto"/>
                <w:szCs w:val="21"/>
              </w:rPr>
            </w:pPr>
          </w:p>
          <w:p w14:paraId="4FB95BCB">
            <w:pPr>
              <w:adjustRightInd w:val="0"/>
              <w:snapToGrid w:val="0"/>
              <w:jc w:val="both"/>
              <w:rPr>
                <w:rFonts w:ascii="宋体" w:hAnsi="宋体" w:cs="宋体"/>
                <w:color w:val="auto"/>
                <w:szCs w:val="21"/>
              </w:rPr>
            </w:pPr>
          </w:p>
          <w:p w14:paraId="57557792">
            <w:pPr>
              <w:adjustRightInd w:val="0"/>
              <w:snapToGrid w:val="0"/>
              <w:jc w:val="both"/>
              <w:rPr>
                <w:rFonts w:ascii="宋体" w:hAnsi="宋体" w:cs="宋体"/>
                <w:color w:val="auto"/>
                <w:szCs w:val="21"/>
              </w:rPr>
            </w:pPr>
          </w:p>
          <w:p w14:paraId="487E4583">
            <w:pPr>
              <w:adjustRightInd w:val="0"/>
              <w:snapToGrid w:val="0"/>
              <w:jc w:val="both"/>
              <w:rPr>
                <w:rFonts w:ascii="宋体" w:hAnsi="宋体" w:cs="宋体"/>
                <w:color w:val="auto"/>
                <w:szCs w:val="21"/>
              </w:rPr>
            </w:pPr>
          </w:p>
          <w:p w14:paraId="0F27A569">
            <w:pPr>
              <w:adjustRightInd w:val="0"/>
              <w:snapToGrid w:val="0"/>
              <w:jc w:val="both"/>
              <w:rPr>
                <w:rFonts w:ascii="宋体" w:hAnsi="宋体" w:cs="宋体"/>
                <w:color w:val="auto"/>
                <w:szCs w:val="21"/>
              </w:rPr>
            </w:pPr>
          </w:p>
        </w:tc>
      </w:tr>
    </w:tbl>
    <w:p w14:paraId="43E97C89">
      <w:pPr>
        <w:pStyle w:val="24"/>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DF11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5CC959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auto"/>
                <w:sz w:val="24"/>
              </w:rPr>
            </w:pPr>
            <w:r>
              <w:rPr>
                <w:rFonts w:hint="eastAsia" w:ascii="宋体" w:cs="宋体"/>
                <w:color w:val="auto"/>
                <w:sz w:val="24"/>
              </w:rPr>
              <w:t>综上所述，本项目的建设，符合国家有关产业政策，污染物经相应治理后能达标排放。建设单位必须在该项目的建设过程中切实落实本评价中提出的各项污染防治措施，使工程对环境的影响减小到最低程度，以达到经济、社会、环境效益三统一的效果。从环保角度看，本项目的选址、建设是可行的。</w:t>
            </w:r>
          </w:p>
        </w:tc>
      </w:tr>
    </w:tbl>
    <w:p w14:paraId="1A28F0B7">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79412B45">
      <w:pPr>
        <w:pStyle w:val="24"/>
        <w:adjustRightInd w:val="0"/>
        <w:snapToGrid w:val="0"/>
        <w:spacing w:before="0" w:beforeAutospacing="0" w:after="0" w:afterAutospacing="0" w:line="360" w:lineRule="auto"/>
        <w:outlineLvl w:val="0"/>
        <w:rPr>
          <w:rFonts w:ascii="黑体" w:hAnsi="黑体" w:eastAsia="黑体"/>
          <w:snapToGrid w:val="0"/>
          <w:color w:val="auto"/>
          <w:sz w:val="32"/>
          <w:szCs w:val="32"/>
          <w:highlight w:val="yellow"/>
        </w:rPr>
      </w:pPr>
      <w:r>
        <w:rPr>
          <w:rFonts w:hint="eastAsia" w:ascii="黑体" w:hAnsi="黑体" w:eastAsia="黑体"/>
          <w:snapToGrid w:val="0"/>
          <w:color w:val="auto"/>
          <w:sz w:val="32"/>
          <w:szCs w:val="32"/>
        </w:rPr>
        <w:t>附表</w:t>
      </w:r>
    </w:p>
    <w:p w14:paraId="4CFF0A96">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ascii="方正小标宋_GBK" w:hAnsi="黑体" w:eastAsia="方正小标宋_GBK"/>
          <w:snapToGrid w:val="0"/>
          <w:color w:val="auto"/>
          <w:sz w:val="38"/>
          <w:szCs w:val="38"/>
          <w:highlight w:val="none"/>
        </w:rPr>
      </w:pPr>
      <w:r>
        <w:rPr>
          <w:rFonts w:hint="eastAsia" w:ascii="方正小标宋_GBK" w:hAnsi="黑体" w:eastAsia="方正小标宋_GBK"/>
          <w:snapToGrid w:val="0"/>
          <w:color w:val="auto"/>
          <w:sz w:val="38"/>
          <w:szCs w:val="38"/>
          <w:highlight w:val="none"/>
        </w:rPr>
        <w:t>建设项目污染物排放量汇总表</w:t>
      </w:r>
    </w:p>
    <w:tbl>
      <w:tblPr>
        <w:tblStyle w:val="27"/>
        <w:tblW w:w="1333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547"/>
        <w:gridCol w:w="1562"/>
        <w:gridCol w:w="1234"/>
        <w:gridCol w:w="1514"/>
        <w:gridCol w:w="1445"/>
        <w:gridCol w:w="1598"/>
        <w:gridCol w:w="1703"/>
        <w:gridCol w:w="1290"/>
      </w:tblGrid>
      <w:tr w14:paraId="6C1D6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442" w:type="dxa"/>
            <w:tcBorders>
              <w:tl2br w:val="single" w:color="auto" w:sz="4" w:space="0"/>
            </w:tcBorders>
            <w:tcMar>
              <w:left w:w="28" w:type="dxa"/>
              <w:right w:w="28" w:type="dxa"/>
            </w:tcMar>
            <w:vAlign w:val="center"/>
          </w:tcPr>
          <w:p w14:paraId="2898A443">
            <w:pPr>
              <w:pStyle w:val="49"/>
              <w:spacing w:beforeLines="0" w:afterLines="0" w:line="240" w:lineRule="auto"/>
              <w:jc w:val="right"/>
              <w:rPr>
                <w:rFonts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项目</w:t>
            </w:r>
          </w:p>
          <w:p w14:paraId="33227891">
            <w:pPr>
              <w:pStyle w:val="49"/>
              <w:spacing w:beforeLines="0" w:afterLines="0" w:line="240" w:lineRule="auto"/>
              <w:jc w:val="left"/>
              <w:rPr>
                <w:rFonts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分类</w:t>
            </w:r>
          </w:p>
        </w:tc>
        <w:tc>
          <w:tcPr>
            <w:tcW w:w="1547" w:type="dxa"/>
            <w:tcMar>
              <w:left w:w="28" w:type="dxa"/>
              <w:right w:w="28" w:type="dxa"/>
            </w:tcMar>
            <w:vAlign w:val="center"/>
          </w:tcPr>
          <w:p w14:paraId="0C85EDB6">
            <w:pPr>
              <w:pStyle w:val="49"/>
              <w:spacing w:beforeLines="0" w:afterLines="0" w:line="240" w:lineRule="auto"/>
              <w:rPr>
                <w:rFonts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污染物名称</w:t>
            </w:r>
          </w:p>
        </w:tc>
        <w:tc>
          <w:tcPr>
            <w:tcW w:w="1562" w:type="dxa"/>
            <w:tcMar>
              <w:left w:w="28" w:type="dxa"/>
              <w:right w:w="28" w:type="dxa"/>
            </w:tcMar>
            <w:vAlign w:val="center"/>
          </w:tcPr>
          <w:p w14:paraId="47FAB20D">
            <w:pPr>
              <w:pStyle w:val="49"/>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现有工程</w:t>
            </w:r>
          </w:p>
          <w:p w14:paraId="5512DEDD">
            <w:pPr>
              <w:pStyle w:val="49"/>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排放量（固</w:t>
            </w:r>
            <w:r>
              <w:rPr>
                <w:rFonts w:hint="eastAsia" w:ascii="黑体" w:hAnsi="黑体" w:eastAsia="黑体"/>
                <w:snapToGrid w:val="0"/>
                <w:color w:val="auto"/>
                <w:spacing w:val="-6"/>
                <w:kern w:val="21"/>
                <w:szCs w:val="21"/>
                <w:highlight w:val="none"/>
              </w:rPr>
              <w:t>体</w:t>
            </w:r>
            <w:r>
              <w:rPr>
                <w:rFonts w:ascii="黑体" w:hAnsi="黑体" w:eastAsia="黑体"/>
                <w:snapToGrid w:val="0"/>
                <w:color w:val="auto"/>
                <w:spacing w:val="-6"/>
                <w:kern w:val="21"/>
                <w:szCs w:val="21"/>
                <w:highlight w:val="none"/>
              </w:rPr>
              <w:t>废</w:t>
            </w:r>
            <w:r>
              <w:rPr>
                <w:rFonts w:hint="eastAsia" w:ascii="黑体" w:hAnsi="黑体" w:eastAsia="黑体"/>
                <w:snapToGrid w:val="0"/>
                <w:color w:val="auto"/>
                <w:spacing w:val="-6"/>
                <w:kern w:val="21"/>
                <w:szCs w:val="21"/>
                <w:highlight w:val="none"/>
              </w:rPr>
              <w:t>物</w:t>
            </w:r>
            <w:r>
              <w:rPr>
                <w:rFonts w:ascii="黑体" w:hAnsi="黑体" w:eastAsia="黑体"/>
                <w:snapToGrid w:val="0"/>
                <w:color w:val="auto"/>
                <w:spacing w:val="-6"/>
                <w:kern w:val="21"/>
                <w:szCs w:val="21"/>
                <w:highlight w:val="none"/>
              </w:rPr>
              <w:t>产生量）</w:t>
            </w: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1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①</w:t>
            </w:r>
            <w:r>
              <w:rPr>
                <w:rFonts w:ascii="黑体" w:hAnsi="黑体" w:eastAsia="黑体"/>
                <w:snapToGrid w:val="0"/>
                <w:color w:val="auto"/>
                <w:spacing w:val="-6"/>
                <w:kern w:val="21"/>
                <w:szCs w:val="21"/>
                <w:highlight w:val="none"/>
              </w:rPr>
              <w:fldChar w:fldCharType="end"/>
            </w:r>
          </w:p>
        </w:tc>
        <w:tc>
          <w:tcPr>
            <w:tcW w:w="1234" w:type="dxa"/>
            <w:tcMar>
              <w:left w:w="28" w:type="dxa"/>
              <w:right w:w="28" w:type="dxa"/>
            </w:tcMar>
            <w:vAlign w:val="center"/>
          </w:tcPr>
          <w:p w14:paraId="4E9BAE21">
            <w:pPr>
              <w:pStyle w:val="49"/>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现有工程</w:t>
            </w:r>
          </w:p>
          <w:p w14:paraId="022D9CCD">
            <w:pPr>
              <w:pStyle w:val="49"/>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许可排放量</w:t>
            </w:r>
          </w:p>
          <w:p w14:paraId="036FD8B7">
            <w:pPr>
              <w:pStyle w:val="49"/>
              <w:spacing w:beforeLines="0" w:afterLines="0"/>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2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snapToGrid w:val="0"/>
                <w:color w:val="auto"/>
                <w:spacing w:val="-6"/>
                <w:kern w:val="21"/>
                <w:szCs w:val="21"/>
                <w:highlight w:val="none"/>
              </w:rPr>
              <w:t>②</w:t>
            </w:r>
            <w:r>
              <w:rPr>
                <w:rFonts w:ascii="黑体" w:hAnsi="黑体" w:eastAsia="黑体"/>
                <w:snapToGrid w:val="0"/>
                <w:color w:val="auto"/>
                <w:spacing w:val="-6"/>
                <w:kern w:val="21"/>
                <w:szCs w:val="21"/>
                <w:highlight w:val="none"/>
              </w:rPr>
              <w:fldChar w:fldCharType="end"/>
            </w:r>
          </w:p>
        </w:tc>
        <w:tc>
          <w:tcPr>
            <w:tcW w:w="1514" w:type="dxa"/>
            <w:tcMar>
              <w:left w:w="28" w:type="dxa"/>
              <w:right w:w="28" w:type="dxa"/>
            </w:tcMar>
            <w:vAlign w:val="center"/>
          </w:tcPr>
          <w:p w14:paraId="1DC126F8">
            <w:pPr>
              <w:pStyle w:val="49"/>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在建工程</w:t>
            </w:r>
          </w:p>
          <w:p w14:paraId="07910D1A">
            <w:pPr>
              <w:pStyle w:val="49"/>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排放量（固</w:t>
            </w:r>
            <w:r>
              <w:rPr>
                <w:rFonts w:hint="eastAsia" w:ascii="黑体" w:hAnsi="黑体" w:eastAsia="黑体"/>
                <w:snapToGrid w:val="0"/>
                <w:color w:val="auto"/>
                <w:spacing w:val="-6"/>
                <w:kern w:val="21"/>
                <w:szCs w:val="21"/>
                <w:highlight w:val="none"/>
              </w:rPr>
              <w:t>体</w:t>
            </w:r>
            <w:r>
              <w:rPr>
                <w:rFonts w:ascii="黑体" w:hAnsi="黑体" w:eastAsia="黑体"/>
                <w:snapToGrid w:val="0"/>
                <w:color w:val="auto"/>
                <w:spacing w:val="-6"/>
                <w:kern w:val="21"/>
                <w:szCs w:val="21"/>
                <w:highlight w:val="none"/>
              </w:rPr>
              <w:t>废</w:t>
            </w:r>
            <w:r>
              <w:rPr>
                <w:rFonts w:hint="eastAsia" w:ascii="黑体" w:hAnsi="黑体" w:eastAsia="黑体"/>
                <w:snapToGrid w:val="0"/>
                <w:color w:val="auto"/>
                <w:spacing w:val="-6"/>
                <w:kern w:val="21"/>
                <w:szCs w:val="21"/>
                <w:highlight w:val="none"/>
              </w:rPr>
              <w:t>物</w:t>
            </w:r>
            <w:r>
              <w:rPr>
                <w:rFonts w:ascii="黑体" w:hAnsi="黑体" w:eastAsia="黑体"/>
                <w:snapToGrid w:val="0"/>
                <w:color w:val="auto"/>
                <w:spacing w:val="-6"/>
                <w:kern w:val="21"/>
                <w:szCs w:val="21"/>
                <w:highlight w:val="none"/>
              </w:rPr>
              <w:t>产生量）</w:t>
            </w: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3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③</w:t>
            </w:r>
            <w:r>
              <w:rPr>
                <w:rFonts w:ascii="黑体" w:hAnsi="黑体" w:eastAsia="黑体"/>
                <w:snapToGrid w:val="0"/>
                <w:color w:val="auto"/>
                <w:spacing w:val="-6"/>
                <w:kern w:val="21"/>
                <w:szCs w:val="21"/>
                <w:highlight w:val="none"/>
              </w:rPr>
              <w:fldChar w:fldCharType="end"/>
            </w:r>
          </w:p>
        </w:tc>
        <w:tc>
          <w:tcPr>
            <w:tcW w:w="1445" w:type="dxa"/>
            <w:tcMar>
              <w:left w:w="28" w:type="dxa"/>
              <w:right w:w="28" w:type="dxa"/>
            </w:tcMar>
            <w:vAlign w:val="center"/>
          </w:tcPr>
          <w:p w14:paraId="2DEE0EBB">
            <w:pPr>
              <w:pStyle w:val="49"/>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本项目</w:t>
            </w:r>
          </w:p>
          <w:p w14:paraId="1237547B">
            <w:pPr>
              <w:pStyle w:val="49"/>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排放量（固</w:t>
            </w:r>
            <w:r>
              <w:rPr>
                <w:rFonts w:hint="eastAsia" w:ascii="黑体" w:hAnsi="黑体" w:eastAsia="黑体"/>
                <w:snapToGrid w:val="0"/>
                <w:color w:val="auto"/>
                <w:spacing w:val="-6"/>
                <w:kern w:val="21"/>
                <w:szCs w:val="21"/>
                <w:highlight w:val="none"/>
              </w:rPr>
              <w:t>体</w:t>
            </w:r>
            <w:r>
              <w:rPr>
                <w:rFonts w:ascii="黑体" w:hAnsi="黑体" w:eastAsia="黑体"/>
                <w:snapToGrid w:val="0"/>
                <w:color w:val="auto"/>
                <w:spacing w:val="-6"/>
                <w:kern w:val="21"/>
                <w:szCs w:val="21"/>
                <w:highlight w:val="none"/>
              </w:rPr>
              <w:t>废</w:t>
            </w:r>
            <w:r>
              <w:rPr>
                <w:rFonts w:hint="eastAsia" w:ascii="黑体" w:hAnsi="黑体" w:eastAsia="黑体"/>
                <w:snapToGrid w:val="0"/>
                <w:color w:val="auto"/>
                <w:spacing w:val="-6"/>
                <w:kern w:val="21"/>
                <w:szCs w:val="21"/>
                <w:highlight w:val="none"/>
              </w:rPr>
              <w:t>物</w:t>
            </w:r>
            <w:r>
              <w:rPr>
                <w:rFonts w:ascii="黑体" w:hAnsi="黑体" w:eastAsia="黑体"/>
                <w:snapToGrid w:val="0"/>
                <w:color w:val="auto"/>
                <w:spacing w:val="-6"/>
                <w:kern w:val="21"/>
                <w:szCs w:val="21"/>
                <w:highlight w:val="none"/>
              </w:rPr>
              <w:t>产生量）</w:t>
            </w: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4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④</w:t>
            </w:r>
            <w:r>
              <w:rPr>
                <w:rFonts w:ascii="黑体" w:hAnsi="黑体" w:eastAsia="黑体"/>
                <w:snapToGrid w:val="0"/>
                <w:color w:val="auto"/>
                <w:spacing w:val="-6"/>
                <w:kern w:val="21"/>
                <w:szCs w:val="21"/>
                <w:highlight w:val="none"/>
              </w:rPr>
              <w:fldChar w:fldCharType="end"/>
            </w:r>
          </w:p>
        </w:tc>
        <w:tc>
          <w:tcPr>
            <w:tcW w:w="1598" w:type="dxa"/>
            <w:tcMar>
              <w:left w:w="28" w:type="dxa"/>
              <w:right w:w="28" w:type="dxa"/>
            </w:tcMar>
            <w:vAlign w:val="center"/>
          </w:tcPr>
          <w:p w14:paraId="6008CAC6">
            <w:pPr>
              <w:pStyle w:val="49"/>
              <w:spacing w:beforeLines="0" w:afterLines="0" w:line="240" w:lineRule="auto"/>
              <w:rPr>
                <w:rFonts w:ascii="黑体" w:hAnsi="黑体" w:eastAsia="黑体"/>
                <w:snapToGrid w:val="0"/>
                <w:color w:val="auto"/>
                <w:spacing w:val="-16"/>
                <w:kern w:val="21"/>
                <w:szCs w:val="21"/>
                <w:highlight w:val="none"/>
              </w:rPr>
            </w:pPr>
            <w:r>
              <w:rPr>
                <w:rFonts w:ascii="黑体" w:hAnsi="黑体" w:eastAsia="黑体"/>
                <w:snapToGrid w:val="0"/>
                <w:color w:val="auto"/>
                <w:spacing w:val="-16"/>
                <w:kern w:val="21"/>
                <w:szCs w:val="21"/>
                <w:highlight w:val="none"/>
              </w:rPr>
              <w:t>以新带老削减量</w:t>
            </w:r>
          </w:p>
          <w:p w14:paraId="6A2638BA">
            <w:pPr>
              <w:pStyle w:val="49"/>
              <w:spacing w:beforeLines="0" w:afterLines="0" w:line="240" w:lineRule="auto"/>
              <w:rPr>
                <w:rFonts w:ascii="黑体" w:hAnsi="黑体" w:eastAsia="黑体"/>
                <w:snapToGrid w:val="0"/>
                <w:color w:val="auto"/>
                <w:spacing w:val="-16"/>
                <w:kern w:val="21"/>
                <w:szCs w:val="21"/>
                <w:highlight w:val="none"/>
              </w:rPr>
            </w:pPr>
            <w:r>
              <w:rPr>
                <w:rFonts w:ascii="黑体" w:hAnsi="黑体" w:eastAsia="黑体"/>
                <w:snapToGrid w:val="0"/>
                <w:color w:val="auto"/>
                <w:spacing w:val="-16"/>
                <w:kern w:val="21"/>
                <w:szCs w:val="21"/>
                <w:highlight w:val="none"/>
              </w:rPr>
              <w:t>（新建项目不填）</w:t>
            </w:r>
            <w:r>
              <w:rPr>
                <w:rFonts w:ascii="黑体" w:hAnsi="黑体" w:eastAsia="黑体"/>
                <w:snapToGrid w:val="0"/>
                <w:color w:val="auto"/>
                <w:spacing w:val="-16"/>
                <w:kern w:val="21"/>
                <w:szCs w:val="21"/>
                <w:highlight w:val="none"/>
              </w:rPr>
              <w:fldChar w:fldCharType="begin"/>
            </w:r>
            <w:r>
              <w:rPr>
                <w:rFonts w:ascii="黑体" w:hAnsi="黑体" w:eastAsia="黑体"/>
                <w:snapToGrid w:val="0"/>
                <w:color w:val="auto"/>
                <w:spacing w:val="-16"/>
                <w:kern w:val="21"/>
                <w:szCs w:val="21"/>
                <w:highlight w:val="none"/>
              </w:rPr>
              <w:instrText xml:space="preserve"> = 5 \* GB3 \* MERGEFORMAT </w:instrText>
            </w:r>
            <w:r>
              <w:rPr>
                <w:rFonts w:ascii="黑体" w:hAnsi="黑体" w:eastAsia="黑体"/>
                <w:snapToGrid w:val="0"/>
                <w:color w:val="auto"/>
                <w:spacing w:val="-16"/>
                <w:kern w:val="21"/>
                <w:szCs w:val="21"/>
                <w:highlight w:val="none"/>
              </w:rPr>
              <w:fldChar w:fldCharType="separate"/>
            </w:r>
            <w:r>
              <w:rPr>
                <w:rFonts w:hint="eastAsia" w:ascii="黑体" w:hAnsi="黑体" w:eastAsia="黑体" w:cs="宋体"/>
                <w:color w:val="auto"/>
                <w:kern w:val="2"/>
                <w:szCs w:val="21"/>
                <w:highlight w:val="none"/>
              </w:rPr>
              <w:t>⑤</w:t>
            </w:r>
            <w:r>
              <w:rPr>
                <w:rFonts w:ascii="黑体" w:hAnsi="黑体" w:eastAsia="黑体"/>
                <w:snapToGrid w:val="0"/>
                <w:color w:val="auto"/>
                <w:spacing w:val="-16"/>
                <w:kern w:val="21"/>
                <w:szCs w:val="21"/>
                <w:highlight w:val="none"/>
              </w:rPr>
              <w:fldChar w:fldCharType="end"/>
            </w:r>
          </w:p>
        </w:tc>
        <w:tc>
          <w:tcPr>
            <w:tcW w:w="1703" w:type="dxa"/>
            <w:tcMar>
              <w:left w:w="28" w:type="dxa"/>
              <w:right w:w="28" w:type="dxa"/>
            </w:tcMar>
            <w:vAlign w:val="center"/>
          </w:tcPr>
          <w:p w14:paraId="3D713BBB">
            <w:pPr>
              <w:pStyle w:val="49"/>
              <w:spacing w:beforeLines="0" w:afterLines="0" w:line="240" w:lineRule="auto"/>
              <w:rPr>
                <w:rFonts w:ascii="黑体" w:hAnsi="黑体" w:eastAsia="黑体"/>
                <w:snapToGrid w:val="0"/>
                <w:color w:val="auto"/>
                <w:spacing w:val="-16"/>
                <w:kern w:val="21"/>
                <w:szCs w:val="21"/>
                <w:highlight w:val="none"/>
              </w:rPr>
            </w:pPr>
            <w:r>
              <w:rPr>
                <w:rFonts w:ascii="黑体" w:hAnsi="黑体" w:eastAsia="黑体"/>
                <w:snapToGrid w:val="0"/>
                <w:color w:val="auto"/>
                <w:spacing w:val="-16"/>
                <w:kern w:val="21"/>
                <w:szCs w:val="21"/>
                <w:highlight w:val="none"/>
              </w:rPr>
              <w:t>本项目建成后</w:t>
            </w:r>
          </w:p>
          <w:p w14:paraId="08712F1F">
            <w:pPr>
              <w:pStyle w:val="49"/>
              <w:spacing w:beforeLines="0" w:afterLines="0" w:line="240" w:lineRule="auto"/>
              <w:rPr>
                <w:rFonts w:ascii="黑体" w:hAnsi="黑体" w:eastAsia="黑体"/>
                <w:snapToGrid w:val="0"/>
                <w:color w:val="auto"/>
                <w:spacing w:val="-16"/>
                <w:kern w:val="21"/>
                <w:szCs w:val="21"/>
                <w:highlight w:val="none"/>
              </w:rPr>
            </w:pPr>
            <w:r>
              <w:rPr>
                <w:rFonts w:hint="eastAsia" w:ascii="黑体" w:hAnsi="黑体" w:eastAsia="黑体"/>
                <w:snapToGrid w:val="0"/>
                <w:color w:val="auto"/>
                <w:spacing w:val="-16"/>
                <w:kern w:val="21"/>
                <w:szCs w:val="21"/>
                <w:highlight w:val="none"/>
              </w:rPr>
              <w:t>全厂</w:t>
            </w:r>
            <w:r>
              <w:rPr>
                <w:rFonts w:ascii="黑体" w:hAnsi="黑体" w:eastAsia="黑体"/>
                <w:snapToGrid w:val="0"/>
                <w:color w:val="auto"/>
                <w:spacing w:val="-16"/>
                <w:kern w:val="21"/>
                <w:szCs w:val="21"/>
                <w:highlight w:val="none"/>
              </w:rPr>
              <w:t>排放量（固</w:t>
            </w:r>
            <w:r>
              <w:rPr>
                <w:rFonts w:hint="eastAsia" w:ascii="黑体" w:hAnsi="黑体" w:eastAsia="黑体"/>
                <w:snapToGrid w:val="0"/>
                <w:color w:val="auto"/>
                <w:spacing w:val="-16"/>
                <w:kern w:val="21"/>
                <w:szCs w:val="21"/>
                <w:highlight w:val="none"/>
              </w:rPr>
              <w:t>体</w:t>
            </w:r>
            <w:r>
              <w:rPr>
                <w:rFonts w:ascii="黑体" w:hAnsi="黑体" w:eastAsia="黑体"/>
                <w:snapToGrid w:val="0"/>
                <w:color w:val="auto"/>
                <w:spacing w:val="-16"/>
                <w:kern w:val="21"/>
                <w:szCs w:val="21"/>
                <w:highlight w:val="none"/>
              </w:rPr>
              <w:t>废</w:t>
            </w:r>
            <w:r>
              <w:rPr>
                <w:rFonts w:hint="eastAsia" w:ascii="黑体" w:hAnsi="黑体" w:eastAsia="黑体"/>
                <w:snapToGrid w:val="0"/>
                <w:color w:val="auto"/>
                <w:spacing w:val="-16"/>
                <w:kern w:val="21"/>
                <w:szCs w:val="21"/>
                <w:highlight w:val="none"/>
              </w:rPr>
              <w:t>物</w:t>
            </w:r>
            <w:r>
              <w:rPr>
                <w:rFonts w:ascii="黑体" w:hAnsi="黑体" w:eastAsia="黑体"/>
                <w:snapToGrid w:val="0"/>
                <w:color w:val="auto"/>
                <w:spacing w:val="-16"/>
                <w:kern w:val="21"/>
                <w:szCs w:val="21"/>
                <w:highlight w:val="none"/>
              </w:rPr>
              <w:t>产生量）</w:t>
            </w:r>
            <w:r>
              <w:rPr>
                <w:rFonts w:ascii="黑体" w:hAnsi="黑体" w:eastAsia="黑体"/>
                <w:snapToGrid w:val="0"/>
                <w:color w:val="auto"/>
                <w:spacing w:val="-16"/>
                <w:kern w:val="21"/>
                <w:szCs w:val="21"/>
                <w:highlight w:val="none"/>
              </w:rPr>
              <w:fldChar w:fldCharType="begin"/>
            </w:r>
            <w:r>
              <w:rPr>
                <w:rFonts w:ascii="黑体" w:hAnsi="黑体" w:eastAsia="黑体"/>
                <w:snapToGrid w:val="0"/>
                <w:color w:val="auto"/>
                <w:spacing w:val="-16"/>
                <w:kern w:val="21"/>
                <w:szCs w:val="21"/>
                <w:highlight w:val="none"/>
              </w:rPr>
              <w:instrText xml:space="preserve"> = 6 \* GB3 \* MERGEFORMAT </w:instrText>
            </w:r>
            <w:r>
              <w:rPr>
                <w:rFonts w:ascii="黑体" w:hAnsi="黑体" w:eastAsia="黑体"/>
                <w:snapToGrid w:val="0"/>
                <w:color w:val="auto"/>
                <w:spacing w:val="-16"/>
                <w:kern w:val="21"/>
                <w:szCs w:val="21"/>
                <w:highlight w:val="none"/>
              </w:rPr>
              <w:fldChar w:fldCharType="separate"/>
            </w:r>
            <w:r>
              <w:rPr>
                <w:rFonts w:hint="eastAsia" w:ascii="黑体" w:hAnsi="黑体" w:eastAsia="黑体" w:cs="宋体"/>
                <w:color w:val="auto"/>
                <w:kern w:val="2"/>
                <w:szCs w:val="21"/>
                <w:highlight w:val="none"/>
              </w:rPr>
              <w:t>⑥</w:t>
            </w:r>
            <w:r>
              <w:rPr>
                <w:rFonts w:ascii="黑体" w:hAnsi="黑体" w:eastAsia="黑体"/>
                <w:snapToGrid w:val="0"/>
                <w:color w:val="auto"/>
                <w:spacing w:val="-16"/>
                <w:kern w:val="21"/>
                <w:szCs w:val="21"/>
                <w:highlight w:val="none"/>
              </w:rPr>
              <w:fldChar w:fldCharType="end"/>
            </w:r>
          </w:p>
        </w:tc>
        <w:tc>
          <w:tcPr>
            <w:tcW w:w="1290" w:type="dxa"/>
            <w:tcMar>
              <w:left w:w="28" w:type="dxa"/>
              <w:right w:w="28" w:type="dxa"/>
            </w:tcMar>
            <w:vAlign w:val="center"/>
          </w:tcPr>
          <w:p w14:paraId="5BD0A99F">
            <w:pPr>
              <w:pStyle w:val="49"/>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变化量</w:t>
            </w:r>
          </w:p>
          <w:p w14:paraId="55C7C741">
            <w:pPr>
              <w:pStyle w:val="49"/>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7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⑦</w:t>
            </w:r>
            <w:r>
              <w:rPr>
                <w:rFonts w:ascii="黑体" w:hAnsi="黑体" w:eastAsia="黑体"/>
                <w:snapToGrid w:val="0"/>
                <w:color w:val="auto"/>
                <w:spacing w:val="-6"/>
                <w:kern w:val="21"/>
                <w:szCs w:val="21"/>
                <w:highlight w:val="none"/>
              </w:rPr>
              <w:fldChar w:fldCharType="end"/>
            </w:r>
          </w:p>
        </w:tc>
      </w:tr>
      <w:tr w14:paraId="0F574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42" w:type="dxa"/>
            <w:vMerge w:val="restart"/>
            <w:vAlign w:val="center"/>
          </w:tcPr>
          <w:p w14:paraId="71829C59">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废气</w:t>
            </w:r>
          </w:p>
        </w:tc>
        <w:tc>
          <w:tcPr>
            <w:tcW w:w="1547" w:type="dxa"/>
            <w:vAlign w:val="center"/>
          </w:tcPr>
          <w:p w14:paraId="134B2543">
            <w:pPr>
              <w:pStyle w:val="49"/>
              <w:spacing w:beforeLines="0" w:afterLines="0" w:line="240" w:lineRule="auto"/>
              <w:rPr>
                <w:rFonts w:hAnsi="宋体" w:cs="宋体"/>
                <w:snapToGrid w:val="0"/>
                <w:color w:val="auto"/>
                <w:kern w:val="21"/>
                <w:szCs w:val="21"/>
                <w:highlight w:val="none"/>
              </w:rPr>
            </w:pPr>
            <w:r>
              <w:rPr>
                <w:rFonts w:ascii="Times New Roman"/>
                <w:snapToGrid w:val="0"/>
                <w:color w:val="auto"/>
                <w:kern w:val="21"/>
                <w:szCs w:val="21"/>
                <w:highlight w:val="none"/>
              </w:rPr>
              <w:t>颗粒物</w:t>
            </w:r>
          </w:p>
        </w:tc>
        <w:tc>
          <w:tcPr>
            <w:tcW w:w="1562" w:type="dxa"/>
            <w:vAlign w:val="center"/>
          </w:tcPr>
          <w:p w14:paraId="5D86A22F">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34" w:type="dxa"/>
            <w:vAlign w:val="center"/>
          </w:tcPr>
          <w:p w14:paraId="601E6F25">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14" w:type="dxa"/>
            <w:vAlign w:val="center"/>
          </w:tcPr>
          <w:p w14:paraId="5B64ECE4">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445" w:type="dxa"/>
            <w:vAlign w:val="center"/>
          </w:tcPr>
          <w:p w14:paraId="79B74F43">
            <w:pPr>
              <w:pStyle w:val="49"/>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lang w:val="en-US" w:eastAsia="zh-CN"/>
              </w:rPr>
              <w:t>0.753</w:t>
            </w:r>
            <w:r>
              <w:rPr>
                <w:rFonts w:ascii="Times New Roman"/>
                <w:snapToGrid w:val="0"/>
                <w:color w:val="auto"/>
                <w:kern w:val="21"/>
                <w:szCs w:val="21"/>
                <w:highlight w:val="none"/>
              </w:rPr>
              <w:t>t/a</w:t>
            </w:r>
          </w:p>
        </w:tc>
        <w:tc>
          <w:tcPr>
            <w:tcW w:w="1598" w:type="dxa"/>
            <w:vAlign w:val="center"/>
          </w:tcPr>
          <w:p w14:paraId="068DAF93">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3" w:type="dxa"/>
            <w:vAlign w:val="center"/>
          </w:tcPr>
          <w:p w14:paraId="31C0117F">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0.753</w:t>
            </w:r>
            <w:r>
              <w:rPr>
                <w:rFonts w:ascii="Times New Roman"/>
                <w:snapToGrid w:val="0"/>
                <w:color w:val="auto"/>
                <w:kern w:val="21"/>
                <w:szCs w:val="21"/>
                <w:highlight w:val="none"/>
              </w:rPr>
              <w:t>t/a</w:t>
            </w:r>
          </w:p>
        </w:tc>
        <w:tc>
          <w:tcPr>
            <w:tcW w:w="1290" w:type="dxa"/>
            <w:vAlign w:val="center"/>
          </w:tcPr>
          <w:p w14:paraId="76893509">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0.753</w:t>
            </w:r>
            <w:r>
              <w:rPr>
                <w:rFonts w:ascii="Times New Roman"/>
                <w:snapToGrid w:val="0"/>
                <w:color w:val="auto"/>
                <w:kern w:val="21"/>
                <w:szCs w:val="21"/>
                <w:highlight w:val="none"/>
              </w:rPr>
              <w:t>t/a</w:t>
            </w:r>
          </w:p>
        </w:tc>
      </w:tr>
      <w:tr w14:paraId="71476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42" w:type="dxa"/>
            <w:vMerge w:val="continue"/>
            <w:vAlign w:val="center"/>
          </w:tcPr>
          <w:p w14:paraId="4091D8E2">
            <w:pPr>
              <w:pStyle w:val="49"/>
              <w:spacing w:beforeLines="0" w:afterLines="0" w:line="240" w:lineRule="auto"/>
              <w:rPr>
                <w:rFonts w:hAnsi="宋体" w:cs="宋体"/>
                <w:snapToGrid w:val="0"/>
                <w:color w:val="auto"/>
                <w:kern w:val="21"/>
                <w:szCs w:val="21"/>
                <w:highlight w:val="none"/>
              </w:rPr>
            </w:pPr>
          </w:p>
        </w:tc>
        <w:tc>
          <w:tcPr>
            <w:tcW w:w="1547" w:type="dxa"/>
            <w:vAlign w:val="center"/>
          </w:tcPr>
          <w:p w14:paraId="287DC99A">
            <w:pPr>
              <w:pStyle w:val="49"/>
              <w:spacing w:beforeLines="0" w:afterLines="0" w:line="240" w:lineRule="auto"/>
              <w:rPr>
                <w:rFonts w:hAnsi="宋体" w:cs="宋体"/>
                <w:snapToGrid w:val="0"/>
                <w:color w:val="auto"/>
                <w:kern w:val="21"/>
                <w:szCs w:val="21"/>
                <w:highlight w:val="none"/>
              </w:rPr>
            </w:pPr>
            <w:r>
              <w:rPr>
                <w:rFonts w:ascii="Times New Roman"/>
                <w:snapToGrid w:val="0"/>
                <w:color w:val="auto"/>
                <w:kern w:val="21"/>
                <w:szCs w:val="21"/>
                <w:highlight w:val="none"/>
              </w:rPr>
              <w:t>油烟</w:t>
            </w:r>
          </w:p>
        </w:tc>
        <w:tc>
          <w:tcPr>
            <w:tcW w:w="1562" w:type="dxa"/>
            <w:vAlign w:val="center"/>
          </w:tcPr>
          <w:p w14:paraId="1301EECF">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34" w:type="dxa"/>
            <w:vAlign w:val="center"/>
          </w:tcPr>
          <w:p w14:paraId="0B3411A6">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14" w:type="dxa"/>
            <w:vAlign w:val="center"/>
          </w:tcPr>
          <w:p w14:paraId="2DCD2DFB">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445" w:type="dxa"/>
            <w:vAlign w:val="center"/>
          </w:tcPr>
          <w:p w14:paraId="4CC21D6D">
            <w:pPr>
              <w:pStyle w:val="49"/>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lang w:val="en-US" w:eastAsia="zh-CN"/>
              </w:rPr>
              <w:t>8.659</w:t>
            </w:r>
            <w:r>
              <w:rPr>
                <w:rFonts w:ascii="Times New Roman"/>
                <w:snapToGrid w:val="0"/>
                <w:color w:val="auto"/>
                <w:kern w:val="21"/>
                <w:szCs w:val="21"/>
                <w:highlight w:val="none"/>
              </w:rPr>
              <w:t>kg/a</w:t>
            </w:r>
          </w:p>
        </w:tc>
        <w:tc>
          <w:tcPr>
            <w:tcW w:w="1598" w:type="dxa"/>
            <w:vAlign w:val="center"/>
          </w:tcPr>
          <w:p w14:paraId="624720BD">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3" w:type="dxa"/>
            <w:vAlign w:val="center"/>
          </w:tcPr>
          <w:p w14:paraId="62538428">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8.659</w:t>
            </w:r>
            <w:r>
              <w:rPr>
                <w:rFonts w:ascii="Times New Roman"/>
                <w:snapToGrid w:val="0"/>
                <w:color w:val="auto"/>
                <w:kern w:val="21"/>
                <w:szCs w:val="21"/>
                <w:highlight w:val="none"/>
              </w:rPr>
              <w:t>kg/a</w:t>
            </w:r>
          </w:p>
        </w:tc>
        <w:tc>
          <w:tcPr>
            <w:tcW w:w="1290" w:type="dxa"/>
            <w:vAlign w:val="center"/>
          </w:tcPr>
          <w:p w14:paraId="16B14C82">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8.659</w:t>
            </w:r>
            <w:r>
              <w:rPr>
                <w:rFonts w:ascii="Times New Roman"/>
                <w:snapToGrid w:val="0"/>
                <w:color w:val="auto"/>
                <w:kern w:val="21"/>
                <w:szCs w:val="21"/>
                <w:highlight w:val="none"/>
              </w:rPr>
              <w:t>kg/a</w:t>
            </w:r>
          </w:p>
        </w:tc>
      </w:tr>
      <w:tr w14:paraId="7ABB7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42" w:type="dxa"/>
            <w:vMerge w:val="restart"/>
            <w:vAlign w:val="center"/>
          </w:tcPr>
          <w:p w14:paraId="0F262E75">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废水</w:t>
            </w:r>
          </w:p>
        </w:tc>
        <w:tc>
          <w:tcPr>
            <w:tcW w:w="1547" w:type="dxa"/>
            <w:vAlign w:val="center"/>
          </w:tcPr>
          <w:p w14:paraId="389135BF">
            <w:pPr>
              <w:pStyle w:val="49"/>
              <w:spacing w:beforeLines="0" w:afterLines="0" w:line="240" w:lineRule="auto"/>
              <w:rPr>
                <w:rFonts w:hAnsi="宋体" w:cs="宋体"/>
                <w:snapToGrid w:val="0"/>
                <w:color w:val="auto"/>
                <w:kern w:val="21"/>
                <w:szCs w:val="21"/>
                <w:highlight w:val="none"/>
              </w:rPr>
            </w:pPr>
            <w:r>
              <w:rPr>
                <w:rFonts w:ascii="Times New Roman"/>
                <w:snapToGrid w:val="0"/>
                <w:color w:val="auto"/>
                <w:kern w:val="21"/>
                <w:szCs w:val="21"/>
                <w:highlight w:val="none"/>
              </w:rPr>
              <w:t>COD</w:t>
            </w:r>
          </w:p>
        </w:tc>
        <w:tc>
          <w:tcPr>
            <w:tcW w:w="1562" w:type="dxa"/>
            <w:vAlign w:val="center"/>
          </w:tcPr>
          <w:p w14:paraId="407AD352">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34" w:type="dxa"/>
            <w:vAlign w:val="center"/>
          </w:tcPr>
          <w:p w14:paraId="124149DD">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14" w:type="dxa"/>
            <w:vAlign w:val="center"/>
          </w:tcPr>
          <w:p w14:paraId="6EA50DC1">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445" w:type="dxa"/>
            <w:vAlign w:val="center"/>
          </w:tcPr>
          <w:p w14:paraId="17BC345F">
            <w:pPr>
              <w:pStyle w:val="49"/>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lang w:val="en-US" w:eastAsia="zh-CN"/>
              </w:rPr>
              <w:t>44.82</w:t>
            </w:r>
            <w:r>
              <w:rPr>
                <w:rFonts w:ascii="Times New Roman"/>
                <w:snapToGrid w:val="0"/>
                <w:color w:val="auto"/>
                <w:kern w:val="21"/>
                <w:szCs w:val="21"/>
                <w:highlight w:val="none"/>
              </w:rPr>
              <w:t>kg/a</w:t>
            </w:r>
          </w:p>
        </w:tc>
        <w:tc>
          <w:tcPr>
            <w:tcW w:w="1598" w:type="dxa"/>
            <w:vAlign w:val="center"/>
          </w:tcPr>
          <w:p w14:paraId="7D028C57">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3" w:type="dxa"/>
            <w:vAlign w:val="center"/>
          </w:tcPr>
          <w:p w14:paraId="4F93F4B3">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44.82</w:t>
            </w:r>
            <w:r>
              <w:rPr>
                <w:rFonts w:ascii="Times New Roman"/>
                <w:snapToGrid w:val="0"/>
                <w:color w:val="auto"/>
                <w:kern w:val="21"/>
                <w:szCs w:val="21"/>
                <w:highlight w:val="none"/>
              </w:rPr>
              <w:t>kg/a</w:t>
            </w:r>
          </w:p>
        </w:tc>
        <w:tc>
          <w:tcPr>
            <w:tcW w:w="1290" w:type="dxa"/>
            <w:vAlign w:val="center"/>
          </w:tcPr>
          <w:p w14:paraId="505E9B15">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44.82</w:t>
            </w:r>
            <w:r>
              <w:rPr>
                <w:rFonts w:ascii="Times New Roman"/>
                <w:snapToGrid w:val="0"/>
                <w:color w:val="auto"/>
                <w:kern w:val="21"/>
                <w:szCs w:val="21"/>
                <w:highlight w:val="none"/>
              </w:rPr>
              <w:t>kg/a</w:t>
            </w:r>
          </w:p>
        </w:tc>
      </w:tr>
      <w:tr w14:paraId="0DF34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42" w:type="dxa"/>
            <w:vMerge w:val="continue"/>
            <w:vAlign w:val="center"/>
          </w:tcPr>
          <w:p w14:paraId="1448E3B6">
            <w:pPr>
              <w:pStyle w:val="49"/>
              <w:spacing w:beforeLines="0" w:afterLines="0" w:line="240" w:lineRule="auto"/>
              <w:rPr>
                <w:rFonts w:hAnsi="宋体" w:cs="宋体"/>
                <w:snapToGrid w:val="0"/>
                <w:color w:val="auto"/>
                <w:kern w:val="21"/>
                <w:szCs w:val="21"/>
                <w:highlight w:val="none"/>
              </w:rPr>
            </w:pPr>
          </w:p>
        </w:tc>
        <w:tc>
          <w:tcPr>
            <w:tcW w:w="1547" w:type="dxa"/>
            <w:vAlign w:val="center"/>
          </w:tcPr>
          <w:p w14:paraId="5E0178EB">
            <w:pPr>
              <w:pStyle w:val="49"/>
              <w:spacing w:beforeLines="0" w:afterLines="0" w:line="240" w:lineRule="auto"/>
              <w:rPr>
                <w:rFonts w:hAnsi="宋体" w:cs="宋体"/>
                <w:snapToGrid w:val="0"/>
                <w:color w:val="auto"/>
                <w:kern w:val="21"/>
                <w:szCs w:val="21"/>
                <w:highlight w:val="none"/>
              </w:rPr>
            </w:pPr>
            <w:r>
              <w:rPr>
                <w:rFonts w:ascii="Times New Roman"/>
                <w:snapToGrid w:val="0"/>
                <w:color w:val="auto"/>
                <w:kern w:val="21"/>
                <w:szCs w:val="21"/>
                <w:highlight w:val="none"/>
              </w:rPr>
              <w:t>BOD</w:t>
            </w:r>
            <w:r>
              <w:rPr>
                <w:rFonts w:ascii="Times New Roman"/>
                <w:snapToGrid w:val="0"/>
                <w:color w:val="auto"/>
                <w:kern w:val="21"/>
                <w:szCs w:val="21"/>
                <w:highlight w:val="none"/>
                <w:vertAlign w:val="subscript"/>
              </w:rPr>
              <w:t>5</w:t>
            </w:r>
          </w:p>
        </w:tc>
        <w:tc>
          <w:tcPr>
            <w:tcW w:w="1562" w:type="dxa"/>
            <w:vAlign w:val="center"/>
          </w:tcPr>
          <w:p w14:paraId="0FA90BCF">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34" w:type="dxa"/>
            <w:vAlign w:val="center"/>
          </w:tcPr>
          <w:p w14:paraId="1C2A5847">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14" w:type="dxa"/>
            <w:vAlign w:val="center"/>
          </w:tcPr>
          <w:p w14:paraId="5F0C5236">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445" w:type="dxa"/>
            <w:vAlign w:val="center"/>
          </w:tcPr>
          <w:p w14:paraId="6D153C85">
            <w:pPr>
              <w:pStyle w:val="49"/>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lang w:val="en-US" w:eastAsia="zh-CN"/>
              </w:rPr>
              <w:t>22.41</w:t>
            </w:r>
            <w:r>
              <w:rPr>
                <w:rFonts w:ascii="Times New Roman"/>
                <w:snapToGrid w:val="0"/>
                <w:color w:val="auto"/>
                <w:kern w:val="21"/>
                <w:szCs w:val="21"/>
                <w:highlight w:val="none"/>
              </w:rPr>
              <w:t>kg/a</w:t>
            </w:r>
          </w:p>
        </w:tc>
        <w:tc>
          <w:tcPr>
            <w:tcW w:w="1598" w:type="dxa"/>
            <w:vAlign w:val="center"/>
          </w:tcPr>
          <w:p w14:paraId="7D554018">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3" w:type="dxa"/>
            <w:vAlign w:val="center"/>
          </w:tcPr>
          <w:p w14:paraId="100E9E22">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22.41</w:t>
            </w:r>
            <w:r>
              <w:rPr>
                <w:rFonts w:ascii="Times New Roman"/>
                <w:snapToGrid w:val="0"/>
                <w:color w:val="auto"/>
                <w:kern w:val="21"/>
                <w:szCs w:val="21"/>
                <w:highlight w:val="none"/>
              </w:rPr>
              <w:t>kg/a</w:t>
            </w:r>
          </w:p>
        </w:tc>
        <w:tc>
          <w:tcPr>
            <w:tcW w:w="1290" w:type="dxa"/>
            <w:vAlign w:val="center"/>
          </w:tcPr>
          <w:p w14:paraId="60E8B359">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22.41</w:t>
            </w:r>
            <w:r>
              <w:rPr>
                <w:rFonts w:ascii="Times New Roman"/>
                <w:snapToGrid w:val="0"/>
                <w:color w:val="auto"/>
                <w:kern w:val="21"/>
                <w:szCs w:val="21"/>
                <w:highlight w:val="none"/>
              </w:rPr>
              <w:t>kg/a</w:t>
            </w:r>
          </w:p>
        </w:tc>
      </w:tr>
      <w:tr w14:paraId="7C789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42" w:type="dxa"/>
            <w:vMerge w:val="continue"/>
            <w:vAlign w:val="center"/>
          </w:tcPr>
          <w:p w14:paraId="73234071">
            <w:pPr>
              <w:pStyle w:val="49"/>
              <w:spacing w:beforeLines="0" w:afterLines="0" w:line="240" w:lineRule="auto"/>
              <w:rPr>
                <w:rFonts w:hAnsi="宋体" w:cs="宋体"/>
                <w:snapToGrid w:val="0"/>
                <w:color w:val="auto"/>
                <w:kern w:val="21"/>
                <w:szCs w:val="21"/>
                <w:highlight w:val="none"/>
              </w:rPr>
            </w:pPr>
          </w:p>
        </w:tc>
        <w:tc>
          <w:tcPr>
            <w:tcW w:w="1547" w:type="dxa"/>
            <w:vAlign w:val="center"/>
          </w:tcPr>
          <w:p w14:paraId="4000D9C7">
            <w:pPr>
              <w:pStyle w:val="49"/>
              <w:spacing w:beforeLines="0" w:afterLines="0" w:line="240" w:lineRule="auto"/>
              <w:rPr>
                <w:rFonts w:hAnsi="宋体" w:cs="宋体"/>
                <w:snapToGrid w:val="0"/>
                <w:color w:val="auto"/>
                <w:kern w:val="21"/>
                <w:szCs w:val="21"/>
                <w:highlight w:val="none"/>
              </w:rPr>
            </w:pPr>
            <w:r>
              <w:rPr>
                <w:rFonts w:ascii="Times New Roman"/>
                <w:snapToGrid w:val="0"/>
                <w:color w:val="auto"/>
                <w:kern w:val="21"/>
                <w:szCs w:val="21"/>
                <w:highlight w:val="none"/>
              </w:rPr>
              <w:t>NH</w:t>
            </w:r>
            <w:r>
              <w:rPr>
                <w:rFonts w:ascii="Times New Roman"/>
                <w:snapToGrid w:val="0"/>
                <w:color w:val="auto"/>
                <w:kern w:val="21"/>
                <w:szCs w:val="21"/>
                <w:highlight w:val="none"/>
                <w:vertAlign w:val="subscript"/>
              </w:rPr>
              <w:t>3</w:t>
            </w:r>
            <w:r>
              <w:rPr>
                <w:rFonts w:ascii="Times New Roman"/>
                <w:snapToGrid w:val="0"/>
                <w:color w:val="auto"/>
                <w:kern w:val="21"/>
                <w:szCs w:val="21"/>
                <w:highlight w:val="none"/>
              </w:rPr>
              <w:t>-N</w:t>
            </w:r>
          </w:p>
        </w:tc>
        <w:tc>
          <w:tcPr>
            <w:tcW w:w="1562" w:type="dxa"/>
            <w:vAlign w:val="center"/>
          </w:tcPr>
          <w:p w14:paraId="3FC99F24">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34" w:type="dxa"/>
            <w:vAlign w:val="center"/>
          </w:tcPr>
          <w:p w14:paraId="640C73D7">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14" w:type="dxa"/>
            <w:vAlign w:val="center"/>
          </w:tcPr>
          <w:p w14:paraId="0838B747">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445" w:type="dxa"/>
            <w:vAlign w:val="center"/>
          </w:tcPr>
          <w:p w14:paraId="6A7F4AD7">
            <w:pPr>
              <w:pStyle w:val="49"/>
              <w:spacing w:beforeLines="0" w:afterLines="0" w:line="240" w:lineRule="auto"/>
              <w:rPr>
                <w:rFonts w:hint="default" w:ascii="Times New Roman" w:eastAsia="宋体"/>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5.98</w:t>
            </w:r>
            <w:r>
              <w:rPr>
                <w:rFonts w:ascii="Times New Roman"/>
                <w:snapToGrid w:val="0"/>
                <w:color w:val="auto"/>
                <w:kern w:val="21"/>
                <w:szCs w:val="21"/>
                <w:highlight w:val="none"/>
              </w:rPr>
              <w:t>kg/a</w:t>
            </w:r>
          </w:p>
        </w:tc>
        <w:tc>
          <w:tcPr>
            <w:tcW w:w="1598" w:type="dxa"/>
            <w:vAlign w:val="center"/>
          </w:tcPr>
          <w:p w14:paraId="603C4205">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3" w:type="dxa"/>
            <w:vAlign w:val="center"/>
          </w:tcPr>
          <w:p w14:paraId="70498056">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5.98</w:t>
            </w:r>
            <w:r>
              <w:rPr>
                <w:rFonts w:ascii="Times New Roman"/>
                <w:snapToGrid w:val="0"/>
                <w:color w:val="auto"/>
                <w:kern w:val="21"/>
                <w:szCs w:val="21"/>
                <w:highlight w:val="none"/>
              </w:rPr>
              <w:t>kg/a</w:t>
            </w:r>
          </w:p>
        </w:tc>
        <w:tc>
          <w:tcPr>
            <w:tcW w:w="1290" w:type="dxa"/>
            <w:vAlign w:val="center"/>
          </w:tcPr>
          <w:p w14:paraId="6F1A48BE">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5.98</w:t>
            </w:r>
            <w:r>
              <w:rPr>
                <w:rFonts w:ascii="Times New Roman"/>
                <w:snapToGrid w:val="0"/>
                <w:color w:val="auto"/>
                <w:kern w:val="21"/>
                <w:szCs w:val="21"/>
                <w:highlight w:val="none"/>
              </w:rPr>
              <w:t>kg/a</w:t>
            </w:r>
          </w:p>
        </w:tc>
      </w:tr>
      <w:tr w14:paraId="0EA2D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42" w:type="dxa"/>
            <w:vMerge w:val="continue"/>
            <w:vAlign w:val="center"/>
          </w:tcPr>
          <w:p w14:paraId="42CE95B6">
            <w:pPr>
              <w:pStyle w:val="49"/>
              <w:spacing w:beforeLines="0" w:afterLines="0" w:line="240" w:lineRule="auto"/>
              <w:rPr>
                <w:rFonts w:hAnsi="宋体" w:cs="宋体"/>
                <w:snapToGrid w:val="0"/>
                <w:color w:val="auto"/>
                <w:kern w:val="21"/>
                <w:szCs w:val="21"/>
                <w:highlight w:val="none"/>
              </w:rPr>
            </w:pPr>
          </w:p>
        </w:tc>
        <w:tc>
          <w:tcPr>
            <w:tcW w:w="1547" w:type="dxa"/>
            <w:vAlign w:val="center"/>
          </w:tcPr>
          <w:p w14:paraId="5ED73BA4">
            <w:pPr>
              <w:pStyle w:val="49"/>
              <w:spacing w:beforeLines="0" w:afterLines="0" w:line="240" w:lineRule="auto"/>
              <w:rPr>
                <w:rFonts w:hAnsi="宋体" w:cs="宋体"/>
                <w:snapToGrid w:val="0"/>
                <w:color w:val="auto"/>
                <w:kern w:val="21"/>
                <w:szCs w:val="21"/>
                <w:highlight w:val="none"/>
              </w:rPr>
            </w:pPr>
            <w:r>
              <w:rPr>
                <w:rFonts w:ascii="Times New Roman"/>
                <w:snapToGrid w:val="0"/>
                <w:color w:val="auto"/>
                <w:kern w:val="21"/>
                <w:szCs w:val="21"/>
                <w:highlight w:val="none"/>
              </w:rPr>
              <w:t>SS</w:t>
            </w:r>
          </w:p>
        </w:tc>
        <w:tc>
          <w:tcPr>
            <w:tcW w:w="1562" w:type="dxa"/>
            <w:vAlign w:val="center"/>
          </w:tcPr>
          <w:p w14:paraId="2A3079EB">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34" w:type="dxa"/>
            <w:vAlign w:val="center"/>
          </w:tcPr>
          <w:p w14:paraId="071C64D2">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14" w:type="dxa"/>
            <w:vAlign w:val="center"/>
          </w:tcPr>
          <w:p w14:paraId="1CEF3596">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445" w:type="dxa"/>
            <w:vAlign w:val="center"/>
          </w:tcPr>
          <w:p w14:paraId="00079F89">
            <w:pPr>
              <w:pStyle w:val="49"/>
              <w:spacing w:beforeLines="0" w:afterLines="0" w:line="240" w:lineRule="auto"/>
              <w:rPr>
                <w:rFonts w:hint="default" w:ascii="Times New Roman" w:eastAsia="宋体"/>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29.88</w:t>
            </w:r>
            <w:r>
              <w:rPr>
                <w:rFonts w:ascii="Times New Roman"/>
                <w:snapToGrid w:val="0"/>
                <w:color w:val="auto"/>
                <w:kern w:val="21"/>
                <w:szCs w:val="21"/>
                <w:highlight w:val="none"/>
              </w:rPr>
              <w:t>kg/a</w:t>
            </w:r>
          </w:p>
        </w:tc>
        <w:tc>
          <w:tcPr>
            <w:tcW w:w="1598" w:type="dxa"/>
            <w:vAlign w:val="center"/>
          </w:tcPr>
          <w:p w14:paraId="299BC996">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3" w:type="dxa"/>
            <w:vAlign w:val="center"/>
          </w:tcPr>
          <w:p w14:paraId="24668B90">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29.88</w:t>
            </w:r>
            <w:r>
              <w:rPr>
                <w:rFonts w:ascii="Times New Roman"/>
                <w:snapToGrid w:val="0"/>
                <w:color w:val="auto"/>
                <w:kern w:val="21"/>
                <w:szCs w:val="21"/>
                <w:highlight w:val="none"/>
              </w:rPr>
              <w:t>kg/a</w:t>
            </w:r>
          </w:p>
        </w:tc>
        <w:tc>
          <w:tcPr>
            <w:tcW w:w="1290" w:type="dxa"/>
            <w:vAlign w:val="center"/>
          </w:tcPr>
          <w:p w14:paraId="1FE1CD17">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29.88</w:t>
            </w:r>
            <w:r>
              <w:rPr>
                <w:rFonts w:ascii="Times New Roman"/>
                <w:snapToGrid w:val="0"/>
                <w:color w:val="auto"/>
                <w:kern w:val="21"/>
                <w:szCs w:val="21"/>
                <w:highlight w:val="none"/>
              </w:rPr>
              <w:t>kg/a</w:t>
            </w:r>
          </w:p>
        </w:tc>
      </w:tr>
      <w:tr w14:paraId="7CBE10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42" w:type="dxa"/>
            <w:vMerge w:val="restart"/>
            <w:vAlign w:val="center"/>
          </w:tcPr>
          <w:p w14:paraId="734D6E41">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一般工业</w:t>
            </w:r>
          </w:p>
          <w:p w14:paraId="2C88BFA6">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固体废物</w:t>
            </w:r>
          </w:p>
        </w:tc>
        <w:tc>
          <w:tcPr>
            <w:tcW w:w="1547" w:type="dxa"/>
            <w:vAlign w:val="center"/>
          </w:tcPr>
          <w:p w14:paraId="6961BDEF">
            <w:pPr>
              <w:pStyle w:val="49"/>
              <w:spacing w:beforeLines="0" w:afterLines="0" w:line="240" w:lineRule="auto"/>
              <w:rPr>
                <w:rFonts w:hAnsi="宋体" w:cs="宋体"/>
                <w:snapToGrid w:val="0"/>
                <w:color w:val="auto"/>
                <w:kern w:val="21"/>
                <w:szCs w:val="21"/>
                <w:highlight w:val="none"/>
              </w:rPr>
            </w:pPr>
            <w:r>
              <w:rPr>
                <w:rFonts w:ascii="Times New Roman"/>
                <w:snapToGrid w:val="0"/>
                <w:color w:val="auto"/>
                <w:kern w:val="21"/>
                <w:szCs w:val="21"/>
                <w:highlight w:val="none"/>
              </w:rPr>
              <w:t>不合格混凝土</w:t>
            </w:r>
          </w:p>
        </w:tc>
        <w:tc>
          <w:tcPr>
            <w:tcW w:w="1562" w:type="dxa"/>
            <w:vAlign w:val="center"/>
          </w:tcPr>
          <w:p w14:paraId="4CF6A2EA">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34" w:type="dxa"/>
            <w:vAlign w:val="center"/>
          </w:tcPr>
          <w:p w14:paraId="5BBDD52D">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14" w:type="dxa"/>
            <w:vAlign w:val="center"/>
          </w:tcPr>
          <w:p w14:paraId="547545E6">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445" w:type="dxa"/>
            <w:vAlign w:val="center"/>
          </w:tcPr>
          <w:p w14:paraId="1D057722">
            <w:pPr>
              <w:pStyle w:val="49"/>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lang w:val="en-US" w:eastAsia="zh-CN"/>
              </w:rPr>
              <w:t>25</w:t>
            </w:r>
            <w:r>
              <w:rPr>
                <w:rFonts w:hint="eastAsia" w:ascii="Times New Roman"/>
                <w:snapToGrid w:val="0"/>
                <w:color w:val="auto"/>
                <w:kern w:val="21"/>
                <w:szCs w:val="21"/>
                <w:highlight w:val="none"/>
              </w:rPr>
              <w:t>t/a</w:t>
            </w:r>
          </w:p>
        </w:tc>
        <w:tc>
          <w:tcPr>
            <w:tcW w:w="1598" w:type="dxa"/>
            <w:vAlign w:val="center"/>
          </w:tcPr>
          <w:p w14:paraId="610F7BB6">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3" w:type="dxa"/>
            <w:vAlign w:val="center"/>
          </w:tcPr>
          <w:p w14:paraId="3B935446">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25</w:t>
            </w:r>
            <w:r>
              <w:rPr>
                <w:rFonts w:hint="eastAsia" w:ascii="Times New Roman"/>
                <w:snapToGrid w:val="0"/>
                <w:color w:val="auto"/>
                <w:kern w:val="21"/>
                <w:szCs w:val="21"/>
                <w:highlight w:val="none"/>
              </w:rPr>
              <w:t>t/a</w:t>
            </w:r>
          </w:p>
        </w:tc>
        <w:tc>
          <w:tcPr>
            <w:tcW w:w="1290" w:type="dxa"/>
            <w:vAlign w:val="center"/>
          </w:tcPr>
          <w:p w14:paraId="726450FD">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25</w:t>
            </w:r>
            <w:r>
              <w:rPr>
                <w:rFonts w:hint="eastAsia" w:ascii="Times New Roman"/>
                <w:snapToGrid w:val="0"/>
                <w:color w:val="auto"/>
                <w:kern w:val="21"/>
                <w:szCs w:val="21"/>
                <w:highlight w:val="none"/>
              </w:rPr>
              <w:t>t/a</w:t>
            </w:r>
          </w:p>
        </w:tc>
      </w:tr>
      <w:tr w14:paraId="33C45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42" w:type="dxa"/>
            <w:vMerge w:val="continue"/>
            <w:vAlign w:val="center"/>
          </w:tcPr>
          <w:p w14:paraId="4D8F0104">
            <w:pPr>
              <w:pStyle w:val="49"/>
              <w:spacing w:beforeLines="0" w:afterLines="0" w:line="240" w:lineRule="auto"/>
              <w:rPr>
                <w:rFonts w:hAnsi="宋体" w:cs="宋体"/>
                <w:snapToGrid w:val="0"/>
                <w:color w:val="auto"/>
                <w:kern w:val="21"/>
                <w:szCs w:val="21"/>
                <w:highlight w:val="none"/>
              </w:rPr>
            </w:pPr>
          </w:p>
        </w:tc>
        <w:tc>
          <w:tcPr>
            <w:tcW w:w="1547" w:type="dxa"/>
            <w:vAlign w:val="center"/>
          </w:tcPr>
          <w:p w14:paraId="6E4F9BF4">
            <w:pPr>
              <w:pStyle w:val="49"/>
              <w:spacing w:beforeLines="0" w:afterLines="0" w:line="240" w:lineRule="auto"/>
              <w:rPr>
                <w:rFonts w:hAnsi="宋体" w:cs="宋体"/>
                <w:snapToGrid w:val="0"/>
                <w:color w:val="auto"/>
                <w:kern w:val="21"/>
                <w:szCs w:val="21"/>
                <w:highlight w:val="none"/>
              </w:rPr>
            </w:pPr>
            <w:r>
              <w:rPr>
                <w:rFonts w:ascii="Times New Roman"/>
                <w:snapToGrid w:val="0"/>
                <w:color w:val="auto"/>
                <w:kern w:val="21"/>
                <w:szCs w:val="21"/>
                <w:highlight w:val="none"/>
              </w:rPr>
              <w:t>除尘灰</w:t>
            </w:r>
          </w:p>
        </w:tc>
        <w:tc>
          <w:tcPr>
            <w:tcW w:w="1562" w:type="dxa"/>
            <w:vAlign w:val="center"/>
          </w:tcPr>
          <w:p w14:paraId="621DE510">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34" w:type="dxa"/>
            <w:vAlign w:val="center"/>
          </w:tcPr>
          <w:p w14:paraId="69685B0F">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14" w:type="dxa"/>
            <w:vAlign w:val="center"/>
          </w:tcPr>
          <w:p w14:paraId="0C36A309">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445" w:type="dxa"/>
            <w:vAlign w:val="center"/>
          </w:tcPr>
          <w:p w14:paraId="633FA5A5">
            <w:pPr>
              <w:pStyle w:val="49"/>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lang w:val="en-US" w:eastAsia="zh-CN"/>
              </w:rPr>
              <w:t>341.22</w:t>
            </w:r>
            <w:r>
              <w:rPr>
                <w:rFonts w:hint="eastAsia" w:ascii="Times New Roman"/>
                <w:snapToGrid w:val="0"/>
                <w:color w:val="auto"/>
                <w:kern w:val="21"/>
                <w:szCs w:val="21"/>
                <w:highlight w:val="none"/>
              </w:rPr>
              <w:t>t/a</w:t>
            </w:r>
          </w:p>
        </w:tc>
        <w:tc>
          <w:tcPr>
            <w:tcW w:w="1598" w:type="dxa"/>
            <w:vAlign w:val="center"/>
          </w:tcPr>
          <w:p w14:paraId="438B86AC">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3" w:type="dxa"/>
            <w:vAlign w:val="center"/>
          </w:tcPr>
          <w:p w14:paraId="0EB37A60">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341.22</w:t>
            </w:r>
            <w:r>
              <w:rPr>
                <w:rFonts w:hint="eastAsia" w:ascii="Times New Roman"/>
                <w:snapToGrid w:val="0"/>
                <w:color w:val="auto"/>
                <w:kern w:val="21"/>
                <w:szCs w:val="21"/>
                <w:highlight w:val="none"/>
              </w:rPr>
              <w:t>t/a</w:t>
            </w:r>
          </w:p>
        </w:tc>
        <w:tc>
          <w:tcPr>
            <w:tcW w:w="1290" w:type="dxa"/>
            <w:vAlign w:val="center"/>
          </w:tcPr>
          <w:p w14:paraId="5E565E9A">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lang w:val="en-US" w:eastAsia="zh-CN"/>
              </w:rPr>
              <w:t>341.22</w:t>
            </w:r>
            <w:r>
              <w:rPr>
                <w:rFonts w:hint="eastAsia" w:ascii="Times New Roman"/>
                <w:snapToGrid w:val="0"/>
                <w:color w:val="auto"/>
                <w:kern w:val="21"/>
                <w:szCs w:val="21"/>
                <w:highlight w:val="none"/>
              </w:rPr>
              <w:t>t/a</w:t>
            </w:r>
          </w:p>
        </w:tc>
      </w:tr>
      <w:tr w14:paraId="46277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42" w:type="dxa"/>
            <w:vMerge w:val="continue"/>
            <w:vAlign w:val="center"/>
          </w:tcPr>
          <w:p w14:paraId="10BA795E">
            <w:pPr>
              <w:pStyle w:val="49"/>
              <w:spacing w:beforeLines="0" w:afterLines="0" w:line="240" w:lineRule="auto"/>
              <w:rPr>
                <w:rFonts w:hAnsi="宋体" w:cs="宋体"/>
                <w:snapToGrid w:val="0"/>
                <w:color w:val="auto"/>
                <w:kern w:val="21"/>
                <w:szCs w:val="21"/>
                <w:highlight w:val="none"/>
              </w:rPr>
            </w:pPr>
          </w:p>
        </w:tc>
        <w:tc>
          <w:tcPr>
            <w:tcW w:w="1547" w:type="dxa"/>
            <w:vAlign w:val="center"/>
          </w:tcPr>
          <w:p w14:paraId="11618626">
            <w:pPr>
              <w:pStyle w:val="49"/>
              <w:spacing w:beforeLines="0" w:afterLines="0" w:line="240" w:lineRule="auto"/>
              <w:rPr>
                <w:rFonts w:hAnsi="宋体" w:cs="宋体"/>
                <w:snapToGrid w:val="0"/>
                <w:color w:val="auto"/>
                <w:kern w:val="21"/>
                <w:szCs w:val="21"/>
                <w:highlight w:val="none"/>
              </w:rPr>
            </w:pPr>
            <w:r>
              <w:rPr>
                <w:rFonts w:ascii="Times New Roman"/>
                <w:snapToGrid w:val="0"/>
                <w:color w:val="auto"/>
                <w:kern w:val="21"/>
                <w:szCs w:val="21"/>
                <w:highlight w:val="none"/>
              </w:rPr>
              <w:t>沉淀池沉</w:t>
            </w:r>
            <w:r>
              <w:rPr>
                <w:rFonts w:hint="eastAsia" w:ascii="Times New Roman"/>
                <w:snapToGrid w:val="0"/>
                <w:color w:val="auto"/>
                <w:kern w:val="21"/>
                <w:szCs w:val="21"/>
                <w:highlight w:val="none"/>
              </w:rPr>
              <w:t>渣</w:t>
            </w:r>
          </w:p>
        </w:tc>
        <w:tc>
          <w:tcPr>
            <w:tcW w:w="1562" w:type="dxa"/>
            <w:vAlign w:val="center"/>
          </w:tcPr>
          <w:p w14:paraId="56064389">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34" w:type="dxa"/>
            <w:vAlign w:val="center"/>
          </w:tcPr>
          <w:p w14:paraId="73490DCF">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14" w:type="dxa"/>
            <w:vAlign w:val="center"/>
          </w:tcPr>
          <w:p w14:paraId="6831EE64">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445" w:type="dxa"/>
            <w:vAlign w:val="center"/>
          </w:tcPr>
          <w:p w14:paraId="28E8E0B7">
            <w:pPr>
              <w:pStyle w:val="49"/>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lang w:val="en-US" w:eastAsia="zh-CN"/>
              </w:rPr>
              <w:t>29.07</w:t>
            </w:r>
            <w:r>
              <w:rPr>
                <w:rFonts w:hint="eastAsia" w:ascii="Times New Roman"/>
                <w:snapToGrid w:val="0"/>
                <w:color w:val="auto"/>
                <w:kern w:val="21"/>
                <w:szCs w:val="21"/>
                <w:highlight w:val="none"/>
              </w:rPr>
              <w:t>t/a</w:t>
            </w:r>
          </w:p>
        </w:tc>
        <w:tc>
          <w:tcPr>
            <w:tcW w:w="1598" w:type="dxa"/>
            <w:vAlign w:val="center"/>
          </w:tcPr>
          <w:p w14:paraId="0D7465BD">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3" w:type="dxa"/>
            <w:vAlign w:val="center"/>
          </w:tcPr>
          <w:p w14:paraId="38154DAE">
            <w:pPr>
              <w:pStyle w:val="49"/>
              <w:spacing w:beforeLines="0" w:afterLines="0" w:line="240" w:lineRule="auto"/>
              <w:rPr>
                <w:rFonts w:ascii="Times New Roman" w:hAnsi="Times New Roman" w:eastAsia="宋体" w:cs="Times New Roman"/>
                <w:snapToGrid w:val="0"/>
                <w:color w:val="auto"/>
                <w:kern w:val="21"/>
                <w:sz w:val="21"/>
                <w:szCs w:val="21"/>
                <w:highlight w:val="none"/>
                <w:lang w:val="en-US" w:eastAsia="zh-CN" w:bidi="ar-SA"/>
              </w:rPr>
            </w:pPr>
            <w:r>
              <w:rPr>
                <w:rFonts w:hint="eastAsia" w:ascii="Times New Roman"/>
                <w:snapToGrid w:val="0"/>
                <w:color w:val="auto"/>
                <w:kern w:val="21"/>
                <w:szCs w:val="21"/>
                <w:highlight w:val="none"/>
                <w:lang w:val="en-US" w:eastAsia="zh-CN"/>
              </w:rPr>
              <w:t>29.07</w:t>
            </w:r>
            <w:r>
              <w:rPr>
                <w:rFonts w:hint="eastAsia" w:ascii="Times New Roman"/>
                <w:snapToGrid w:val="0"/>
                <w:color w:val="auto"/>
                <w:kern w:val="21"/>
                <w:szCs w:val="21"/>
                <w:highlight w:val="none"/>
              </w:rPr>
              <w:t>t/a</w:t>
            </w:r>
          </w:p>
        </w:tc>
        <w:tc>
          <w:tcPr>
            <w:tcW w:w="1290" w:type="dxa"/>
            <w:vAlign w:val="center"/>
          </w:tcPr>
          <w:p w14:paraId="205F3BCC">
            <w:pPr>
              <w:pStyle w:val="49"/>
              <w:spacing w:beforeLines="0" w:afterLines="0" w:line="240" w:lineRule="auto"/>
              <w:rPr>
                <w:rFonts w:ascii="Times New Roman" w:hAnsi="Times New Roman" w:eastAsia="宋体" w:cs="Times New Roman"/>
                <w:snapToGrid w:val="0"/>
                <w:color w:val="auto"/>
                <w:kern w:val="21"/>
                <w:sz w:val="21"/>
                <w:szCs w:val="21"/>
                <w:highlight w:val="none"/>
                <w:lang w:val="en-US" w:eastAsia="zh-CN" w:bidi="ar-SA"/>
              </w:rPr>
            </w:pPr>
            <w:r>
              <w:rPr>
                <w:rFonts w:hint="eastAsia" w:ascii="Times New Roman"/>
                <w:snapToGrid w:val="0"/>
                <w:color w:val="auto"/>
                <w:kern w:val="21"/>
                <w:szCs w:val="21"/>
                <w:highlight w:val="none"/>
                <w:lang w:val="en-US" w:eastAsia="zh-CN"/>
              </w:rPr>
              <w:t>29.07</w:t>
            </w:r>
            <w:r>
              <w:rPr>
                <w:rFonts w:hint="eastAsia" w:ascii="Times New Roman"/>
                <w:snapToGrid w:val="0"/>
                <w:color w:val="auto"/>
                <w:kern w:val="21"/>
                <w:szCs w:val="21"/>
                <w:highlight w:val="none"/>
              </w:rPr>
              <w:t>t/a</w:t>
            </w:r>
          </w:p>
        </w:tc>
      </w:tr>
      <w:tr w14:paraId="486CE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42" w:type="dxa"/>
            <w:vMerge w:val="continue"/>
            <w:vAlign w:val="center"/>
          </w:tcPr>
          <w:p w14:paraId="1B52D1A1">
            <w:pPr>
              <w:pStyle w:val="49"/>
              <w:spacing w:beforeLines="0" w:afterLines="0" w:line="240" w:lineRule="auto"/>
              <w:rPr>
                <w:rFonts w:hAnsi="宋体" w:cs="宋体"/>
                <w:snapToGrid w:val="0"/>
                <w:color w:val="auto"/>
                <w:kern w:val="21"/>
                <w:szCs w:val="21"/>
                <w:highlight w:val="none"/>
              </w:rPr>
            </w:pPr>
          </w:p>
        </w:tc>
        <w:tc>
          <w:tcPr>
            <w:tcW w:w="1547" w:type="dxa"/>
            <w:vAlign w:val="center"/>
          </w:tcPr>
          <w:p w14:paraId="54A490C6">
            <w:pPr>
              <w:pStyle w:val="49"/>
              <w:spacing w:beforeLines="0" w:afterLines="0" w:line="240" w:lineRule="auto"/>
              <w:rPr>
                <w:rFonts w:hint="default" w:ascii="Times New Roman" w:eastAsia="宋体"/>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实验室废料</w:t>
            </w:r>
          </w:p>
        </w:tc>
        <w:tc>
          <w:tcPr>
            <w:tcW w:w="1562" w:type="dxa"/>
            <w:vAlign w:val="center"/>
          </w:tcPr>
          <w:p w14:paraId="1E797EA5">
            <w:pPr>
              <w:pStyle w:val="49"/>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234" w:type="dxa"/>
            <w:vAlign w:val="center"/>
          </w:tcPr>
          <w:p w14:paraId="21F888FC">
            <w:pPr>
              <w:pStyle w:val="49"/>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514" w:type="dxa"/>
            <w:vAlign w:val="center"/>
          </w:tcPr>
          <w:p w14:paraId="28965B42">
            <w:pPr>
              <w:pStyle w:val="49"/>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445" w:type="dxa"/>
            <w:vAlign w:val="center"/>
          </w:tcPr>
          <w:p w14:paraId="3C2B1C8D">
            <w:pPr>
              <w:pStyle w:val="49"/>
              <w:spacing w:beforeLines="0" w:afterLines="0" w:line="240" w:lineRule="auto"/>
              <w:rPr>
                <w:rFonts w:hint="default"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1.5</w:t>
            </w:r>
            <w:r>
              <w:rPr>
                <w:rFonts w:hint="eastAsia" w:ascii="Times New Roman"/>
                <w:snapToGrid w:val="0"/>
                <w:color w:val="auto"/>
                <w:kern w:val="21"/>
                <w:szCs w:val="21"/>
                <w:highlight w:val="none"/>
              </w:rPr>
              <w:t>t/a</w:t>
            </w:r>
          </w:p>
        </w:tc>
        <w:tc>
          <w:tcPr>
            <w:tcW w:w="1598" w:type="dxa"/>
            <w:vAlign w:val="center"/>
          </w:tcPr>
          <w:p w14:paraId="657EBDFA">
            <w:pPr>
              <w:pStyle w:val="49"/>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703" w:type="dxa"/>
            <w:vAlign w:val="center"/>
          </w:tcPr>
          <w:p w14:paraId="3CB87A8A">
            <w:pPr>
              <w:pStyle w:val="49"/>
              <w:spacing w:beforeLines="0" w:afterLines="0" w:line="240" w:lineRule="auto"/>
              <w:rPr>
                <w:rFonts w:hint="eastAsia"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1.5</w:t>
            </w:r>
            <w:r>
              <w:rPr>
                <w:rFonts w:hint="eastAsia" w:ascii="Times New Roman"/>
                <w:snapToGrid w:val="0"/>
                <w:color w:val="auto"/>
                <w:kern w:val="21"/>
                <w:szCs w:val="21"/>
                <w:highlight w:val="none"/>
              </w:rPr>
              <w:t>t/a</w:t>
            </w:r>
          </w:p>
        </w:tc>
        <w:tc>
          <w:tcPr>
            <w:tcW w:w="1290" w:type="dxa"/>
            <w:vAlign w:val="center"/>
          </w:tcPr>
          <w:p w14:paraId="7F05245F">
            <w:pPr>
              <w:pStyle w:val="49"/>
              <w:spacing w:beforeLines="0" w:afterLines="0" w:line="240" w:lineRule="auto"/>
              <w:rPr>
                <w:rFonts w:hint="eastAsia"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1.5</w:t>
            </w:r>
            <w:r>
              <w:rPr>
                <w:rFonts w:hint="eastAsia" w:ascii="Times New Roman"/>
                <w:snapToGrid w:val="0"/>
                <w:color w:val="auto"/>
                <w:kern w:val="21"/>
                <w:szCs w:val="21"/>
                <w:highlight w:val="none"/>
              </w:rPr>
              <w:t>t/a</w:t>
            </w:r>
          </w:p>
        </w:tc>
      </w:tr>
      <w:tr w14:paraId="4070D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42" w:type="dxa"/>
            <w:vMerge w:val="continue"/>
            <w:vAlign w:val="center"/>
          </w:tcPr>
          <w:p w14:paraId="551C27F9">
            <w:pPr>
              <w:pStyle w:val="49"/>
              <w:spacing w:beforeLines="0" w:afterLines="0" w:line="240" w:lineRule="auto"/>
              <w:rPr>
                <w:rFonts w:hAnsi="宋体" w:cs="宋体"/>
                <w:snapToGrid w:val="0"/>
                <w:color w:val="auto"/>
                <w:kern w:val="21"/>
                <w:szCs w:val="21"/>
                <w:highlight w:val="none"/>
              </w:rPr>
            </w:pPr>
          </w:p>
        </w:tc>
        <w:tc>
          <w:tcPr>
            <w:tcW w:w="1547" w:type="dxa"/>
            <w:vAlign w:val="center"/>
          </w:tcPr>
          <w:p w14:paraId="6C3EFFB8">
            <w:pPr>
              <w:pStyle w:val="49"/>
              <w:spacing w:beforeLines="0" w:afterLines="0" w:line="240" w:lineRule="auto"/>
              <w:rPr>
                <w:rFonts w:hint="eastAsia" w:ascii="Times New Roman" w:eastAsia="宋体"/>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生活垃圾</w:t>
            </w:r>
          </w:p>
        </w:tc>
        <w:tc>
          <w:tcPr>
            <w:tcW w:w="1562" w:type="dxa"/>
            <w:vAlign w:val="center"/>
          </w:tcPr>
          <w:p w14:paraId="50C90056">
            <w:pPr>
              <w:pStyle w:val="49"/>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234" w:type="dxa"/>
            <w:vAlign w:val="center"/>
          </w:tcPr>
          <w:p w14:paraId="78D3F697">
            <w:pPr>
              <w:pStyle w:val="49"/>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514" w:type="dxa"/>
            <w:vAlign w:val="center"/>
          </w:tcPr>
          <w:p w14:paraId="10436611">
            <w:pPr>
              <w:pStyle w:val="49"/>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445" w:type="dxa"/>
            <w:vAlign w:val="center"/>
          </w:tcPr>
          <w:p w14:paraId="66609159">
            <w:pPr>
              <w:pStyle w:val="49"/>
              <w:spacing w:beforeLines="0" w:afterLines="0" w:line="240" w:lineRule="auto"/>
              <w:rPr>
                <w:rFonts w:hint="default"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8.28t/a</w:t>
            </w:r>
          </w:p>
        </w:tc>
        <w:tc>
          <w:tcPr>
            <w:tcW w:w="1598" w:type="dxa"/>
            <w:vAlign w:val="center"/>
          </w:tcPr>
          <w:p w14:paraId="1A79CBDD">
            <w:pPr>
              <w:pStyle w:val="49"/>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703" w:type="dxa"/>
            <w:vAlign w:val="center"/>
          </w:tcPr>
          <w:p w14:paraId="5392A566">
            <w:pPr>
              <w:pStyle w:val="49"/>
              <w:spacing w:beforeLines="0" w:afterLines="0" w:line="240" w:lineRule="auto"/>
              <w:rPr>
                <w:rFonts w:hint="eastAsia"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8.28t/a</w:t>
            </w:r>
          </w:p>
        </w:tc>
        <w:tc>
          <w:tcPr>
            <w:tcW w:w="1290" w:type="dxa"/>
            <w:vAlign w:val="center"/>
          </w:tcPr>
          <w:p w14:paraId="46789A64">
            <w:pPr>
              <w:pStyle w:val="49"/>
              <w:spacing w:beforeLines="0" w:afterLines="0" w:line="240" w:lineRule="auto"/>
              <w:rPr>
                <w:rFonts w:hint="eastAsia"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8.28t/a</w:t>
            </w:r>
          </w:p>
        </w:tc>
      </w:tr>
      <w:tr w14:paraId="2145F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42" w:type="dxa"/>
            <w:vMerge w:val="continue"/>
            <w:vAlign w:val="center"/>
          </w:tcPr>
          <w:p w14:paraId="48133BD5">
            <w:pPr>
              <w:pStyle w:val="49"/>
              <w:spacing w:beforeLines="0" w:afterLines="0" w:line="240" w:lineRule="auto"/>
              <w:rPr>
                <w:rFonts w:hAnsi="宋体" w:cs="宋体"/>
                <w:snapToGrid w:val="0"/>
                <w:color w:val="auto"/>
                <w:kern w:val="21"/>
                <w:szCs w:val="21"/>
                <w:highlight w:val="none"/>
              </w:rPr>
            </w:pPr>
          </w:p>
        </w:tc>
        <w:tc>
          <w:tcPr>
            <w:tcW w:w="1547" w:type="dxa"/>
            <w:vAlign w:val="center"/>
          </w:tcPr>
          <w:p w14:paraId="1618E441">
            <w:pPr>
              <w:pStyle w:val="49"/>
              <w:spacing w:beforeLines="0" w:afterLines="0" w:line="240" w:lineRule="auto"/>
              <w:rPr>
                <w:rFonts w:hint="default"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废包装桶</w:t>
            </w:r>
          </w:p>
        </w:tc>
        <w:tc>
          <w:tcPr>
            <w:tcW w:w="1562" w:type="dxa"/>
            <w:vAlign w:val="center"/>
          </w:tcPr>
          <w:p w14:paraId="33B443D5">
            <w:pPr>
              <w:pStyle w:val="49"/>
              <w:spacing w:beforeLines="0" w:afterLines="0" w:line="240" w:lineRule="auto"/>
              <w:rPr>
                <w:rFonts w:hint="default" w:hAnsi="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234" w:type="dxa"/>
            <w:vAlign w:val="center"/>
          </w:tcPr>
          <w:p w14:paraId="435C6A0A">
            <w:pPr>
              <w:pStyle w:val="49"/>
              <w:spacing w:beforeLines="0" w:afterLines="0" w:line="240" w:lineRule="auto"/>
              <w:rPr>
                <w:rFonts w:hint="default" w:hAnsi="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514" w:type="dxa"/>
            <w:vAlign w:val="center"/>
          </w:tcPr>
          <w:p w14:paraId="2E27E8D9">
            <w:pPr>
              <w:pStyle w:val="49"/>
              <w:spacing w:beforeLines="0" w:afterLines="0" w:line="240" w:lineRule="auto"/>
              <w:rPr>
                <w:rFonts w:hint="default" w:hAnsi="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445" w:type="dxa"/>
            <w:vAlign w:val="center"/>
          </w:tcPr>
          <w:p w14:paraId="5ED33836">
            <w:pPr>
              <w:pStyle w:val="49"/>
              <w:spacing w:beforeLines="0" w:afterLines="0" w:line="240" w:lineRule="auto"/>
              <w:rPr>
                <w:rFonts w:hint="default"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1.0</w:t>
            </w:r>
            <w:r>
              <w:rPr>
                <w:rFonts w:hint="eastAsia" w:ascii="Times New Roman"/>
                <w:snapToGrid w:val="0"/>
                <w:color w:val="auto"/>
                <w:kern w:val="21"/>
                <w:szCs w:val="21"/>
                <w:highlight w:val="none"/>
              </w:rPr>
              <w:t>t/a</w:t>
            </w:r>
          </w:p>
        </w:tc>
        <w:tc>
          <w:tcPr>
            <w:tcW w:w="1598" w:type="dxa"/>
            <w:vAlign w:val="center"/>
          </w:tcPr>
          <w:p w14:paraId="1CFD1451">
            <w:pPr>
              <w:pStyle w:val="49"/>
              <w:spacing w:beforeLines="0" w:afterLines="0" w:line="240" w:lineRule="auto"/>
              <w:rPr>
                <w:rFonts w:hint="default" w:hAnsi="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703" w:type="dxa"/>
            <w:vAlign w:val="center"/>
          </w:tcPr>
          <w:p w14:paraId="42E18C01">
            <w:pPr>
              <w:pStyle w:val="49"/>
              <w:spacing w:beforeLines="0" w:afterLines="0" w:line="240" w:lineRule="auto"/>
              <w:rPr>
                <w:rFonts w:hint="eastAsia"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1.0</w:t>
            </w:r>
            <w:r>
              <w:rPr>
                <w:rFonts w:hint="eastAsia" w:ascii="Times New Roman"/>
                <w:snapToGrid w:val="0"/>
                <w:color w:val="auto"/>
                <w:kern w:val="21"/>
                <w:szCs w:val="21"/>
                <w:highlight w:val="none"/>
              </w:rPr>
              <w:t>t/a</w:t>
            </w:r>
          </w:p>
        </w:tc>
        <w:tc>
          <w:tcPr>
            <w:tcW w:w="1290" w:type="dxa"/>
            <w:vAlign w:val="center"/>
          </w:tcPr>
          <w:p w14:paraId="447BD7EF">
            <w:pPr>
              <w:pStyle w:val="49"/>
              <w:spacing w:beforeLines="0" w:afterLines="0" w:line="240" w:lineRule="auto"/>
              <w:rPr>
                <w:rFonts w:hint="eastAsia"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1.0</w:t>
            </w:r>
            <w:r>
              <w:rPr>
                <w:rFonts w:hint="eastAsia" w:ascii="Times New Roman"/>
                <w:snapToGrid w:val="0"/>
                <w:color w:val="auto"/>
                <w:kern w:val="21"/>
                <w:szCs w:val="21"/>
                <w:highlight w:val="none"/>
              </w:rPr>
              <w:t>t/a</w:t>
            </w:r>
          </w:p>
        </w:tc>
      </w:tr>
      <w:tr w14:paraId="50269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42" w:type="dxa"/>
            <w:vMerge w:val="continue"/>
            <w:vAlign w:val="center"/>
          </w:tcPr>
          <w:p w14:paraId="772C3E92">
            <w:pPr>
              <w:pStyle w:val="49"/>
              <w:spacing w:beforeLines="0" w:afterLines="0" w:line="240" w:lineRule="auto"/>
              <w:rPr>
                <w:rFonts w:hAnsi="宋体" w:cs="宋体"/>
                <w:snapToGrid w:val="0"/>
                <w:color w:val="auto"/>
                <w:kern w:val="21"/>
                <w:szCs w:val="21"/>
                <w:highlight w:val="none"/>
              </w:rPr>
            </w:pPr>
          </w:p>
        </w:tc>
        <w:tc>
          <w:tcPr>
            <w:tcW w:w="1547" w:type="dxa"/>
            <w:vAlign w:val="center"/>
          </w:tcPr>
          <w:p w14:paraId="62392BB8">
            <w:pPr>
              <w:pStyle w:val="49"/>
              <w:spacing w:beforeLines="0" w:afterLines="0" w:line="240" w:lineRule="auto"/>
              <w:rPr>
                <w:rFonts w:hint="eastAsia" w:ascii="Times New Roman" w:eastAsia="宋体"/>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污泥</w:t>
            </w:r>
          </w:p>
        </w:tc>
        <w:tc>
          <w:tcPr>
            <w:tcW w:w="1562" w:type="dxa"/>
            <w:vAlign w:val="center"/>
          </w:tcPr>
          <w:p w14:paraId="00A57FE9">
            <w:pPr>
              <w:pStyle w:val="49"/>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234" w:type="dxa"/>
            <w:vAlign w:val="center"/>
          </w:tcPr>
          <w:p w14:paraId="7D432B77">
            <w:pPr>
              <w:pStyle w:val="49"/>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514" w:type="dxa"/>
            <w:vAlign w:val="center"/>
          </w:tcPr>
          <w:p w14:paraId="7421D3B5">
            <w:pPr>
              <w:pStyle w:val="49"/>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445" w:type="dxa"/>
            <w:vAlign w:val="center"/>
          </w:tcPr>
          <w:p w14:paraId="52610A35">
            <w:pPr>
              <w:pStyle w:val="49"/>
              <w:spacing w:beforeLines="0" w:afterLines="0" w:line="240" w:lineRule="auto"/>
              <w:rPr>
                <w:rFonts w:hint="default"/>
                <w:lang w:val="en-US" w:eastAsia="zh-CN"/>
              </w:rPr>
            </w:pPr>
            <w:r>
              <w:rPr>
                <w:rFonts w:hint="eastAsia" w:ascii="Times New Roman"/>
                <w:snapToGrid w:val="0"/>
                <w:color w:val="auto"/>
                <w:kern w:val="21"/>
                <w:szCs w:val="21"/>
                <w:highlight w:val="none"/>
                <w:lang w:val="en-US" w:eastAsia="zh-CN"/>
              </w:rPr>
              <w:t>0.085t/a</w:t>
            </w:r>
          </w:p>
        </w:tc>
        <w:tc>
          <w:tcPr>
            <w:tcW w:w="1598" w:type="dxa"/>
            <w:vAlign w:val="center"/>
          </w:tcPr>
          <w:p w14:paraId="6C7F8070">
            <w:pPr>
              <w:pStyle w:val="49"/>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w:t>
            </w:r>
          </w:p>
        </w:tc>
        <w:tc>
          <w:tcPr>
            <w:tcW w:w="1703" w:type="dxa"/>
            <w:vAlign w:val="center"/>
          </w:tcPr>
          <w:p w14:paraId="6254D0BE">
            <w:pPr>
              <w:pStyle w:val="49"/>
              <w:spacing w:beforeLines="0" w:afterLines="0" w:line="240" w:lineRule="auto"/>
              <w:rPr>
                <w:rFonts w:hint="eastAsia"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0.085t/a</w:t>
            </w:r>
          </w:p>
        </w:tc>
        <w:tc>
          <w:tcPr>
            <w:tcW w:w="1290" w:type="dxa"/>
            <w:vAlign w:val="center"/>
          </w:tcPr>
          <w:p w14:paraId="1FB6B7C0">
            <w:pPr>
              <w:pStyle w:val="49"/>
              <w:spacing w:beforeLines="0" w:afterLines="0" w:line="240" w:lineRule="auto"/>
              <w:rPr>
                <w:rFonts w:hint="eastAsia"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0.085t/a</w:t>
            </w:r>
          </w:p>
        </w:tc>
      </w:tr>
      <w:tr w14:paraId="4D30E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42" w:type="dxa"/>
            <w:vAlign w:val="center"/>
          </w:tcPr>
          <w:p w14:paraId="03F56CE0">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危险废物</w:t>
            </w:r>
          </w:p>
        </w:tc>
        <w:tc>
          <w:tcPr>
            <w:tcW w:w="1547" w:type="dxa"/>
            <w:vAlign w:val="center"/>
          </w:tcPr>
          <w:p w14:paraId="2C3B3E02">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rPr>
              <w:t>废机油</w:t>
            </w:r>
          </w:p>
        </w:tc>
        <w:tc>
          <w:tcPr>
            <w:tcW w:w="1562" w:type="dxa"/>
            <w:vAlign w:val="center"/>
          </w:tcPr>
          <w:p w14:paraId="6071B57C">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34" w:type="dxa"/>
            <w:vAlign w:val="center"/>
          </w:tcPr>
          <w:p w14:paraId="15BB90CA">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14" w:type="dxa"/>
            <w:vAlign w:val="center"/>
          </w:tcPr>
          <w:p w14:paraId="70C30EBF">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445" w:type="dxa"/>
            <w:vAlign w:val="center"/>
          </w:tcPr>
          <w:p w14:paraId="03F64A2B">
            <w:pPr>
              <w:pStyle w:val="49"/>
              <w:spacing w:beforeLines="0" w:afterLines="0" w:line="240" w:lineRule="auto"/>
              <w:rPr>
                <w:rFonts w:ascii="Times New Roman"/>
                <w:snapToGrid w:val="0"/>
                <w:color w:val="auto"/>
                <w:kern w:val="21"/>
                <w:szCs w:val="21"/>
                <w:highlight w:val="none"/>
              </w:rPr>
            </w:pPr>
            <w:r>
              <w:rPr>
                <w:rFonts w:hint="eastAsia" w:ascii="Times New Roman"/>
                <w:snapToGrid w:val="0"/>
                <w:color w:val="auto"/>
                <w:kern w:val="21"/>
                <w:szCs w:val="21"/>
                <w:highlight w:val="none"/>
              </w:rPr>
              <w:t>0.</w:t>
            </w:r>
            <w:r>
              <w:rPr>
                <w:rFonts w:hint="eastAsia" w:ascii="Times New Roman"/>
                <w:snapToGrid w:val="0"/>
                <w:color w:val="auto"/>
                <w:kern w:val="21"/>
                <w:szCs w:val="21"/>
                <w:highlight w:val="none"/>
                <w:lang w:val="en-US" w:eastAsia="zh-CN"/>
              </w:rPr>
              <w:t>1</w:t>
            </w:r>
            <w:r>
              <w:rPr>
                <w:rFonts w:hint="eastAsia" w:ascii="Times New Roman"/>
                <w:snapToGrid w:val="0"/>
                <w:color w:val="auto"/>
                <w:kern w:val="21"/>
                <w:szCs w:val="21"/>
                <w:highlight w:val="none"/>
              </w:rPr>
              <w:t>t/a</w:t>
            </w:r>
          </w:p>
        </w:tc>
        <w:tc>
          <w:tcPr>
            <w:tcW w:w="1598" w:type="dxa"/>
            <w:vAlign w:val="center"/>
          </w:tcPr>
          <w:p w14:paraId="293E50F7">
            <w:pPr>
              <w:pStyle w:val="49"/>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3" w:type="dxa"/>
            <w:vAlign w:val="center"/>
          </w:tcPr>
          <w:p w14:paraId="2497ADE0">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rPr>
              <w:t>0.</w:t>
            </w:r>
            <w:r>
              <w:rPr>
                <w:rFonts w:hint="eastAsia" w:ascii="Times New Roman"/>
                <w:snapToGrid w:val="0"/>
                <w:color w:val="auto"/>
                <w:kern w:val="21"/>
                <w:szCs w:val="21"/>
                <w:highlight w:val="none"/>
                <w:lang w:val="en-US" w:eastAsia="zh-CN"/>
              </w:rPr>
              <w:t>1</w:t>
            </w:r>
            <w:r>
              <w:rPr>
                <w:rFonts w:hint="eastAsia" w:ascii="Times New Roman"/>
                <w:snapToGrid w:val="0"/>
                <w:color w:val="auto"/>
                <w:kern w:val="21"/>
                <w:szCs w:val="21"/>
                <w:highlight w:val="none"/>
              </w:rPr>
              <w:t>t/a</w:t>
            </w:r>
          </w:p>
        </w:tc>
        <w:tc>
          <w:tcPr>
            <w:tcW w:w="1290" w:type="dxa"/>
            <w:vAlign w:val="center"/>
          </w:tcPr>
          <w:p w14:paraId="1AE39993">
            <w:pPr>
              <w:pStyle w:val="49"/>
              <w:spacing w:beforeLines="0" w:afterLines="0" w:line="240" w:lineRule="auto"/>
              <w:rPr>
                <w:rFonts w:hAnsi="宋体" w:cs="宋体"/>
                <w:snapToGrid w:val="0"/>
                <w:color w:val="auto"/>
                <w:kern w:val="21"/>
                <w:szCs w:val="21"/>
                <w:highlight w:val="none"/>
              </w:rPr>
            </w:pPr>
            <w:r>
              <w:rPr>
                <w:rFonts w:hint="eastAsia" w:ascii="Times New Roman"/>
                <w:snapToGrid w:val="0"/>
                <w:color w:val="auto"/>
                <w:kern w:val="21"/>
                <w:szCs w:val="21"/>
                <w:highlight w:val="none"/>
              </w:rPr>
              <w:t>0.</w:t>
            </w:r>
            <w:r>
              <w:rPr>
                <w:rFonts w:hint="eastAsia" w:ascii="Times New Roman"/>
                <w:snapToGrid w:val="0"/>
                <w:color w:val="auto"/>
                <w:kern w:val="21"/>
                <w:szCs w:val="21"/>
                <w:highlight w:val="none"/>
                <w:lang w:val="en-US" w:eastAsia="zh-CN"/>
              </w:rPr>
              <w:t>1</w:t>
            </w:r>
            <w:r>
              <w:rPr>
                <w:rFonts w:hint="eastAsia" w:ascii="Times New Roman"/>
                <w:snapToGrid w:val="0"/>
                <w:color w:val="auto"/>
                <w:kern w:val="21"/>
                <w:szCs w:val="21"/>
                <w:highlight w:val="none"/>
              </w:rPr>
              <w:t>t/a</w:t>
            </w:r>
          </w:p>
        </w:tc>
      </w:tr>
    </w:tbl>
    <w:p w14:paraId="7D811FD8">
      <w:pPr>
        <w:pStyle w:val="49"/>
        <w:spacing w:before="192" w:beforeLines="80" w:after="24"/>
        <w:jc w:val="left"/>
        <w:rPr>
          <w:rFonts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14:paraId="71E8E08E">
      <w:pPr>
        <w:rPr>
          <w:rFonts w:ascii="宋体" w:hAnsi="宋体" w:eastAsia="黑体"/>
          <w:color w:val="auto"/>
        </w:rPr>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p w14:paraId="571AA852">
      <w:pPr>
        <w:rPr>
          <w:rFonts w:hint="eastAsia"/>
          <w:b/>
          <w:bCs/>
          <w:color w:val="auto"/>
          <w:sz w:val="24"/>
          <w:szCs w:val="24"/>
          <w:lang w:val="en-US" w:eastAsia="zh-CN"/>
        </w:rPr>
      </w:pPr>
    </w:p>
    <w:p w14:paraId="087579D6">
      <w:pPr>
        <w:bidi w:val="0"/>
        <w:rPr>
          <w:rFonts w:hint="eastAsia" w:ascii="Times New Roman" w:hAnsi="Times New Roman" w:eastAsia="宋体" w:cs="Times New Roman"/>
          <w:kern w:val="2"/>
          <w:sz w:val="21"/>
          <w:szCs w:val="24"/>
          <w:lang w:val="en-US" w:eastAsia="zh-CN" w:bidi="ar-SA"/>
        </w:rPr>
      </w:pPr>
    </w:p>
    <w:p w14:paraId="1F00A97E">
      <w:pPr>
        <w:bidi w:val="0"/>
        <w:rPr>
          <w:rFonts w:hint="eastAsia"/>
          <w:lang w:val="en-US" w:eastAsia="zh-CN"/>
        </w:rPr>
      </w:pPr>
    </w:p>
    <w:p w14:paraId="4393A2F5">
      <w:pPr>
        <w:bidi w:val="0"/>
        <w:rPr>
          <w:rFonts w:hint="eastAsia"/>
          <w:lang w:val="en-US" w:eastAsia="zh-CN"/>
        </w:rPr>
      </w:pPr>
    </w:p>
    <w:p w14:paraId="0972F6C3">
      <w:pPr>
        <w:bidi w:val="0"/>
        <w:rPr>
          <w:rFonts w:hint="eastAsia"/>
          <w:lang w:val="en-US" w:eastAsia="zh-CN"/>
        </w:rPr>
      </w:pPr>
    </w:p>
    <w:p w14:paraId="5858D8D1">
      <w:pPr>
        <w:bidi w:val="0"/>
        <w:rPr>
          <w:rFonts w:hint="eastAsia"/>
          <w:lang w:val="en-US" w:eastAsia="zh-CN"/>
        </w:rPr>
      </w:pPr>
    </w:p>
    <w:p w14:paraId="5F173698">
      <w:pPr>
        <w:bidi w:val="0"/>
        <w:rPr>
          <w:rFonts w:hint="eastAsia"/>
          <w:lang w:val="en-US" w:eastAsia="zh-CN"/>
        </w:rPr>
      </w:pPr>
    </w:p>
    <w:p w14:paraId="2A62D6CE">
      <w:pPr>
        <w:bidi w:val="0"/>
        <w:rPr>
          <w:rFonts w:hint="eastAsia"/>
          <w:lang w:val="en-US" w:eastAsia="zh-CN"/>
        </w:rPr>
      </w:pPr>
    </w:p>
    <w:p w14:paraId="3AA0F739">
      <w:pPr>
        <w:bidi w:val="0"/>
        <w:rPr>
          <w:rFonts w:hint="eastAsia"/>
          <w:lang w:val="en-US" w:eastAsia="zh-CN"/>
        </w:rPr>
      </w:pPr>
    </w:p>
    <w:p w14:paraId="4CC82432">
      <w:pPr>
        <w:bidi w:val="0"/>
        <w:rPr>
          <w:rFonts w:hint="eastAsia"/>
          <w:lang w:val="en-US" w:eastAsia="zh-CN"/>
        </w:rPr>
      </w:pPr>
    </w:p>
    <w:p w14:paraId="496650B3">
      <w:pPr>
        <w:tabs>
          <w:tab w:val="left" w:pos="2093"/>
        </w:tabs>
        <w:bidi w:val="0"/>
        <w:jc w:val="left"/>
        <w:rPr>
          <w:rFonts w:hint="eastAsia"/>
          <w:lang w:val="en-US" w:eastAsia="zh-CN"/>
        </w:rPr>
      </w:pPr>
      <w:r>
        <w:rPr>
          <w:rFonts w:hint="eastAsia"/>
          <w:lang w:val="en-US" w:eastAsia="zh-CN"/>
        </w:rPr>
        <w:tab/>
      </w:r>
    </w:p>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0"/>
    <w:family w:val="auto"/>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imesNewRomanPS-ItalicM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5062E">
    <w:pPr>
      <w:pStyle w:val="1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C805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4C805B">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6ECF2">
    <w:pPr>
      <w:pStyle w:val="1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14324">
                          <w:pPr>
                            <w:pStyle w:val="1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2914324">
                    <w:pPr>
                      <w:pStyle w:val="1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DBCBC">
    <w:pPr>
      <w:pStyle w:val="1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00921"/>
    <w:multiLevelType w:val="singleLevel"/>
    <w:tmpl w:val="01500921"/>
    <w:lvl w:ilvl="0" w:tentative="0">
      <w:start w:val="5"/>
      <w:numFmt w:val="decimal"/>
      <w:suff w:val="nothing"/>
      <w:lvlText w:val="（%1）"/>
      <w:lvlJc w:val="left"/>
    </w:lvl>
  </w:abstractNum>
  <w:abstractNum w:abstractNumId="1">
    <w:nsid w:val="2ADD8510"/>
    <w:multiLevelType w:val="singleLevel"/>
    <w:tmpl w:val="2ADD8510"/>
    <w:lvl w:ilvl="0" w:tentative="0">
      <w:start w:val="1"/>
      <w:numFmt w:val="decimal"/>
      <w:suff w:val="space"/>
      <w:lvlText w:val="%1."/>
      <w:lvlJc w:val="left"/>
    </w:lvl>
  </w:abstractNum>
  <w:abstractNum w:abstractNumId="2">
    <w:nsid w:val="370A6F07"/>
    <w:multiLevelType w:val="singleLevel"/>
    <w:tmpl w:val="370A6F07"/>
    <w:lvl w:ilvl="0" w:tentative="0">
      <w:start w:val="1"/>
      <w:numFmt w:val="decimal"/>
      <w:pStyle w:val="16"/>
      <w:lvlText w:val="%1."/>
      <w:lvlJc w:val="left"/>
      <w:pPr>
        <w:tabs>
          <w:tab w:val="left" w:pos="2040"/>
        </w:tabs>
        <w:ind w:left="2040" w:hanging="360"/>
      </w:pPr>
    </w:lvl>
  </w:abstractNum>
  <w:abstractNum w:abstractNumId="3">
    <w:nsid w:val="4478006F"/>
    <w:multiLevelType w:val="singleLevel"/>
    <w:tmpl w:val="4478006F"/>
    <w:lvl w:ilvl="0" w:tentative="0">
      <w:start w:val="2"/>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OTAzODQ4MTBjOGI4NDVhMGU2NTFhNTU3YTI2NjI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368F"/>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5636F"/>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6F40A3"/>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6B71"/>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0999"/>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E3054"/>
    <w:rsid w:val="01284361"/>
    <w:rsid w:val="01290F7E"/>
    <w:rsid w:val="015D1E09"/>
    <w:rsid w:val="017D00B9"/>
    <w:rsid w:val="01D6498B"/>
    <w:rsid w:val="01EE52B2"/>
    <w:rsid w:val="0253288D"/>
    <w:rsid w:val="02697903"/>
    <w:rsid w:val="02C42664"/>
    <w:rsid w:val="02F96569"/>
    <w:rsid w:val="02FF038A"/>
    <w:rsid w:val="03115E1A"/>
    <w:rsid w:val="034766AC"/>
    <w:rsid w:val="03C230FA"/>
    <w:rsid w:val="03EA7B21"/>
    <w:rsid w:val="04245DB5"/>
    <w:rsid w:val="04A942BA"/>
    <w:rsid w:val="04FC6AE0"/>
    <w:rsid w:val="051A276D"/>
    <w:rsid w:val="05F83EAE"/>
    <w:rsid w:val="063E7D85"/>
    <w:rsid w:val="06B0663F"/>
    <w:rsid w:val="070457D8"/>
    <w:rsid w:val="071719AF"/>
    <w:rsid w:val="07293586"/>
    <w:rsid w:val="07295285"/>
    <w:rsid w:val="075B3452"/>
    <w:rsid w:val="07636392"/>
    <w:rsid w:val="076D5A73"/>
    <w:rsid w:val="07770C56"/>
    <w:rsid w:val="077E558A"/>
    <w:rsid w:val="078C1332"/>
    <w:rsid w:val="085E499F"/>
    <w:rsid w:val="087A532A"/>
    <w:rsid w:val="087C41AE"/>
    <w:rsid w:val="089319BC"/>
    <w:rsid w:val="08C72F61"/>
    <w:rsid w:val="08EE3F4A"/>
    <w:rsid w:val="092217DD"/>
    <w:rsid w:val="093A7294"/>
    <w:rsid w:val="0A263993"/>
    <w:rsid w:val="0A2C5771"/>
    <w:rsid w:val="0A2D3AC2"/>
    <w:rsid w:val="0AA755DF"/>
    <w:rsid w:val="0AB82BF9"/>
    <w:rsid w:val="0B120D44"/>
    <w:rsid w:val="0BD27BF6"/>
    <w:rsid w:val="0C3B3C7D"/>
    <w:rsid w:val="0CAB2EAE"/>
    <w:rsid w:val="0CF24EF6"/>
    <w:rsid w:val="0CF64946"/>
    <w:rsid w:val="0D621C7D"/>
    <w:rsid w:val="0D8E6B48"/>
    <w:rsid w:val="0D9F1DC3"/>
    <w:rsid w:val="0DB24135"/>
    <w:rsid w:val="0DCD1019"/>
    <w:rsid w:val="0E04066E"/>
    <w:rsid w:val="0E2525D0"/>
    <w:rsid w:val="0E3156A5"/>
    <w:rsid w:val="0E73034D"/>
    <w:rsid w:val="0E7841B2"/>
    <w:rsid w:val="0E8C4E8B"/>
    <w:rsid w:val="0EC95F88"/>
    <w:rsid w:val="0F13775A"/>
    <w:rsid w:val="0F3A448D"/>
    <w:rsid w:val="0F4672D5"/>
    <w:rsid w:val="0F5F45FE"/>
    <w:rsid w:val="0F9A112B"/>
    <w:rsid w:val="0FB6788B"/>
    <w:rsid w:val="0FED7751"/>
    <w:rsid w:val="0FF51979"/>
    <w:rsid w:val="103A226A"/>
    <w:rsid w:val="10562F14"/>
    <w:rsid w:val="106D2F64"/>
    <w:rsid w:val="106D61C5"/>
    <w:rsid w:val="10991687"/>
    <w:rsid w:val="10B3596B"/>
    <w:rsid w:val="10B63710"/>
    <w:rsid w:val="10E02E12"/>
    <w:rsid w:val="10F10820"/>
    <w:rsid w:val="10F7680A"/>
    <w:rsid w:val="111C2F7A"/>
    <w:rsid w:val="11665CA1"/>
    <w:rsid w:val="11946E06"/>
    <w:rsid w:val="11DC7FA3"/>
    <w:rsid w:val="1230066B"/>
    <w:rsid w:val="1275376E"/>
    <w:rsid w:val="12954AC9"/>
    <w:rsid w:val="12C549B5"/>
    <w:rsid w:val="12EF1A32"/>
    <w:rsid w:val="133236CD"/>
    <w:rsid w:val="13516249"/>
    <w:rsid w:val="136B7830"/>
    <w:rsid w:val="138C34D7"/>
    <w:rsid w:val="13951726"/>
    <w:rsid w:val="13B3480E"/>
    <w:rsid w:val="13B567D8"/>
    <w:rsid w:val="14396509"/>
    <w:rsid w:val="14522278"/>
    <w:rsid w:val="14677978"/>
    <w:rsid w:val="146855F8"/>
    <w:rsid w:val="14877C8E"/>
    <w:rsid w:val="149F165C"/>
    <w:rsid w:val="14DD2C3C"/>
    <w:rsid w:val="150A2B53"/>
    <w:rsid w:val="15321BA2"/>
    <w:rsid w:val="159643E7"/>
    <w:rsid w:val="16087E1D"/>
    <w:rsid w:val="164E69A1"/>
    <w:rsid w:val="16DC407B"/>
    <w:rsid w:val="170662DD"/>
    <w:rsid w:val="17335A35"/>
    <w:rsid w:val="174C7453"/>
    <w:rsid w:val="17701D14"/>
    <w:rsid w:val="17735226"/>
    <w:rsid w:val="17BF5EF1"/>
    <w:rsid w:val="17C05DB9"/>
    <w:rsid w:val="1802237C"/>
    <w:rsid w:val="189F624C"/>
    <w:rsid w:val="18FA6A3B"/>
    <w:rsid w:val="18FE477D"/>
    <w:rsid w:val="195725A1"/>
    <w:rsid w:val="19940C3D"/>
    <w:rsid w:val="19FD693C"/>
    <w:rsid w:val="1A1C66C0"/>
    <w:rsid w:val="1A353126"/>
    <w:rsid w:val="1A42393B"/>
    <w:rsid w:val="1A98650B"/>
    <w:rsid w:val="1AAD45DE"/>
    <w:rsid w:val="1ABE5173"/>
    <w:rsid w:val="1B046F80"/>
    <w:rsid w:val="1B210BF7"/>
    <w:rsid w:val="1B3267B5"/>
    <w:rsid w:val="1B40161D"/>
    <w:rsid w:val="1B441859"/>
    <w:rsid w:val="1B5772E6"/>
    <w:rsid w:val="1B6606B1"/>
    <w:rsid w:val="1B7A20B5"/>
    <w:rsid w:val="1B8606E8"/>
    <w:rsid w:val="1C5E7925"/>
    <w:rsid w:val="1C7D122A"/>
    <w:rsid w:val="1CA634AC"/>
    <w:rsid w:val="1CE65C54"/>
    <w:rsid w:val="1CF902CF"/>
    <w:rsid w:val="1CFD070F"/>
    <w:rsid w:val="1D17405F"/>
    <w:rsid w:val="1D5F6196"/>
    <w:rsid w:val="1D6132A5"/>
    <w:rsid w:val="1D81597C"/>
    <w:rsid w:val="1D8E56D5"/>
    <w:rsid w:val="1E070DC5"/>
    <w:rsid w:val="1E7A43DA"/>
    <w:rsid w:val="1EB4768C"/>
    <w:rsid w:val="1F2D02BF"/>
    <w:rsid w:val="1F9E45C4"/>
    <w:rsid w:val="1FE7539E"/>
    <w:rsid w:val="1FE91A3F"/>
    <w:rsid w:val="205E7EB5"/>
    <w:rsid w:val="20671BE0"/>
    <w:rsid w:val="20963CB8"/>
    <w:rsid w:val="20A70C6A"/>
    <w:rsid w:val="20A81A1B"/>
    <w:rsid w:val="20B07FB6"/>
    <w:rsid w:val="20B646FB"/>
    <w:rsid w:val="20DE6C42"/>
    <w:rsid w:val="213B74B1"/>
    <w:rsid w:val="215A2310"/>
    <w:rsid w:val="216830DB"/>
    <w:rsid w:val="219857D3"/>
    <w:rsid w:val="21DE318A"/>
    <w:rsid w:val="21E74BCF"/>
    <w:rsid w:val="21E918D7"/>
    <w:rsid w:val="21EF5B80"/>
    <w:rsid w:val="223905D4"/>
    <w:rsid w:val="22433200"/>
    <w:rsid w:val="22576990"/>
    <w:rsid w:val="22883309"/>
    <w:rsid w:val="22A00653"/>
    <w:rsid w:val="22B92F5C"/>
    <w:rsid w:val="22F47480"/>
    <w:rsid w:val="237C0A3E"/>
    <w:rsid w:val="23C10881"/>
    <w:rsid w:val="23CD151B"/>
    <w:rsid w:val="23DE1C48"/>
    <w:rsid w:val="240210CD"/>
    <w:rsid w:val="2410718F"/>
    <w:rsid w:val="24653B3F"/>
    <w:rsid w:val="246E5D54"/>
    <w:rsid w:val="24BF09F7"/>
    <w:rsid w:val="252D53FE"/>
    <w:rsid w:val="256376A5"/>
    <w:rsid w:val="25896134"/>
    <w:rsid w:val="25EA0C94"/>
    <w:rsid w:val="25EA3354"/>
    <w:rsid w:val="25EC2D81"/>
    <w:rsid w:val="26420C3F"/>
    <w:rsid w:val="26820A62"/>
    <w:rsid w:val="2709465A"/>
    <w:rsid w:val="27556697"/>
    <w:rsid w:val="27561C28"/>
    <w:rsid w:val="275A3158"/>
    <w:rsid w:val="277057A2"/>
    <w:rsid w:val="27737237"/>
    <w:rsid w:val="27C3628E"/>
    <w:rsid w:val="27CC51C1"/>
    <w:rsid w:val="282E1A12"/>
    <w:rsid w:val="289C2E86"/>
    <w:rsid w:val="291108FF"/>
    <w:rsid w:val="29206EB8"/>
    <w:rsid w:val="29552F9F"/>
    <w:rsid w:val="29595666"/>
    <w:rsid w:val="297760F8"/>
    <w:rsid w:val="29874881"/>
    <w:rsid w:val="29C72A75"/>
    <w:rsid w:val="29E325E0"/>
    <w:rsid w:val="29F3375E"/>
    <w:rsid w:val="2A452503"/>
    <w:rsid w:val="2A697EC4"/>
    <w:rsid w:val="2A7B19B5"/>
    <w:rsid w:val="2AB37141"/>
    <w:rsid w:val="2ABE3AD2"/>
    <w:rsid w:val="2B2D2392"/>
    <w:rsid w:val="2B4C1378"/>
    <w:rsid w:val="2BA936A8"/>
    <w:rsid w:val="2BBF1B40"/>
    <w:rsid w:val="2C1964F2"/>
    <w:rsid w:val="2C315A5A"/>
    <w:rsid w:val="2C4B1C25"/>
    <w:rsid w:val="2C6721E1"/>
    <w:rsid w:val="2CB65A03"/>
    <w:rsid w:val="2D4108FD"/>
    <w:rsid w:val="2D511A52"/>
    <w:rsid w:val="2D585F99"/>
    <w:rsid w:val="2D6E78D5"/>
    <w:rsid w:val="2D8D31FF"/>
    <w:rsid w:val="2D9E56F5"/>
    <w:rsid w:val="2DA604C7"/>
    <w:rsid w:val="2E194F03"/>
    <w:rsid w:val="2E3D58F0"/>
    <w:rsid w:val="2E667F96"/>
    <w:rsid w:val="2E68598C"/>
    <w:rsid w:val="2E8226AB"/>
    <w:rsid w:val="2EC0685B"/>
    <w:rsid w:val="2F410C7F"/>
    <w:rsid w:val="2F824299"/>
    <w:rsid w:val="2FCC22D8"/>
    <w:rsid w:val="2FD065E6"/>
    <w:rsid w:val="2FD96870"/>
    <w:rsid w:val="301E76A2"/>
    <w:rsid w:val="30205176"/>
    <w:rsid w:val="302C0451"/>
    <w:rsid w:val="30580BC9"/>
    <w:rsid w:val="30886B95"/>
    <w:rsid w:val="308B2942"/>
    <w:rsid w:val="30A60B3D"/>
    <w:rsid w:val="31112B6E"/>
    <w:rsid w:val="311E2ED7"/>
    <w:rsid w:val="314A64F7"/>
    <w:rsid w:val="314F167D"/>
    <w:rsid w:val="315619EE"/>
    <w:rsid w:val="315C449C"/>
    <w:rsid w:val="31B82709"/>
    <w:rsid w:val="31D05482"/>
    <w:rsid w:val="31D520DA"/>
    <w:rsid w:val="31E701E4"/>
    <w:rsid w:val="31F00BA6"/>
    <w:rsid w:val="31F22BF3"/>
    <w:rsid w:val="32400B34"/>
    <w:rsid w:val="329E6876"/>
    <w:rsid w:val="32C1798D"/>
    <w:rsid w:val="32D81743"/>
    <w:rsid w:val="333015F2"/>
    <w:rsid w:val="334B6320"/>
    <w:rsid w:val="33D934D4"/>
    <w:rsid w:val="33E34843"/>
    <w:rsid w:val="33F24A86"/>
    <w:rsid w:val="33FE2F6A"/>
    <w:rsid w:val="340E07E5"/>
    <w:rsid w:val="34235BF7"/>
    <w:rsid w:val="346953B0"/>
    <w:rsid w:val="348B2B5C"/>
    <w:rsid w:val="358C5FA8"/>
    <w:rsid w:val="35C15DF1"/>
    <w:rsid w:val="36074A7F"/>
    <w:rsid w:val="36923549"/>
    <w:rsid w:val="36B75FBF"/>
    <w:rsid w:val="36BC0E25"/>
    <w:rsid w:val="36BD0C45"/>
    <w:rsid w:val="36C00E6C"/>
    <w:rsid w:val="370945C1"/>
    <w:rsid w:val="376E2676"/>
    <w:rsid w:val="3772198D"/>
    <w:rsid w:val="378940CB"/>
    <w:rsid w:val="37E00298"/>
    <w:rsid w:val="37E0632D"/>
    <w:rsid w:val="38035659"/>
    <w:rsid w:val="38415FDC"/>
    <w:rsid w:val="388C520A"/>
    <w:rsid w:val="38993637"/>
    <w:rsid w:val="38B302F9"/>
    <w:rsid w:val="38CB3383"/>
    <w:rsid w:val="38F12CD3"/>
    <w:rsid w:val="38F94775"/>
    <w:rsid w:val="38FD2A68"/>
    <w:rsid w:val="391159AF"/>
    <w:rsid w:val="392971ED"/>
    <w:rsid w:val="39325651"/>
    <w:rsid w:val="399972E4"/>
    <w:rsid w:val="39C649EB"/>
    <w:rsid w:val="3A872856"/>
    <w:rsid w:val="3A8A114E"/>
    <w:rsid w:val="3A8D4ED5"/>
    <w:rsid w:val="3A8E7CF0"/>
    <w:rsid w:val="3B3763D1"/>
    <w:rsid w:val="3B6F021A"/>
    <w:rsid w:val="3C2F6E1E"/>
    <w:rsid w:val="3C4F64BA"/>
    <w:rsid w:val="3C506122"/>
    <w:rsid w:val="3CDA245A"/>
    <w:rsid w:val="3D1E06B7"/>
    <w:rsid w:val="3D383D0E"/>
    <w:rsid w:val="3D9B37F8"/>
    <w:rsid w:val="3E0E2F7F"/>
    <w:rsid w:val="3E3C527C"/>
    <w:rsid w:val="3E791935"/>
    <w:rsid w:val="3E9E292D"/>
    <w:rsid w:val="3EDA0523"/>
    <w:rsid w:val="3F214472"/>
    <w:rsid w:val="3F373C95"/>
    <w:rsid w:val="3F3F3C49"/>
    <w:rsid w:val="3FAD7E35"/>
    <w:rsid w:val="3FB16F80"/>
    <w:rsid w:val="3FB928FC"/>
    <w:rsid w:val="3FE058A8"/>
    <w:rsid w:val="40077B0C"/>
    <w:rsid w:val="407A6407"/>
    <w:rsid w:val="41C2018E"/>
    <w:rsid w:val="41D50183"/>
    <w:rsid w:val="41D72A00"/>
    <w:rsid w:val="4200449D"/>
    <w:rsid w:val="423A3BCC"/>
    <w:rsid w:val="424E57D2"/>
    <w:rsid w:val="42674891"/>
    <w:rsid w:val="42A87384"/>
    <w:rsid w:val="42B26C49"/>
    <w:rsid w:val="431E3ED1"/>
    <w:rsid w:val="432F184F"/>
    <w:rsid w:val="433A6FE6"/>
    <w:rsid w:val="43480868"/>
    <w:rsid w:val="4350713C"/>
    <w:rsid w:val="436653E0"/>
    <w:rsid w:val="43765CEC"/>
    <w:rsid w:val="43845019"/>
    <w:rsid w:val="43AD50C1"/>
    <w:rsid w:val="43BA2939"/>
    <w:rsid w:val="43C4431A"/>
    <w:rsid w:val="43E55F5D"/>
    <w:rsid w:val="44297886"/>
    <w:rsid w:val="44B951CC"/>
    <w:rsid w:val="44CD14E0"/>
    <w:rsid w:val="44F20B0B"/>
    <w:rsid w:val="45202BC8"/>
    <w:rsid w:val="452E5F4C"/>
    <w:rsid w:val="45612018"/>
    <w:rsid w:val="458946E9"/>
    <w:rsid w:val="45A47C0E"/>
    <w:rsid w:val="46577FD6"/>
    <w:rsid w:val="467977C5"/>
    <w:rsid w:val="46D955A7"/>
    <w:rsid w:val="46F2439C"/>
    <w:rsid w:val="47133957"/>
    <w:rsid w:val="477535AD"/>
    <w:rsid w:val="47A07E0C"/>
    <w:rsid w:val="47D74267"/>
    <w:rsid w:val="47DF4B9A"/>
    <w:rsid w:val="48173FA1"/>
    <w:rsid w:val="482F0947"/>
    <w:rsid w:val="4870272E"/>
    <w:rsid w:val="48814DBF"/>
    <w:rsid w:val="490B41C9"/>
    <w:rsid w:val="498328EF"/>
    <w:rsid w:val="49DC7715"/>
    <w:rsid w:val="49E8763C"/>
    <w:rsid w:val="49EA0282"/>
    <w:rsid w:val="49FB2C9D"/>
    <w:rsid w:val="4A023139"/>
    <w:rsid w:val="4A314103"/>
    <w:rsid w:val="4A7B576F"/>
    <w:rsid w:val="4AF561A9"/>
    <w:rsid w:val="4B1426B3"/>
    <w:rsid w:val="4B1F3F5B"/>
    <w:rsid w:val="4B2F16E2"/>
    <w:rsid w:val="4B471A84"/>
    <w:rsid w:val="4B9517FA"/>
    <w:rsid w:val="4BA82666"/>
    <w:rsid w:val="4C4A0649"/>
    <w:rsid w:val="4C7E5ECA"/>
    <w:rsid w:val="4C876AA5"/>
    <w:rsid w:val="4CF23CC5"/>
    <w:rsid w:val="4D0811B3"/>
    <w:rsid w:val="4D0E00FB"/>
    <w:rsid w:val="4D176606"/>
    <w:rsid w:val="4D7E5B92"/>
    <w:rsid w:val="4DEC4FB0"/>
    <w:rsid w:val="4DF01D13"/>
    <w:rsid w:val="4DF845E0"/>
    <w:rsid w:val="4E075D8A"/>
    <w:rsid w:val="4E3E294A"/>
    <w:rsid w:val="4E5D11DD"/>
    <w:rsid w:val="4EC00FAD"/>
    <w:rsid w:val="4F65039B"/>
    <w:rsid w:val="4F9843DC"/>
    <w:rsid w:val="4FAE1D52"/>
    <w:rsid w:val="4FC62A8C"/>
    <w:rsid w:val="4FE20F0D"/>
    <w:rsid w:val="4FE51552"/>
    <w:rsid w:val="4FEC63D6"/>
    <w:rsid w:val="4FF4109F"/>
    <w:rsid w:val="50196E53"/>
    <w:rsid w:val="50504C4B"/>
    <w:rsid w:val="509C6E7C"/>
    <w:rsid w:val="514F1402"/>
    <w:rsid w:val="51513A3C"/>
    <w:rsid w:val="515253ED"/>
    <w:rsid w:val="5162104E"/>
    <w:rsid w:val="518E5471"/>
    <w:rsid w:val="51BA49DE"/>
    <w:rsid w:val="51E67581"/>
    <w:rsid w:val="52495D62"/>
    <w:rsid w:val="528079D5"/>
    <w:rsid w:val="52E55A8A"/>
    <w:rsid w:val="52ED6940"/>
    <w:rsid w:val="537B1D89"/>
    <w:rsid w:val="53A039CC"/>
    <w:rsid w:val="53A1505A"/>
    <w:rsid w:val="53D01C44"/>
    <w:rsid w:val="54063E08"/>
    <w:rsid w:val="543437E8"/>
    <w:rsid w:val="54411F72"/>
    <w:rsid w:val="54C01BD2"/>
    <w:rsid w:val="54E104D3"/>
    <w:rsid w:val="54F73313"/>
    <w:rsid w:val="54F80955"/>
    <w:rsid w:val="555170A7"/>
    <w:rsid w:val="5587536D"/>
    <w:rsid w:val="559B174B"/>
    <w:rsid w:val="559D6882"/>
    <w:rsid w:val="55C3592C"/>
    <w:rsid w:val="55CE0CF4"/>
    <w:rsid w:val="55F34962"/>
    <w:rsid w:val="56470BC8"/>
    <w:rsid w:val="565263DE"/>
    <w:rsid w:val="56812764"/>
    <w:rsid w:val="56B22A9C"/>
    <w:rsid w:val="57244AEA"/>
    <w:rsid w:val="573921B9"/>
    <w:rsid w:val="576D24F2"/>
    <w:rsid w:val="57706690"/>
    <w:rsid w:val="57A51F72"/>
    <w:rsid w:val="57B72A76"/>
    <w:rsid w:val="57C3426C"/>
    <w:rsid w:val="57CE1F93"/>
    <w:rsid w:val="57EE53E1"/>
    <w:rsid w:val="58021527"/>
    <w:rsid w:val="58596ECE"/>
    <w:rsid w:val="588743D1"/>
    <w:rsid w:val="5887701A"/>
    <w:rsid w:val="58DD395C"/>
    <w:rsid w:val="58FF44B7"/>
    <w:rsid w:val="595363D4"/>
    <w:rsid w:val="5989742A"/>
    <w:rsid w:val="59C0439F"/>
    <w:rsid w:val="59F24212"/>
    <w:rsid w:val="5AA254E7"/>
    <w:rsid w:val="5ABE2233"/>
    <w:rsid w:val="5AEC2D3D"/>
    <w:rsid w:val="5B1E5FDD"/>
    <w:rsid w:val="5B5D2F8D"/>
    <w:rsid w:val="5BDF5D95"/>
    <w:rsid w:val="5BFE7528"/>
    <w:rsid w:val="5C8833E1"/>
    <w:rsid w:val="5CC74453"/>
    <w:rsid w:val="5D0E4CFD"/>
    <w:rsid w:val="5D4F091D"/>
    <w:rsid w:val="5D5E6B65"/>
    <w:rsid w:val="5D7E2D63"/>
    <w:rsid w:val="5E2467F1"/>
    <w:rsid w:val="5E303168"/>
    <w:rsid w:val="5E761C8C"/>
    <w:rsid w:val="5E8D1FB7"/>
    <w:rsid w:val="5EC4703C"/>
    <w:rsid w:val="5F1A2B43"/>
    <w:rsid w:val="5F482B92"/>
    <w:rsid w:val="5F6114F9"/>
    <w:rsid w:val="5F8F7F69"/>
    <w:rsid w:val="5FB276FB"/>
    <w:rsid w:val="5FB837BB"/>
    <w:rsid w:val="600166E7"/>
    <w:rsid w:val="602C1476"/>
    <w:rsid w:val="6093082F"/>
    <w:rsid w:val="609D0493"/>
    <w:rsid w:val="609E371C"/>
    <w:rsid w:val="60CC405A"/>
    <w:rsid w:val="60DA5347"/>
    <w:rsid w:val="614E6EF1"/>
    <w:rsid w:val="615869EB"/>
    <w:rsid w:val="61B71555"/>
    <w:rsid w:val="61E215D8"/>
    <w:rsid w:val="61EF3996"/>
    <w:rsid w:val="62011C4B"/>
    <w:rsid w:val="621B3775"/>
    <w:rsid w:val="62364782"/>
    <w:rsid w:val="624D0F56"/>
    <w:rsid w:val="630F445E"/>
    <w:rsid w:val="633137E9"/>
    <w:rsid w:val="636E4500"/>
    <w:rsid w:val="6394356A"/>
    <w:rsid w:val="639874EB"/>
    <w:rsid w:val="63C172B1"/>
    <w:rsid w:val="63C61B2C"/>
    <w:rsid w:val="63D40BE9"/>
    <w:rsid w:val="63DD6BC9"/>
    <w:rsid w:val="64102431"/>
    <w:rsid w:val="64625E92"/>
    <w:rsid w:val="648104A0"/>
    <w:rsid w:val="649B0521"/>
    <w:rsid w:val="64A5243A"/>
    <w:rsid w:val="64F531DE"/>
    <w:rsid w:val="651F307E"/>
    <w:rsid w:val="65373578"/>
    <w:rsid w:val="653D7994"/>
    <w:rsid w:val="66287D10"/>
    <w:rsid w:val="66B4284B"/>
    <w:rsid w:val="671F124A"/>
    <w:rsid w:val="67506C44"/>
    <w:rsid w:val="67605463"/>
    <w:rsid w:val="677A33C6"/>
    <w:rsid w:val="677B0314"/>
    <w:rsid w:val="67DD047C"/>
    <w:rsid w:val="681F6961"/>
    <w:rsid w:val="684E54BD"/>
    <w:rsid w:val="68610A2F"/>
    <w:rsid w:val="687A5E9B"/>
    <w:rsid w:val="68805514"/>
    <w:rsid w:val="68925915"/>
    <w:rsid w:val="68AD0F6C"/>
    <w:rsid w:val="68BA687B"/>
    <w:rsid w:val="69316E2F"/>
    <w:rsid w:val="694E2071"/>
    <w:rsid w:val="69766163"/>
    <w:rsid w:val="697A3B33"/>
    <w:rsid w:val="69C53861"/>
    <w:rsid w:val="69CE58AE"/>
    <w:rsid w:val="69D44760"/>
    <w:rsid w:val="6A24422A"/>
    <w:rsid w:val="6A520EC7"/>
    <w:rsid w:val="6A6415A0"/>
    <w:rsid w:val="6AAB61AF"/>
    <w:rsid w:val="6AE91EE2"/>
    <w:rsid w:val="6AF74155"/>
    <w:rsid w:val="6AF87E20"/>
    <w:rsid w:val="6B2A0087"/>
    <w:rsid w:val="6B322639"/>
    <w:rsid w:val="6BAF4A30"/>
    <w:rsid w:val="6BDA42E1"/>
    <w:rsid w:val="6BE566A3"/>
    <w:rsid w:val="6C343F66"/>
    <w:rsid w:val="6C3624DD"/>
    <w:rsid w:val="6C636C38"/>
    <w:rsid w:val="6C692E30"/>
    <w:rsid w:val="6CB425BF"/>
    <w:rsid w:val="6D8546E9"/>
    <w:rsid w:val="6D935B02"/>
    <w:rsid w:val="6D9A148D"/>
    <w:rsid w:val="6DB34098"/>
    <w:rsid w:val="6DB545B6"/>
    <w:rsid w:val="6DD10FF8"/>
    <w:rsid w:val="6DE02FB4"/>
    <w:rsid w:val="6E514CED"/>
    <w:rsid w:val="6EB563D5"/>
    <w:rsid w:val="6EB678EB"/>
    <w:rsid w:val="6ED529FF"/>
    <w:rsid w:val="6ED92677"/>
    <w:rsid w:val="6EED7D49"/>
    <w:rsid w:val="6F1C23DC"/>
    <w:rsid w:val="6F225983"/>
    <w:rsid w:val="6F7246F2"/>
    <w:rsid w:val="6F801C31"/>
    <w:rsid w:val="6FD1344B"/>
    <w:rsid w:val="6FFC5590"/>
    <w:rsid w:val="706D1DD0"/>
    <w:rsid w:val="70856B87"/>
    <w:rsid w:val="708802F4"/>
    <w:rsid w:val="70D527EE"/>
    <w:rsid w:val="713E0C19"/>
    <w:rsid w:val="715B5300"/>
    <w:rsid w:val="7190210A"/>
    <w:rsid w:val="71D27F8A"/>
    <w:rsid w:val="724063E2"/>
    <w:rsid w:val="72553024"/>
    <w:rsid w:val="727D5888"/>
    <w:rsid w:val="729D3834"/>
    <w:rsid w:val="72A62E3B"/>
    <w:rsid w:val="72CA79DF"/>
    <w:rsid w:val="72F665F3"/>
    <w:rsid w:val="73122968"/>
    <w:rsid w:val="731F5D5E"/>
    <w:rsid w:val="738E13CF"/>
    <w:rsid w:val="739E3FA4"/>
    <w:rsid w:val="73C51AD5"/>
    <w:rsid w:val="7403497D"/>
    <w:rsid w:val="741E793C"/>
    <w:rsid w:val="745E3944"/>
    <w:rsid w:val="74727EB1"/>
    <w:rsid w:val="749B6C07"/>
    <w:rsid w:val="74E6422F"/>
    <w:rsid w:val="75104791"/>
    <w:rsid w:val="759E3B4B"/>
    <w:rsid w:val="75AE3D7B"/>
    <w:rsid w:val="76327C0F"/>
    <w:rsid w:val="7635099D"/>
    <w:rsid w:val="76923F63"/>
    <w:rsid w:val="76946CFC"/>
    <w:rsid w:val="76DA54B3"/>
    <w:rsid w:val="76E01F41"/>
    <w:rsid w:val="771E19A0"/>
    <w:rsid w:val="773F0D2A"/>
    <w:rsid w:val="777059BB"/>
    <w:rsid w:val="77762421"/>
    <w:rsid w:val="77932C80"/>
    <w:rsid w:val="77B56B1F"/>
    <w:rsid w:val="77E46155"/>
    <w:rsid w:val="780F09F4"/>
    <w:rsid w:val="7845256A"/>
    <w:rsid w:val="78540433"/>
    <w:rsid w:val="78A70F68"/>
    <w:rsid w:val="78A90480"/>
    <w:rsid w:val="7923019B"/>
    <w:rsid w:val="79AE6327"/>
    <w:rsid w:val="7A364017"/>
    <w:rsid w:val="7A8265E1"/>
    <w:rsid w:val="7B686D42"/>
    <w:rsid w:val="7B841746"/>
    <w:rsid w:val="7C6C5AC7"/>
    <w:rsid w:val="7CC6544B"/>
    <w:rsid w:val="7CD71937"/>
    <w:rsid w:val="7D0239FF"/>
    <w:rsid w:val="7D5C52B8"/>
    <w:rsid w:val="7D5E40CD"/>
    <w:rsid w:val="7D760365"/>
    <w:rsid w:val="7DCD56F2"/>
    <w:rsid w:val="7E9605A4"/>
    <w:rsid w:val="7EFF17DA"/>
    <w:rsid w:val="7F001CE7"/>
    <w:rsid w:val="7F302409"/>
    <w:rsid w:val="7F8C4205"/>
    <w:rsid w:val="7FE47E50"/>
    <w:rsid w:val="7FEC5547"/>
    <w:rsid w:val="7FF3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qFormat="1"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iPriority="99"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qFormat/>
    <w:locked/>
    <w:uiPriority w:val="0"/>
    <w:pPr>
      <w:keepNext/>
      <w:keepLines/>
      <w:spacing w:line="360" w:lineRule="auto"/>
      <w:outlineLvl w:val="1"/>
    </w:pPr>
    <w:rPr>
      <w:b/>
      <w:bCs/>
      <w:kern w:val="0"/>
      <w:sz w:val="24"/>
      <w:szCs w:val="32"/>
    </w:rPr>
  </w:style>
  <w:style w:type="paragraph" w:styleId="4">
    <w:name w:val="heading 3"/>
    <w:basedOn w:val="1"/>
    <w:next w:val="1"/>
    <w:qFormat/>
    <w:locked/>
    <w:uiPriority w:val="0"/>
    <w:pPr>
      <w:keepNext/>
      <w:keepLines/>
      <w:spacing w:line="360" w:lineRule="auto"/>
      <w:outlineLvl w:val="2"/>
    </w:pPr>
    <w:rPr>
      <w:b/>
      <w:bCs/>
      <w:sz w:val="24"/>
      <w:szCs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locked/>
    <w:uiPriority w:val="0"/>
    <w:pPr>
      <w:ind w:firstLine="420"/>
    </w:pPr>
  </w:style>
  <w:style w:type="paragraph" w:styleId="6">
    <w:name w:val="caption"/>
    <w:basedOn w:val="1"/>
    <w:next w:val="1"/>
    <w:autoRedefine/>
    <w:qFormat/>
    <w:locked/>
    <w:uiPriority w:val="35"/>
    <w:pPr>
      <w:spacing w:line="360" w:lineRule="auto"/>
      <w:jc w:val="center"/>
    </w:pPr>
    <w:rPr>
      <w:b/>
      <w:sz w:val="24"/>
      <w:szCs w:val="20"/>
    </w:rPr>
  </w:style>
  <w:style w:type="paragraph" w:styleId="7">
    <w:name w:val="annotation text"/>
    <w:basedOn w:val="1"/>
    <w:link w:val="37"/>
    <w:autoRedefine/>
    <w:semiHidden/>
    <w:qFormat/>
    <w:uiPriority w:val="0"/>
    <w:pPr>
      <w:jc w:val="left"/>
    </w:pPr>
    <w:rPr>
      <w:kern w:val="0"/>
      <w:sz w:val="24"/>
      <w:szCs w:val="20"/>
    </w:rPr>
  </w:style>
  <w:style w:type="paragraph" w:styleId="8">
    <w:name w:val="Body Text"/>
    <w:basedOn w:val="1"/>
    <w:next w:val="9"/>
    <w:link w:val="38"/>
    <w:autoRedefine/>
    <w:qFormat/>
    <w:uiPriority w:val="0"/>
    <w:pPr>
      <w:widowControl/>
      <w:snapToGrid w:val="0"/>
      <w:spacing w:before="60" w:after="160" w:line="259" w:lineRule="auto"/>
      <w:ind w:right="113"/>
    </w:pPr>
    <w:rPr>
      <w:kern w:val="0"/>
      <w:sz w:val="18"/>
      <w:szCs w:val="20"/>
    </w:rPr>
  </w:style>
  <w:style w:type="paragraph" w:customStyle="1" w:styleId="9">
    <w:name w:val="正文首行缩进 21"/>
    <w:basedOn w:val="10"/>
    <w:next w:val="8"/>
    <w:autoRedefine/>
    <w:qFormat/>
    <w:uiPriority w:val="0"/>
    <w:pPr>
      <w:spacing w:after="120"/>
      <w:ind w:left="420" w:leftChars="200" w:firstLine="420" w:firstLineChars="200"/>
    </w:pPr>
    <w:rPr>
      <w:sz w:val="21"/>
    </w:rPr>
  </w:style>
  <w:style w:type="paragraph" w:customStyle="1" w:styleId="10">
    <w:name w:val="正文文本缩进1"/>
    <w:basedOn w:val="1"/>
    <w:autoRedefine/>
    <w:qFormat/>
    <w:uiPriority w:val="0"/>
    <w:pPr>
      <w:ind w:firstLine="538" w:firstLineChars="192"/>
    </w:pPr>
    <w:rPr>
      <w:kern w:val="0"/>
      <w:sz w:val="28"/>
    </w:rPr>
  </w:style>
  <w:style w:type="paragraph" w:styleId="11">
    <w:name w:val="Body Text Indent"/>
    <w:basedOn w:val="1"/>
    <w:next w:val="12"/>
    <w:link w:val="36"/>
    <w:autoRedefine/>
    <w:qFormat/>
    <w:uiPriority w:val="0"/>
    <w:pPr>
      <w:spacing w:after="120"/>
      <w:ind w:left="420" w:leftChars="200"/>
    </w:pPr>
    <w:rPr>
      <w:kern w:val="0"/>
      <w:sz w:val="24"/>
      <w:szCs w:val="20"/>
    </w:rPr>
  </w:style>
  <w:style w:type="paragraph" w:styleId="12">
    <w:name w:val="Body Text Indent 2"/>
    <w:basedOn w:val="1"/>
    <w:next w:val="13"/>
    <w:autoRedefine/>
    <w:qFormat/>
    <w:locked/>
    <w:uiPriority w:val="0"/>
    <w:pPr>
      <w:ind w:firstLine="560"/>
    </w:pPr>
    <w:rPr>
      <w:rFonts w:ascii="宋体"/>
      <w:color w:val="FF0000"/>
      <w:kern w:val="0"/>
      <w:sz w:val="28"/>
      <w:szCs w:val="28"/>
    </w:rPr>
  </w:style>
  <w:style w:type="paragraph" w:customStyle="1" w:styleId="13">
    <w:name w:val="表格文字"/>
    <w:basedOn w:val="1"/>
    <w:autoRedefine/>
    <w:qFormat/>
    <w:uiPriority w:val="0"/>
    <w:pPr>
      <w:spacing w:line="300" w:lineRule="exact"/>
      <w:jc w:val="center"/>
    </w:pPr>
    <w:rPr>
      <w:rFonts w:ascii="宋体"/>
      <w:kern w:val="0"/>
      <w:szCs w:val="32"/>
    </w:rPr>
  </w:style>
  <w:style w:type="paragraph" w:styleId="14">
    <w:name w:val="Block Text"/>
    <w:basedOn w:val="1"/>
    <w:autoRedefine/>
    <w:qFormat/>
    <w:locked/>
    <w:uiPriority w:val="0"/>
    <w:pPr>
      <w:spacing w:after="120"/>
      <w:ind w:left="1440" w:leftChars="700" w:right="700" w:rightChars="700"/>
    </w:pPr>
  </w:style>
  <w:style w:type="paragraph" w:styleId="15">
    <w:name w:val="Plain Text"/>
    <w:basedOn w:val="1"/>
    <w:next w:val="16"/>
    <w:autoRedefine/>
    <w:qFormat/>
    <w:locked/>
    <w:uiPriority w:val="99"/>
    <w:rPr>
      <w:rFonts w:ascii="宋体" w:hAnsi="Courier New" w:eastAsia="仿宋_GB2312"/>
      <w:sz w:val="28"/>
    </w:rPr>
  </w:style>
  <w:style w:type="paragraph" w:styleId="16">
    <w:name w:val="List Number 5"/>
    <w:basedOn w:val="1"/>
    <w:autoRedefine/>
    <w:qFormat/>
    <w:locked/>
    <w:uiPriority w:val="0"/>
    <w:pPr>
      <w:numPr>
        <w:ilvl w:val="0"/>
        <w:numId w:val="1"/>
      </w:numPr>
    </w:pPr>
  </w:style>
  <w:style w:type="paragraph" w:styleId="17">
    <w:name w:val="Date"/>
    <w:basedOn w:val="1"/>
    <w:next w:val="1"/>
    <w:link w:val="40"/>
    <w:autoRedefine/>
    <w:qFormat/>
    <w:uiPriority w:val="0"/>
    <w:pPr>
      <w:ind w:left="100" w:leftChars="2500"/>
    </w:pPr>
    <w:rPr>
      <w:kern w:val="0"/>
      <w:sz w:val="24"/>
      <w:szCs w:val="20"/>
    </w:rPr>
  </w:style>
  <w:style w:type="paragraph" w:styleId="18">
    <w:name w:val="Balloon Text"/>
    <w:basedOn w:val="1"/>
    <w:link w:val="41"/>
    <w:autoRedefine/>
    <w:semiHidden/>
    <w:qFormat/>
    <w:uiPriority w:val="0"/>
    <w:rPr>
      <w:kern w:val="0"/>
      <w:sz w:val="18"/>
      <w:szCs w:val="20"/>
    </w:rPr>
  </w:style>
  <w:style w:type="paragraph" w:styleId="19">
    <w:name w:val="footer"/>
    <w:basedOn w:val="1"/>
    <w:next w:val="1"/>
    <w:link w:val="42"/>
    <w:autoRedefine/>
    <w:qFormat/>
    <w:uiPriority w:val="99"/>
    <w:pPr>
      <w:tabs>
        <w:tab w:val="center" w:pos="4153"/>
        <w:tab w:val="right" w:pos="8306"/>
      </w:tabs>
      <w:snapToGrid w:val="0"/>
      <w:jc w:val="left"/>
    </w:pPr>
    <w:rPr>
      <w:kern w:val="0"/>
      <w:sz w:val="18"/>
      <w:szCs w:val="20"/>
    </w:rPr>
  </w:style>
  <w:style w:type="paragraph" w:styleId="20">
    <w:name w:val="header"/>
    <w:basedOn w:val="1"/>
    <w:link w:val="4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List"/>
    <w:basedOn w:val="1"/>
    <w:autoRedefine/>
    <w:qFormat/>
    <w:locked/>
    <w:uiPriority w:val="0"/>
    <w:pPr>
      <w:jc w:val="center"/>
    </w:pPr>
    <w:rPr>
      <w:rFonts w:ascii="宋体"/>
      <w:sz w:val="24"/>
      <w:szCs w:val="24"/>
    </w:rPr>
  </w:style>
  <w:style w:type="paragraph" w:styleId="22">
    <w:name w:val="table of figures"/>
    <w:basedOn w:val="1"/>
    <w:next w:val="1"/>
    <w:autoRedefine/>
    <w:qFormat/>
    <w:locked/>
    <w:uiPriority w:val="0"/>
    <w:pPr>
      <w:ind w:left="200" w:leftChars="200" w:hanging="200" w:hangingChars="200"/>
    </w:pPr>
    <w:rPr>
      <w:rFonts w:ascii="Calibri" w:hAnsi="Calibri"/>
      <w:szCs w:val="22"/>
    </w:rPr>
  </w:style>
  <w:style w:type="paragraph" w:styleId="23">
    <w:name w:val="Body Text 2"/>
    <w:basedOn w:val="1"/>
    <w:autoRedefine/>
    <w:unhideWhenUsed/>
    <w:qFormat/>
    <w:locked/>
    <w:uiPriority w:val="99"/>
    <w:pPr>
      <w:spacing w:after="120" w:line="480" w:lineRule="auto"/>
    </w:pPr>
  </w:style>
  <w:style w:type="paragraph" w:styleId="24">
    <w:name w:val="Normal (Web)"/>
    <w:basedOn w:val="1"/>
    <w:link w:val="44"/>
    <w:autoRedefine/>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7"/>
    <w:next w:val="7"/>
    <w:link w:val="45"/>
    <w:autoRedefine/>
    <w:qFormat/>
    <w:uiPriority w:val="0"/>
    <w:rPr>
      <w:b/>
    </w:rPr>
  </w:style>
  <w:style w:type="paragraph" w:styleId="26">
    <w:name w:val="Body Text First Indent 2"/>
    <w:basedOn w:val="11"/>
    <w:next w:val="1"/>
    <w:autoRedefine/>
    <w:qFormat/>
    <w:locked/>
    <w:uiPriority w:val="0"/>
    <w:pPr>
      <w:ind w:firstLine="420" w:firstLineChars="200"/>
    </w:p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locked/>
    <w:uiPriority w:val="0"/>
  </w:style>
  <w:style w:type="character" w:styleId="31">
    <w:name w:val="annotation reference"/>
    <w:autoRedefine/>
    <w:semiHidden/>
    <w:qFormat/>
    <w:uiPriority w:val="0"/>
    <w:rPr>
      <w:sz w:val="21"/>
    </w:rPr>
  </w:style>
  <w:style w:type="paragraph" w:customStyle="1" w:styleId="32">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33">
    <w:name w:val="Default"/>
    <w:basedOn w:val="34"/>
    <w:next w:val="1"/>
    <w:autoRedefine/>
    <w:unhideWhenUsed/>
    <w:qFormat/>
    <w:uiPriority w:val="99"/>
    <w:pPr>
      <w:tabs>
        <w:tab w:val="left" w:pos="1845"/>
      </w:tabs>
      <w:autoSpaceDE w:val="0"/>
      <w:autoSpaceDN w:val="0"/>
      <w:spacing w:line="240" w:lineRule="exact"/>
    </w:pPr>
    <w:rPr>
      <w:rFonts w:hint="eastAsia" w:ascii="宋体" w:hAnsi="宋体"/>
      <w:sz w:val="24"/>
    </w:rPr>
  </w:style>
  <w:style w:type="paragraph" w:customStyle="1" w:styleId="34">
    <w:name w:val="纯文本1"/>
    <w:basedOn w:val="1"/>
    <w:autoRedefine/>
    <w:qFormat/>
    <w:uiPriority w:val="0"/>
    <w:pPr>
      <w:adjustRightInd w:val="0"/>
      <w:textAlignment w:val="baseline"/>
    </w:pPr>
    <w:rPr>
      <w:rFonts w:ascii="宋体" w:hAnsi="Courier New"/>
      <w:szCs w:val="20"/>
    </w:rPr>
  </w:style>
  <w:style w:type="paragraph" w:customStyle="1" w:styleId="35">
    <w:name w:val="Char Char Char Char Char Char Char Char Char1 Char"/>
    <w:basedOn w:val="1"/>
    <w:autoRedefine/>
    <w:qFormat/>
    <w:uiPriority w:val="0"/>
    <w:pPr>
      <w:spacing w:line="360" w:lineRule="auto"/>
      <w:ind w:firstLine="200" w:firstLineChars="200"/>
    </w:pPr>
    <w:rPr>
      <w:rFonts w:hAnsi="宋体" w:cs="宋体"/>
      <w:sz w:val="24"/>
    </w:rPr>
  </w:style>
  <w:style w:type="character" w:customStyle="1" w:styleId="36">
    <w:name w:val="正文文本缩进 Char"/>
    <w:link w:val="11"/>
    <w:autoRedefine/>
    <w:semiHidden/>
    <w:qFormat/>
    <w:locked/>
    <w:uiPriority w:val="0"/>
    <w:rPr>
      <w:rFonts w:ascii="Times New Roman" w:hAnsi="Times New Roman" w:eastAsia="宋体"/>
      <w:sz w:val="24"/>
    </w:rPr>
  </w:style>
  <w:style w:type="character" w:customStyle="1" w:styleId="37">
    <w:name w:val="批注文字 Char"/>
    <w:link w:val="7"/>
    <w:autoRedefine/>
    <w:qFormat/>
    <w:locked/>
    <w:uiPriority w:val="0"/>
    <w:rPr>
      <w:rFonts w:ascii="Times New Roman" w:hAnsi="Times New Roman" w:eastAsia="宋体"/>
      <w:sz w:val="24"/>
    </w:rPr>
  </w:style>
  <w:style w:type="character" w:customStyle="1" w:styleId="38">
    <w:name w:val="正文文本 Char"/>
    <w:link w:val="8"/>
    <w:autoRedefine/>
    <w:qFormat/>
    <w:locked/>
    <w:uiPriority w:val="0"/>
    <w:rPr>
      <w:sz w:val="18"/>
    </w:rPr>
  </w:style>
  <w:style w:type="paragraph" w:customStyle="1" w:styleId="39">
    <w:name w:val="Body Text 21"/>
    <w:basedOn w:val="1"/>
    <w:autoRedefine/>
    <w:qFormat/>
    <w:uiPriority w:val="0"/>
    <w:pPr>
      <w:spacing w:after="120" w:line="480" w:lineRule="auto"/>
    </w:pPr>
  </w:style>
  <w:style w:type="character" w:customStyle="1" w:styleId="40">
    <w:name w:val="日期 Char"/>
    <w:link w:val="17"/>
    <w:autoRedefine/>
    <w:qFormat/>
    <w:locked/>
    <w:uiPriority w:val="0"/>
    <w:rPr>
      <w:rFonts w:ascii="Times New Roman" w:hAnsi="Times New Roman" w:eastAsia="宋体"/>
      <w:sz w:val="24"/>
    </w:rPr>
  </w:style>
  <w:style w:type="character" w:customStyle="1" w:styleId="41">
    <w:name w:val="批注框文本 Char"/>
    <w:link w:val="18"/>
    <w:autoRedefine/>
    <w:semiHidden/>
    <w:qFormat/>
    <w:locked/>
    <w:uiPriority w:val="0"/>
    <w:rPr>
      <w:rFonts w:ascii="Times New Roman" w:hAnsi="Times New Roman" w:eastAsia="宋体"/>
      <w:sz w:val="18"/>
    </w:rPr>
  </w:style>
  <w:style w:type="character" w:customStyle="1" w:styleId="42">
    <w:name w:val="页脚 Char"/>
    <w:link w:val="19"/>
    <w:autoRedefine/>
    <w:qFormat/>
    <w:locked/>
    <w:uiPriority w:val="99"/>
    <w:rPr>
      <w:sz w:val="18"/>
    </w:rPr>
  </w:style>
  <w:style w:type="character" w:customStyle="1" w:styleId="43">
    <w:name w:val="页眉 Char"/>
    <w:link w:val="20"/>
    <w:autoRedefine/>
    <w:qFormat/>
    <w:locked/>
    <w:uiPriority w:val="0"/>
    <w:rPr>
      <w:sz w:val="18"/>
    </w:rPr>
  </w:style>
  <w:style w:type="character" w:customStyle="1" w:styleId="44">
    <w:name w:val="普通(网站) Char"/>
    <w:link w:val="24"/>
    <w:autoRedefine/>
    <w:qFormat/>
    <w:locked/>
    <w:uiPriority w:val="0"/>
    <w:rPr>
      <w:rFonts w:ascii="宋体" w:hAnsi="宋体" w:eastAsia="宋体"/>
      <w:sz w:val="24"/>
    </w:rPr>
  </w:style>
  <w:style w:type="character" w:customStyle="1" w:styleId="45">
    <w:name w:val="批注主题 Char"/>
    <w:link w:val="25"/>
    <w:autoRedefine/>
    <w:semiHidden/>
    <w:qFormat/>
    <w:locked/>
    <w:uiPriority w:val="0"/>
    <w:rPr>
      <w:rFonts w:ascii="Times New Roman" w:hAnsi="Times New Roman" w:eastAsia="宋体"/>
      <w:b/>
      <w:kern w:val="2"/>
      <w:sz w:val="24"/>
    </w:rPr>
  </w:style>
  <w:style w:type="character" w:customStyle="1" w:styleId="46">
    <w:name w:val="页脚 字符"/>
    <w:basedOn w:val="29"/>
    <w:autoRedefine/>
    <w:qFormat/>
    <w:uiPriority w:val="99"/>
  </w:style>
  <w:style w:type="character" w:customStyle="1" w:styleId="47">
    <w:name w:val="正文文本 字符1"/>
    <w:autoRedefine/>
    <w:semiHidden/>
    <w:qFormat/>
    <w:uiPriority w:val="0"/>
    <w:rPr>
      <w:rFonts w:ascii="Times New Roman" w:hAnsi="Times New Roman" w:eastAsia="宋体"/>
      <w:sz w:val="24"/>
    </w:rPr>
  </w:style>
  <w:style w:type="character" w:customStyle="1" w:styleId="48">
    <w:name w:val="表格 Char"/>
    <w:link w:val="49"/>
    <w:autoRedefine/>
    <w:qFormat/>
    <w:locked/>
    <w:uiPriority w:val="0"/>
    <w:rPr>
      <w:rFonts w:ascii="宋体"/>
      <w:sz w:val="21"/>
    </w:rPr>
  </w:style>
  <w:style w:type="paragraph" w:customStyle="1" w:styleId="49">
    <w:name w:val="表格"/>
    <w:basedOn w:val="1"/>
    <w:next w:val="1"/>
    <w:link w:val="48"/>
    <w:autoRedefine/>
    <w:qFormat/>
    <w:uiPriority w:val="0"/>
    <w:pPr>
      <w:adjustRightInd w:val="0"/>
      <w:snapToGrid w:val="0"/>
      <w:spacing w:beforeLines="10" w:afterLines="10" w:line="259" w:lineRule="auto"/>
      <w:jc w:val="center"/>
    </w:pPr>
    <w:rPr>
      <w:rFonts w:ascii="宋体"/>
      <w:kern w:val="0"/>
      <w:szCs w:val="20"/>
    </w:rPr>
  </w:style>
  <w:style w:type="character" w:customStyle="1" w:styleId="50">
    <w:name w:val="日期 字符"/>
    <w:autoRedefine/>
    <w:semiHidden/>
    <w:qFormat/>
    <w:uiPriority w:val="0"/>
    <w:rPr>
      <w:rFonts w:ascii="Times New Roman" w:hAnsi="Times New Roman" w:eastAsia="宋体"/>
      <w:sz w:val="24"/>
    </w:rPr>
  </w:style>
  <w:style w:type="character" w:customStyle="1" w:styleId="51">
    <w:name w:val="批注文字 字符1"/>
    <w:autoRedefine/>
    <w:semiHidden/>
    <w:qFormat/>
    <w:uiPriority w:val="0"/>
    <w:rPr>
      <w:rFonts w:ascii="Times New Roman" w:hAnsi="Times New Roman" w:eastAsia="宋体"/>
      <w:sz w:val="24"/>
    </w:rPr>
  </w:style>
  <w:style w:type="paragraph" w:customStyle="1" w:styleId="52">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54">
    <w:name w:val="表格内"/>
    <w:basedOn w:val="1"/>
    <w:autoRedefine/>
    <w:qFormat/>
    <w:uiPriority w:val="0"/>
    <w:pPr>
      <w:adjustRightInd w:val="0"/>
      <w:snapToGrid w:val="0"/>
      <w:spacing w:line="360" w:lineRule="exact"/>
      <w:jc w:val="center"/>
    </w:pPr>
    <w:rPr>
      <w:rFonts w:eastAsia="Times New Roman"/>
      <w:snapToGrid w:val="0"/>
      <w:kern w:val="0"/>
      <w:szCs w:val="21"/>
    </w:rPr>
  </w:style>
  <w:style w:type="paragraph" w:customStyle="1" w:styleId="55">
    <w:name w:val="环评正文"/>
    <w:autoRedefine/>
    <w:qFormat/>
    <w:uiPriority w:val="0"/>
    <w:rPr>
      <w:rFonts w:ascii="Times New Roman" w:hAnsi="Times New Roman" w:eastAsia="宋体" w:cs="Times New Roman"/>
      <w:sz w:val="24"/>
      <w:lang w:val="en-US" w:eastAsia="zh-CN" w:bidi="ar-SA"/>
    </w:rPr>
  </w:style>
  <w:style w:type="paragraph" w:customStyle="1" w:styleId="56">
    <w:name w:val="环评标题"/>
    <w:basedOn w:val="55"/>
    <w:autoRedefine/>
    <w:qFormat/>
    <w:uiPriority w:val="0"/>
    <w:rPr>
      <w:b/>
    </w:rPr>
  </w:style>
  <w:style w:type="paragraph" w:customStyle="1" w:styleId="57">
    <w:name w:val="表格标题"/>
    <w:basedOn w:val="58"/>
    <w:autoRedefine/>
    <w:qFormat/>
    <w:uiPriority w:val="0"/>
    <w:pPr>
      <w:ind w:firstLine="480"/>
    </w:pPr>
    <w:rPr>
      <w:rFonts w:hint="default"/>
    </w:rPr>
  </w:style>
  <w:style w:type="paragraph" w:customStyle="1" w:styleId="58">
    <w:name w:val="表头"/>
    <w:basedOn w:val="5"/>
    <w:next w:val="1"/>
    <w:autoRedefine/>
    <w:qFormat/>
    <w:uiPriority w:val="0"/>
    <w:pPr>
      <w:jc w:val="center"/>
    </w:pPr>
    <w:rPr>
      <w:rFonts w:hint="eastAsia"/>
      <w:b/>
      <w:bCs/>
      <w:szCs w:val="21"/>
    </w:rPr>
  </w:style>
  <w:style w:type="paragraph" w:customStyle="1" w:styleId="59">
    <w:name w:val="表格正文"/>
    <w:basedOn w:val="57"/>
    <w:autoRedefine/>
    <w:qFormat/>
    <w:uiPriority w:val="0"/>
    <w:pPr>
      <w:ind w:firstLine="0"/>
    </w:pPr>
    <w:rPr>
      <w:b w:val="0"/>
    </w:rPr>
  </w:style>
  <w:style w:type="paragraph" w:customStyle="1" w:styleId="60">
    <w:name w:val="表格字体"/>
    <w:basedOn w:val="1"/>
    <w:autoRedefine/>
    <w:qFormat/>
    <w:uiPriority w:val="0"/>
    <w:pPr>
      <w:jc w:val="center"/>
    </w:pPr>
  </w:style>
  <w:style w:type="paragraph" w:styleId="61">
    <w:name w:val="List Paragraph"/>
    <w:basedOn w:val="1"/>
    <w:autoRedefine/>
    <w:qFormat/>
    <w:uiPriority w:val="99"/>
    <w:pPr>
      <w:ind w:firstLine="420" w:firstLineChars="200"/>
    </w:pPr>
  </w:style>
  <w:style w:type="paragraph" w:customStyle="1" w:styleId="62">
    <w:name w:val="表格内容"/>
    <w:basedOn w:val="1"/>
    <w:autoRedefine/>
    <w:qFormat/>
    <w:uiPriority w:val="0"/>
    <w:pPr>
      <w:jc w:val="center"/>
    </w:pPr>
  </w:style>
  <w:style w:type="paragraph" w:customStyle="1" w:styleId="63">
    <w:name w:val="样式 正文缩进正文缩进2正文缩进 Char Char正文缩进 Char Char Char Char正文缩进 Char ..."/>
    <w:basedOn w:val="5"/>
    <w:autoRedefine/>
    <w:qFormat/>
    <w:uiPriority w:val="0"/>
    <w:pPr>
      <w:spacing w:line="360" w:lineRule="auto"/>
      <w:ind w:firstLine="200" w:firstLineChars="200"/>
    </w:pPr>
    <w:rPr>
      <w:rFonts w:cs="宋体"/>
      <w:sz w:val="24"/>
    </w:rPr>
  </w:style>
  <w:style w:type="paragraph" w:customStyle="1" w:styleId="64">
    <w:name w:val="Table Paragraph"/>
    <w:basedOn w:val="1"/>
    <w:autoRedefine/>
    <w:qFormat/>
    <w:uiPriority w:val="1"/>
    <w:pPr>
      <w:jc w:val="left"/>
    </w:pPr>
    <w:rPr>
      <w:kern w:val="0"/>
      <w:sz w:val="22"/>
      <w:szCs w:val="22"/>
      <w:lang w:eastAsia="en-US"/>
    </w:rPr>
  </w:style>
  <w:style w:type="character" w:customStyle="1" w:styleId="65">
    <w:name w:val="textbig1"/>
    <w:basedOn w:val="29"/>
    <w:autoRedefine/>
    <w:qFormat/>
    <w:uiPriority w:val="0"/>
    <w:rPr>
      <w:sz w:val="18"/>
      <w:szCs w:val="18"/>
    </w:rPr>
  </w:style>
  <w:style w:type="paragraph" w:customStyle="1" w:styleId="66">
    <w:name w:val="1 表头"/>
    <w:basedOn w:val="1"/>
    <w:autoRedefine/>
    <w:qFormat/>
    <w:uiPriority w:val="0"/>
    <w:pPr>
      <w:adjustRightInd w:val="0"/>
      <w:snapToGrid w:val="0"/>
      <w:jc w:val="center"/>
    </w:pPr>
    <w:rPr>
      <w:b/>
      <w:color w:val="000000"/>
      <w:szCs w:val="21"/>
    </w:rPr>
  </w:style>
  <w:style w:type="paragraph" w:customStyle="1" w:styleId="67">
    <w:name w:val="德源报告表表格"/>
    <w:autoRedefine/>
    <w:qFormat/>
    <w:uiPriority w:val="0"/>
    <w:pPr>
      <w:adjustRightInd w:val="0"/>
      <w:snapToGrid w:val="0"/>
      <w:spacing w:line="360" w:lineRule="exact"/>
      <w:jc w:val="center"/>
    </w:pPr>
    <w:rPr>
      <w:rFonts w:ascii="Times New Roman" w:hAnsi="Times New Roman" w:eastAsia="宋体" w:cs="Times New Roman"/>
      <w:snapToGrid w:val="0"/>
      <w:sz w:val="21"/>
      <w:szCs w:val="21"/>
      <w:lang w:val="en-US" w:eastAsia="zh-CN" w:bidi="ar-SA"/>
    </w:rPr>
  </w:style>
  <w:style w:type="character" w:customStyle="1" w:styleId="68">
    <w:name w:val="fontstyle21"/>
    <w:basedOn w:val="29"/>
    <w:autoRedefine/>
    <w:qFormat/>
    <w:uiPriority w:val="0"/>
    <w:rPr>
      <w:rFonts w:ascii="仿宋" w:hAnsi="仿宋" w:cs="Times New Roman"/>
      <w:color w:val="000000"/>
      <w:sz w:val="24"/>
      <w:szCs w:val="24"/>
    </w:rPr>
  </w:style>
  <w:style w:type="character" w:customStyle="1" w:styleId="69">
    <w:name w:val="fontstyle01"/>
    <w:basedOn w:val="29"/>
    <w:autoRedefine/>
    <w:qFormat/>
    <w:uiPriority w:val="0"/>
    <w:rPr>
      <w:rFonts w:ascii="TimesNewRomanPSMT" w:hAnsi="TimesNewRomanPSMT" w:cs="Times New Roman"/>
      <w:color w:val="000000"/>
      <w:sz w:val="24"/>
      <w:szCs w:val="24"/>
    </w:rPr>
  </w:style>
  <w:style w:type="paragraph" w:customStyle="1" w:styleId="70">
    <w:name w:val="表头字体"/>
    <w:basedOn w:val="1"/>
    <w:autoRedefine/>
    <w:qFormat/>
    <w:uiPriority w:val="0"/>
    <w:pPr>
      <w:spacing w:line="360" w:lineRule="auto"/>
      <w:jc w:val="center"/>
    </w:pPr>
  </w:style>
  <w:style w:type="paragraph" w:customStyle="1" w:styleId="71">
    <w:name w:val="正文26-模板"/>
    <w:basedOn w:val="1"/>
    <w:autoRedefine/>
    <w:qFormat/>
    <w:uiPriority w:val="0"/>
    <w:pPr>
      <w:adjustRightInd w:val="0"/>
      <w:snapToGrid w:val="0"/>
      <w:spacing w:line="520" w:lineRule="exact"/>
      <w:ind w:firstLine="480" w:firstLineChars="200"/>
      <w:textAlignment w:val="baseline"/>
    </w:pPr>
    <w:rPr>
      <w:snapToGrid w:val="0"/>
      <w:kern w:val="0"/>
    </w:rPr>
  </w:style>
  <w:style w:type="paragraph" w:customStyle="1" w:styleId="72">
    <w:name w:val="正文26-5.21"/>
    <w:basedOn w:val="1"/>
    <w:autoRedefine/>
    <w:qFormat/>
    <w:uiPriority w:val="0"/>
    <w:pPr>
      <w:adjustRightInd w:val="0"/>
      <w:snapToGrid w:val="0"/>
      <w:spacing w:line="520" w:lineRule="exact"/>
      <w:ind w:firstLine="480" w:firstLineChars="200"/>
      <w:textAlignment w:val="baseline"/>
    </w:pPr>
    <w:rPr>
      <w:rFonts w:cs="宋体"/>
      <w:snapToGrid w:val="0"/>
      <w:sz w:val="24"/>
    </w:rPr>
  </w:style>
  <w:style w:type="paragraph" w:customStyle="1" w:styleId="73">
    <w:name w:val="表格标题5.21"/>
    <w:basedOn w:val="1"/>
    <w:autoRedefine/>
    <w:qFormat/>
    <w:uiPriority w:val="0"/>
    <w:pPr>
      <w:adjustRightInd w:val="0"/>
      <w:snapToGrid w:val="0"/>
      <w:spacing w:line="520" w:lineRule="exact"/>
      <w:jc w:val="center"/>
      <w:textAlignment w:val="baseline"/>
    </w:pPr>
    <w:rPr>
      <w:rFonts w:ascii="黑体" w:hAnsi="黑体" w:eastAsia="黑体" w:cs="宋体"/>
      <w:snapToGrid w:val="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2.bin"/><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oleObject" Target="embeddings/oleObject1.bin"/><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kyOTI1NDYwMjQ4IiwKCSJHcm91cElkIiA6ICIxNDk1MzM0NTkiLAoJIkltYWdlIiA6ICJpVkJPUncwS0dnb0FBQUFOU1VoRVVnQUFCRDRBQUFKd0NBWUFBQUJoMWFIekFBQUFBWE5TUjBJQXJzNGM2UUFBSUFCSlJFRlVlSnpzM1gyTVhlZDlKL2JmYzg2NTgwS1pFbTNyeFpGa2VSekpJVVdKMUZ6YTBBcHBOdG5zYm9GMWdRSnU2c1paZHplYm9ra1FyMVB0UWkyS0xZb3RpbTZiYnBGdGtGb29oS3JkZXVQR1R0WnBnaVJOMExoSnMwbXdkaXc1WHI3SlE5Rml5SkVzVWFZcGwwTktKT2ZsM3ZQMEQzSG80WENHTHlLbE0vZVp6d2NnNXQ3bnZIMW5PUGVaT2Q5Nzc1d0lBQUFBQUFBQUFBQUFBQUFBQUFBQUFBQUFBQUFBQUFBQUFBQUFBQUFBQUFBQUFBQUFBQUFBQUFBQUFBQUFBQUFBQUFBQUFBQUFBQUFBQUFBQUFBQUFBQUFBQUFBQUFBQUFBQUFBQUFBQUFBQUFBQUFBQUFBQUFBQUFBQUFBQUFBQUFBQUFBQUFBQUFBQUFBQUFBQUFBQUFBQUFBQUFBQUFBQUFBQUFBQUFBQUFBQUFBQUFBQUFBQUFBQUFBQUFBQUFBQUFBQUFBQUFMZzVVdGNCQUFBQTJCanV2di9oOTQvMW12dTd6c0hvV2xoWU9QYnFzVU12ZHAxakpjVUhBQUFBTVRVMVBSVVQrYk9SWWtmWFdSaHBMOFg1OUluWjJYMnpYUWRaMW5RZEFBQUFnQTFnSXFZaXhZNFU2WDFiSmllamJ1cXVFekZDaG9OaG5KK2ZqemJuaVppSXFZaFFmQUFBQUxEeGJKbWNqQ2NlLzNUc2ZIQjcxMUVZSVRPSERzZVRUejBkYzJmT2RCM2xNb29QQUFBQUxxcWJPblkrdUQwZWUvUWpYVWRoeFBSNnZhNGpyS25xT2dBQUFBREEyMFh4QVFBQUFCUkw4UUVBQUFBVVMvRUJBQUFBRkV2eEFRQUFBQlJMOFFFQUFBQVVTL0VCQUFBQUZFdnhBUUFBQUJSTDhRRUFBQUFVUy9FQkFBQUFGRXZ4QVFBQUFCUkw4UUVBQUFBVXErazZBQUJBQ2Q3endBTzMzdHE4NnoxZDUyQjBuVjQ4YytyVTBhT251ODRCVUJyRkJ3REFEYnJubmgzdjdkVVQveVFpOTd2T3d1aTZiV3pyb2JIN2QvK2pFMzk1NER0ZFp3RW9pZUlEQU9BR1ZiZE1mSCtrK0ZoSzZmdTZ6c0xveXBHM2o5WHgyWWhRZkFEY1JJb1BBSUFiVkxkdEhYVktFK01UOFIvOCt4K0xIM2pnL3E0ak1VS096cjRZdi9HYnZ4MnZuejJiNmlyVlhlY0JLSTNpQXdEZ0p1bU45ZUt2LzhoZmpSLzVxLzlXMTFFWUlWOTk5aS9pLy9yOVA0alh6NTd0T2dwQWtWelZCUUFBQUNpVzRnTUFBQUFvbHVJREFBQUFLSmJpQXdBQUFDaVc0Z01BQUFBb2x1SURBQUFBS0piaUF3QUFBQ2lXNGdNQUFBQW9sdUlEQUFBQUtKYmlBd0FBQUNpVzRnTUFBQUFvbHVJREFBQUFLSmJpQXdBQUFDaVc0Z01BMkpRZWV1aWg5K3pldmZ1dmRKMEQ0RWJjZSsrOWs3dDI3ZG9WRVUzWFdXQ2o4dUFBQURhbFhxOTNYMVZWLzZMZjc5K2RVdnJWblBObno1OC9mNnlxcXRkblptWVd1ODRIY0MxdXZmWFcyNXFtK1V5LzM5OGVFYjgyR0F5KzBEVE5TNmRPblhwOWRuWjJ2dXQ4c0JFb1BnQ0FUUzJsZEd0RS9QMkkrSThuSnlmM3A1VCtiTStlUFgrK3VMaDQ2TG5ubm5zaElnWWRSd1M0cXBUUzkwWEVFNzFlNy9HYzgrRnQyN1k5MisvM3Z6d2NEcDg1Y09EQWMxM25neTRwUGdDQVRTL25IQkV4bmxKNk5PZjhrWWc0UFRZMmRtTFBuajNQNTV4LzYvVHAwNzk3OU9qUjB4M0hCTGlpQzNOWmsxSjZLQ0oyUnNTUDEzVjlzdC92SDhvNWYzRnVidTdYdlFxRXpVanhBUUJzZWltbHlEa3ZuelJVRWZIdW5QTzdVMG83VWtvZjI3WnRXL1Q3L2MvbG5QK1h4Y1hGQXpNek0vUGhsU0RBQnJOcUxrc1JjVXRFM0pKU21rb3BmWFRidG0yZjZmZjdYOG81Zno2bDlPeUpFeWZtamg4L2ZqNGljcWZCNFcybStBQUFic2l1WGJzK1hOZjFZekZpdjFkVVZYWFBoWElqSXQ0OFlZaTQrSXpwWmJkVFNqK1pVdnJKOGZIeGIvVDcvYTlHeEF2RDRmQlBYM3Z0dFFQdmFIQ0sxbFQ1K3g5NTVKRVVFWkZ6VGhFUlRkTmN2QjF2bnN6R3l1V3JicWU2cnRkY2IrWDZLNWRYVlhYSnZxKzJmczU1M1dPczNzZnEyM1ZkcjE2KzdqNVdaYnZpTVpiSHJyVCt0UnhqalgydnUyMVZWVmRjZnIzcnI3UE5tbC9IVmNmWUdoRWZ1TGpnQ25OWlNtbHJTdW5qS2FXUDU1eVAzWFhYWGMvY2RkZGRMd3dHZ3o4YURvZGZQZGNHRkdta2ZrRUJBRGFlcG1uK3U1VFMzNHlJdXVzczEydjVCR0c5c1hWT0hCNktpSWR5emxIWDlleGRkOTMxbCtjWGh0K1liMGZ2ODJmakdXK3FUOVoxZW1qNWZzNDVyZncrWENHdC9GNWQ5WDE3K1RkMlhIN2l2ZFkrVis1cnhRbjBKZHNzdjZwZzVUWlhDcmZHNHl4ZDRiRzNicjdWRzYyVmI0MnYxWnJieEtyUGRmWDY2K1JiTjl0YVgvUFZ4N3JPLzhmMTlyZmUxK0N5cTNWZXcxejJ3WWo0WU00NTkzcTluMjZhNWxoZWFnK2NINWpMS0kvaUF3QzRVUitJaURybi9FYU0wTnMvVWtwMVJHeUp0MTdZdENtbHUzTE9ZM1dWWGd2UGxISVQ1Sng3T2NkRVhQdGJENjVwdlpUU1c5N2ZPdHRlTXJiT1NmMWJYbTg5YTJWWnA0OTRTNS92RGVhNzJmOFgxN1RQbkhPVlVybzlJaWF1WTc4cjh3eHl6dU1wcFZ0VFN1TTUxaTdPWUpRcFBnQ0FtNkp0MjQvdjM3Ly9TMTNudUZiVDA5UFRWVlg5V2tUc1dEbSszb25QaW1kV1g0NkliK2FjRDBYRTc1OCtmZm9yYmZXdUI2T1hmdVJ0anN3bXNEak12ekxlcEwrOGNQZDdMNnU0Y0xJOEhBNHZHMXU1N3ZMWXltV0R3ZUN5c2JYV1c3NTlwZlhmeWpFaUlxcXFXalBmMHRMU0ZZK3h2TjN5Mk1MQ3dwckhYNzNlOHRqNTgrY3ZXYlk2eCtwdDUrZm44K3A5ckY2dnJ1dkx4czZlUFh0eGJIbjVXdXV2dkgzNjlPbDFsemROa3lNaWVyM2V4V1VuVHB5NGVIdDVlZE0wK2JiYmJydXJiZHYvSTZYMHc3SENOY3hseHlMaTJaenpuN2R0KzlYQllMRDNYRHYyZ3luRlI5ZmNFRWFZNGdNQUlONDhTVmo5elBHcSs3OC9IQTUvcTIzYnJ5MHNMTHo2elc5KzgxUkVEQ01pcGg3WS9jNEZwV2lETmgzZHUzZnZuM2FkZzlHeGMrZk94Zkh4OFl1dk9WdXI4RmhSZHB6Tk9mOXgyN2EvRVJIUHZQNzY2eWVPSGoxNkppNFVaMU03cHQrWjBQQU9VM3dBQUp2ZXFoT0ZmT0dsMzRzUjhYTGJ0di83L1B6OFAzLysrZWUvMjFFOGdHdXk0dTkzUkg3enptSkVuTWs1ZnpNaVBuL3ExS25QdXB3dG01SGlBd0RZOUM0OEd6cklPYzlHeEV4RWZIazRIUDdSWURCNGJtWm1ackhiZEFEWDVzSmNOaDhSUjNMT1g0dUlyd3lIdzJjT0hqeDRzTnRrMEMzRkJ3Q3dxZVdjejBiRUgwVEU3d3lIdzIva25JOGRQSGp3Vk5lNUFLNUh6dmxFUlB4V3p2bUxLYVZqaTR1TDM1MlptWG1qNjF5d0VTZytBSUJOcVczYjR6bm5mN0IvLy83L3Arc3NBRy9WM056Y21UdnV1T09KL2Z2M1B4Y1JTMTNuZ1kxSThRRUFiRW9IRGh6NFRrUW9QWUNSZHZ6NDhYUEhqeC9mMjNVTzJNaXFyZ01BQUFBQXZGMFVId0FBQUVDeEZCOEFBQUJBc1JRZkFBQUFRTEVVSHdBQUFFQ3hGQjhBQUFCQXNSUWZBQUFBUUxFVUh3QUFBRUN4RkI4QUFBQkFzUlFmQUFBQVFMRVVId0FBQUVDeEZCOEFBQUJBc1JRZkFBQUFRTEdhcmdNQUFKU2lIYmJ4NHJkZWpwbERoN3VPd2dpWmZmR2xHQXdIWGNjQUtKYmlBd0RnQmcxUzVDWlNQbnZ1WFB6WC8rMC83VG9PSXl2bndhRE5YYWNBS0kzaUF3RGdCalgxNG9sb3g0L2tGS25yTEl5dUZQR3RhQWZIdTg0QlVCckZCd0RBRFpwOS92bHYzZmZBSTUrS0t0N2RkUlpHVjF1MXAxOCtldWhvMXprQVNxUDRBQUM0Y2NPWGp1ei9SdGNoQUlETHVhb0xBQUFBVUN6RkJ3QUFBRkFzeFFjQUFBQlFMTVVIQUFBQVVDekZCd0FBQUZBc3hRY0FBQUJRTE1VSEFBQUFVQ3pGQndBQUFGQXN4UWNBQUFCUUxNVUhBQUFBVUN6RkJ3QUFBRkFzeFFjQUFBQlFMTVVIQUFBQVVLeW02d0FBQUFCc0hNUEJNR1lPSGU0NkJpTm01dERoV0ZwYTZqckdtaFFmQUFBQVhIUitmajZlZk9ycDZQVjZYVWRoaEN3dExjV1oxMS92T3NhYUZCOEFBQURFWW01ZkhVdnAxVGJuaWJrelo3cU93NmpLK2NSaXpxOTJIV01seFFjQUFBQngvUENCRis1NzRLRy9Velc5Tzd2T3d1Z2FwdnphOGVjUHZOQjFqcFVVSHdBQUFFUkV0QzhkK2NaTVJNeDBIUVJ1SmxkMUFRQUFBSXFsK0FBQUFBQ0twZmdBQUFBQWlxWDRBQUFBQUlxbCtBQUFBQUNLcGZnQUFBQUFpcVg0QUFBQUFJcWwrQUFBQUFDS3BmZ0FBQUFBaXFYNEFBQUFBSXFsK0FBQUFBQ0twZmdBQUFBQWlxWDRBQUFBQUlxbCtBQUFBQUNLcGZnQUFBQUFpcVg0QUFBQUFJcWwrQUFBQUFDS3BmZ0FBQUFBaXFYNEFBQUFBSXFsK0FBQUFBQ0twZmdBQUFBQWlxWDRBQUFBQUlxbCtBQUFBQUNLcGZnQUFBQUFpcVg0QUFBQUFJcWwrQUFBQUFDS3BmZ0FBQUFBaXFYNEFBQUFBSXFsK0FBQUFBQ0twZmdBQUFBQWlxWDRBQUFBQUlxbCtBQUFBQUNLcGZnQUFBQUFpdFYwSFFBQW9BUjMzLy93KzhkNnpmMWQ1MkIwTFN3c0hIdjEyS0VYdTg0QlVCckZCd0RBRGJybmdkMzM5cHIwdVVoNVI5ZFpHRjNqRTJNdlRVMU5mMkoyZHQ5czExa0FTcUw0QUFDNFFiMklleVBGamhUcGZaT1RrOUUwZGRlUkdDSER3VERPejg5SG0vTkVUTVJVUkNnK0FHNGl4UWNBd0UyeVpYSXlmdjVUUHh2VHV4L3VPZ29qWk9iUTRYanlxYWRqN3N5WnJxTUFGRW54QVFCd2s5Uk5IUTl1LzFBODl1aEh1bzdDaU9uMWVsMUhBQ2lXcTdvQUFBQUF4Vko4QUFBQUFNVlNmQUFBQUFERlVud0FBQUFBeFZKOEFBQUFBTVZTZkFBQUFBREZVbndBQUFBQXhWSjhBQUFBQU1WU2ZBQUFBQURGVW53QUFBQUF4Vko4QUFBQUFNVlNmQUFBQUFERlVud0FBQUFBeFZKOEFBQUFBTVZTZkFBQUFBREZVbndBQUFBQXhWSjhBQUFBQU1WU2ZBQUFBQURGVW53QUFBQUF4Vko4QUFBQUFNVlNmQUFBQUFERlVud0FBQUFBeFZKOEFBQUFBTVZTZkFBQUFBREZhcm9PQU5DbHUrOS8rUDFqdmViK3JuTXd1aFlXRm82OWV1elFpMTNuQUFCZ2JZb1BZTk9hbXBxZWlsNytiS1M4bytzc2pLN3hpYkdYcHFhbVB6RTd1MisyNnl3QUFGeE84UUZzWGhNeEZTbDJwRWp2MnpJNUdYVlRkNTJJRVRJY0RPUDgvSHkwT1UvRVJFeEZoT0lEQUdBRFVud0FtOTZXeWNsNDR2RlB4ODRIdDNjZGhSRXljK2h3UFBuVTB6RjM1a3pYVVFBQXVBTEZCN0RwMVUwZE94L2NIbzg5K3BHdW96QmllcjFlMXhFQUFMZ0tWM1VCQUFBQWlxWDRBQUFBQUlxbCtBQUFBQUNLcGZnQUFBQUFpcVg0QUFBQUFJcWwrQUFBQUFDS3BmZ0FBQUFBaXFYNEFBQUFBSXFsK0FBQUFBQ0twZmdBQUFBQWlxWDRBQUFBQUlyVmRCMEFBS0FVdWMxeDhyWHZ4c3V2SE84NkNpUGs1TW5Yb20ySFhjY0FLSmJpQXdEZ0pqbDc3bHo4czE5K01pWW5KN3VPd2dpWm41K1B1ZE5udW80QlVDekZCekJTZHUvZWZVdGQxeC9ldTNmdlZ5SmkwSFVlZ0lpSW5OclRLZGR6Ylc2M25mak95YTdqTUtKU1NtY1cyNlZUWGVjQUtJM2lBeGdwZFYzZm5sTDYwMzYvUDl1MjdlZFNTbDlhWEZ3OE9qTXo4OTJJV09vNkg3QTV2ZmpDYzBmdSs5RERqMWQxYzAvWFdSaGQ3WEI0NHBVbUgrbzZCMEJwRkIvQVNFb3BUZFYxL1YvbG5QL1Q4Zkh4djlpelo4L1hjczRIYzg1L3RtL2Z2dG11OHdHYnp0SkxMenozaDEySEFBQXVwL2dBUmxiT09WSkt0MFRFaitTY2Z6aWw5RVpFbk9qMyt3ZmF0djM4MmJObmYvL0lrU01MWGVjRUFBQzZvL2lBVGVLQkJ4NFlIeHNiNjNXZDR5YTRaZVdkblBQeXpaUnozaG9SVzFOS0Q5UjEvV05idDI3OXpwNDllMzVuTUJqOHk1enpzYVpwWGo5NTh1UWJMNy84OG54RTVOVTdoazBvWGZoMzJlMFBmL2pEY2Y3OCtSUVJzYmk0bUNJaUJvUEJ4WTl0MjZhSWlOdHZ2ejNsbkZNQUFHeFFpZy9ZQkI1NTVKRWZxS3JxMHltbFc3dk9jcU55enU5YXZwMVNXamwrMmUyVTBwMFI4VE4xWGYrOWlIZ3g1M3pzdmU5OTcvUHZlYzk3dm5EZ3dJRm4zckhRRkMyM09jYnE5b083ZCsrdVVrcE4yN1pOMjdaMXI5ZXIyclp0VWtwMVZWVlZ6cmxxMjdiSk9kZDFYZGM1NTdxcXFtb3dHQ3pmcjFZdVczVy9pb2dxSXVybGoyM2JWaXUycTFKSzlZV1BWVXFwaW9ocWVUOHBwWHJGK0hKUmtYTE9UVXFwdXJEL2xONThVQzJYRzlYWTJGaUtpQmdiRzd1NExPZWNVa29yeTQ1VVZkVjlPZWNZRG9kK3J3QUFOaHkvb01BbWtGTDZaRVQ4Si9HOVozTkgxc3F5WTczeDVlSmpSUUV5RmhFZmlvZ1BWVlgxMXlQaTM1dWVubjUrYVpqL3pkbUJaNnE1TVNubnVHV3MrU2NSK2Z0U1NxbXFxb3ZMNnJyKzNub3BYWFkvSXFKcG1rdnV2M2t6WGZJOXZkYjNmVjNYc2J6ZWl1LzFTN090Mk05YSsxdHIyVnJaVis5enZXMnFxcnB2elkwQUFEcWsrSUJOb0txcTIrTE5aMnFmajRndmQ1M25CcjBycGZTSjY5bmd3dDhDaVhqejdTMkxFWkZUU3RGNnR3czNTNHBlaWxSZGZjV3JmdFBsbGV1c0xEUlNTbXR1bTFlKzNHbU5ZeTBYSTFkWTcycTVyaVh6eElWWGdieDRsWFVCQU41eGlnL1lYUDVrNzk2OW4rbzZ4STNvOS9zZmlJakxpby8xenVrdW5QUXQ1SndQUmNTQmlQaHl6dm1adlh2MzdwL2FNZjNYSXNYZmUzc1RVN28ySWdiRDRXLzI2bm9zcGRRT2g4TTJwVFJNS2JWdDI3WXBwV0hPdVkySVlVUmN2Sjl6SHFhVUx0Ni84SEc0NG42YlVocTJieHBXVlRYTU9RK1hiN2R0MjFaVk5iandjZGkyN1REblBLaXFxczA1RDRiRFlWdlg5V0E0SEE3YnRoMDJUYk5VVlZWYjEzVmJWVlU3R0F6YXVxN2JwYVdsdHE3cmRuRnhzVzJhcHEzcnVsMVlXR2licG1ubjUrZmJYcS9YOW5xOXRxN3IvTVliYjdUdmV0ZTdoaWRPbk1nVEV4UHRrU05IMm9obysvMyt3WWg0c0txcVFhZi9HUUFBYTFCOEFDUHJTbVhIaGVVbmM4Ni9NeHdPZjcxdDIyOHVMUzNOSFQ1OCtQVjNNaVBscStvcTNsaU1MODQrdi9kUHVzN1NvYlRxSXdEQWhxSDRBRWJhaXBLalRTbTlmcUhzY0RsYkFBQWdJaFFmd0FpNzhEYVdzeEh4RnltbFo5dTIzZGUyN1o4Zk9IRGdXTmZaQUFDQWpVSHhBWXlrdG0yUFJzVC9OaHdPZjYrdTYyL3QzYnYzOVhqemJ5Z0FBQUJjcFBnQVJzcHdPSHl0cnVzZjJiZHYzMWNpd2g5U0JBQUFya2p4QVl5VUF3Y09uSTJJUCtzNkJ3QUFNQnFxcmdNQUFBQUF2RjBVSHdBQUFFQ3hGQjhBQUFCQXNSUWZBQUFBUUxFVUh3QUFBRUN4RkI4QUFBQkFzUlFmQUFBQVFMRVVId0FBQUVDeEZCOEFBQUJBc1JRZkFBQUFRTEVVSHdBQUFFQ3hGQjhBQUFCQXNacXVBd0IwTGJjNVRwNThMVjUrNVhqWFVSZ2hKMCsrRm0wNzdEb0dBQUJYb2ZnQU5yMno1ODdGTC96aUw4WEV4RVRYVVJnaDgvUHpNWGY2VE5jeEFBQzRDc1VIc0drdHRVdW5lbFV6MStaMjI3ZFBmS2ZyT0J0U3pqa2lJbEpLSFNmWnVGSktaeGJicFZOZDV3QUFZRzJLRDJEVGVxWEpoKzViR2o1ZTFjMDlYV2ZacUNhYitIQktNWGwra1A1MTExazJxblk0UFBGS2t3OTFuUU1BZ0xVcFBvRE5hMlptOGFXSVArdzZ4a2JXNy9kL05DTHVQdlRjM3AvdU9nc0FBTHdWcnVvQ3dKb2VmdmpoKzFOS2V5Smk5NjVkdTNaMW5RY0FBTjRLeFFjQWE2cnIrb2NqNG9HVTBydXJxdnBZMTNrQUFPQ3RVSHdBY0ptZE8zZU9WVlgxY001NVBPZmNWRlgxNFBidDI3ZDJuUXNBQUs2WDRnT0F5d3dHZzFzajRvZlM5K3k0NVpaYjd1bzZGd0FBWEM5LzNCU0F5OXh5eXkxM1JzVE81ZnM1NSswNTV3OUd4Skh1VWdFQWI3ZTc3My80L1dPOTV2NnVjekM2RmhZV2pyMTY3TkNMWGVkWVNmRUJ3RnIrZGtycFhUbm5pSWhJS1cxSktYMHNYQVVIQUlvMU5UVTlGYjM4MlVoNVI5ZFpHRjNqRTJNdlRVMU5mMkoyZHQ5czExbVdLVDRBdUV6TythZFNTcXZIZml3aVB0MU5JZ0RnYlRjUlU1RmlSNHIwdmkyVGsxRTNkZGVKR0NIRHdURE96ODlIbS9ORVRNUlVSQ2crQU5pWXBxZW5mN0NxcW51WFgrMFJFWkZ6anBUUysvcjkvdC9jdTNmdkgzVVlEd0I0bTIyWm5Jd25IdjkwN0h4d2U5ZFJHQ0V6aHc3SGswODlIWE5uem5RZDVUS0tEd0F1a1ZMNnhIckxjczQvRXhHS0R3QW9XTjNVc2ZQQjdmSFlveC9wT2dvanB0ZnJkUjFoVGE3cUFzQkZEenp3d0IwUjhZTVJFU21sUy81ZEdQdWhSeDU1NUo0dU13SUF3UFZRZkFCdzBkYXRXejhTRWZmbG5HUDFXMTB1M0w4MUluNjBvM2dBQUhEZEZCOEFMS3R5emcrbmxONjczZ29wcGNtVTBwNkkySml2WXdRQWdGVVVId0JFUk1UMjdkdHZTU2s5R2hGMVJNVEtxN3FzdUYxWFZUWGQ3L2Z2ZU9jVEFnREE5Vk44QUJBUkVXTmpZM2RFeEYrNzJubzU1MzdidHQvL0RrUUNBSUFicHZnQUlDSWllcjNldjUxU3VuM2wzL1pZN2NKbGJiZFZWZVh2ZkFBQU1CSVVId0JFUkVUTytWUEx0MWUreldXZHNiLzlEa1FDQUlBYnB2Z0FJUHI5L3M2VTBpTVJhNWNleTFaYzF2YkI2ZW5wNlhjbUhRQUF2SFZOMXdFQTZONXdPQnhXVmZVUFY0NVZWVFdWYy83SmxOSmt6dmx6T2VkREs1ZlhkVDE4WjFNQ0FNRDFVM3dBRUFjT0hEZ2NFWWRYanUzZXZmdXh1cTQvbG5PdVVrcS92WGZ2M2ovb0tCNEFBTHhsM3VvQ0FBQUFGRXZ4QVFBQUFCUkw4UUVBQUFBVXk5LzRBQUM0Q2U2Ky8rSDNqL1dhKzd2T3dlaGFXRmc0OXVxeFF5OTJuUU9nTklvUEFJQWJkTThEdSsvdE5lbHprZktPcnJNd3VzWW54bDZhbXByK3hPenN2dG11c3dDVVJQRUJBSENEZWhIM1Jvb2RLZEw3Smljbm8ybnFyaU14UW9hRFlaeWZuNDgyNTRtWWlLbUlVSHdBM0VTS0R3Q0FtMlRMNUdUOC9LZCtOcVozUDl4MUZFYkl6S0hEOGVSVFQ4ZmNtVE5kUndFb2t1SURBT0FtcVpzNkh0eitvWGpzMFk5MEhZVVIwK3YxdW80QVVDeFhkUUVBQUFDS3BmZ0FBQUFBaXFYNEFBQUFBSXFsK0FBQUFBQ0twZmdBQUFBQWlxWDRBQUFBQUlxbCtBQUFBQUNLcGZnQUFBQUFpcVg0QUFBQUFJcWwrQUFBQUFDS3BmZ0FBQUFBaXFYNEFBQUFBSXFsK0FBQUFCaFI5OTU3NytTdVhidDJSVVRUZFJiWXFEdzRBSUJOYVhwNmVqcWw5RS9idHYyVDRYRDRHMis4OGNZcnM3T3ppeEhSZHAwTjRGcmRldXV0dHpWTjg1bCt2Nzg5SW41dE1CaDhvV21hbDA2ZE92WDY3T3pzZk5mNVlDTlFmQUFBbTFaSzZRTjFYZi8zZFYzLzQzZS8rOTEvOXU1M3YvdVBoc1BoM3JxdW45KzdkKy94cnZNQlhLdVUwdmRGeEJPOVh1L3huUFBoYmR1MlBkdnY5Nzg4SEE2Zk9YRGd3SE5kNTRNdUtUNEFBQ0sycEpUK1ZrVDhyYVpwWHNzNUgrLzMrek1SOFp2bnpwMzcwdUhEaDEvdk9pREExZVNjSXlLYWxOSkRFYkV6SW42OHJ1dVQvWDcvVU03NWkzTnpjNy91VlNCc1Jvb1BBR0RUdTNDeXNPejJpTGc5cGJRN0luNWl5NVl0Mzkyelo4OXZEWWZEcDVxbU9mejFyMzk5SVNLR25RUUZ1SUtVVXVTY2wrZTBGQkczUk1RdEthV3BsTkpIdDIzYjlwbCt2LytsblBQblUwclBuamh4WXU3NDhlUG5JeUpmY2NjdzRoUWZBTUNOZXZNMzdKVGV1M3YzN251N0RuT3RjczUzeG9YZmhWSkt5Mk1ybDhlRlplK05pSitwNi9xbjJyYWQ2ZmY3Lys5d09KeEpLUjNkdjMvL240VVNoSnVvcWZMM1AvTElJMm4xZU00NVJVUTBUWFBaMkNycmJudTFzWlhiMW5WOVUvZTMxbnJ2OERFdVcvZG1mLzNxdXI0cG1hKzBYbFZWYTYyM0xTTHV1cmpSbGVlenJTbWxqNmVVUHA1elBuYlhYWGM5YzlkZGQ4MjBiZnV2bHBhV25qM25MeHhSS01VSEFIQlRWRlgxMzZTVVJ1WXRJU21seVlpNGQ5WFl4ZHZMSndvclRoaDZLYVZISXVLUnVxNFhJdUsxZnI5L0lDSis5L1FiUzk5cTQ1SVRMSGhMeHB2cWszV2RIbHB2K1RvbnlGZVVWbjVqZjIvc2l0dGM3M0dxNnVMRklxODczMXJickpWdjFlTnozZU9zOVRpKzByR3VHdTR0ZlAyV2ozTU42NjNlMzNYbnl6bFhLYVdKSyt4enZSTGtneEh4d1lnWVZsWDFjK1BqNDdONXFUMXdmbUF5b3p5S0R3RGdScDJNaUFjaTRnUFgra3YrUnBGenJ0Zkx2UHBaMHhVbkM1RlNHbytJZTNMT2Q2ZVVmblRMUkQzM3hpREczNUhRRkMzbjNNczVWcC9FM3V5M0lkelUvYVdVM3ZGODEzbk1LNjY3UmpueWx2YjNGdlp6eGYxZGh5cm5QSFlEODIrT2lJbVUwcTBwcGZFYzExK3V3VWFuK0FBQWJzaHdPUHpQNjdyZTA3YnRTRDFMV0ZYVlBSSHhIOFdLbDRndlcrOEVaa1VaY2lJaUR1U2M5MGJFbDgrZUg4NUhyLzZWdHk4dG04WGlNUC9LV0IxSDF6bXh2L3psQzJ1c054d09yMm05YTkzZldtT0R3V0ROQjhucWRhOTFmMnVOcjNXTWE5MzJlbzY3K2pqWHVtMVZWZGY5OVZ0Y1hMeXVZMXpqY1crUGlGK09pTCt5Y3ZBYTVyRmpFZkZzenZrdmhzUGhsNGZENGRmUHRXTS9tRko4ZE0wTllZUXBQZ0NBRzNMZ3dJRm5JdUtacm5OY3IrbnA2ZW1xcWo0V0s0cVBLNTBvNUp3WGM4N1BSTVFYQm9QQjE0YkQ0U3N6TXpNbklpSlBQYkQ3c1hjbU5hVWJ0T25vdm4zNy9xVHJISXlPblR0M3ZqRStQbjUrcmIvdHNXekZzck01NXo5dTIvWTNJdUtaMTE5Ly9jVFJvMGZQeElVU2JHckg5RHVXRzk1SmlnOEFZTk5iK1RhV0ZXT0xFWEU2SW83bm5IOTNmbjcrbng4NmRPakZiaElDWE4zS3VTeS9lV2N4SXM3a25MOFpFWjgvZGVyVVoxM09sczFJOFFFQWJIcXIzaHQvTkNLK25uUCtXbFZWZi96dGIzLzcwUEhqeDg5MUZBM2dtbDJZeStZajRrak8rV3NSOFpYaGNQak13WU1IRDNhYkRMcWwrQUFBTnIyYzh4c3BwZjg3SW41ek1CaDhvOWZyZld2ZnZuMm51ODRGY0swdS9PMmgzOG81ZnpHbGRHeHhjZkc3TXpNemIzU2RDellDeFFjQXNDbWxsQlp6enI4ZkViOTQvdno1MzNuKytlZS8yM1VtZ09zMU56ZDM1bzQ3N25oaS8vNzl6MFhFVXRkNVlDTlNmQUFBbTlMZXZYdG5JdUkvNnpvSHdJMDRmdno0dWVQSGorL3RPZ2RzWkZYWEFRQUFBQURlTG9vUEFBQUFvRmlLRHdBQUFLQllpZzhBQUFDZ1dJb1BBQUFBb0ZpS0R3QUFBS0JZaWc4QUFBQ2dXSW9QQUFBQW9GaUtEd0FBQUtCWWlnOEFBQUNnV0lvUEFBQUFvRmlLRHdBQUFLQllpZzhBQUFDZ1dFM1hBVmE3Ky82SDN6L1dhKzd2T2dlamEyRmg0ZGlyeHc2OTJIVU9BRGFmM09ZNCtkcDM0K1ZYam5jZGhSRnk4dVJyMGJiRHJtTUFGR3RERlIvM1BMRDczbDZUUGhjcDcrZzZDNk5yZkdMc3BhbXA2VS9NenU2YjdUb0xBSnZMMlhQbjRwLzk4cE14T1RuWmRSUkd5UHo4Zk15ZFB0TjFESUJpYmFqaW94ZHhiNlRZa1NLOWI4dmtaTlJOM1hVa1JzaHdNSXp6OC9QUjVqd1JFekVWRVlvUEFONFJPYlduVTY3bjJ0eHVPL0dkazEzSFlVU2xsTTRzdGt1bnVzNEJVSm9OVlh3czJ6STVHVTg4L3VuWStlRDJycU13UW1ZT0hZNG5uM282NXM1NHhnU0FkOWFMTHp4MzVMNFBQZng0VlRmM2RKMkYwZFVPaHlkZWFmS2hybk1BbEdaREZoOTFVOGZPQjdmSFk0OStwT3NvakpoZXI5ZDFCQUEycDZXWFhuanVEN3NPQVFCY3psVmRBQUFBZ0dJcFBnQUFBSUJpS1Q0QUFBQ0FZaWsrQUFBQWdHSXBQZ0FBQUlCaUtUNEFBQUNBWWlrK0FBQUFnR0lwUGdBQUFJQmlLVDRBQUFDQVlpaytBQUFBZ0dJcFBnQUFBSUJpS1Q0QUFBQ0FZaWsrQUFBQWdHSTFYUWNBQUFCZzR4Z09oakZ6NkhEWE1SZ3hNNGNPeDlMU1V0Y3gxcVQ0QUFBQTRLTHo4L1B4NUZOUFI2L1g2em9LSTJScGFTbk92UDU2MXpIV3BQZ0FBQUFnRm5QNzZsaEtyN1k1VDh5ZE9kTjFIRVpWemljV2MzNjE2eGdyS1Q0QUFBQ0k0NGNQdkhEZkF3LzluYXJwM2RsMWxvMXE2M2o2aVRyRjN4am0vTXpyOCsydlJxcm11ODYwMFF4VGZ1MzQ4d2RlNkRySFNvb1BBQUFBSWlMYWw0NThZeVlpWnJvT3NsSDErLzNLbWNkMkFBQVdPa2xFUVZRZlN5azlrSEk4Mnd6UGZlWElrU05lR2pNQ0ZCOFVLTWR0RSttLzZQZjcvK01sb3ptbjVkdFZWVjAyZHNIVjdxODV2c1orSXFXMDFyWnZlZXd0SE9QaXNweno3U21seURsdlhXTjlBQUNBWWlrK0tFN0tLYVZJajZhVXRsMHl2bVpIY0pPT2VRMzd2dG82T2VjYlBzYlY5cDlTdXYyR2RnSUFBREJpRkI4VXA4MDV0em5tVW83SmxlTXBwY3VhaFpWajZ4UVBlWTN4aXdPcnk0Z0w2MTZ5d2ZJNksvZXoxbnJMbGwrTnNsTGJ0bXV0dWx4bUxCOW4zZVlrNXp5UlVocHIyL2I0ZXVzQUFBQ1VTUEZCY1ZLVjR2eFMvaCsyOVBMUmxGSytVQWprd1dDUWwrOHZqdzJIdzB2dXA1VHljRGk4ZUh2NTMrcHRxNnBxVTBwNWFXbHArWDVlWEZ5TTVmSGxmMHRMUzFkK0djYzdaSHg4L0wrTWlKK3FxbXFoNnl3QUFBRHZKTVVIUlZwcTAvUDc5Ky83azY1emJCUjc5dXlaNnpvREFBQkFGeTUvVFQwQUFBQkFJUlFmQUFBQVFMRVVId0FBQUVDeEZCOEFBQUJBc1JRZkFBQUFRTEVVSHdBQUFFQ3hGQjhBQUFCQXNSUWZBQUFBUUxFVUh3QUFBRUN4RkI4QUFBQkFzUlFmQUFBQVFMRVVId0FBQUVDeEZCOEFBQUJBc1JRZkFBQUFRTEVVSHdBQUFFQ3hGQjhBQUFCQXNSUWZBQUFBUUxHYXJnT3NKYmM1VHA1OExWNSs1WGpYVVJnaEowKytGbTA3N0RvR0FBQUFHOGlHTEQ3T25qc1h2L0NMdnhRVEV4TmRSMkdFek0vUHg5enBNMTNIQUFBQVlBUFpVTVZIVHUzcGxPdTVOcmZidm4zaU8xM0hZVVNsbE00c3RrdW51czRCQUFCQTl6WlU4ZkhpQzg4ZHVlOUREejllMWMwOVhXZGhkTFhENFlsWG1ueW82eHdBQUFCMGIwTVZIeEd4OU5JTHovMWgxeUVBQUFDQU1yaXFDd0FBQUZBc3hRY0FBQUJRTE1VSEFBQUFVQ3pGQndBQUFGQXN4UWNBQUFCUUxNVUhBQUFBVUN6RkJ3QUFBRkFzeFFjQUFBQlFMTVVIQUFBQVVDekZCd0FBQUZBc3hRY0FBQUJRTE1VSEFBQUFVQ3pGQndBQUFGQ3NwdXNBQUd4NFRVUjhlTStlUFYzbkFBRG9WTTc1QTExbjRQb3BQZ0M0bWx0eXp2OG9JZ1pkQndFQTZOaGsxd0c0Zm9vUEFOWTBHQXlPTjAzelhNNjU2eWdBQUJ2RlhFUzBLYVY5UjQ0Y09kZDFHSzZONGdPQU5jM016SHhyMTY1ZC95Q2xkR2ZYV1FBQU5vcTZyZ2VMaTR0SHc2dGhSNGJpQTREMTVJTUhEeDZOaUtOZEJ3RUFnTGZLVlYwQUFBQ0FZaWsrQUFBQWdHSXBQZ0FBQUlCaUtUNEFBQUNBWWlrK0FBQUFnR0lwUGdBQUFJQmlLVDRBQUFDQVlpaytBQUFBZ0dJcFBnQUFBSUJpS1Q0QUFBQ0FZaWsrQUFBQWdHSXBQZ0FBQUlCaUtUNEFBQUNBWWlrK0FBQUFnR0lwUGdBQUFJQmlLVDRBQUFDQVlpaytBQUFBZ0dJcFBnQUFBSUJpS1Q0QUFBQ0FZaWsrQUFBQWdHSXBQZ0FBQUlCaUtUNEFBQUNBWWlrK0FBQUFnR0lwUGdBQUFJQmlLVDRBQUFDQVlpaytBQUFBZ0dJcFBnQUFBSUJpS1Q0QUFBQ0FZaWsrQUFBQWdHSXBQZ0FBQUlCaUtUNEFBQUNBWWlrK0FBQUFnR0lwUGdBQUFJQmlLVDRBQUFDQVlpaytBQUFBZ0dJcFBnQUFBSUJpS1Q0QUFBQ0FZaWsrQUFBQWdHSXBQZ0FBQUlCaUtUNEFBQUNBWWlrK0FBQUFnR0lwUGdBQUFJQmlLVDRBQUFDQVlpaytBQUFBZ0dJcFBnQUFBSUJpS1Q0QUFBQ0FZaWsrQUFBQWdHSXBQZ0FBQUlCaUtUNEFBQUNBWWlrK0FBQUFnR0kxWFFjQTZOTGQ5ei84L3JGZWMzL1hPUmhkQ3dzTHgxNDlkdWpGcm5NQUFMQTJ4UWV3YVUxTlRVOUZMMzgyVXQ3UmRSWkcxL2pFMkV0VFU5T2ZtSjNkTjl0MUZnQUFMcWY0QURhdmlaaUtGRHRTcFBkdG1aeU11cW03VHNRSUdRNkdjWDUrUHRxY0oySWlwaUpDOFFFQXNBRXBQb0JOYjh2a1pEengrS2RqNTRQYnU0N0NDSms1ZERpZWZPcnBtRHR6cHVzb0FBQmNnZUlEMlBUcXBvNmREMjZQeHg3OVNOZFJHREc5WHEvckNBQUFYSVdydWdBQUFBREZVbndBQUFBQXhWSjhBQUFBQU1WU2ZBQUFBQURGVW53QUFBQUF4Vko4QUFBQUFNVlNmQUFBQUFERlVud0FBQUFBeFZKOEFBQUFBTVZTZkFBQUFBREZVbndBQUFBQXhWSjhBQUFBQU1WU2ZBQUFBQURGVW53QUFBQUF4Vko4QUFBQUFNVlNmQUFBQUFERlVud0FBQUFBeFZKOEFBQUFBTVZTZkFBQUFBREZVbndBQUFBQXhWSjhBQUFBQU1WU2ZBQUFBQURGVW53QUFBQUF4Vko4QUFBQUFNVlNmQUFBQUFERlVud0FBQUFBeFZKOEFBQUFBTVZTZkFBQUFBREZVbndBQUFBQXhWSjhBQUFBQU1WU2ZBQUFBQURGVW53QUFBQUF4Vko4QUFBQUFNVlNmQUFBQUFERlVud0FBQUFBeFZKOEFBQUFBTVZTZkFBQUFBREZVbndBQUFBQXhWSjhBQUFBQU1WU2ZBQUFBQURGYXJvT0FOQzEzT1k0ZWZLMWVQbVY0MTFIWVlTY1BQbGF0TzJ3NnhnQUFGeUY0Z1BZOU02ZU94ZS84SXUvRkJNVEUxMUhZWVRNejgvSDNPa3pYY2NBQU9BcUZCL0FwclhVTHAzcVZjMWNtOXR0M3o3eG5hN2pNS0pTU21jVzI2VlRYZWNBQUdCdGlnOWcwM3FseVlmdVd4bytYdFhOUFYxbllYUzF3K0dKVjVwOHFPc2NBQUNzVGZFQmJGNHpNNHN2UmZ4aDF6RUFBSUMzajZ1NkFBQUFBTVZTZkFBQUFBREZVbndBQUFBQXhWSjhBQUFBQU1WU2ZBQUFBQURGVW53QUFBQUF4Vko4QUFBQUFNVlNmQUFBQUFERlVud0FBQUFBeFZKOEFBQUFBTVZTZkFBQUFBREZVbndBQUFBQXhWSjhBQUFBQU1WU2ZBQUFBQURGVW53QUFBQUF4Vko4QUFBQUFNVlNmQUFBQUFERlVud0FBQUFBeFZKOEFBQUFBTVZTZkFBQUFBREZVbndBQUFBQXhWSjhBQUFBQU1WU2ZBQUFBQURGVW53QUFBQUF4Vko4QUFBQUFNVlNmQUFBQUFERlVud0FBQUFBeFZKOEFBQUFBTVZTZkFBQUFBREZVbndBQUFBQXhWSjhBQUFBQU1WU2ZBQUFBQURGVW53QUFBQUF4Vko4QUFBQUFNVlNmQUFBQUFERmFyb09BQUFBd01adzkvMFB2MytzMTl6ZmRRNUcxOExDd3JGWGp4MTZzZXNjS3lrK0FBQUFpS21wNmFubzVjOUd5anU2enNMb0dwOFllMmxxYXZvVHM3UDdacnZPc2t6eEFRQUFRTVJFVEVXS0hTblMrN1pNVGtiZDFGMG5Zb1FNQjhNNFB6OGZiYzRUTVJGVEVhSDRBQUFBWU9QWk1qa1pUenorNmRqNTRQYXVvekJDWmc0ZGppZWZlanJtenB6cE9zcGxGQjhBQUFCY1ZEZDE3SHh3ZXp6MjZFZTZqc0tJNmZWNlhVZFlrNnU2QUFBQUFNVlNmQUFBQUFERlVud0FBQUFBeFZKOEFBQUFBTVZTZkFBQUFBREZVbndBQUFBQXhWSjhBQUFBQU1WU2ZBQUFBQURGVW53QUFBQUF4Vko4QUFBQUFNVlNmQUFBQUFERlVud0FBQUFBeFZKOEFBQUFBTVZxdWc0QTBLVzc3My80L1dPOTV2NnVjekM2RmhZV2pyMTY3TkNMWGVlZ2UrWVRicFQ1Qk9EdG9mZ0FOcTJwcWVtcDZPWFBSc283dXM3QzZCcWZHSHRwYW1yNkU3T3orMmE3emtKMzdubGc5NzI5Sm4zT2ZNS05NSjhBdkQwVUg4RG1OUkZUa1dKSGl2UytMWk9UVVRkMTE0a1lJY1BCTU03UHowZWI4MFJNeEZSRU9GSFp4SG9SOXk3UEo1T1RrOUdZVDdnTzVoT0F0NWZpQTlqMHRreE94aE9QZnpwMlByaTk2eWlNa0psRGgrUEpwNTZPdVRObnVvN0NCckpsY2pKKy9sTS9HOU83SCs0NkNpUEVmQUx3OWxKOEFKdGUzZFN4ODhIdDhkaWpIK2s2Q2lPbTErdDFIWUVOcG03cWVIRDdoOHduWERmekNjRGJ4MVZkQUFBQWdHSXBQZ0FBQUlCaUtUNEFBQUNBWWlrK0FBQUFnR0lwUGdBQUFJQmlLVDRBQUFDQVlpaytBQUFBZ0dJcFBnQUFBSUJpS1Q0QUFBQ0FZaWsrQUFBQWdHSXBQZ0FBQUlCaUtUNEFBQUNBWWlrK0FBQUFnR0lwUGdDQVRXbkhqaDN2ZmVTUlIzNm82eHdBTitMZWUrK2QzTFZyMTY2SWFMck9BaHVWQndjd1VuYnQydlh1cG1uKzdtQXcrRmR0Mjc3eWpXOTg0M1JFREx2T0JZeWVpWW1KOTFkVjliLzIrLzI3VTBxL21uUCs3UG56NTQ5VlZmWDZ6TXpNWXRmNUFLN0ZyYmZlZWx2VE5KL3A5L3ZiSStMWEJvUEJGNXFtZWVuVXFWT3Z6ODdPem5lZER6WUN4UWN3VXBxbXVUV2w5RDgxVGZOYVJQeDV2OS8vaTVUUzNqTm56bnoxeUpFako3dk9CNHllbE5LdEVmSDNJK0tuSnljblp5TGltWDYvLzVXSTJGOVYxY3pYdi83MXBXNFRBbHhkU3VuN0l1S0pYcS8zZU03NThMWnQyNTd0OS90ZkhnNkh6eHc0Y09DNXJ2TkJseFFmd0VoS0tkMGVFZjl1UlB3N0VYRnU2OWF0LzkvMDlQUy9IZzZILy9QQmd3Zi92T040d0lqSk9VZEVqS1dVcG5QT2o2U1VQaGtScDlxMmZXRjZldnBmRG9mRC8vUGd3WU9uT280SmNFVVg1ckltcGZSUVJPeU1pQit2Ni9wa3Y5OC9sSFArNHR6YzNLOTdGUWlia2VJREdGa1hmcmpYRWJFMXBiUTFwZlNCcXFyK3czNi8vNWNSOFlYaGNQamJTMHRMcjU0L2YvNlVIL0xBbGFTVUl1ZThQSytrblBQV2VITnV1UytsOURlcXFucTYzKy8vZXR1Mi8ySTRITzZibTVzNzgvTExMODlIUk80Mk9jRDNySjdMSXVLV2lMZ2xwVFNWVXZyb3RtM2JQdFB2OTcrVWMvNThTdW5aRXlkT3pCMC9mdng4bU1zb25PSURHRm5MUDl3akxwWWd5K1AzUjhRL2Jwcm1IelpOczM5aVltTHZiYmZkOXVXMmJiOTI4T0RCb3gzRnBXQzlLbit3Mys4dmZ4TysrZHRtU2praVlqZ2NYbkovOWZMbGo0UEJZTTN4bEZKZXNlMGw2NjBjWDduKzB0TFNtdU5WVlYzVCtzdkxWcSsvdUxoNDJmWlZWVjJTWTJGaDRlTDQ2dTJYNzFkVmxjK2RPN2ZtK1BMNmRWMWZIRDk3OXV5YTQzVmRYL0x4OU9uVGE0NDNUWk1qSW5xOVhvNklPSEhpUkk2SWFOdDJ2S3FxdENMam0vOUJLK2FUVlhQTFQ5UjEvUk5WVlgzempqdnUrRGUzMzM3N2dZajQwOFhGeFFQbi9FVVFicEtteXQrL2VqNkp1SHhPV1RtMmN0M1ZjMGpFNWZQTGV1dXROeDlkeTdiTDg4aDYyeXcvYmxkdnU5Wjh0ZkwyNm5sa1lXRmh6ZU92TmI5VlZaWFBuejkveWJMVk9WWnZPejgvbjFmdlkvVjZ5M1BMeXJIVjg5UjY2Nis4dlhyT1dubDc5YndWOGIyNWErWHlwbW55NU9Ua1dOdTJGeTlhY2FXNTdNSVRSUjlQS1gwODUzenNycnZ1ZXViT08rLzhhdHUyWHgwTUJudlB0UUZGVW53QUkrMXFQOXdqNG9jaTRnZXJxdnE3VlZXZDdQZjdYMnZiOXRmMjc5Ly9leDNFcFZCalRmWGpLYVhwV09NWnM1Vy9OSzl3Y1d6NSs3V3U2MHZHbDYwNnNZbW1hZFpjYitYWWhYVXVHMTg1dHJJMHJPdjZzdU9zM2o3bkhMMWViOTM4eTNmSHg4Zlh6Ylh5NEpPVGsrc2VhM1hJTFZ1MlhIYWNsWGZhdG8ySXlGdTNicjFrWjZzL3ArVjkzSG5ubmN1ZjAwVE8rYjdsZVdURmRwZHRzL0oyU3VrSEl1SUhJdUxISXVLMThmSHhsOXNZN0oxdlU3M1dKd1hYWTd5cFBubmhiUXByUGlicnV2N2VBL2h5YXo0MjE1dGZJaTUvbkVSY01vZXNkNXpMbGwzck5xdWZzTGlRN2FwejBQSTJZMk5qNjJaWVBVKzBiUnZYTWljdFN5bXROemV0dTkzeUo3VEdkbXV1dnp4ZlJVU3Nuck9XTTZ6YS84V2JkOTU1NTVyQjJyWnRJdUw5YSt4cnJmMnNuTXMrR0JFZlRDbDlMS1gwV2wzWEwrV2w5c0Q1UVpqTEtJN2lBemFCdG0xelZWV1JVdnE1UFh2Mi9GelhlZDRPcTA5Y0lpNzVJVitsbExaRnhMYUkrRkJkMTUvczkvdkhGd2I1OTg0dHVhdzNOeTVGTkRubmlZdjMwOG9YRVZ6K3ZYbjU1bTlwV2VTY3I3YnpkWmRmeVBXV3QvL2VidFpmWmIxOEt4NmJWOXgvdXZRTCtaYnlYVU8yLzcrOSsvbU40NnpqQVB4OXZXdkhJYUxxSlFnVktRcFNrYUpRSWVjSUp3NEl4SVV6L0FzY09QQkg5QUpDU0QwZ2NlR0hXaW8xRmIxeGFLdVdDOUFBSVJnbjZ6UXhqcG9TQjhkSjdkcXg2K3p1ek11aG0zYXpXZHZyMEdTODQrZTVaUDN1N014bi9lUE56R2RtZC9mOEFlMWlLaUkrbDFKNnF0Rm9URWU1Mi9FZWpDYm5QSmx6VFBlUDlmOHBESHk5azFGL3IwZGFib1M1WnVUMWpUajNqTHkrL3VYMityN3M5VHo2WGg0eTJrYjNucU1leUxmWDZrYlo1aTdQNFpIbnNwenprZmo0NVRCUHBaU081Qmo1NXcxalEvRUJoOE44enZsZVN1bWgweDUxdE5PSnNONzRSem5udDFKS2IzZUszSTRVMzN1aTRhaWxlOTN5ZDQwVXowZDh2RlBhYkRZZk9yRHUzMW50M1U0UkVZMUc0NEh4WVFma3ZaZGpQTENlWWV2dm5UbmQ4ZjcrZis5dmQ1ZWNxVy9ibi9seWUrV01UNDhwOWx4dVltSmljSHp3ZTMxL3VmNmQrUlFSejBURUR5TGllTi80am5OSTN4Vm1WeUxpSHhGeExlZjgrcjE3OS82KzFXNCtGNVBwTzBNZkNQdlFMdkp2SmlmeXRZaFBmMytIelNuOTl3L2NmbUF1Nkw5djRLQjVjSTc1Wkd5djVRZm5tOEh0NzVKdHg3bG5wN0grdjl2ZHRoRVB6ekdQdEkwaDY5N3hzWU1semdqejM1NVpkcGt6aHo3ZjN0am5VMHJmajRndjk5MC95bHgyTFNMK0doRlh1dDN1bTBWUnZMTlZUbjBqcGZqdTBBZkNHRk44d0NIUWJyZGZialFhN3pTYnpUcGMzZkJNU3VrUGc0TzcvZWVlYzc2YmMzNnJMTXRmNTV5dnR0dnRtNWN2WDc1ejh0VE1OMlBISzJ0aGRKMHlYWnVkL2VjZnE4N0Ivc3pNek14TVRFeDhPM3JGUjg3NW9iTzIvVitYWmZsYVJMeGNGTVg1emMzTk80dUxpeHNSVVVaRW5IejJhMDhzTi9YV0xkT2krWVQ5T0gzNjlCZVBIRG55OWVnVkg4UDJpZnJLanMzZVB0SFppRGkzc2JHeHZMaTR1QjY5bDkrY1BEWHp4SExEazZUNGdFT2cxV3JkallpNXFuTjhGczZjT2JOMi8vYkFtdzVHMy9obVN1bURuUE9Wc2l4ZlN5bTljdUhDaFpVbm14UVlKNFB2RFpCUzJzNDViK1NjMzR1SUY5dnQ5b3VYTGwzNm9LSjRBQ1BwZS8rTysrOC8wbzZJOWQ2VmFpK3RycTcreWlmZGNSZ3BQb0N4MWxkNEZCSFJ5am4vS2VkOHZ0dnRYcGlibTV1TmlHNTE2WUJ4MFR0SWFPZWNXeEZ4cml6THZ4UkZjVzVxYXVyZjU4K2Y3MVNkRDJBVXZmMmk3WWhZeURuL0xTTCtYQlRGdWJtNXVWcWNBSU5IcGZnQXhsYnZRR1UxNTN3MklsNU5LVjFaWFYxZGRpWUQyS2VOblBQWm9paGU2bmE3QzJ0cmE3ZVhscGEycWc0RnNCODU1K1dJK0gzTytaV1UwclYydTMybmQ5VXZISHFLRDJDc0ZFVlJOQnFOcXhIUlNpbjlkbU5qNDgyRmhZWDFxbk1CNCtmdTNiczNqaDA3OXNQWjJkbTNxODRDOEtqVzF0YldqeDgvL3VQWjJkbUxFZUVLTlJoQzhRR01sVzYzZTZ2YjdYNnIxV3E5SDcwMzRnSjRGQXNMQ3lzUm9mUUF4dHJTMHRMVzB0TFNoYXB6d0VHbStBREdTcXZWYWtmRTlhcHpBQUFBNDZFT0gyMEpBQUFBTUpUaUF3QUFBS2d0eFFjQUFBQlFXNG9QQUFBQW9MWVVId0FBQUVCdEtUNEFBQUNBMmxKOEFBQUFBTFdsK0FBQUFBQnFTL0VCQUFBQTFKYmlBd0FBQUtndHhRY0FBQUJRVzgycUF3QlVMWmM1VmxadXgzOXVMRlVkaFRHeXNuSTd5cktvT2dZSFRDNXpyTnkrWXo1aFg4d25BSStYNGdNNDlEYTN0dUw1bi93c3BxZW5xNDdDR05uZTNvNjFEOWVyanNFQnM3bTFGVC85K1F0eDlPalJxcU13UnN3bkFJK1g0Z000dERwbFozVnlvcmxXNXZMcC95N2Zxam9PWXlxbHRONHVPNnRWNTZCYU9aVWZwdHhZSzNQNTlQS3RsYXJqTUtiTUp3Q1BoK0lET0xSdU5QUDhpVTd4bzRsRzgwdFZaMkY4bFVXeGZLT1o1NnZPUWJYZXUzcHg0Y1JYbmpPZjhIOHhud0E4SG9vUDRQQnF0ZHJYSTk2b09nWlFDNTNyVnkrYVR3RGdBUEtwTGdBQUFFQnRLVDRBQUFDQTJsSjhBQUFBQUxXbCtBQUFBQUJxUy9FQkFBQUExSmJpQXdBQUFLZ3R4UWNBQUFCUVc0b1BBQUFBb0xZVUh3QUFBRUJ0S1Q0QUFBQ0EybEo4QUFBQUFMV2wrQUFBQUFCcVMvRUJBQUFBMUZhejZnQUFBQUFjSEVXM2lOYjh1MVhIWU15MDV0K05UcWRUZFl5aEZCOEFBQUI4NHFQdDdYamhGNytNeWNuSnFxTXdSanFkVHF4dmJGUWRZeWpGQndBQUFOSE81YzJwbEc2V09VK3ZyYTlYSFlkeGxmTnlPK2ViVmNmb2w2b09BQUFBd0lFd2NlTFpyNTZhYUU1K29lb2dqSzhpbGJmZm4vOVhLeUxLcXJNQUFBQUFBQUFBQUFBQUFBQUFBQUFBQUFBQUFBQUFBQUFBQUFBQUFBQUFBQUFBQUFBQUFBQUFBQUFBQUFBQUFBQUFBQUFBQUFBQUFBQUFBQUFBQUFBQUFBQUFBQUFBQUFBQUFBQUFBQUFBQUFBQUFBQUFBQUFBQUFBQUFBQUFBQUFBQUFBQUFBQUFBQUFBQUFBQUFBQUFBQUFBQUFBQUFBQUFBQUFBQUFBQUFBQUFBQUFBQUFBQUFBQUFBQUFBQUFBQUFBQlFtZjhCZXdzUGM0S1ZuM2tBQUFBQVNVVk9SSzVDWUlJPSIsCgkiVGhlbWUiIDogIiIsCgkiVHlwZSIgOiAiZmxvdyIsCgkiVmVyc2lvbiIgOiAiIgp9Cg=="/>
    </extobj>
    <extobj name="ECB019B1-382A-4266-B25C-5B523AA43C14-2">
      <extobjdata type="ECB019B1-382A-4266-B25C-5B523AA43C14" data="ewoJIkZpbGVJZCIgOiAiMjkyOTIxNzg3Mjk3IiwKCSJHcm91cElkIiA6ICIxNDk1MzM0NTkiLAoJIkltYWdlIiA6ICJpVkJPUncwS0dnb0FBQUFOU1VoRVVnQUFCVGdBQUFMZ0NBWUFBQUN3SXhnM0FBQUFBWE5TUjBJQXJzNGM2UUFBSUFCSlJFRlVlSnpzM1h1UVhPZDlIdWpmZDA3UEREQUFBWklSZU5HRmhDU1FWaWdhN0ZsS05LTkx2T3V0bEZQSnJyM2V5SnVvWWtlbFdFbkZTcTNMVlZIMjR0M3MxdjZ4bTFwSHRVbkt5WlpWaXExWW9pNlJGTWxyV1ZwdlJYSmtTNklza1JDQUlRZ1JFQ1F4SklnSUpBRVNKREFEVEhlZmIvOUE5Nmd4R053SWNrNS9tT2VwWWszM09hZFB2OTNFYjdybjdkUGRF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jUUdvN3dHcHVldjNkTjg5Mk9yZTJuWVAxcGNtOXBTY09iZmhleEs1ZTIxa0FBQUFBdUR3VFYzQys5czU3WGpOVnhXL25pQjF0WjJHOVNVdE5rei80eE1HOUgyczdDUUFBQUFDWHA5TjJnSlU2VmJvanAzaEhpcmkrN1N5c1AxVVZiNCs0OTFPTzRnUUFBQUFvdzhRVm5DUFhiZDRjNy9tbGQ4Y2RiM3hEMjFGWUJ6NzhrWS9HdnYzZkhaN2IxV29XQUFBQUFDN2Z4QmFjTXpNejhiYjc3NHY3NzN0TDIxRllCNzd3cFQ4YUt6anZEU1VuQUFBQVFCbXF0Z01BQUFBQUFMeFVDazRBQUFBQW9GZ0tUZ0FBQUFDZ1dBcE9BQUFBQUtCWUNrNEFBQUFBb0ZnS1RnQUFBQUNnV0FwT0FBQUFBS0JZQ2s0QUFBQUFvRmdLVGdBQUFBQ2dXQXBPQUFBQUFLQllDazRBQUFBQW9GZ0tUZ0FBQUFDZ1dBcE9BQUFBQUtCWUNrNEFBQUFBb0ZnS1RnQUFBQUNnV0FwT0FBQUFBS0JZQ2s0QUFBQUFvRmdLVGdBQUFBQ2dXQXBPQUFBQUFLQllDazRBQUFBQW9GZ0tUZ0FBQUFDZ1dBcE9BQUFBQUtCWUNrNEFBQUFBb0ZnS1RnQUFBQUNnV0FwT0FBQUFBS0JZQ2s0QUFBQUFvRmdLVGdBQUFBQ2dXQXBPQUFBQUFLQllDazRBQUFBQW9GZ0tUZ0FBQUFDZ1dBcE9BQUFBQUtCWUNrNEFBQUFBb0ZnS1RnQUFBQUNnV0FwT0FBQUFBS0JZQ2s0QUFBQUFvRmdLVGdBQUFBQ2dXQXBPQUFBQUFLQllDazRBQUFBQW9GZ0tUZ0FBQUFDZ1dBcE9BQUFBQUtCWUNrNEFBQUFBb0ZnS1RnQUFBQUNnV0FwT0FBQUFBS0JZQ2s0QUFBQUFvRmdLVGdBQUFBQ2dXQXBPQUFBQUFLQlluYllEWE1peDQ4ZmpmZS8vdGFqcnV1MG9yQU9MaTR0dFJ3QUFBQURnSlppNGdqTlgrVVJxMG1LT2ZQM0NndEtKdFpOemJpTGl1WWhkZzdhekFBQUFBSEI1SnE3Z0hMeHc3TEY2OHcwZmlLYmUxbmFXa3RTcHVXbDJ1bjU3VHJsZVBOUDg2U0JYVDdlZHFUUXBSZE1NQmwrT2lLYnRMQUFBQUFCY250UjJBRjRlYzNOelA1MVMrbFRPZVVORS9GZTdkKy8razdZekFRQUFBTUFyelpjTUFRQUFBQURGVW5BQ0FBQUFBTVZTY0FJQUFBQUF4Vkp3QWdBQUFBREZVbkFDQUFBQUFNVlNjQUlBQUFBQXhWSndBZ0FBQUFERlVuQUNBQUFBQU1WU2NBSUFBQUFBeFZKd0FnQUFBQURGVW5BQ0FBQUFBTVZTY0FJQUFBQUF4Vkp3QWdBQUFBREZVbkFDQUFBQUFNVlNjQUlBQUFBQXhWSndBZ0FBQUFERlVuQUNBQUFBQU1WU2NBSUFBQUFBeFZKd0FnQUFBQURGVW5BQ0FBQUFBTVZTY0FJQUFBQUF4Vkp3QWdBQUFBREZVbkFDQUFBQUFNVlNjQUlBQUFBQXhWSndBZ0FBQUFERlVuQUNBQUFBQU1WU2NBSUFBQUFBeFZKd0FnQUFBQURGVW5BQ0FBQUFBTVZTY0FJQUFBQUF4Vkp3QWdBQUFBREZVbkFDQUFBQUFNVlNjQUlBQUFBQXhWSndBZ0FBQUFERlVuQUNBQUFBQU1WU2NBSUFBQUFBeFZKd0FnQUFBQURGVW5BQ0FBQUFBTVZTY0FJQUFBQUF4Vkp3QWdBQUFBREZVbkFDQUFBQUFNVlNjQUlBQUFBQXhWSndBZ0FBQUFERlVuQUNBQUFBQU1WU2NBSUFBQUFBeFZKd0FnQUFBQURGVW5BQ0FBQUFBTVZTY0FJQUFBQUF4Vkp3QWdBQUFBREZVbkFDQUFBQUFNVlNjQUlBQUFBQXhWSndBZ0FBQUFERlVuQUNBQUFBQU1WU2NBSUFBQUFBeFZKd0FnQUFBQURGVW5BQ0FBQUFBTVZLYlFmZ3luVzczWjlQS2YyejhXVXBwUTBSc1Mzbm5GSktUK2VjVDQrdnp6bi9kM3YyN1BuTW1nWUZBQUFBZ0ZkWXArMEFYTG1USjA4K3VHWExsbHNpWXNQS2RTbWxpSWhiaGo5SFRnOEdnejlabzNnQUFBQUFzR2E4UmIxQWh3NGRlaWJuL1BtSWlKenpCYmNicmNzNWYzRitmdjdwdFVrSEFBQUFBR3RId1ZtdTN4MmRXSzNrSEYvV05NM0gxeVlTQUFBQUFLd3RCV2VoZXIzZUl6bm5INjU0Sy9vNVVrcVJjLzdoWURDWVg4Tm9BQUFBQUxCbUZKeUZldjc1NTE5SUtYMWpkSDc4aU0zeDB5bWxiL1I2UFc5UEJ3QUFBT0NhcE9BczFPSERoeGVicG5rNElrNWZhSnVjYzY5cG1vY1BIRGh3Y2cyakFRQUFBTUNhVVhDVzdlR2M4L0VMclV3cGpZN3l2UEEzRVFFQUFBQkF3UlNjQlZ0Y1hKeVBpTU9qOHpubjViZW5EejkvOCttRmhZVURiZVVEQUFBQWdGZWFnck5nQnc0Y2VESG4vT1VMZmRGUXp2bi9PM0Rnd0l0ckhBc0FBQUFBMW95Q3MzQ0R3ZUIzSXFJL3ZteFllUFo3dmQ2L2JDVVVBQUFBQUt3UkJXZmhIbm5ra1Iva25MKzk4aWpPcG1tKzgraWpqeDVxS1JZQUFBQUFyQWtGNTdYaFE2c3MrNzAxVHdFQUFBQUFhMHpCZVExb211WXJPZWZqS2FYUmx3c2Q3L2Y3Lzc3dFhBQUFBQUR3U2xOd1hnTk9uVHIxWWtycG9iRkZmN2EwdFBSTWE0RUFBQUFBWUkwb09LOEJodzRkT3Bsei9rN091Y2s1NTRqNHpzR0RCNCszblFzQUFBQUFYbW1kdGdQd3NtaUdYelQwZkVSTTU1eDNSVVRUZGlnQUFBQUFlS1U1Z3ZNYWNlYk1tVytsbEk1RXhMRXpaODU4cSswOEFBQUFBTEFXSnZJSXpwdGVmL2ZOczUzT3JXM25LTWxpUDJKNjBPeVBTQnNYK3pNM2I3K2plM1BibVVyVDVON1NFNGMyZkM5aVY2L3RMRmZyMVhmZSthcnBQUHZhdG5Pdy92VHF2UERVWTN0L0VCSDl0ck5jRFRORVc2NlZHUUlBZ0xXVTJnNncwbXZ2dk9jMVUxWDhkbzdZMFhhVzBuU3FQQnVSVXIrSlUyMW5LVk5hYXByOHdTY083djFZMjBtdXh2YnRkOTJTWjZaK002VjRhOXRaV0g5U3BKTk41SC84SHg3Yis3bTJzN3hVWm9nMlhRc3pCQUFBYTIzaWp1RHNWT21Pbk9JZEtlTDZ0ck9VWnBEUDl0VnA0bXJyY2xSVnZEM2kzazhWZlJSbnA3TTlwZlRPbEdKNzIxRllyOUw5RWZIN1VlcG5BWnNoV2xmNERBRUF3QnFidUlKejVMck5tK005di9UdXVPT05iMmc3Q3V2QWh6L3kwZGkzLzd2RGM3dGF6Zkp5NlhRNjhTdnYrZVc0NjAxM3RoMkZkZUkzLytsdnhWTkhqa1NLbk52TzhuSXdRNnkxYTIyR0FBQmdyVXhzd1Rrek14TnZ1LysrdVArK3Q3UWRoWFhnQzEvNm83R0M4OTY0RmtyT3FxcmkvdnZ1alo5KzU5dmJqc0k2OGFIZitkZngxSkdJZkkwY1IyNkdXR3ZYMmd3QkFNQmE4UzNxQUFBQUFFQ3hGSndBQUFBQVFMRVVuQUFBQUFCQXNSU2NBQUFBQUVDeEZKd0FBQUFBUUxFVW5BQUFBQUJBc1JTY0FBQUFBRUN4Rkp3QUFBQUFRTEVVbkFBQUFBQkFzUlNjQUFBQUFFQ3hGSndBQUFBQVFMRVVuQUFBQUFCQXNSU2NBQUFBQUVDeEZKd0FBQUFBUUxFVW5BQUFBQUJBc1RwdEJ3QWk3cjc3N2pkV1ZkV1puNTgvMEhZV0tORmRkOTAxWFZYVm0wNmZQbjNnMEtGRFo5ck9Bd0FBd05wUmNNSUVtSnFhZW10SzZaUGRidmRiRWZHNWZyLy95VTZuOCtLZVBYdGVqSWhCMi9sZzBrMVBUOCttbFA3UHFhbXB1Ym01dWMvbG5EK2ZVdHJ6M0hQUHZmajQ0NCtmYmpzZkFBQUFyeHdGSjB5UXFxcCtLaUorYW5wNituK0xpSWU2M2U0M2M4N2ZHZ3dHRCszYnQrL0p0dlBCcEVzcDNSd1J2NXBTK2pzNTUrL2RjTU1ORDIzZHV2VWJWVlY5YS9mdTNYdmJ6Z2NBQU1ETFQ4RUpFeVRuSEJFUkthVU5FZkhPbE5MYlUwclBWMVgxOU56YzNJT0R3ZUF6eno3NzdKOGVPWEprb2Qya01MbUdjOVJKS2YzNW5QT2I2cnArVjBRODArMTJEMGJFcDV1bStZUDUrZm1uMjAwSkFBREF5MFhCQ1JNa3BSUVJQeTQ2NCt3WGdkMFlFVGVtbE43VTZYVCs5aTIzM1BMQ3pUZmYvUEdjOHdOMVhSODhjZUxFaXo1ekVINHNwUlE1NTlFY3BaenpiRVRjWGxYVjdSSHhsNnFxK3ZEYzNOei9FeEVQUk1TRFZWVTl2MnZYcnNXSXlCZlpMUUFBQUJOS3dRbGo2cFMzZHJ1RHQwZDBleW1sWmpBWU5GVlZMZitzcXFycDkvdE5WVlZOWGRmTHAwYy9lNzFlVTlkMVU5ZDEwK3YxQnAxT3A1bWFtbXBPbno3ZFRFMU5OU2RQbm15bXA2ZWI1NTkvdnBtZW5tNW1aMmViL2Z2M24vY1ptNnNVbmVOSGQyNUpLZjFxU3VsWGM4NlBYSGZkZFE5MXU5MnZwWlMrdlh2MzdvTnJkRmZCcW5MT01WWEZxK2JtNXQ2UmN4NnNuS082cmdlcnpkQndacHE2cnB1bHBhV20wK2swWjg2Y2FhYW1wZ1pUVTFQTjR1SmlNelUxMVp3NmRhcVptcHBxWm1abW11UEhqemNiTm14b3RtN2QyZ3dHNTQ3UnhXWm91UDduSStMbmM4NC96RGsvUERjMzkyZUR3ZUFiQ3dzTGUvcHJjay9CNm5MT1VhZDhZN2ZidmJkcG1rRmQxNFBCWURDbzY3b1pEQWFENFN3Tmh2TXpHRDNlak9abHc0WU5nNU1uVHphenM3T0Q0OGVQTjF1MmJCa01IMmQ4bmpNQUFOY3NCU2VNbVptcTNsUlYxU2Z5MlNZazEzVWRFWkducHFaeW5EMjZLM2M2bllpSW5IUE9kVjFIU2lsUFQwK1B0aDgxS0huRGhnMTV0TjMwOUhSRVJMN3V1dXR5U2luZmNzc3RNZHJmM054Y2pvaXRxK1c1akpMbUo0Zi8vV0xPK2RqYzNOempTMHY5N3l6MGMvMHkzaTF3MlZKRWJPeFU5NmVVL25JTS80MlA1bUkwUjhPZkVXZm5LYWVVUnNzajU1eG5abVp5Uk9STm16WXRiemM3TzV0enpubnIxcTBSRVRtbGxHKzY2YWJSakVWVlZTa2liajh2ejNDR0lpNzRnc0hySStMMUVmRnpkVjAvczJYTGxxTzlYbi9mcVY3MitFZ3JVa1RNVHRWdnE2cjBudzFubytsME9rMzhlSmFhNFF3MVUxTlRPYVhVMUhXZFoyWm1tamc3RzgyV0xWdHl6amx2MjdhdFNTbmx1Ym01SmlLYWlJaVVVcE56UGgwUi9lRi92Wnh6UDZYVWo0amU4UHhTMHpSZm01K2YvN2R0M0FjQUFIQ2wvQUVIWTFLT0t1ZThNZjI0RlRublo4NzVuUE1ydDBzcHBkRTI0OXNPTjd2Z3Z0SjRDL01TNUp3M1I4UmlTbWxyMWFsbm90OWN6ZTdnNnFSYzV4d3I1K2l5WjJpMDNlZ3Q1cVBsRjV1amxGSjFsYW1uSTJKVHpubHJWVlViSS9KVnpTUzhWQ2xGVkZWTVI4U2ZHL3MzbjFiTVRvcXh4NWJMV0hmTzQ4ektoNXpWenFlVTNoY1Jud3NmM1FBQVFBRVVuRERtZEwvWm4zTHpnYW1wcWR3MFRWWFhkZFUwVFYxVlZkVTBUWlZ6cnFxcXFuTE81NXhPS1MyZmo0anp0aHN0U3luVks3Y2JMdHVaVW5yWHlqempSNXlOckRnaTdWRE8rVURPK1doRS9GOTc5KzQ5c0gzSHpyZEVwL3Fycjl5OUJCZVdJK0pVTHorNHFSNTh2SzdyTkQ0TEszOE9aNk8rMkR5TjFvMldEWC9XNDh2aTdHZlZibzZJZDZXVWRweVRaNVVaaWpqbjZPZ2pFZkZZenZuSndXRHd3T0xpNHRmNk1Uc1huZXErVi9KK2dndkpPV0pocWZubWJDZC91cXFxT3FWVUR4K0g2b2pvRFAvOWQ2cXFxcHVtcVllUElYV2MvV0t0MGJMT2FOM3d2MDRNbi9QbG5Ec1JVVWZFOGp5TmZvNHRmMWRLYWROclgvdmFEWWNQSDE1czdjNEFBSURMcE9DRU1ZT2NUdXpiTi9QVmlGMjl0YnpldWJtNXZ4RVJ5d1huSllyTkY1dW0rV3hLNlRQOWZ2OUFyOWM3TVQwOWZYcCtmdjdVMnFTRkMwc3B4U0RITTQ4ODhzZ2Z4L0F0c1d1aDIrMWVuMUxxUnNTT2lNdDZjZUQvYlpybU0wM1RmRFBuL0Z6VE5LZjI3OSsvRUJITjloMDcxeW8ybkMrbDZPWDRqL1B6ZTc4WXI4d01WWEgyS00vcXJydnVTZ3NMQzFXLzMwODMzbmhqMWUvMzAyQXdTTE96czc4d0xFVUJBS0FJbnJ6Q0JCbjdYTURSK1NZaUZpTGkrWWo0WnIvZmZ5QWl2cUxNaEFzYm42UGg1K2t1cFpSZXpEbi9JQ0llT0hQbXpHZjI3OS8vbzFaRFFudEdwZWxnLy83OXl3c1BIejY4ZkhwdWJpNGlJbTYrK2VZMHZod0FBQ2FWZ2hNbXlOZ1JacWNqNHVHYzg0TlZWWDNyOU9uVEQrL2Z2LytKRnFOQk1ZWnoxSStJUXhIeDdaVFNOM0xPMzlxOWUvZmVkcE1CQUFEd1NsQnd3Z1RKT1grbmFaby9iSnJtcy8xKy85bloyZGxuZCsxYTI3ZkxROGx5enMva25QK3dhWm92VmxXMWEzRng4ZGlCQXdkZWJEc1hBQUFBcnh3RkoweUFwbW0rMCsvMzMvem9vNC91di9UV3dFb25UNTVjM0xScDAyK2NPblZxLzZGRGg4NjBuUWNBQUlDMW8rQ0VDYkIzNzk2RGJXZUFrZzFMemQxdDV3QUFBR0R0VlcwSEFBQUFBQUI0cVJTY0FBQUFBRUN4Rkp3QUFBQUFRTEVVbkFBQUFBQkFzUlNjQUFBQUFFQ3hGSndBQUFBQVFMRVVuQUFBQUFCQXNSU2NBQUFBQUVDeEZKd0FBQUFBUUxFVW5BQUFBQUJBc1JTY0FBQUFBRUN4Rkp3QUFBQUFRTEVVbkFBQUFBQkFzUlNjQUFBQUFFQ3hGSndBQUFBQVFMRVVuQUFBQUFCQXNUcHRCN2lRWThlUHgvdmUvMnRSMTNYYlVWZ0hGaGNYMjQ3d3NsdGFXb3IzLy9vL2pFN0hETEUyVHAxYWFEdkN5OG9Nc2RhdXRSa0NBSUMxTW5FRlo2N3lpZFNreFJ6NStvV0ZhNjkwWW5MbG5KdUllQzVpMTZEdExGZWptVTR2MWswK0daR3V5ZUtXaWRkUHVYa3VJbkxiUVY0cU0wVExpcDhoQUFCWWF4TlhjQTVlT1BaWXZmbUdEMFJUYjJzN0MrdExTdEUwZzhHWEk2SnBPOHZWZUdMaHhQZTNUMS8zanlMVnQ3ZWRoZlVvbituM3FxOUV3ZVdNR2FKZDVjOFFBQUNzdGRSMkFBQUFKc2ZjM056cGxOSk1TbW5UcmwyN3ZHOGVBSUNKNTB1R0FBQUFBSUJpS1RnQkFBQUFnR0lwT0FFQUFBQ0FZaWs0QVFBQUFJQmlLVGdCQUFBQWdHSXBPQUVBQUFDQVlpazRBUUFBQUlCaUtUZ0JBQUFBZ0dJcE9BRUFBQUNBWWlrNEFRQUFBSUJpS1RnQkFBQUFnR0lwT0FFQUFBQ0FZaWs0QVFBQUFJQmlLVGdCQUFBQWdHSXBPQUVBQUFDQVlpazRBUUFBQUlCaUtUZ0JBQUFBZ0dJcE9BRUFBQUNBWWlrNEFRQUFBSUJpS1RnQkFBQUFnR0lwT0FFQUFBQ0FZaWs0QVFBQUFJQmlLVGdCQUFBQWdHSXBPQUVBQUFDQVlpazRBUUFBQUlCaUtUZ0JBQUFBZ0dJcE9BRUFBQUNBWWlrNEFRQUFBSUJpS1RnQkFBQUFnR0lwT0FFQUFBQ0FZaWs0QVFBQUFJQmlLVGdCQUFBQWdHSXBPQUVBQUFDQVlpazRBUUFBQUlCaUtUZ0JBQUFBZ0dJcE9BRUFBQUNBWWlrNEFRQUFBSUJpS1RnQkFBQUFnR0lwT0FFQUFBQ0FZaWs0QVFBQUFJQmlLVGdCQUFBQWdHSXBPQUVBQUFDQVlpazRBUUFBQUlCaUtUZ0JBQUFBZ0dJcE9BRUFBQUNBWWlrNEFRQUFBSUJpS1RnQkFBQUFnR0lwT0FFQUFBQ0FZaWs0QVFBQUFJQmlLVGdCQUFBQWdHSXBPQUVBQUFDQVlpazRBUUFBQUlCaUtUZ0JBQUFBZ0dJcE9BRUFBQUNBWWlrNEFRQUFBSUJpS1RnQkFBQUFnR0lwT0FFQUFBQ0FZaWs0QVFBQUFJQmlLVGdCQUFBQWdHSXBPQUVBQUFDQVlpazRBUUFBQUlCaUtUZ0JBQUFBZ0dJcE9BRUFBQUNBWWlrNEFRQUFBSUJpS1RnQkFBQUFnR0lwT0FFQUFBQ0FZaWs0QVFBQUFJQmlLVGdCQUFBQWdHSXBPQUVBQUFDQVlpazRBUUFBQUlCaUtUZ0JBQUFBZ0dJcE9BRUFBQUNBWWlrNEFRQUFBSUJpS1RnQkFBQUFnR0oxMmc2d21wdGVmL2ZOczUzT3JXM25ZSDFwY20vcGlVTWJ2aGV4cTlkMkZnQUFBQUF1ejhRVm5LKzk4NTdYVEZYeDJ6bnlqcmF6c0w1VU1iVjAyNTM5RHo1eE1EN1dkaFlBQUFBQUxzL0VGWnlkS3QyUlU3d2pSVnpmZGhiV242cUt0MGZjK3lsSGNRSUFBQUNVWWVJS3pwSHJObStPOS96U3UrT09ONzZoN1Npc0F4Lyt5RWRqMy83dkRzL3RhalVMQUFBQUFKZHZZZ3ZPbVptWmVOdjk5OFg5OTcybDdTaXNBMS80MGgrTkZaejNocElUQUFBQW9BeStSUjBBQUFBQUtKYUNFd0FBQUFBb2xvSVRBQUFBQUNpV2doTUFBQUFBS0phQ0V3QUFBQUFvbG9JVEFBQUFBQ2lXZ2hNQUFBQUFLSmFDRXdBQUFBQW9sb0lUQUFBQUFDaVdnaE1BQUFBQUtKYUNFd0FBQUFBb2xvSVRBQUFBQUNpV2doTUFBQUFBS0phQ0V3QUFBQUFvbG9JVEFBQUFBQ2lXZ2hNQUFBQUFLSmFDRXdBQUFBQW9sb0lUQUFBQUFDaVdnaE1BQUFBQUtGYW43UUFBSzZSWFlOc3IyV2RFeE9BS3R3Y0FBQUJhb3VDRW9aeHpWSkczdlBuTnA3dWR6ajM5bkhNYUxrOVRVMU14Zm43MGMzUTZoZ1ZhWGRmajI1eXovV3JyTHJTLzBiYmorMWg1WFRubjFPbDBMcml1cnV0enpvLy9qSWh6TGxQWDlhcnJWdTYzcXFyemJsZEVwS3FxSWlKUzB6VDE1ZHpYdzMxMGhwZE5ZOWU1L0hPNFBGWXV6em1mZDVtcXFpTG5YSzI4WFJHUlVrcWpJOVZUU3VtY3k2MnlqOUZsLzNqMzd0MWZ2c3piQWdBQUFMUkl3UWxES1NJMlRWZjNkdXI2MDNHMkRCdGZ0YndncFJRNTUrV3pLM1lSS2FYeEM1OVhaSzVjUHRwMlZCS3VkcmtWKzF4ZW4zTSsyOXF0eUxwaW0vT3VLMzVjU3A2VGUrWDFyN3lONTF6UktubFNTdFdLNVpkdGRMR1ZGNy9ROHBYTExyYmQ1Vnh1eGVtZHIzNzFxeDg4Y3VUSXdtV0ZCd0FBQUZxajRJUXhPY1ZNU3VtbVMyMDNWb1RseTkxM1NpbEhuQzBsVjczdWM1ZGY5bjR2dGUzb2VxOWtuMk9YdWVMcnY5RHRLMEZLYVVORWJNZzViN2oxMWx1bmpodzUwbllrQUFBQTRCSVVuRENVSStKMEwrK3VZL0RScXFvR3c1SXZOMDJUSXlLbmxQSmdNTWlqNWFNU01LWFVwSlJ5djkrUGxGSWUvZGZ2OS9QNCtkRmx4clpyeHZheDZ1VjZ2ZDc0OWVTNnJwdlI4dkhMTFMwdDVhcXF6cm0rcXFyeW1UTm5sazlIUkl5MnFhb3FWMVdWRnhjWGwwL1hkWjFQblRxVkl5S21wcWFhMGJLSWlCZGVlR0Y1bTdxdTg3Rmp4M0pkMTdtcXF0enBkSEtuMDhuVDA5TjUvLzc5ZVhoWDl0ZjBmOTdMcE52dC91OVZWZjFHMnprQUFBQ0F5NmZnaEtHVVV2U2JmSFR2M3M0ZlJ1enF0WjBIQUFBQWdFdXJMcjBKQUFBQUFNQmtVbkFDQUFBQUFNVlNjQUlBQUFBQXhWSndBZ0FBQUFERlVuQUNBQUFBQU1WU2NBSUFBQUFBeFZKd0FnQUFBQURGVW5BQ0FBQUFBTVZTY0FJQUFBQUF4Vkp3QWdBQUFBREZVbkFDQUFBQUFNVlNjQUlBQUFBQXhWSndBZ0FBQUFERlVuQUNBQUFBQU1WU2NBSUFBQUFBeFZKd0FnQUFBQURGVW5BQ0FBQUFBTVZTY0FJQUFBQUF4Vkp3QWdBQUFBREZVbkFDQUFBQUFNVlNjQUlBQUFBQXhlcTBIZUJDamgwL0h1OTcvNjlGWGRkdFIyRWRXRnhjYkRzQ0FBQUFBQy9CeEJXY3Vjb25VcE1XYytUckZ4YVVUcXlkbkhNVEVjOUY3QnEwblFVQUFBQ0F5ek54QmVmZ2hXT1AxWnR2K0VBMDliYTJzN0MrcEJSTk14aDhPU0thdHJNQUFBQUFjSGttcnVBOGZQandZc1RoVDdTZEF3QUFBQUNZZkw1a0NBQUFBQUFvbG9JVEFBQUFBQ2lXZ2hNQUFBQUFLSmFDRXdBQUFBQW9sb0lUQUFBQUFDaVdnaE1BQUFBQUtKYUNFd0FBQUFBb2xvSVRBQUFBQUNpV2doTUFBQUFBS0phQ0V3QUFBQUFvbG9JVEFBQUFBQ2lXZ2hNQUFBQUFLSmFDRXdBQUFBQW9sb0lUQUFBQUFDaVdnaE1BQUFBQUtKYUNFd0FBQUFBb2xvSVRBQUFBQUNpV2doTUFBQUFBS0phQ0V3QUFBQUFvbG9JVEFBQUFBQ2lXZ2hNQUFBQUFLSmFDRXdBQUFBQW9sb0lUQUFBQUFDaVdnaE1BQUFBQUtKYUNFd0FBQUFBb2xvSVRBQUFBQUNpV2doTUFBQUFBS0phQ0V3QUFBQUFvbG9JVEFBQUFBQ2lXZ2hNQUFBQUFLSmFDRXdBQUFBQW9sb0lUQUFBQUFDaVdnaE1BQUFBQUtKYUNFd0FBQUFBb2xvSVRBQUFBQUNpV2doTUFBQUFBS0phQ0V3QUFBQUFvbG9JVEFBQUFBQ2lXZ2hNQUFBQUFLSmFDRXdBQUFBQW9sb0lUQUFBQUFDaVdnaE1BQUFBQUtKYUNFd0FBQUFBb2xvSVRBQUFBQUNpV2doTUFBQUFBS0phQ0V3QUFBQUFvbG9JVEFBQUFBQ2lXZ2hNQUFBQUFLSmFDRXdBQUFBQW9sb0lUQUFBQUFDaVdnaE1BQUFBQUtKYUNFd0FBQUFBb2xvSVRBQUFBQUNpV2doTUFBQUFBS0phQ0V3QUFBQUFvbG9JVEFBQUFBQ2lXZ2hNQUFBQUFLSmFDRXdBQUFBQW9WcWZ0QUt1NTZmVjMzenpiNmR6YWRnN1dseWIzbHA0NHRPRjdFYnQ2YldjQjJ2WHFPKzk4MVhTZWZXM2JPVmgvZW5WZWVPcXh2VCtJaUg3YldkcG1EbW1MT2Z3eGMwaGJ6T0hsTWFPMFpSSm5kT0lLenRmZWVjOXJwcXI0N1J4NVI5dFpXRitxbUZxNjdjNytCNTg0R0I5ck93dlFudTNiNzdvbHA2bmZqQ3EvdGUwc3JEL1RrVTdlL3FaNy92Ri9lR3p2NTlyTzBpWnpTSnZNNFZubWtEYVp3MHN6bzdScEVtZDA0Z3JPVHBYdXlDbmVrU0t1YnpzTDYwOVZ4ZHNqN3YyVW96aGhIZXQwdHFlVTNwbFNiRzg3Q3V0VnVqOGlmajhpbXJhVHRNWWMwanB6YUE1cG56bThLRE5LNnlaclJpZXU0Qnk1YnZQbWVNOHZ2VHZ1ZU9NYjJvN0NPdkRoajN3MDl1My83dkRjcmxhekFKT2gwK25Fcjd6bmwrT3VOOTNaZGhUV2lkLzhwNzhWVHgwNUVpbHlianZMcERDSHJEVnplRDV6eUZvemgxZkdqTExXSm5WR0o3YmduSm1aaWJmZGYxL2NmOTliMm83Q092Q0ZMLzNSV01GNWJ5ZzVnYXFxNHY3NzdvMmZmdWZiMjQ3Q092R2gzL25YOGRTUmlCd3B0WjFsVXBoRDFwbzVQSjg1WksyWnd5dGpSbGxya3pxanZrVWRBQUFBQUNpV2doTUFBQUFBS0phQ0V3QUFBQUFvbG9JVEFBQUFBQ2lXZ2hNQUFBQUFLSmFDRXdBQUFBQW9sb0lUQUFBQUFDaVdnaE1BQUFBQUtKYUNFd0FBQUFBb2xvSVRBQUFBQUNpV2doTUFBQUFBS0phQ0V3QUFBQUFvbG9JVEFBQUFBQ2lXZ2hNQUFBQUFLSmFDRXdBQUFBQW9sb0lUZ09KdDM3NzlsamUvK2MzL1pVVFViV2VCOWV6dXUrLytCMXUyYkxteDdSeXdudTNjdWZNLzJiNTkrNGEyY3dEbis0bWYrSWxYMzMzMzNYKys3Unh3TGVxMEhRQUFydGJtelp2L3d2VDA5TC9wZHJ1ZGlKZ2ZEQWIvN0ttbm52cks4ZVBIbjQySXhiYnp3WHJSNlhUK3lSdmYrTVlQTmszelpNNzVkM1BPWDMveXlTY2Zmdjc1NTU5dk94dXNGM1ZkZi95R0cyN1l0SFhyMW85VVZmVzVpRGhTVmRYenUzYnQ2cldkRGRhN2pSczMzbGxWMVNlNzNXNUtLVDBRRVI5YlhGdzh2R25UcGhmTUtGd2RCU2NBeGF1cXFzNDUxMVZWcFlpNEo2WDBrZHR2djcxLzIyMjNQZFUwelplYnB2bjh2bjM3dnRoMlRsZ1BVa3BSMS9YcmNzNy9hMFRrMTcvKzljZWFwcG5QT2YrcitmbjVUN2FkRDlhRGxOTHI2cnIrWDNMTy8wTks2V0RPK1UrNzNlNURPZWNIOSs3ZGU3RHRmTERlVlZWMWMwVDhnNXp6ZnpzN08vdEkwelFQenMzTmZUUG4vUENlUFh1KzEzWStLSkdDRTRCclNzNDVJaUpTU3AySXVMMnU2MStwcXVxOTNXNzNXTTc1MDA4KytlUnZIRDkrL0lWMlU4SzFMZWNjS2FXSWlKUnpmbFZWVlQ4VEVUL1Q3WFkvTWhnTXZ2U0RIL3pnVjArZE9uVzA1Wmh3VFJ2TzRYUkUzSjF6Zm5OSzZXOVZWZlgwM056Y3ZxWnBQbkhzMkxFL09IejRzSGM1UUF0R3oxY2pZam9pN28ySXVaVFMzMG9wUGR2dGR1ZHp6bC9vOVhxZjJiOS8vOG4yVWtKWkZKd0FYRk5TU3BGekhuL2lHQ21sS3FXMExTTCsvbTIzM2ZiM2I3dnR0cU5OMC95clk4ZU9mZlNwcDU3NlVVUW9QT0ZsTmo2REkxVlZ6VlJWOVF0MzNISEhMMFRlL3lyNEFBQWdBRWxFUVZURXlaenpIeTR0TFQxdzlPalJ2Y2VQSHorODlpbmgyalkyaHlraU51ZWNONmVVM2xEWDljOXQyN2J0bVczYnRuMDU1L3hBMHpRUEh6OSsvRVdGSjZ5TjRZdUE0ODlacTV6ejFvallXbFhWR3lQaUYrcTYvbEMzMjMyZ2FacVAxM1U5Lzl4eno3MzQrT09QbjI0eE5rdzBCU2NNNVp5alRzMk5PM2YyL21KZHovWEhWNjNjTnFWMHpyTEJZSkF2dG43bFBsYXVYM20rMys5ZjBmWnJ2YjllcjNkRjIxZFZkVm5iTHkwdHZhUThGOXIvbVRObnJ1anl3eWNWa1hQZTBPdjFYamMzTjNmOStQckZ4Y1ZWcis5U3QrOUMyeThzTEZ6UjlpTjFYVjkwL2FsVHA2NW8rNVhyVjU0L2NlTEVGVzNmNlhUT201bXBxYW5sWlVlUEhyM2s5dVBMcHFlbnoxbS9jZVBHODdZL2MrWk1WZGMvL242aDhTZU5JMk5IZGtaSzZlYXFxdjZubTI2NjZYKzg2YWFianVhY3Y5N3I5ZjdObzQ4KytxV1YrNGExbGFPVDByYTV1YmwzcHBTYXdXQ1FoNzhqY2tvcHA1Unl2OTlmUG4yeFpiMWViL2wwVlZYbkxSdGZ2clMwdEh3KzR1eThMQzR1dm1ibnpwMkxvK1duVDU5ZTNxYXFxbHpYZGE2cUtwODZkV3I1OVBndHVkZ2NWbFVWY2JacytSc2JObXo0NjdmZGR0dUxyM3ZkNi9ZUEJvTlA3ZHUzNzUrdnpYME5GOUwrSEthVThwa3paNWJuN1FybmNQa0I4UktQaDlzaTR0MHBwZjhtcGZUOVY3M3FWUTl0MjdidDYwM1RmR3Z2M3IyNzEvSWVoOVZNVmZuR2JyZjdGMU5LVFVvcFgyd1dJeUtxcW1vaXpqNjN2dFE4UmtUVWRkMUVuUDNiWnVWTWp1WnhmTHNMeldWVlZYbHhjWEg1Y1hCcWFxb1o1amxuTm9mUG1UZmxuTk5vTmk4eG8xTlZWYjIzcXFyM1JzUmpOOXh3dzBNMzNIREROd2VEd1hjaVl0OExDNi9zL1ErbFVYRENVSXFJamRQMVhLZXVIaGhiZlA3aEo2dFkrVWZkUmF5NjNjcWpYTWFLbXN2YTd5cUY2ams2bmVWUnY5eWNGOTErYkg4dlpiOTU1ZTBkblYrNTMwdmRyZ3RkLzJoLzA5UFRGOTF1NWZZUnNXMTQraTlVVmZYd2FQbGdNTGpRL2k0djNMbEhFdWFtYVNJaVlzT0dsK2NMVGtmN0c5bTRjZVBMdXIvcnJydnVVaGU1NVArbjhYMXUyN2J0cGNSYWRWOGpVMU5UZFVSVUs1ZVBualJHWFBDSll4VVJ0MGJFTDA1UFQ3K3IyKzB1OUp0bTk4TFNZT2FxUXNKTGxDTEY3RlM4TGFYMHN4Rm5YMEFZKzdlYmM4Nmp4NGdjOGVQZms4UGZuK096bUZjdXl6bm5UcWV6OG5kcnpqbkgxTlRVOHVrNCszYTVtSm1aZVd4ODI5VitaelZOYzg3dm5KeHpXcm5OYW5PNDR2ZGlpb2d0S2FYN3E2cTZ2OXZ0L3BNbTU0TW56elMrQlpwV1RNZ2M1cG1aNVllaTVXM0hYdVE3WjUvRE9Sd3R1KzI4MjNUeE9heFRTbmRHeEIwcHBmKzZydXRudXQzdTkvdjk1dUZUZzF5djNCZXNsWmxPdXJlcXFyOHlPbitwV1l5NDREeU9MMXMrUDlyWmFqTTU5cngvK1lXL3VNQmM1cHp6MkdQa2FyTTV2bncycGZUblZ0N1dpeFdkdy9WdlNpbTlLU0wrV2wzWHowWEVrNXMyTnJzV2xzd29qQ2c0WVV6S1VlV2NML2dIMWZpVHc5R2lDeXkvN0t0OHFSZDhPUzYvMmgraWEzSDlZL2RYcTdjL1Z2ei95emxQRDQvdXF5SkN3YlgrcEpUU3BrNVZ6WFhxeHR0L2FFbU9sS282NTd4eCtMc3ByWGlNV2ZsNzc1enpxL3hlUC9mQzV6OWduYmUrYVpwVVZkWG9kK0dhU01PUGxoaWVycVBKRzZ0VlhyU0F0ZEgrSEY1b2Y4TTVPVy83OGVkV09iKzB3aU9sbEhMT014R3h1YXFxclZIbG1UajNUVHV3cGxKT2RjNTVZOFR5OC9Vcm1zV0l5NXJIeTluUGVXTjdxYmtjWFdhVnZDbm5YTDNVdng5enpyTVJjVG9pdHRRcE5xUjAxWDhQd1RWRHdRbERPU0lXZW9OZG15SjlLS1YwemlGaW93ZXcwYXQrbDNxZ1hMbitRdHVQSGFuNWtpNi9jbjFiKzd2UzY2dnIrcXIydDNMOThKdXpyM3AvT2VmM1I4UmJjODVOUkN6RmhMdUtZdjNsS0xjblRSMFJuVldlZks2NjhmaXI1TU12WWVnUEJvT3Y5dnY5ZjNHNlgvZWFxdjZYTTUwNDc5VjFlS1hsaURoMUpuOTkwMVR6MFU2bk01clZsSE5PbzlOMVhaOXpmdmc3Y09XeWFqVG5PZWZsMDlYWjk0YWZzN3l1NjNPMlNTbjlicHd0RjU4Y0h0MXkwVC9zeHFTSWVNMTV0K2tpY3pqMjJXT25jODdQUnNTL1BYbnk1SC9majltNTZGU2ZkRmdLYlppRU9SeTc3S3JYTWY1eldFd3VMMHNwL1VaRTNIVE9iYnI0NCtFZzUvejlpSGc0NS94b1JIeDE5KzdkRDI3ZnNmUCs2RlEvOXpMZXRYQkZUdmViaDZySXZ4NngvUGREaW9ob21tYjBBdGg1c3ppY3AvRmxrWE1lZlpSUldqblBvMjNqL0ZtTDFaYVBUby8yTzVyZmxmdU9WV1p6dUk4ZEthVmZqb2d0NDdkMXRSbGQ4ZGo3V05NMEQ2ZVVmcGhTK2xLLzMzL2toWVg0eWVoVS8vbFYzczF3elZCd3dsQktLUWE1T2o0LzMvblRpRjI5dHZPdzl1NjU1NTZmaUlpM1JzUTNUcDgrL1NzcHBSZmJ6c1RsNlhRNi8wVmQxeCtLNFJGZmwzcVNPSHliK3pNNTU4OHZMaTUrTENKK2VQRGd3YU1SMGQrK1krZjlqaHVqUFNuNkVVL1B6ODkvTlNMTy96eUdOVEEzTi9laGlKaDU0WVVYN3AyZW5yNmlMeHlabnA1K1lkU0dYbXdPYzg3Uk5NMlpwbW4rdU4vdmYrVGt5WlA3cjcvKytzZm41K2NYSTZMWnZtUG4xZDhRZU1uYW44T3JNVGMzOS9kaVdIQmVZZzZQNVp6L3BHbWFUK2Vjdjcyd3NIRHMwS0ZEdm5TUGlkSEw2ZGo4L040aTUvQkN1dDN1ZjFwVjFWK0xZY0Y1aWVlc3ZaenpaNXVtK1V6T2VjK1pNMmVlUFhEZ3dNa1l2dDNkWXlXY1M4RUpNRFIyNU83UzdPenMwN3QyN1RyUmFpQXUyODZkTzU4Zm5SNTdtK3ZLenpIS09lZm5tcVo1b0dtYWorM2J0Ky9odFU4SzVkaTZkZXVwWGJ0MlhkRlhHSFM3M2VYVHEzMmVXTk0wdmFacEhqeDY5T2g3ang0OStzUHh5ejd4eEJOWGxSYzQzOWdjNXBUU21aenppYVpwdnB0UytzalJvMGMvZStUSUVWOVRBaTNJNTM2KzVtaEdGeVBpaFp6ei9vajQ3TUxDd2dNSERoeHd3QVZjSmdVbkFOZVVGWi9sTjJpYTVrZE4wL3hKU3VuM21xWjU2SkZISG5tdTVZaHd6UnQ3KzNsT0taMW9tbWIwRGVtLzFYWTJXQytHNWVaaXp2bDdLYVd2RHdhRGgzUE9EODdQeng5b094dXNkMk12UGl4RnhMNkkrRWJUTkg4V0VRL3QyYlBuZTIxbWcxSXBPQUc0Wm93S2xaenpENXVtK2ZqaTR1TG5aMmRuRDg3UHo1OXFPeHVzRjAzVFJFcnBtY0ZnOEh1OVh1L2ZQL1BNTTd1ZmZmYlovOWgyTGxoUGNzNVBwWlErTVJnTS9xRFg2ejJ4c0xEdzlPT1BQKzRMOUdCQzVKeWZ5VGwvcHFxcVR5MHRMVDErOHVUSlo4d29YQjBGSndERlcxaFkrTUhzN095L2k0aXZOVTN6MFgzNzlqM1pkaVpZai9yOS92L3hveC85NlA5Kzl0bG5qN1NkQmRhcnBtbmVjK0xFaVhsbENVeWVwbWtPTlUzemwrYm41L2UxblFXdU5RcE9BSXAzNk5DaDcwVEVYMjQ3QjZ4MysvYnQrNS9iemdEcjNkNjllNy9kZGdaZ2RmUHo4NGNqNG5EYk9lQmE1SHRpQVFBQUFJQmlLVGdCQUFBQWdHSXBPQUVBQUFDQVlpazRBUUFBQUlCaUtUZ0JBQUFBZ0dJcE9BRUFBQUNBWWlrNEFRQUFBSUJpS1RnQkFBQUFnR0lwT0FFQUFBQ0FZaWs0QVFBQUFJQmlLVGdCQUFBQWdHSXBPQUVBQUFDQVlpazRBUUFBQUlCaUtUZ0JBQUFBZ0dJcE9BRUFBQUNBWWlrNEFRQUFBSUJpZGRvT2NDSEhqaCtQOTczLzE2S3U2N2Fqc0E0c0xpNjJIUUdZTUV0TFMvSCtYLytIMGVsNEhHSnRuRHExMEhhRWlXTU9XV3ZtOEh5VFBJYzU1NGlJU0NtMW5JU1hrem04TXBNOG8xeWJKblZHSjY3Z3pGVStrWnEwbUNOZnY3Q2dkR0x0NUp5YmlIZ3VZdGVnN1N4QWU1cnA5R0xkNUpNUnlZc2Z0S0dmY3ZOY1JPUzJnN1RKSE5JeWN4aGx6T0ZVbFNORmlxV203U1RueWpsSGlvaEljZlpma1FMMnBUQ0hsMURDakU2cW5ITlVhWFE2ek9oTE0zRXpPbkVGNStDRlk0L1ZtMi80UURUMXRyYXpzTDZrRkUwekdIdzVJaWJzS1JLd2xwNVlPUEg5N2RQWC9hTkk5ZTF0WjJFOXltZjZ2ZW9yTVVGUEZ0dGdEbW1YT1l3b1l3NDNUS2YzNVlnTlowN0h2Mmc3eTdnNjRsV3pHOUxQVmluZHNORExYK3oxNDRkdFp5cVBPYnlVRW1aMFV0VVJyOW8wVS8xOFNsRXRMalYvdkRTSTc3ZWRxVHlUTjZNVFYzQWVQbng0TWVMd0o5ck9BY0E2OWZqanB4K1ArUDIyWThDNlpnNmhmUk0raDNOemMzZEZ4SzlIeE93TnMvSHZkdS9ldmIvdFRDUGRicmRiVmRXN0ltTEhwcW44MVQyUDdwblkrNUdDVGZpTVRySnV0OXROS2Y1dVJFelBUcWV2SGR5ejV6TnRaK0xxK1pJaEFBQUFpdEkwelR0U1NqZEZ4TmFtYWQ3UmRoNEEycVhnQkFBQW9CZzdkdXlZcWFycXZwenp4b2lZcnFycXZwMDdkMjVxT3hjQTdWRndBZ0FBVUl5cXFxNkxpTGVtb1lqNHlaVFM5VzNuQXFBOUNrNEFBQUNLTVRNemMydEU3QmhiZEhkS3lSZXRBS3hqQ2s0QUFBQ0swZWwwL21aS2FUYm5IRG5uU0NuTnBwVCtldHU1QUdpUGdoTUFBSUJTVkJIeHk2c3MvOFh3OXkzQXV1VUJBQUFBZ0NMTXpjMzlURXJwMVRubjVXWERvemh2blp1Yis5a1dvd0hRSWdVbkFBQUFSY2c1di9jaXEvL2VtZ1VCWUtJb09BRUFBSmg0OTl4enoydFNTbThaSGIyWlVvcXpYNksrZkJUblcrNjU1NTdYdEprUmdIWW9PQUVBQUNqQk95TGlwZ3V0ekRsdnJhcnEvalhNQThDRVVIQUNBQUF3NmFxVTBzNkkySEtSYlRaR1JEY2lPbXNUQ1lCSm9lQUVBQUJnb3UzWXNXTnpTdW10S2FVcUlwYmZtajUrZXJqdXAzYnUzSGxqS3lFQmFJMkNFd0FBZ1ArL3ZidU5yZk84N3p2K3YrNzc4RkRQbHJQRWNSUEhVaDAvcEo0cmtYSHJHYzJ5QWhzMmRDKzY5VVdBYmNDS1lPc3dvTUZRZE4yS3Z1cUdZZGd5cEJ1S3JkdXd0Q2pXcmg2NnRFR2Fya0RYZEcwWERFblF4cUV0MGJic3BvcWlKTEphejVac1dSSWZ6N211dlRDcEhGS2tURWtVYjE3azV3TUk0am5uNW4xK3BFVFQrdktRWjF2YnYzLy92Ukh4eEFZT2ZhTFg2NzN2VHU4QllIc1JPQUVBQU5qVzJyYjlheW1sdTVhZllHZ3RTMDgwZEZkRS9KV3RXd2JBZGlCd0FnQUFzSzJWVW40MFl1VXpwNDhhdlQ3bi9QZTNkaDBBWFJNNEFRQUEyTGFPSFR2MndaVFNveHM5dm1tYVI0NGZQNzZSYjJjSFlJZnc3SElBQUFCc1ovOHY1L3hEbzFjMFRmTllLZVdmUkVRL3BmVHhuUFB6bzdmM2VyMC8yOUtGQUhSSzRBUUFBR0RibXA2ZVBoY1I1MGF2bTVpWXVOUTB6VDhxcGFTYzh4ZFBuRGp4K1k3bUFiQU4rQloxQUFBQUFLQmFBaWNBQUFBQVVDMkJFd0FBQUFDb2xzQUpBQUFBQUZSTDRBUUFBQUFBcWlWd0FnQUFBQURWRWpnQkFBQUFnR29KbkFBQUFBQkF0UVJPQUFBQUFLQmFBaWNBQUFBQVVDMkJFd0FBQUFDb2xzQUpBQUFBQUZSTDRBUUFBQUFBcWlWd0FnQUFBQURWRWpnQkFBQUFnR29KbkFBQUFBQkF0UVJPQUFBQUFLQmFBaWNBQUFBQVVDMkJFd0FBQUFDb2xzQUpBQUFBQUZTcjEvVUFBQUFBMktHKzYvang0NjkxUFlMYk54d085N1p0ZTI5RWZMM3JMZHkyQnlOaUxDSktTcWwwUFliTklYQUNBQURBSmhrT2g4T1VVazRwUmRNMC83cnJQV3lPdG0yamxHKzNzSlJTaDJ2WURLV1Vpem5uWWRjNzJCd0NKd0FBQUd5UytmbjVQMjNiOW92aFI4THRHS1dVUFJGeGY5TTBUYzU1SmlLK0ZSRWUrVmUvcnpkTjg4ZGRqMkJ6Q0p3QUFBQ3dTYjc2MWErK0ZoSC9zT3NkYko1ang0NDkyVFROLzQ2SUE2V1VQK3oxZWo4NE5UVTEwL1V1NE50OFJRa0FBQUFBcUpiQUNRQUFBQUJVUytBRUFBQUFBS29sY0FJQUFBQUExUkk0QVFBQUFJQnFDWndBQUFBQVFMVUVUZ0FBQUFDZ1dnSW5BQUFBQUZBdGdSTUFBQUFBcUpiQUNRQUFBQUJVUytBRUFBQUFBS29sY0FJQUFBQUExUkk0QVFBQUFJQnFDWndBQUFBQVFMVUVUZ0FBQUFDZ1dnSW5BQUFBQUZDdFh0Y0QxdksrQng5N2Y5czJEM1c5ZzEwbWxkbXpjNWYvS002ZW5ldDZDZ0FBQUFBYnMrMEM1MzBQVER6VTlzcm5JdUk3dXQ3Q0xwT2E0ZEU5aC83VjJZaVBkejBGQUFBQWdJM1pkb0d6MTQvM1JrcDN0MDJ6NXgxMzN4M2o0LzJ1SjdFTFhMaDRNZWJtNXFORU9oSVJZeEd4MlBVbUFBQUFBTjdldGd1Y3l3NGRPaGcvOFdNZmkyT1AvZm11cDdBTC9NdC84elB4UjA5UGRUMERBQUFBZ0p1MGJRTm5yKzNGMFNQM3g2UGY5VWpYVTlnRkRoNDRNSExwOFlnUU93RUFBSGFoRkt0YXlXQXdHT3YzKzFGS2liWnQwNFVMRi9xeDhyditja1FNdDNJa3NOSzJEWndBQUFBQVcybGlZdUxCaVBpWmxOSTl5OWVWVWc1R3hMNklpSnp6Qnc4ZlB2eTV5Y25KNGNqdFg4ZzUvNHZwNmVtclc3OFlpQkE0QVFBQUFDSWlZbkZ4OFVLLzMvL3JLYVZyVHdpU1VvcVJsKytLaUNkV3Zkck05UFQwd2haTkJOYlFkRDBBQUFBQVlEdDQ0WVVYTHVhY2Y3ZVVFaEVScFpSMWZ5MUxLZjE4ZUtKYTZKVEFDUUFBQUxDa2xQTHpvNWRUU3RmOUdqbDJOdWY4dTFzK0VsaEI0QVFBQUFCWWN2NzgrYy9ubkMrUFBvcHpQYVdVTDV3NGNlS05yZG9HckUzZ0JBQUFBRmh5NU1pUnVaVFNzK3ZkWGtxSmxGS1VVbUk0SFA3eVZtNEQxaVp3QWdBQUFDeVptcHBhTEtYODV1Z2pOOWQ2RkdjcDVkTEN3c0wvMmNwdHdOb0VUZ0FBQUlBUnBaVFBwNVRlSFAxNW0ydjQ0dFdyVjEvZnFrM0ErZ1JPQUFBQWdCR0R3ZUQ1blBOTHF4KzVPZnB6T1hQT3YzSHUzTG5aTHZZQkt3bWNBQUFBQUNOT25UcTEwRFROVXhFUmF6MktzNVJ5dVczYnA3ZDhHTEFtZ1JNQUFBQmdsWnp6WjBZdkx6OTZjeWw0UHYvc3M4K2U2bUFXc0FhQkV3QUFBR0NWa3lkUHZweHpmbWI1V2ROWCtiV0lXT3hnRnJBR2dSTUFBQUJnRFNtbFgxbmo2bUZFZkhhcnR3RHJFemdCQUFBQTF2RDY2NjkvS2lKbVI3ODlmVGdjbmpoeDRzVFpicGNCb3dST0FBQUFnRFhzMzcvL1FzNzVaTVJiY1hNcGRQNzNibGNCcXdtY0FBQUFBR3M0ZGVyVVlrVDhyNUdyWm9iRDRhZTcyZ09zVGVBRUFBQUFXRnVKaUQ4b3BjeEVSSlJTVHVTY1grOTRFN0NLd0FrQUFBQ3dqcm01dVpNUjhmV2xiMC8vOVZPblRsM3BlQkt3U3EvckFRQUFBTUNkOTU2SEgzNW52K3k3citzZHRablBFZjJTdnRCR3VXZDJJVjQ5K3RERVJOZWJhclBZbHBtWFh6cDVKaUlHWFc5aFp4STRBUUFBWUljN2V2VFJlMHNhKzBRMDVYdTczbEtqcXd0bFQ3K05OSi9MUDRzMjVhNzMxS1lmNmNxUkR4ei8rRGRlT3ZtWnJyZXdNd21jQUFBQXNOUDFla2RUU2g5T0tZNTJQYVZHSlNMbWh4RXBwWGQydmFWZTZjbUkrR3hFQ01Sc09vRVRscFJTWXQ5WVRFeE1ESjlLYWJKMHZZZE9mSGZYQXdBQTRFN3E5WHJ4SXgvOTRYajBBdzkzUFlWZDRoTS8rM1B4OHZuemthTDRkelozak1BSkk5b1U3Mm1hNWk5MHZZTnVwWlF1di9MS0t3dGQ3d0FBZ00zV05FMDgrY1RqOGYwZi9sRFhVOWdsUHZtTHZ4UXZuNDhva1ZMWFc5aTVCRTRZTWNqeGpUYm4zMHJwMnM5VUdmMEswN1dYVTBxcnYvSzA0bkxPdWF4ejNIWG55Zm02UitmZnluMWVkeitsbEZ2YXZ2cnk4dkhMYjlPdG5HZlZzY3ZudStIOWJmUThvMFkzcHBSeUtXVzQrcGlOU0NsOStkeTVjN08zOHJvQUFBREExaEk0WVVsS0tXWUcrY1hYWGpuL1UzZmRkZGZpN1p5cjMrL2Yxa1B2OSs3ZGU5c1AzWithbXJxZGMyekd0dzdjN2ptNmZuMEFBQUNnQWdJbmpFaVI4cXV2M2ovLzZxdFR0eFU0QVFBQUFOZ2FUZGNEQUFBQUFBQnVsY0FKQUFBQUFGUkw0QVFBQUFBQXFpVndBZ0FBQUFEVkVqZ0JBQUFBZ0dvSm5BQUFBQUJBdFFST0FBQUFBS0JhQWljQUFBQUFVQzJCRXdBQUFBQ29sc0FKQUFBQUFGUkw0QVFBQUFBQXFpVndBZ0FBQUFEVkVqZ0JBQUFBZ0dvSm5BQUFBQUJBdFFST0FBQUFBS0JhQWljQUFBQUFVQzJCRXdBQUFBQ29sc0FKQUFBQUFGUkw0QVFBQUFBQXF0WHJlc0I2M3J4OE9mN2RmL2hQOFk3RGg3dWV3aTV3OHJubnU1NEFBQUFBd0MzWWRvRXpsMWhzVXNrTEN3c3g5Y3lKcnVld3k2U0lRY1RVc09zZEFBQUFBR3pNdGd1Y1Y0WlhuanVVOXYvSEVuRi8xMXZZWFZJcXcyRkp2eG9SdWVzdEFBQUFBR3pNdGd1Y0YwK2Zmdk5peEQvdmVnY0FBQUFBc1AxNWtpRUFBQUFBb0ZvQ0p3QUFBQUJRTFlFVEFBQUFBS2lXd0FrQUFBQUFWRXZnQkFBQUFBQ3FKWEFDQUFBQUFOVVNPQUVBQUFDQWFnbWNBQUFBQUVDMUJFNEFBQUFBb0ZvQ0p3QUFBQUJRTFlFVEFBQUFBS2lXd0FrQUFBQUFWRXZnQkFBQUFBQ3FKWEFDQUFBQUFOVVNPQUVBQUFDQWFnbWNBQUFBQUVDMUJFNEFBQUFBb0ZvQ0p3QUFBQUJRTFlFVEFBQUFBS2lXd0FrQUFBQUFWS3ZYOVFBQUFBQmdheXdzTE1USGZ2d25vOWRydTU3Q0xuSDE2a3pYRTlnRkJFNEFBQURZNFhJL1hXNXp1UktSWW5aMnR1czU3RDZEVlBMckVWRzZIc0xPSkhBQ0FBREFEdmZObVV0Zk85by8rTk9SMmlOZGI2bE5IdVowY0YvN0EyMUtoeGNHZVhwdUVDOTB2YWsrWlg2dzJQeCtDSnpjSVFJbkFBQUE3SFJuejg2ZGpmaHMxek5xOVBqamo0K1ZVdjVlS2VXeGZlUE4vM3pwaFdmK2ZkZWJnSlU4eVJBQUFBQUFVQzJCRXdBQUFBQ29sc0FKQUFBQUFGUkw0QVFBQUFBQXFpVndBZ0FBQUFEVkVqZ0JBQUFBZ0dvSm5BQUFBQUJBdFFST0FBQUFBS0JhQWljQUFBQUFVQzJCRXdBQUFBQ29sc0FKQUFBQUFGUkw0QVFBQUFBQXFpVndBZ0FBQUFEVkVqZ0JBQUFBZ0dvSm5BQUFBQUJBdFFST0FBQUFBS0JhQWljQUFBQUFVQzJCRXdBQUFBQ29sc0FKQUFBQUFGUkw0QVFBQUFBQXFpVndBZ0FBQUFEVkVqZ0JBQUFBZ0dvSm5BQUFBQUJBdFFST0FBQUFBS0JhQWljQUFBQUFVQzJCRXdBQUFBQ29sc0FKQUFBQUFGUkw0QVFBQUFBQXFpVndBZ0FBQUFEVkVqZ0JBQUFBZ0dvSm5BQUFBQUJBdFFST0FBQUFBS0JhQWljQUFBQUFVQzJCRXdBQUFBQ29sc0FKQUFBQUFGUkw0QVFBQUFBQXFpVndBZ0FBQUFEVkVqZ0JBQUFBZ0dvSm5BQUFBQUJBdFFST0FBQUFBS0JhdmE0SEFBQUF3SzFJS2ZVajRnY21KaWFPZHIyRm5Tdm4zS2FVN2w1NnVlczV3Qm9FVGdBQUFLcVNVc29SVVVvcGV5UGlIemROb3pweFI1VlMraEhYL3U0QjI0ekFDUUFBUUZXR3crR1pYcTgzSFJGWEl5SktLUjB2WWpkSUtjME1oOFBudTk0QlhFL2dCQUFBb0NyVDA5UG5IbmpnZ2I5MTZOQ2h1N3Zld3U0eE56YzMvK0tMTDc3UzlRN2dlZ0luQUFBQTFUbHo1c3lsaUxqVTlRNEF1dWRaMUFFQUFBQ0FhZ21jQUFBQUFFQzFCRTRBQUFBQW9Gb0NKd0FBQUFCUUxZRVRBQUFBQUtqV3Rud1c5WHUrODdGMzcrdjF2cVBySGV3dXVTd3VmUFAwbmorSm1GcnNlZ3ZRcmZjOC9QQTcrMlhmZlYzdllQZFpiTXZNeXkrZFBCTVJnNjYzQUFCQUxiWmQ0THp2NGVQdkhXdml2NVFvRDNhOWhkMmxpYkdGK3g4ZS9OdHZmalYrcGVzdFFIZU9IbjMwM3BMR1BoRk4rZDZ1dDdENzlDTmRPZktCNHgvL3hrc25QOVAxRmdBQXFNVzJDNXk5SmoxVVV2ekZGSEc0Nnkzc1BrMFRINHA0L0g5NEZDZnNZcjNlMFpUU2gxT0tvMTFQWWJkS1QwYkVaeU1pZDcwRUFBQnFzTzBDNTdLREJ3N0VSLy91MzRtSDN2OUExMVBZQlg3aHYvNjNlUDdVaTB1WHBqcmRBbXdQdlY0dmZ1U2pQeHlQZnVEaHJxZXdTM3ppWjM4dVhqNS9QbEtVMHZVV0FBQ295YllObk9QajQvRjlUejRSVHo3eFBWMVBZUmY0cmQvK25aSEErWGlJbkVEVE5QSGtFNC9IOTMvNFExMVBZWmY0NUMvK1VyeDhQcUpFU2wxdkFRQ0FtbmdXZFFBQUFBQ2dXZ0luQUFBQUFGQXRnUk1BQUFBQXFKYkFDUUFBQUFCVVMrQUVBQUFBQUtvbGNBSUFBQUFBMVJJNEFRQUFBSUJxQ1p3QUFBQUFRTFVFVGdBQUFBQ2dXZ0luQUFBQUFGQXRnUk1BQUFBQXFKYkFDUUFBQUFCVVMrQUVBQUFBQUtvbGNBSUFBQUFBMVJJNEFRQUFBSUJxQ1p3QVZPK1JSeDQ1ZU96WXNjZkM1elVBQUlCZHA5ZjFBQUM0WFh2Mzd2MXpUZFA4d3VUazVQc2k0cW1jODZkbVoyZS9sWE8rZlByMDZmbXU5d0VBQUhEbkNKd0E3QmdwcGZkR3hFODFUZk1UKy9mdmZ6RWl2bno4K1BFdmxWS2VucDZlZnI3cmZRQUFBR3crZ1JPQUhhV1VFaEV4bGxJNlZrcjU3cVpwL25aRXZEWTVPVG1kYy83MVM1Y3VmZnJzMmJOekhjOEVBQUJna3dpY0FPd29LYVVvcFN5SHpoUVJCeUxpUUVycGFOdTJmK1B3NGNQL2VYSnk4bk01NTE5ZVhGejh5aHR2dlBIbStmUG5aN3BkRFFBQXdLMFNPR0ZKS1NYYWxOOXg3TmppWDJyYnljSG9UYXVQVFNtdHVHNDRISlliM2I3NkhLdHZYMzE1TUJqYzFQRmJmYjdGeGNXYk9yNXBtZzBkdjdDd2NFdDcxanYvL1B6OHB1eGJ2bjEyZG5iTjR6ZjYrcXN2ejh6TTNOVHh5OXEydmVIdFY2OWV2YW5qVjkrKyt2S2xTNWR1NnZoZXIzZmR4OHpZMk5pMTYxNTU1WlczUFg3MHVuNi92K0wydlh2M1huZjgvUHg4MisvMzAvTGxsTjU2Y1NseXJuZzVwWFF3cGZTUnRtMC8wcmJ0MTk3OTduYy9mZSs5OTM2eGxQS0g4L1B6MHpNTHE4OE9XK2V0ejBYbEhjZVBILytlcG1ueWNEak1UZFBrbEZJWkRBYTVhWnJjTk0yMWw5dTJ6UXNMQzJYNTVmbjUrZExyOVhMYnRubHVicTRzL1o2WHJpdGpZMlA1eXBVcnVXM2JNajQrbmk5ZXZKajM3Tm1UKy8xK09YWHFWSTZJUVVxcDdmcjlBQUFBTjBQZ2hDVXBJdmIyMjhsZTJ6dzFjdlYxSVdVdHE0UFJEYXg1M0dpRWlZaG8yMnYvdHR6UWVkY0lxaXYwZXRjKzFEZTY4NGJIajV6dlZzNWJWcis5eTVkWG4vZnQzcTcxN24vNWZQMSsvNGJIclQ1K3ZmUG1uQ01pWW54OGZNTWIxcE5TdXZiMjc5Mjc5KzBPMzlBNVY3OUQ5KzNiOTdadjA0MHN2NzNMeHg0OGVQQ0d4Mi9rejJscFQ0bUl1T2VlZTk3dThCWDN2ODY1VmhnYkd4c3JwZHkvSERaSHRxMzVlaU94OC8wcHBmZEh4TjlNS2IwMlBqNytyYWJOVXpPTHhlZEhPdEdrRlB2R211OXJtdmpMS2FYUzYvWEswc2Q0NmZWNlplbmpyU3g5RWFDVVVzclNGd0ZLS2FXTWo0K1hpQ2dwcGJMMHhZQ3k5QVdHYTljZk9uVG8ydkh2ZXRlN3JwMXpjbkt5UkVRTy8zOElBRUJsL0E4c2pFZ2xtbExLbm5Wdlh4VlA0cTB1dXRiMUc3N0xXMzNGelhqOVVrb245ei95L3VyMDdZL2IvUE83bGZmZkduSHUxdi95M0dENEJ0K20yMzMvM2RZNU52UHYzNDNlRnh2Y3NpY2k5cWVVRHFXVTlxVG1OcGZCTFN1UlVveEhwTHZqMi8rTld2NzduU0pXZk95cytIMmp4OFhLLy9hTkhwdlN0NzhLYy9XWlo1N3hveHNBQUtpQ3dBbExTa1RNTEE2bjlrZjZaRW9wcjdodDZSK0p5NDh3WENQTXBMV09YKy95OHZFamo5UzhwZGRmZlh0WDU3dlorMnZiOXJiT3QvcjJwbW0yK253clh1ZnR6cmZHT1RmbC9LdWEzazN0V1hYTXRaZWJwcm1wNDllNXY0aUl0SFN1RFI5L2c5dFg3MXR4WGM2NWwxSTZYRXI1U0VycHZsWDN0Y1pkclhqZmZhMlU4cFdJK09QQllQQTd3K0Z3YW1haDk4SG9OWC9WSjBpNlVFckU3R0w1MHY2eDhxbFNTbXFhcGltbE5FM1R0RG5uWnVSeVUwcHBjczd0NkhVNTUzYjA5cFRTOHU5dEtXWDFkVTBwcFkySUpxWFVSTVJZUkRRUmtYUE96M2I3bmdBQWdJM3o3emRZa2xLS1lXa3VUay8zL20vRTFHTFhlNENObTVpWU9ObzB6Wk1SY1YvRTJtRno1T2R5WGkybC9FRkUvR3BLNmVsTGx5NjlldWJNbVRkajZWdmlqejU0Yk10MnczVlNpc1VTZjNyeTVJbmZqcmUrWFJ3QUFIZ2JBaWNBTzhySXoyWGlBa3dBQUFKM1NVUkJWTmVNVWtwSktjMlhVaTZYVWs2VlVwNTY0NDAzbmpwNzl1eGN4ek1CQUFEWUpBSW5BRHZLMGlNMVowc3BmeElSWDQ2SUx3MEdnNjg4OTl4enozVzdEQUFBZ0R0QjRBUmd4eWlsL0ZsRS9OcHdPUHowWURENFJxL1h1ekE5UFgyMTYxMEFBQURjT1FJbkFOVzdjdVhLeFFNSER2em9pUk1ucHNQUExRUUFBTmhWQkU0QXFuZjY5T2szSStKRTF6c0FBQURZZWszWEF3QUFBQUFBYnBYQUNRQUFBQUJVUytBRUFBQUFBS29sY0FJQUFBQUExUkk0QVFBQUFJQnFDWndBQUFBQVFMVUVUZ0FBQUFDZ1dnSW5BQUFBQUZBdGdSTUFBQUFBcUpiQUNRQUFBQUJVUytBRUFBQUFBS29sY0FJQUFBQUExUkk0QVFBQUFJQnFDWndBQUFBQVFMVUVUZ0FBQUFDZ1dnSW5BQUFBQUZDdFh0Y0QxblBoNHNYNEJ4LzdzV2pidHVzcDdBS3pzN05kVHdDMm1ZV0ZoZmpZai85azlIbytEN0Uxcmw2ZDZYb0NBQUJVYWRzRnp0S1VTeW1uMlJMbDhNeU02TVRXS2FYa2lIZzlZbXJZOVJhZ083bWZMcmU1WElsSXZ2aEJGd2FwNU5jam9uUTlCQUFBYXJIdEF1Znd6UXN2dFFmdS9xZVIyM2QxdllYZEphWEllVGo4dllqSVhXOEJ1dlBObVV0Zk85by8rTk9SMmlOZGIyRTNLdk9EeGViM1ErQ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YnQvL0J4U3A1MHk5K3dzQUFBQUFBRWxGVGtTdVFtQ0MiLAoJIlRoZW1lIiA6ICIiLAoJIlR5cGUiIDogImZsb3ciLAoJIlZlcnNpb24iIDogIiIKfQo="/>
    </extobj>
    <extobj name="ECB019B1-382A-4266-B25C-5B523AA43C14-3">
      <extobjdata type="ECB019B1-382A-4266-B25C-5B523AA43C14" data="ewoJIkZpbGVJZCIgOiAiMjkzMzI1MTYxNTQyIiwKCSJHcm91cElkIiA6ICIxNDk1MzM0NTkiLAoJIkltYWdlIiA6ICJpVkJPUncwS0dnb0FBQUFOU1VoRVVnQUFCTUFBQUFDM0NBWUFBQUQwSWlMOEFBQUFBWE5TUjBJQXJzNGM2UUFBRE5GSlJFRlVlSnp0M2Q5dm5mZGRCL0RQOTNtT2Y2VngwbXBJTUsxaWlacDJ2OEN4d3c5VkNJMWQ4QmVVSHhlN1FOb0VDQ0hCQlJlN1lkcnQ3b1lFaUdrSVVGRzBpWUtFQkdnSUlTR3hTZ1c2ZFl2blptNmJKbzJ6aFZWZE8wMk42L2pIT2VmNWNoSGJwRzNhWmxiczUzbSs1L1c2c1JXNzlpZW5iNzNQeVZ0dUdnR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pVcHRIM0FuN3ovOWtRL096TXljYnZzT2prN096YlZyTDZ4Y2JmdU91eVdqazZkdkdYM3drVWMrTUtpT1BkejJIUnl0bmVIb3l2ZXZYUHhlMjNmY0xWMDZlWFFwZmFCTDZUcGRTaDkwc1VzN040Q2RPclY0S3VieUV4SHgwMjNmd3RGSk9WNGREa2VQWGIveW5jdHQzL0plWkhReTlTbWpIeml6OE9CVVhYMHBxbnl1N1ZzNFlqbWVqNjMwcWJXMTViVzJUM2t2dW5ReTZWSjZRWmZTY2JxVVh1aGdsdzdhUHVCdFp1TlVSSHFrU3VuK3VibTVxT3VxN1lzNFJNMjRpWnVibTlIazV2N0JvRDRURVowdmNSbWRMSDNNNkZURWc1SGlveW5TVDgzTnpjWmcwTDJxNTk0YWpjYXh1YmtaT2VYZGpvck92TkI0UjdwMG91aFMra0NYMG5XNmxEN29jcGQyTm4wbjV1ZmpqLzd3OStQaE13KzFmUXFIYU8zYWQrTUxmL29YOGVwcnI3Vjl5bzlOUmlkRG56TTZOUmpFNy8zMnArTVhmbTZwN1ZNNFpNc3JGK1BQdi9pWHNiRjVzKzFUZm15NmRETG9VdnBBbDlKMXVwUSs2SEtYZG5ZQW01cWFpcC81NkVkaWFYR2g3Vk00UkNmbTUyTm1acnJ0TXc1RVJpZERuek9hcWlvKzlQQ1plUFFYZjc3dFV6aGsyOXZiVVEvcXRzODRFRjA2R1hRcGZhQkw2VHBkU2g5MHVVdjlqQ3dBQUFBQVJUT0FBUUFBQUZBMEF4Z0FBQUFBUlRPQUFRQUFBRkEwQXhnQUFBQUFSVE9BQVFBQUFGQTBBeGdBQUFBQVJUT0FBUUFBQUZBMEF4Z0FBQUFBUlRPQUFRQUFBRkEwQXhnQUFBQUFSVE9BQVFBQUFGQTBBeGdBQUFBQVJUT0FBUUFBQUZBMEF4Z0FBQUFBUlRPQUFRQUFBRkEwQXhnQUFBQUFSVE9BQVFBQUFGQTBBeGdBQUFBQVJUT0FBUUFBQUZBMEF4Z0FBQUFBUlRPQUFRQUFBRkEwQXhnQUFBQUFSVE9BQVFBQUFGQTBBeGdBQUFBQVJUT0FBUUFBQUZBMEF4Z0FBQUFBUlRPQUFRQUFBRkEwQXhnQUFBQUFSVE9BQVFBQUFGQTBBeGdBQUFBQVJUT0FBUUFBQUZBMEF4Z0FBQUFBUlRPQUFRQUFBRkEwQXhnQUFBQUFSVE9BQVFBQUFGQTBBeGdBQUFBQVJUT0FBUUFBQUZBMEF4Z0FBQUFBUlRPQUFRQUFBRkEwQXhnQUFBQUFSVE9BQVFBQUFGQTBBeGdBQUFBQVJUT0FBUUFBQUZBMEF4Z1RZV0ZoNGI2bHBhV1BSOFNnN1Z2Z1RtU1VQcEJUdW01aFllRyt4Y1hGWHdvWnBjTjBLVjJuU3ltVlFETVI2cnIraVpUUzE1YVdscTQwVGZOWFRkTjh0YTdyN3kwdkw2OUh4TGp0KzBCRzZRTTVwZXQyTS9yVVhrYXJxdnJublBQM1paUXUwYVYwblM2bFZBWXdKa3BLNmFHNnJqOWZWZFZuSStLWmMrZk9mU1BuL0d6Tytjbmw1ZVcxdHU4REdhVVA1SlN1Mjh0b3p2bVBVMHJmUEhmdTNEZWFwbG1PaUtka2xLN1FwWFNkTHFVMEJqQW1UczQ1VWtyM1JjU3Y1SncvbmxKNkl5SmVXVnBhV21tYTVzc2JHeHRmdlh6NThuYmJkeks1WkpRK2VMZWNwcFFldjNIanhyL0xLVzNhemVqeDJNMW9WVlhyT2VjZnlDaGQ0am1mcnRPbGxNUUF4a1RLT2UrOW0zTE84eEV4bjFJNlU5ZjFZL1B6ODY4c0xTMzlmYzc1L05iVzFrdGJXMXNiYTJ0cld5MmV5d1NTVWZyZ25YSWFFZnM1SFkvSGorL3M3RnlUVTlyd2xveWVpSWdUTWtyWGVNNm42M1FwcFRDQTBRazU1NWl1bTFObno1Nzk1WlJTMHpSTlUxWFZlRHdlTjFWVk5YVmRqMGVqVVRNWURQYmZEb2ZEL2JkMVhUZkQ0WEE4R0F5YXJhMnRabVptWnJ5eHNkSE16czZPNStibW10Rm9ORlBYZFVSRXBKVGU5SDNmK241SzZTY2o0ZzhpNG5lUEhUdTJPamMzOSt6Smt5ZWZxcXJxNlFzWExuejdDQjhXT2tSRzZZT2NjMHhYemVtelo4K091cExUd1dEd080UEI0TG01dWJsbkgzamdnU2NqNGhrNW5WdzU1NWl0NG5TWHVsUkdlYXN1ZG1sNHp1YzJ1aFFPeGdCR0o2U0lPRFkxK00ycVNwK0xpRnpYZFk2SVBEVTFsU01pNy8xYXpqa1BCb085ajBYT2VmOXpabWRuYzBUazQ4ZVA1NXh6UG5ueVpJNkl5RG5udXE3dm1QVTdGZnB0WlQ0VEVVc1JzVmpYOWE5SHhLdUxpNHVYZHByNDlzMWhmdnNYbzJoOXl1aG9GTSs4TVlyMDlxOUc2VkpFbXBzZWZMSks4YkhvVGs1bll6ZW5FZkZyS2FYWEZoY1hMdzNIK1ZzYm8wTjZJT2lzRkJFejA5VW5xeW85RlBjd295bWxuSE9PZTV6UnB6ZUd1blFTZGJSTHZTNWxueTZGZ3pHQTBSazVZaW9panUwVzYxNUpwcHp6L3Z1M3ZiMzFTYnVmbkhQZS83eDB5NXMrTCtlY2JpL3N1N3JuMW4vdnZ2YzlaaUxpZUVycFpCWE45QUYvaS9SY1h6S2FVak56d044aVJjalRFYW1yT1oyTjNaeEd4UFN0MStoTW1wUTYzYVg3R1UxWmwwNjJUbmVwMTZYb1VqZ0FBeGlka0NQaTVzN29LOGVtcWtzcHBicXU2K3JXVC9KV2RjNjV5am5YVlZXOTZkZFNTbFhPdWQ1N3UvdnhPcVZVTlUxVFYxVlY3ZjJ6RWZHK2xOSm4zdlo5ODUzLzhKVlNpcHp6VGtSY3pUbGZ6VGsvM3pUTkV5c3JLLzl6NnNPTG40Z1V2M1c0andoZDA2dU1ubGw0TkFiVlk0ZjdpTkJGT1NMZjNCbjk3YkZCZGExRE9kMk9pTFdjODlXSVdCMlB4Ly93LzEyYVBuVzRqd2hka3lOaWMzdDhmbllxUGY4ZUdkM1BYa3JwVFZrOXNveWVXWGcwQnVrM0R2VUJvWk02MnFWZWw3SlBsOExCR01Eb2hKUlNqSnJxNnNyS3luOGN4dGRmV2xyNllFUjhKdUxkaTN2MzQ2L21uUDlwUEI3L1hVUzh0TFcxdFg3ejVzMk42OWV2KzhzY0o1aU0wZ2UzY2pwNGFXVmwrVDhQNCtzZkpLYzU1eStQeCtOcmNrckVyWHpzTkhIbFVvZTZWRVo1cXk1MnFlZDhicWRMNFdBTVlFeWsyd283cDVRMkkrSkcwelFYVTBwL3M3Nisvby8rVjc2MFRVYnBnM2ZKNlpmVzE5Zi9SVTVwbTR6U0I1N3o2VHBkU2lrTVlFeWMzUi9SM1lpSVoxSktYMithWnJscG12OWVXVm01MnZadEVDR2o5SU9jMG5XN0dYMGpJcjZaVXZwNnp2bGI0L0g0YVJtbFMzUXBYYWRMS1lrQmpJbVNjMTZMaVBNNTUzL2IyZGw1YVhWMTlZY1JNV3o3THRnam8vU0JuTkoxZXhrZGo4Zi9PaHFOMW1TVUx0S2xkSjB1cFRRR01DYkM5dmIyRDJkbVpuNzF3b1VMVDRiU3BvTmtsRDZRVTdwdU42T2Z1SERod24rRmpOSlJ1cFN1MDZXVXlnREdSRmhkWFgwaklnN2xMNG1FZTBGRzZRTTVwZXQyTS9xMXR1K0FkNk5MNlRwZFNxbXF0ZzhBQUFBQWdNTmtBQU1BQUFDZ2FBWXdBQUFBQUlwbUFBTUFBQUNnYUFZd0FBQUFBSXBtQUFNQUFBQ2dhQVl3QUFBQUFJcG1BQU1BQUFDZ2FBWXdBQUFBQUlwbUFBTUFBQUNnYUFZd0FBQUFBSXBtQUFNQUFBQ2dhQVl3QUFBQUFJcG1BQU1BQUFDZ2FBWXdBQUFBQUlwbUFBTUFBQUNnYUFZd0FBQUFBSXBtQUFNQUFBQ2dhQVl3QUFBQUFJcG1BQU1BQUFDZ2FBWXdBQUFBQUlwbUFBTUFBQUNnYUFZd0FBQUFBSXBtQUFNQUFBQ2dhQVl3QUFBQUFJcG1BQU1BQUFDZ2FBWXdBQUFBQUlwbUFBTUFBQUNnYUFZd0FBQUFBSXBtQUFNQUFBQ2dhQVl3QUFBQUFJcG1BQU1BQUFDZ2FBWXdBQUFBQUlwbUFBTUFBQUNnYUFZd0FBQUFBSXBtQUFNQUFBQ2dhQVl3QUFBQUFJcG1BQU1BQUFDZ2FBWXdBQUFBQUlwbUFBTUFBQUNnYUFZd0FBQUFBSXBtQUFNQUFBQ2dhQVl3QUFBQUFJcG1BQU1BQUFDZ2FJTzJEM2dudytFd0xxNCtGOXM3TzIyZndpRmF1L2JkMk43dTU3OWpHWjBNZmM1b2JwcDQ0Y1hMY2VMRWZOdW5jTWllZStIRkdJL0diWjl4SUxwME11aFMra0NYMG5XNmxEN29jcGQyZGdDN3NiNGVmL0puWDR6Qm9MTW5jZytNeHFPNGNXTzk3VE1PUkVZblE1OHpPaHlONHE4ZlB4L252L0pFMjZkd3lIYUdPN0c1dGRYMkdRZWlTeWVETHFVUGRDbGRwMHZwZ3k1M2FlY2FjaWMzTDA5SGVxV0ppQis5L25yYjUzQkVVa28zUnNOOHZlMDc3b2FNVHFZK1piUkorUWQxNVAvTmtlNS9mYjJmTDVJNHNKZDNjdk55MjBmY0RWMDZtWFFwUGFGTDZUUmRTazkwcmt0VDJ3ZmNRZlhnaDMvMlk0T28zOWYySVJ5ZDFBeC9kUFhTZDU2TmlLYnRXKzZDakU2Z3ZtWDA5SWNXSHM2cGVuL2JoM0MwOG5qMHlyVVhMNzRRUGNtcExwMDh1cFErMEtWMG5TNmxEM3JXcF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FQbitENlk4K1pzUjQvbUtBQUFBQUVsRlRrU3VRbUND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68</Pages>
  <Words>35486</Words>
  <Characters>39817</Characters>
  <Lines>218</Lines>
  <Paragraphs>61</Paragraphs>
  <TotalTime>11</TotalTime>
  <ScaleCrop>false</ScaleCrop>
  <LinksUpToDate>false</LinksUpToDate>
  <CharactersWithSpaces>40104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浓浓稀硫酸</cp:lastModifiedBy>
  <cp:lastPrinted>2024-05-27T04:36:00Z</cp:lastPrinted>
  <dcterms:modified xsi:type="dcterms:W3CDTF">2024-07-17T20:15:34Z</dcterms:modified>
  <dc:title>附件2</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16CE8F10D8914ACC8895E971E23E7F11_13</vt:lpwstr>
  </property>
</Properties>
</file>