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7C507">
      <w:pPr>
        <w:rPr>
          <w:rFonts w:ascii="仿宋_GB2312" w:hAnsi="仿宋_GB2312" w:eastAsia="仿宋_GB2312" w:cs="仿宋_GB2312"/>
          <w:sz w:val="36"/>
          <w:szCs w:val="36"/>
        </w:rPr>
      </w:pPr>
    </w:p>
    <w:p w14:paraId="50C5673F">
      <w:pPr>
        <w:rPr>
          <w:rFonts w:ascii="仿宋_GB2312" w:hAnsi="仿宋_GB2312" w:eastAsia="仿宋_GB2312" w:cs="仿宋_GB2312"/>
          <w:sz w:val="36"/>
          <w:szCs w:val="36"/>
        </w:rPr>
      </w:pPr>
    </w:p>
    <w:p w14:paraId="76720D4E">
      <w:pPr>
        <w:rPr>
          <w:rFonts w:ascii="仿宋_GB2312" w:hAnsi="仿宋_GB2312" w:eastAsia="仿宋_GB2312" w:cs="仿宋_GB2312"/>
          <w:sz w:val="36"/>
          <w:szCs w:val="36"/>
        </w:rPr>
      </w:pPr>
    </w:p>
    <w:p w14:paraId="7239364A">
      <w:pPr>
        <w:rPr>
          <w:rFonts w:ascii="仿宋_GB2312" w:hAnsi="仿宋_GB2312" w:eastAsia="仿宋_GB2312" w:cs="仿宋_GB2312"/>
          <w:sz w:val="36"/>
          <w:szCs w:val="36"/>
        </w:rPr>
      </w:pPr>
    </w:p>
    <w:p w14:paraId="075D08EC">
      <w:pPr>
        <w:rPr>
          <w:rFonts w:hint="eastAsia" w:ascii="仿宋_GB2312" w:hAnsi="仿宋_GB2312" w:eastAsia="仿宋_GB2312" w:cs="仿宋_GB2312"/>
          <w:sz w:val="36"/>
          <w:szCs w:val="36"/>
        </w:rPr>
      </w:pPr>
    </w:p>
    <w:p w14:paraId="62EB421D">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14:paraId="1F64D568">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14:paraId="35866B52">
      <w:pPr>
        <w:ind w:firstLine="3574" w:firstLineChars="993"/>
        <w:rPr>
          <w:rFonts w:hint="eastAsia" w:eastAsia="仿宋"/>
          <w:sz w:val="36"/>
          <w:szCs w:val="36"/>
          <w:lang w:val="en-US" w:eastAsia="zh-CN"/>
        </w:rPr>
      </w:pPr>
      <w:r>
        <w:rPr>
          <w:rFonts w:hint="eastAsia" w:eastAsia="仿宋"/>
          <w:sz w:val="36"/>
          <w:szCs w:val="36"/>
          <w:lang w:val="en-US" w:eastAsia="zh-CN"/>
        </w:rPr>
        <w:t>（报批稿）</w:t>
      </w:r>
    </w:p>
    <w:p w14:paraId="0EE5ECAC">
      <w:pPr>
        <w:ind w:firstLine="1040"/>
        <w:rPr>
          <w:rFonts w:eastAsia="仿宋"/>
          <w:sz w:val="44"/>
          <w:szCs w:val="44"/>
        </w:rPr>
      </w:pPr>
    </w:p>
    <w:p w14:paraId="67647DE9">
      <w:pPr>
        <w:ind w:firstLine="1040"/>
        <w:rPr>
          <w:rFonts w:eastAsia="仿宋"/>
          <w:sz w:val="44"/>
          <w:szCs w:val="44"/>
        </w:rPr>
      </w:pPr>
    </w:p>
    <w:p w14:paraId="0C9FAB66">
      <w:pPr>
        <w:rPr>
          <w:rFonts w:hint="eastAsia" w:eastAsia="仿宋"/>
          <w:sz w:val="44"/>
          <w:szCs w:val="44"/>
          <w:lang w:val="en-US" w:eastAsia="zh-CN"/>
        </w:rPr>
      </w:pPr>
    </w:p>
    <w:p w14:paraId="1D739790">
      <w:pPr>
        <w:ind w:firstLine="1040"/>
        <w:rPr>
          <w:rFonts w:eastAsia="仿宋"/>
          <w:sz w:val="44"/>
          <w:szCs w:val="44"/>
        </w:rPr>
      </w:pPr>
    </w:p>
    <w:p w14:paraId="224FB687">
      <w:pPr>
        <w:rPr>
          <w:rFonts w:eastAsia="仿宋"/>
          <w:sz w:val="44"/>
          <w:szCs w:val="44"/>
        </w:rPr>
      </w:pPr>
    </w:p>
    <w:p w14:paraId="36A21265">
      <w:pPr>
        <w:ind w:firstLine="1040"/>
        <w:rPr>
          <w:rFonts w:eastAsia="仿宋"/>
          <w:sz w:val="44"/>
          <w:szCs w:val="44"/>
        </w:rPr>
      </w:pPr>
    </w:p>
    <w:p w14:paraId="20A00EF9">
      <w:pPr>
        <w:ind w:firstLine="1040"/>
        <w:rPr>
          <w:rFonts w:eastAsia="仿宋"/>
          <w:sz w:val="44"/>
          <w:szCs w:val="44"/>
        </w:rPr>
      </w:pPr>
    </w:p>
    <w:p w14:paraId="1CDFF5AB">
      <w:pPr>
        <w:adjustRightInd w:val="0"/>
        <w:snapToGrid w:val="0"/>
        <w:spacing w:line="288" w:lineRule="auto"/>
        <w:ind w:left="2159" w:leftChars="171" w:hanging="1800" w:hangingChars="500"/>
        <w:jc w:val="left"/>
        <w:rPr>
          <w:rFonts w:hint="default" w:ascii="仿宋_GB2312" w:eastAsia="仿宋_GB2312"/>
          <w:bCs/>
          <w:sz w:val="36"/>
          <w:szCs w:val="36"/>
          <w:u w:val="single"/>
          <w:lang w:val="en-US" w:eastAsia="zh-CN"/>
        </w:rPr>
      </w:pPr>
      <w:r>
        <w:rPr>
          <w:rFonts w:hint="eastAsia" w:ascii="仿宋_GB2312" w:eastAsia="仿宋_GB2312"/>
          <w:sz w:val="36"/>
          <w:szCs w:val="36"/>
        </w:rPr>
        <w:t>项目名称：</w:t>
      </w:r>
      <w:bookmarkStart w:id="0" w:name="_Hlk123041647"/>
      <w:r>
        <w:rPr>
          <w:rFonts w:hint="eastAsia" w:ascii="仿宋_GB2312" w:eastAsia="仿宋_GB2312"/>
          <w:bCs/>
          <w:sz w:val="36"/>
          <w:szCs w:val="36"/>
          <w:u w:val="single"/>
          <w:lang w:val="en-US" w:eastAsia="zh-CN"/>
        </w:rPr>
        <w:t xml:space="preserve">木垒黑走马混凝土有限责任公司老君庙西风电场商砼项目                         </w:t>
      </w:r>
    </w:p>
    <w:bookmarkEnd w:id="0"/>
    <w:p w14:paraId="37A5C84F">
      <w:pPr>
        <w:adjustRightInd w:val="0"/>
        <w:snapToGrid w:val="0"/>
        <w:spacing w:line="288" w:lineRule="auto"/>
        <w:ind w:firstLine="360" w:firstLineChars="100"/>
        <w:rPr>
          <w:rFonts w:hint="default" w:ascii="仿宋_GB2312" w:eastAsia="仿宋_GB2312"/>
          <w:spacing w:val="-18"/>
          <w:sz w:val="36"/>
          <w:szCs w:val="36"/>
          <w:u w:val="single"/>
          <w:lang w:val="en-US"/>
        </w:rPr>
      </w:pPr>
      <w:r>
        <w:rPr>
          <w:rFonts w:hint="eastAsia" w:ascii="仿宋_GB2312" w:eastAsia="仿宋_GB2312"/>
          <w:sz w:val="36"/>
          <w:szCs w:val="36"/>
        </w:rPr>
        <w:t>建设单位（盖章）：</w:t>
      </w:r>
      <w:r>
        <w:rPr>
          <w:rFonts w:hint="eastAsia" w:ascii="仿宋_GB2312" w:eastAsia="仿宋_GB2312"/>
          <w:bCs/>
          <w:spacing w:val="-18"/>
          <w:sz w:val="36"/>
          <w:szCs w:val="36"/>
          <w:u w:val="single"/>
          <w:lang w:val="en-US" w:eastAsia="zh-CN"/>
        </w:rPr>
        <w:t xml:space="preserve">木垒黑走马混凝土有限责任公司     </w:t>
      </w:r>
    </w:p>
    <w:p w14:paraId="2003913F">
      <w:pPr>
        <w:adjustRightInd w:val="0"/>
        <w:snapToGrid w:val="0"/>
        <w:spacing w:line="288" w:lineRule="auto"/>
        <w:ind w:firstLine="360" w:firstLineChars="10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二〇二</w:t>
      </w:r>
      <w:r>
        <w:rPr>
          <w:rFonts w:hint="eastAsia" w:ascii="仿宋_GB2312" w:eastAsia="仿宋_GB2312"/>
          <w:sz w:val="36"/>
          <w:szCs w:val="36"/>
          <w:u w:val="single"/>
          <w:lang w:val="en-US" w:eastAsia="zh-CN"/>
        </w:rPr>
        <w:t>四</w:t>
      </w:r>
      <w:r>
        <w:rPr>
          <w:rFonts w:hint="eastAsia" w:ascii="仿宋_GB2312" w:eastAsia="仿宋_GB2312"/>
          <w:sz w:val="36"/>
          <w:szCs w:val="36"/>
          <w:u w:val="single"/>
        </w:rPr>
        <w:t>年</w:t>
      </w:r>
      <w:r>
        <w:rPr>
          <w:rFonts w:hint="eastAsia" w:ascii="仿宋_GB2312" w:eastAsia="仿宋_GB2312"/>
          <w:sz w:val="36"/>
          <w:szCs w:val="36"/>
          <w:u w:val="single"/>
          <w:lang w:val="en-US" w:eastAsia="zh-CN"/>
        </w:rPr>
        <w:t>七</w:t>
      </w:r>
      <w:r>
        <w:rPr>
          <w:rFonts w:hint="eastAsia" w:ascii="仿宋_GB2312" w:eastAsia="仿宋_GB2312"/>
          <w:sz w:val="36"/>
          <w:szCs w:val="36"/>
          <w:u w:val="single"/>
        </w:rPr>
        <w:t>月</w:t>
      </w:r>
      <w:r>
        <w:rPr>
          <w:rFonts w:ascii="仿宋_GB2312" w:eastAsia="仿宋_GB2312"/>
          <w:sz w:val="32"/>
          <w:szCs w:val="32"/>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p>
    <w:p w14:paraId="551E1D65">
      <w:pPr>
        <w:adjustRightInd w:val="0"/>
        <w:snapToGrid w:val="0"/>
        <w:spacing w:line="288" w:lineRule="auto"/>
        <w:ind w:firstLine="1040"/>
        <w:rPr>
          <w:rFonts w:ascii="仿宋_GB2312" w:eastAsia="仿宋_GB2312"/>
          <w:sz w:val="36"/>
          <w:szCs w:val="36"/>
          <w:u w:val="single"/>
        </w:rPr>
      </w:pPr>
      <w:bookmarkStart w:id="1" w:name="_Hlk57884087"/>
    </w:p>
    <w:p w14:paraId="1E14B3AE">
      <w:pPr>
        <w:adjustRightInd w:val="0"/>
        <w:snapToGrid w:val="0"/>
        <w:spacing w:line="288" w:lineRule="auto"/>
        <w:rPr>
          <w:rFonts w:ascii="仿宋_GB2312" w:eastAsia="仿宋_GB2312"/>
          <w:sz w:val="36"/>
          <w:szCs w:val="36"/>
        </w:rPr>
      </w:pPr>
    </w:p>
    <w:p w14:paraId="51BC1858">
      <w:pPr>
        <w:adjustRightInd w:val="0"/>
        <w:snapToGrid w:val="0"/>
        <w:spacing w:line="288" w:lineRule="auto"/>
        <w:ind w:firstLine="1040"/>
        <w:rPr>
          <w:rFonts w:hint="eastAsia" w:ascii="仿宋_GB2312" w:eastAsia="仿宋_GB2312"/>
          <w:sz w:val="36"/>
          <w:szCs w:val="36"/>
        </w:rPr>
      </w:pPr>
    </w:p>
    <w:p w14:paraId="7ED6E1B0">
      <w:pPr>
        <w:adjustRightInd w:val="0"/>
        <w:snapToGrid w:val="0"/>
        <w:spacing w:line="288" w:lineRule="auto"/>
        <w:ind w:firstLine="1040"/>
        <w:rPr>
          <w:rFonts w:hint="eastAsia" w:ascii="仿宋_GB2312" w:eastAsia="仿宋_GB2312"/>
          <w:sz w:val="36"/>
          <w:szCs w:val="36"/>
        </w:rPr>
      </w:pPr>
    </w:p>
    <w:bookmarkEnd w:id="1"/>
    <w:p w14:paraId="7B420F63">
      <w:pPr>
        <w:adjustRightInd w:val="0"/>
        <w:snapToGrid w:val="0"/>
        <w:spacing w:line="288" w:lineRule="auto"/>
        <w:jc w:val="center"/>
        <w:rPr>
          <w:rFonts w:hint="eastAsia" w:ascii="宋体" w:hAnsi="宋体" w:eastAsia="黑体"/>
        </w:rPr>
      </w:pPr>
      <w:r>
        <w:rPr>
          <w:rFonts w:hint="eastAsia" w:ascii="楷体_GB2312" w:eastAsia="楷体_GB2312"/>
          <w:sz w:val="36"/>
          <w:szCs w:val="36"/>
        </w:rPr>
        <w:t>中华人民共和国生态环境部制</w:t>
      </w:r>
    </w:p>
    <w:p w14:paraId="499385FE">
      <w:pPr>
        <w:pStyle w:val="19"/>
        <w:jc w:val="center"/>
        <w:outlineLvl w:val="0"/>
        <w:rPr>
          <w:rFonts w:hint="eastAsia" w:ascii="黑体" w:hAnsi="黑体" w:eastAsia="黑体"/>
          <w:snapToGrid w:val="0"/>
          <w:color w:val="auto"/>
          <w:sz w:val="30"/>
          <w:szCs w:val="30"/>
          <w:lang w:val="en-US" w:eastAsia="zh-CN"/>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6B72498A">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lang w:val="en-US" w:eastAsia="zh-CN"/>
        </w:rPr>
        <w:t>一</w:t>
      </w:r>
      <w:r>
        <w:rPr>
          <w:rFonts w:hint="eastAsia" w:ascii="黑体" w:hAnsi="黑体" w:eastAsia="黑体"/>
          <w:snapToGrid w:val="0"/>
          <w:color w:val="auto"/>
          <w:sz w:val="30"/>
          <w:szCs w:val="30"/>
        </w:rPr>
        <w:t>、建设项目基本情况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84"/>
        <w:gridCol w:w="2002"/>
        <w:gridCol w:w="2314"/>
        <w:gridCol w:w="3370"/>
      </w:tblGrid>
      <w:tr w14:paraId="27A41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611B3E2F">
            <w:pPr>
              <w:adjustRightInd w:val="0"/>
              <w:snapToGrid w:val="0"/>
              <w:jc w:val="center"/>
              <w:rPr>
                <w:color w:val="auto"/>
                <w:sz w:val="24"/>
              </w:rPr>
            </w:pPr>
            <w:r>
              <w:rPr>
                <w:color w:val="auto"/>
                <w:sz w:val="24"/>
              </w:rPr>
              <w:t>建设项目名称</w:t>
            </w:r>
          </w:p>
        </w:tc>
        <w:tc>
          <w:tcPr>
            <w:tcW w:w="7686" w:type="dxa"/>
            <w:gridSpan w:val="3"/>
            <w:vAlign w:val="center"/>
          </w:tcPr>
          <w:p w14:paraId="65A3D903">
            <w:pPr>
              <w:keepNext w:val="0"/>
              <w:keepLines w:val="0"/>
              <w:widowControl/>
              <w:suppressLineNumbers w:val="0"/>
              <w:spacing w:line="360" w:lineRule="auto"/>
              <w:jc w:val="center"/>
              <w:rPr>
                <w:rFonts w:hint="default" w:eastAsia="宋体"/>
                <w:color w:val="auto"/>
                <w:sz w:val="24"/>
                <w:lang w:val="en-US" w:eastAsia="zh-CN"/>
              </w:rPr>
            </w:pPr>
            <w:r>
              <w:rPr>
                <w:rFonts w:hint="eastAsia"/>
                <w:color w:val="auto"/>
                <w:sz w:val="24"/>
                <w:lang w:eastAsia="zh-CN"/>
              </w:rPr>
              <w:t>木垒黑走马混凝土有限责任公司</w:t>
            </w:r>
            <w:r>
              <w:rPr>
                <w:rFonts w:hint="eastAsia"/>
                <w:color w:val="auto"/>
                <w:sz w:val="24"/>
                <w:lang w:val="en-US" w:eastAsia="zh-CN"/>
              </w:rPr>
              <w:t>老君庙西风电场商砼项目</w:t>
            </w:r>
          </w:p>
        </w:tc>
      </w:tr>
      <w:tr w14:paraId="31095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52F67E4B">
            <w:pPr>
              <w:adjustRightInd w:val="0"/>
              <w:snapToGrid w:val="0"/>
              <w:jc w:val="center"/>
              <w:rPr>
                <w:color w:val="auto"/>
                <w:sz w:val="24"/>
              </w:rPr>
            </w:pPr>
            <w:r>
              <w:rPr>
                <w:color w:val="auto"/>
                <w:sz w:val="24"/>
              </w:rPr>
              <w:t>项目代码</w:t>
            </w:r>
          </w:p>
        </w:tc>
        <w:tc>
          <w:tcPr>
            <w:tcW w:w="7686" w:type="dxa"/>
            <w:gridSpan w:val="3"/>
            <w:vAlign w:val="center"/>
          </w:tcPr>
          <w:p w14:paraId="78D77BD7">
            <w:pPr>
              <w:adjustRightInd w:val="0"/>
              <w:snapToGrid w:val="0"/>
              <w:jc w:val="center"/>
              <w:rPr>
                <w:rFonts w:hint="eastAsia" w:eastAsia="宋体"/>
                <w:color w:val="auto"/>
                <w:sz w:val="24"/>
                <w:lang w:val="en-US" w:eastAsia="zh-CN"/>
              </w:rPr>
            </w:pPr>
            <w:r>
              <w:rPr>
                <w:rFonts w:hint="eastAsia" w:ascii="Times New Roman" w:hAnsi="Times New Roman" w:eastAsia="宋体" w:cs="Times New Roman"/>
                <w:color w:val="auto"/>
                <w:sz w:val="24"/>
                <w:lang w:val="en-US" w:eastAsia="zh-CN"/>
              </w:rPr>
              <w:t>2403-652328-04-01-935778</w:t>
            </w:r>
          </w:p>
        </w:tc>
      </w:tr>
      <w:tr w14:paraId="5B96B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2E95BABE">
            <w:pPr>
              <w:adjustRightInd w:val="0"/>
              <w:snapToGrid w:val="0"/>
              <w:jc w:val="center"/>
              <w:rPr>
                <w:color w:val="auto"/>
                <w:sz w:val="24"/>
              </w:rPr>
            </w:pPr>
            <w:r>
              <w:rPr>
                <w:color w:val="auto"/>
                <w:sz w:val="24"/>
              </w:rPr>
              <w:t>建设单位联系人</w:t>
            </w:r>
          </w:p>
        </w:tc>
        <w:tc>
          <w:tcPr>
            <w:tcW w:w="2002" w:type="dxa"/>
            <w:vAlign w:val="center"/>
          </w:tcPr>
          <w:p w14:paraId="5DED4CFE">
            <w:pPr>
              <w:adjustRightInd w:val="0"/>
              <w:snapToGrid w:val="0"/>
              <w:jc w:val="center"/>
              <w:rPr>
                <w:rFonts w:hint="default" w:eastAsia="宋体"/>
                <w:color w:val="auto"/>
                <w:sz w:val="24"/>
                <w:lang w:val="en-US" w:eastAsia="zh-CN"/>
              </w:rPr>
            </w:pPr>
            <w:r>
              <w:rPr>
                <w:rFonts w:hint="eastAsia"/>
                <w:color w:val="auto"/>
                <w:sz w:val="24"/>
                <w:lang w:val="en-US" w:eastAsia="zh-CN"/>
              </w:rPr>
              <w:t>丁雪飞</w:t>
            </w:r>
          </w:p>
        </w:tc>
        <w:tc>
          <w:tcPr>
            <w:tcW w:w="2314" w:type="dxa"/>
            <w:vAlign w:val="center"/>
          </w:tcPr>
          <w:p w14:paraId="42B5275E">
            <w:pPr>
              <w:adjustRightInd w:val="0"/>
              <w:snapToGrid w:val="0"/>
              <w:jc w:val="center"/>
              <w:rPr>
                <w:color w:val="auto"/>
                <w:sz w:val="24"/>
              </w:rPr>
            </w:pPr>
            <w:r>
              <w:rPr>
                <w:color w:val="auto"/>
                <w:sz w:val="24"/>
              </w:rPr>
              <w:t>联系方式</w:t>
            </w:r>
          </w:p>
        </w:tc>
        <w:tc>
          <w:tcPr>
            <w:tcW w:w="3370" w:type="dxa"/>
            <w:vAlign w:val="center"/>
          </w:tcPr>
          <w:p w14:paraId="4B2DB9DF">
            <w:pPr>
              <w:adjustRightInd w:val="0"/>
              <w:snapToGrid w:val="0"/>
              <w:jc w:val="center"/>
              <w:rPr>
                <w:rFonts w:hint="default" w:eastAsia="宋体"/>
                <w:color w:val="auto"/>
                <w:sz w:val="24"/>
                <w:lang w:val="en-US" w:eastAsia="zh-CN"/>
              </w:rPr>
            </w:pPr>
            <w:r>
              <w:rPr>
                <w:rFonts w:hint="eastAsia"/>
                <w:color w:val="auto"/>
                <w:sz w:val="24"/>
                <w:lang w:val="en-US" w:eastAsia="zh-CN"/>
              </w:rPr>
              <w:t>18209919656</w:t>
            </w:r>
          </w:p>
        </w:tc>
      </w:tr>
      <w:tr w14:paraId="3F0C2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2A80772D">
            <w:pPr>
              <w:adjustRightInd w:val="0"/>
              <w:snapToGrid w:val="0"/>
              <w:jc w:val="center"/>
              <w:rPr>
                <w:color w:val="auto"/>
                <w:sz w:val="24"/>
              </w:rPr>
            </w:pPr>
            <w:r>
              <w:rPr>
                <w:color w:val="auto"/>
                <w:sz w:val="24"/>
              </w:rPr>
              <w:t>建设地点</w:t>
            </w:r>
          </w:p>
        </w:tc>
        <w:tc>
          <w:tcPr>
            <w:tcW w:w="7686" w:type="dxa"/>
            <w:gridSpan w:val="3"/>
            <w:vAlign w:val="center"/>
          </w:tcPr>
          <w:p w14:paraId="4FB93289">
            <w:pPr>
              <w:adjustRightInd w:val="0"/>
              <w:snapToGrid w:val="0"/>
              <w:jc w:val="center"/>
              <w:rPr>
                <w:rFonts w:hint="default" w:eastAsia="宋体"/>
                <w:color w:val="auto"/>
                <w:sz w:val="24"/>
                <w:lang w:val="en-US" w:eastAsia="zh-CN"/>
              </w:rPr>
            </w:pPr>
            <w:r>
              <w:rPr>
                <w:rFonts w:hint="eastAsia"/>
                <w:color w:val="auto"/>
                <w:sz w:val="24"/>
                <w:u w:val="none"/>
              </w:rPr>
              <w:t>昌吉回族自治州木垒哈萨克自治县博斯塘乡境内</w:t>
            </w:r>
          </w:p>
        </w:tc>
      </w:tr>
      <w:tr w14:paraId="4D787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004BE2D0">
            <w:pPr>
              <w:adjustRightInd w:val="0"/>
              <w:snapToGrid w:val="0"/>
              <w:jc w:val="center"/>
              <w:rPr>
                <w:color w:val="auto"/>
                <w:sz w:val="24"/>
              </w:rPr>
            </w:pPr>
            <w:r>
              <w:rPr>
                <w:color w:val="auto"/>
                <w:sz w:val="24"/>
              </w:rPr>
              <w:t>地理坐标</w:t>
            </w:r>
          </w:p>
        </w:tc>
        <w:tc>
          <w:tcPr>
            <w:tcW w:w="7686" w:type="dxa"/>
            <w:gridSpan w:val="3"/>
            <w:vAlign w:val="center"/>
          </w:tcPr>
          <w:p w14:paraId="5B2A3DD5">
            <w:pPr>
              <w:jc w:val="center"/>
              <w:rPr>
                <w:color w:val="auto"/>
                <w:sz w:val="24"/>
              </w:rPr>
            </w:pPr>
            <w:r>
              <w:rPr>
                <w:color w:val="auto"/>
                <w:sz w:val="24"/>
              </w:rPr>
              <w:t>（</w:t>
            </w:r>
            <w:r>
              <w:rPr>
                <w:rFonts w:hint="default" w:ascii="Times New Roman" w:hAnsi="Times New Roman" w:eastAsia="宋体" w:cs="Times New Roman"/>
                <w:color w:val="auto"/>
                <w:sz w:val="24"/>
                <w:szCs w:val="24"/>
                <w:lang w:val="en-US" w:eastAsia="zh-CN"/>
              </w:rPr>
              <w:t>东经：9</w:t>
            </w:r>
            <w:r>
              <w:rPr>
                <w:rFonts w:hint="eastAsia" w:ascii="Times New Roman" w:hAnsi="Times New Roman" w:eastAsia="宋体" w:cs="Times New Roman"/>
                <w:color w:val="auto"/>
                <w:sz w:val="24"/>
                <w:szCs w:val="24"/>
                <w:lang w:val="en-US" w:eastAsia="zh-CN"/>
              </w:rPr>
              <w:t>0°34′42.12″</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北纬：</w:t>
            </w: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4°18′27.88″</w:t>
            </w:r>
            <w:r>
              <w:rPr>
                <w:color w:val="auto"/>
                <w:sz w:val="24"/>
              </w:rPr>
              <w:t>）</w:t>
            </w:r>
          </w:p>
        </w:tc>
      </w:tr>
      <w:tr w14:paraId="7F2A8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84" w:type="dxa"/>
            <w:tcMar>
              <w:top w:w="16" w:type="dxa"/>
              <w:left w:w="16" w:type="dxa"/>
              <w:right w:w="16" w:type="dxa"/>
            </w:tcMar>
            <w:vAlign w:val="center"/>
          </w:tcPr>
          <w:p w14:paraId="447F1F71">
            <w:pPr>
              <w:adjustRightInd w:val="0"/>
              <w:snapToGrid w:val="0"/>
              <w:jc w:val="center"/>
              <w:rPr>
                <w:color w:val="auto"/>
                <w:sz w:val="24"/>
              </w:rPr>
            </w:pPr>
            <w:r>
              <w:rPr>
                <w:color w:val="auto"/>
                <w:sz w:val="24"/>
              </w:rPr>
              <w:t>国民经济</w:t>
            </w:r>
          </w:p>
          <w:p w14:paraId="586842D8">
            <w:pPr>
              <w:adjustRightInd w:val="0"/>
              <w:snapToGrid w:val="0"/>
              <w:jc w:val="center"/>
              <w:rPr>
                <w:color w:val="auto"/>
                <w:sz w:val="24"/>
              </w:rPr>
            </w:pPr>
            <w:r>
              <w:rPr>
                <w:color w:val="auto"/>
                <w:sz w:val="24"/>
              </w:rPr>
              <w:t>行业类别</w:t>
            </w:r>
          </w:p>
        </w:tc>
        <w:tc>
          <w:tcPr>
            <w:tcW w:w="2002" w:type="dxa"/>
            <w:vAlign w:val="center"/>
          </w:tcPr>
          <w:p w14:paraId="29DA3EA1">
            <w:pPr>
              <w:adjustRightInd w:val="0"/>
              <w:snapToGrid w:val="0"/>
              <w:jc w:val="center"/>
              <w:rPr>
                <w:color w:val="auto"/>
                <w:sz w:val="24"/>
              </w:rPr>
            </w:pPr>
            <w:r>
              <w:rPr>
                <w:color w:val="auto"/>
                <w:sz w:val="24"/>
              </w:rPr>
              <w:t>C3021水泥制品制造</w:t>
            </w:r>
          </w:p>
        </w:tc>
        <w:tc>
          <w:tcPr>
            <w:tcW w:w="2314" w:type="dxa"/>
            <w:vAlign w:val="center"/>
          </w:tcPr>
          <w:p w14:paraId="28D27699">
            <w:pPr>
              <w:adjustRightInd w:val="0"/>
              <w:snapToGrid w:val="0"/>
              <w:jc w:val="center"/>
              <w:rPr>
                <w:color w:val="auto"/>
                <w:sz w:val="24"/>
              </w:rPr>
            </w:pPr>
            <w:bookmarkStart w:id="2" w:name="_Hlk49843745"/>
            <w:r>
              <w:rPr>
                <w:color w:val="auto"/>
                <w:sz w:val="24"/>
              </w:rPr>
              <w:t>建设项目</w:t>
            </w:r>
          </w:p>
          <w:p w14:paraId="045CE87E">
            <w:pPr>
              <w:adjustRightInd w:val="0"/>
              <w:snapToGrid w:val="0"/>
              <w:jc w:val="center"/>
              <w:rPr>
                <w:color w:val="auto"/>
                <w:sz w:val="24"/>
              </w:rPr>
            </w:pPr>
            <w:r>
              <w:rPr>
                <w:color w:val="auto"/>
                <w:sz w:val="24"/>
              </w:rPr>
              <w:t>行业类别</w:t>
            </w:r>
            <w:bookmarkEnd w:id="2"/>
          </w:p>
        </w:tc>
        <w:tc>
          <w:tcPr>
            <w:tcW w:w="3370" w:type="dxa"/>
            <w:vAlign w:val="center"/>
          </w:tcPr>
          <w:p w14:paraId="23A00CBC">
            <w:pPr>
              <w:adjustRightInd w:val="0"/>
              <w:snapToGrid w:val="0"/>
              <w:rPr>
                <w:color w:val="auto"/>
                <w:sz w:val="24"/>
              </w:rPr>
            </w:pPr>
            <w:r>
              <w:rPr>
                <w:color w:val="auto"/>
                <w:sz w:val="24"/>
              </w:rPr>
              <w:t>二十七、非金属矿物制品业30，55.石膏、水泥制品及类似制品制造302</w:t>
            </w:r>
          </w:p>
        </w:tc>
      </w:tr>
      <w:tr w14:paraId="70C3E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84" w:type="dxa"/>
            <w:tcMar>
              <w:top w:w="16" w:type="dxa"/>
              <w:left w:w="16" w:type="dxa"/>
              <w:right w:w="16" w:type="dxa"/>
            </w:tcMar>
            <w:vAlign w:val="center"/>
          </w:tcPr>
          <w:p w14:paraId="5EE5F7A2">
            <w:pPr>
              <w:adjustRightInd w:val="0"/>
              <w:snapToGrid w:val="0"/>
              <w:jc w:val="center"/>
              <w:rPr>
                <w:color w:val="auto"/>
                <w:sz w:val="24"/>
              </w:rPr>
            </w:pPr>
            <w:r>
              <w:rPr>
                <w:color w:val="auto"/>
                <w:sz w:val="24"/>
              </w:rPr>
              <w:t>建设性质</w:t>
            </w:r>
          </w:p>
        </w:tc>
        <w:tc>
          <w:tcPr>
            <w:tcW w:w="2002" w:type="dxa"/>
            <w:vAlign w:val="center"/>
          </w:tcPr>
          <w:p w14:paraId="425CE70D">
            <w:pPr>
              <w:jc w:val="left"/>
              <w:rPr>
                <w:color w:val="auto"/>
                <w:sz w:val="24"/>
              </w:rPr>
            </w:pPr>
            <w:r>
              <w:rPr>
                <w:color w:val="auto"/>
                <w:sz w:val="24"/>
              </w:rPr>
              <w:sym w:font="Wingdings 2" w:char="0052"/>
            </w:r>
            <w:r>
              <w:rPr>
                <w:color w:val="auto"/>
                <w:sz w:val="24"/>
              </w:rPr>
              <w:t>新建（迁建）</w:t>
            </w:r>
          </w:p>
          <w:p w14:paraId="2934A012">
            <w:pPr>
              <w:jc w:val="left"/>
              <w:rPr>
                <w:color w:val="auto"/>
                <w:sz w:val="24"/>
              </w:rPr>
            </w:pPr>
            <w:r>
              <w:rPr>
                <w:color w:val="auto"/>
                <w:sz w:val="24"/>
              </w:rPr>
              <w:sym w:font="Wingdings 2" w:char="00A3"/>
            </w:r>
            <w:r>
              <w:rPr>
                <w:color w:val="auto"/>
                <w:sz w:val="24"/>
              </w:rPr>
              <w:t>改建</w:t>
            </w:r>
          </w:p>
          <w:p w14:paraId="5B00A166">
            <w:pPr>
              <w:jc w:val="left"/>
              <w:rPr>
                <w:color w:val="auto"/>
                <w:sz w:val="24"/>
              </w:rPr>
            </w:pPr>
            <w:r>
              <w:rPr>
                <w:color w:val="auto"/>
                <w:sz w:val="24"/>
              </w:rPr>
              <w:sym w:font="Wingdings 2" w:char="00A3"/>
            </w:r>
            <w:r>
              <w:rPr>
                <w:color w:val="auto"/>
                <w:sz w:val="24"/>
              </w:rPr>
              <w:t>扩建</w:t>
            </w:r>
          </w:p>
          <w:p w14:paraId="39B0495F">
            <w:pPr>
              <w:jc w:val="left"/>
              <w:rPr>
                <w:color w:val="auto"/>
                <w:sz w:val="24"/>
              </w:rPr>
            </w:pPr>
            <w:r>
              <w:rPr>
                <w:color w:val="auto"/>
                <w:sz w:val="24"/>
              </w:rPr>
              <w:sym w:font="Wingdings 2" w:char="00A3"/>
            </w:r>
            <w:r>
              <w:rPr>
                <w:color w:val="auto"/>
                <w:sz w:val="24"/>
              </w:rPr>
              <w:t>技术改造</w:t>
            </w:r>
          </w:p>
        </w:tc>
        <w:tc>
          <w:tcPr>
            <w:tcW w:w="2314" w:type="dxa"/>
            <w:vAlign w:val="center"/>
          </w:tcPr>
          <w:p w14:paraId="56B50B93">
            <w:pPr>
              <w:adjustRightInd w:val="0"/>
              <w:snapToGrid w:val="0"/>
              <w:jc w:val="center"/>
              <w:rPr>
                <w:color w:val="auto"/>
                <w:sz w:val="24"/>
              </w:rPr>
            </w:pPr>
            <w:r>
              <w:rPr>
                <w:color w:val="auto"/>
                <w:sz w:val="24"/>
              </w:rPr>
              <w:t>建设项目</w:t>
            </w:r>
          </w:p>
          <w:p w14:paraId="5A8E14F4">
            <w:pPr>
              <w:adjustRightInd w:val="0"/>
              <w:snapToGrid w:val="0"/>
              <w:jc w:val="center"/>
              <w:rPr>
                <w:color w:val="auto"/>
                <w:sz w:val="24"/>
              </w:rPr>
            </w:pPr>
            <w:r>
              <w:rPr>
                <w:color w:val="auto"/>
                <w:sz w:val="24"/>
              </w:rPr>
              <w:t>申报情形</w:t>
            </w:r>
          </w:p>
        </w:tc>
        <w:tc>
          <w:tcPr>
            <w:tcW w:w="3370" w:type="dxa"/>
            <w:vAlign w:val="center"/>
          </w:tcPr>
          <w:p w14:paraId="65E3E26D">
            <w:pPr>
              <w:jc w:val="left"/>
              <w:rPr>
                <w:color w:val="auto"/>
                <w:sz w:val="24"/>
              </w:rPr>
            </w:pPr>
            <w:r>
              <w:rPr>
                <w:color w:val="auto"/>
                <w:sz w:val="24"/>
              </w:rPr>
              <w:sym w:font="Wingdings 2" w:char="0052"/>
            </w:r>
            <w:r>
              <w:rPr>
                <w:color w:val="auto"/>
                <w:sz w:val="24"/>
              </w:rPr>
              <w:t xml:space="preserve">首次申报项目             </w:t>
            </w:r>
          </w:p>
          <w:p w14:paraId="4229D6A5">
            <w:pPr>
              <w:jc w:val="left"/>
              <w:rPr>
                <w:color w:val="auto"/>
                <w:sz w:val="24"/>
              </w:rPr>
            </w:pPr>
            <w:r>
              <w:rPr>
                <w:color w:val="auto"/>
                <w:sz w:val="24"/>
              </w:rPr>
              <w:sym w:font="Wingdings 2" w:char="00A3"/>
            </w:r>
            <w:r>
              <w:rPr>
                <w:color w:val="auto"/>
                <w:sz w:val="24"/>
              </w:rPr>
              <w:t>不予批准后再次申报项目</w:t>
            </w:r>
          </w:p>
          <w:p w14:paraId="7E6F0B24">
            <w:pPr>
              <w:jc w:val="left"/>
              <w:rPr>
                <w:color w:val="auto"/>
                <w:sz w:val="24"/>
              </w:rPr>
            </w:pPr>
            <w:r>
              <w:rPr>
                <w:color w:val="auto"/>
                <w:sz w:val="24"/>
              </w:rPr>
              <w:sym w:font="Wingdings 2" w:char="00A3"/>
            </w:r>
            <w:r>
              <w:rPr>
                <w:color w:val="auto"/>
                <w:sz w:val="24"/>
              </w:rPr>
              <w:t xml:space="preserve">超五年重新审核项目     </w:t>
            </w:r>
          </w:p>
          <w:p w14:paraId="79D811D4">
            <w:pPr>
              <w:jc w:val="left"/>
              <w:rPr>
                <w:color w:val="auto"/>
                <w:sz w:val="24"/>
              </w:rPr>
            </w:pPr>
            <w:r>
              <w:rPr>
                <w:color w:val="auto"/>
                <w:sz w:val="24"/>
              </w:rPr>
              <w:sym w:font="Wingdings 2" w:char="00A3"/>
            </w:r>
            <w:r>
              <w:rPr>
                <w:color w:val="auto"/>
                <w:sz w:val="24"/>
              </w:rPr>
              <w:t>重大变动重新报批项目</w:t>
            </w:r>
          </w:p>
        </w:tc>
      </w:tr>
      <w:tr w14:paraId="19762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84" w:type="dxa"/>
            <w:tcMar>
              <w:top w:w="16" w:type="dxa"/>
              <w:left w:w="16" w:type="dxa"/>
              <w:right w:w="16" w:type="dxa"/>
            </w:tcMar>
            <w:vAlign w:val="center"/>
          </w:tcPr>
          <w:p w14:paraId="605D1A98">
            <w:pPr>
              <w:adjustRightInd w:val="0"/>
              <w:snapToGrid w:val="0"/>
              <w:jc w:val="center"/>
              <w:rPr>
                <w:color w:val="auto"/>
                <w:sz w:val="24"/>
              </w:rPr>
            </w:pPr>
            <w:r>
              <w:rPr>
                <w:color w:val="auto"/>
                <w:sz w:val="24"/>
              </w:rPr>
              <w:t>项目审批（核准/</w:t>
            </w:r>
          </w:p>
          <w:p w14:paraId="1877C099">
            <w:pPr>
              <w:adjustRightInd w:val="0"/>
              <w:snapToGrid w:val="0"/>
              <w:jc w:val="center"/>
              <w:rPr>
                <w:color w:val="auto"/>
                <w:sz w:val="24"/>
              </w:rPr>
            </w:pPr>
            <w:r>
              <w:rPr>
                <w:color w:val="auto"/>
                <w:sz w:val="24"/>
              </w:rPr>
              <w:t>备案）部门（选填）</w:t>
            </w:r>
          </w:p>
        </w:tc>
        <w:tc>
          <w:tcPr>
            <w:tcW w:w="2002" w:type="dxa"/>
            <w:vAlign w:val="center"/>
          </w:tcPr>
          <w:p w14:paraId="2AC03B3C">
            <w:pPr>
              <w:adjustRightInd w:val="0"/>
              <w:snapToGrid w:val="0"/>
              <w:jc w:val="center"/>
              <w:rPr>
                <w:rFonts w:hint="default" w:eastAsia="宋体"/>
                <w:color w:val="auto"/>
                <w:sz w:val="24"/>
                <w:lang w:val="en-US" w:eastAsia="zh-CN"/>
              </w:rPr>
            </w:pPr>
            <w:r>
              <w:rPr>
                <w:color w:val="auto"/>
                <w:sz w:val="24"/>
              </w:rPr>
              <w:t>木垒县</w:t>
            </w:r>
            <w:r>
              <w:rPr>
                <w:rFonts w:hint="eastAsia"/>
                <w:color w:val="auto"/>
                <w:sz w:val="24"/>
                <w:lang w:val="en-US" w:eastAsia="zh-CN"/>
              </w:rPr>
              <w:t>发展和改革委员会</w:t>
            </w:r>
          </w:p>
        </w:tc>
        <w:tc>
          <w:tcPr>
            <w:tcW w:w="2314" w:type="dxa"/>
            <w:vAlign w:val="center"/>
          </w:tcPr>
          <w:p w14:paraId="461896D6">
            <w:pPr>
              <w:adjustRightInd w:val="0"/>
              <w:snapToGrid w:val="0"/>
              <w:jc w:val="center"/>
              <w:rPr>
                <w:color w:val="auto"/>
                <w:sz w:val="24"/>
              </w:rPr>
            </w:pPr>
            <w:r>
              <w:rPr>
                <w:color w:val="auto"/>
                <w:sz w:val="24"/>
              </w:rPr>
              <w:t>项目审批（核准/</w:t>
            </w:r>
          </w:p>
          <w:p w14:paraId="7FD0DB05">
            <w:pPr>
              <w:adjustRightInd w:val="0"/>
              <w:snapToGrid w:val="0"/>
              <w:jc w:val="center"/>
              <w:rPr>
                <w:color w:val="auto"/>
                <w:sz w:val="24"/>
              </w:rPr>
            </w:pPr>
            <w:r>
              <w:rPr>
                <w:color w:val="auto"/>
                <w:sz w:val="24"/>
              </w:rPr>
              <w:t>备案）文号（选填）</w:t>
            </w:r>
          </w:p>
        </w:tc>
        <w:tc>
          <w:tcPr>
            <w:tcW w:w="3370" w:type="dxa"/>
            <w:vAlign w:val="center"/>
          </w:tcPr>
          <w:p w14:paraId="0D1A1903">
            <w:pPr>
              <w:adjustRightInd w:val="0"/>
              <w:snapToGrid w:val="0"/>
              <w:jc w:val="center"/>
              <w:rPr>
                <w:color w:val="auto"/>
                <w:sz w:val="24"/>
              </w:rPr>
            </w:pPr>
            <w:r>
              <w:rPr>
                <w:rFonts w:hint="eastAsia"/>
                <w:color w:val="auto"/>
                <w:sz w:val="24"/>
              </w:rPr>
              <w:t>2404221161652300000073</w:t>
            </w:r>
          </w:p>
        </w:tc>
      </w:tr>
      <w:tr w14:paraId="73813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4C1E5AC1">
            <w:pPr>
              <w:adjustRightInd w:val="0"/>
              <w:snapToGrid w:val="0"/>
              <w:jc w:val="center"/>
              <w:rPr>
                <w:color w:val="auto"/>
                <w:sz w:val="24"/>
              </w:rPr>
            </w:pPr>
            <w:r>
              <w:rPr>
                <w:color w:val="auto"/>
                <w:sz w:val="24"/>
              </w:rPr>
              <w:t>总投资（万元）</w:t>
            </w:r>
          </w:p>
        </w:tc>
        <w:tc>
          <w:tcPr>
            <w:tcW w:w="2002" w:type="dxa"/>
            <w:vAlign w:val="center"/>
          </w:tcPr>
          <w:p w14:paraId="1D47D9F8">
            <w:pPr>
              <w:adjustRightInd w:val="0"/>
              <w:snapToGrid w:val="0"/>
              <w:jc w:val="center"/>
              <w:rPr>
                <w:rFonts w:hint="default" w:eastAsia="宋体"/>
                <w:color w:val="auto"/>
                <w:sz w:val="24"/>
                <w:lang w:val="en-US" w:eastAsia="zh-CN"/>
              </w:rPr>
            </w:pPr>
            <w:r>
              <w:rPr>
                <w:rFonts w:hint="eastAsia"/>
                <w:color w:val="auto"/>
                <w:sz w:val="24"/>
                <w:lang w:val="en-US" w:eastAsia="zh-CN"/>
              </w:rPr>
              <w:t>500</w:t>
            </w:r>
          </w:p>
        </w:tc>
        <w:tc>
          <w:tcPr>
            <w:tcW w:w="2314" w:type="dxa"/>
            <w:tcMar>
              <w:top w:w="16" w:type="dxa"/>
              <w:left w:w="16" w:type="dxa"/>
              <w:right w:w="16" w:type="dxa"/>
            </w:tcMar>
            <w:vAlign w:val="center"/>
          </w:tcPr>
          <w:p w14:paraId="201F93C5">
            <w:pPr>
              <w:adjustRightInd w:val="0"/>
              <w:snapToGrid w:val="0"/>
              <w:jc w:val="center"/>
              <w:rPr>
                <w:color w:val="auto"/>
                <w:sz w:val="24"/>
              </w:rPr>
            </w:pPr>
            <w:r>
              <w:rPr>
                <w:color w:val="auto"/>
                <w:sz w:val="24"/>
              </w:rPr>
              <w:t>环保投资（万元）</w:t>
            </w:r>
          </w:p>
        </w:tc>
        <w:tc>
          <w:tcPr>
            <w:tcW w:w="3370" w:type="dxa"/>
            <w:vAlign w:val="center"/>
          </w:tcPr>
          <w:p w14:paraId="0A5066A8">
            <w:pPr>
              <w:adjustRightInd w:val="0"/>
              <w:snapToGrid w:val="0"/>
              <w:jc w:val="center"/>
              <w:rPr>
                <w:rFonts w:hint="default" w:eastAsia="宋体"/>
                <w:color w:val="auto"/>
                <w:sz w:val="24"/>
                <w:lang w:val="en-US" w:eastAsia="zh-CN"/>
              </w:rPr>
            </w:pPr>
            <w:r>
              <w:rPr>
                <w:rFonts w:hint="eastAsia"/>
                <w:color w:val="auto"/>
                <w:sz w:val="24"/>
                <w:lang w:val="en-US" w:eastAsia="zh-CN"/>
              </w:rPr>
              <w:t>95.31</w:t>
            </w:r>
          </w:p>
        </w:tc>
      </w:tr>
      <w:tr w14:paraId="7D563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56C4B4FE">
            <w:pPr>
              <w:adjustRightInd w:val="0"/>
              <w:snapToGrid w:val="0"/>
              <w:jc w:val="center"/>
              <w:rPr>
                <w:color w:val="auto"/>
                <w:sz w:val="24"/>
              </w:rPr>
            </w:pPr>
            <w:r>
              <w:rPr>
                <w:color w:val="auto"/>
                <w:sz w:val="24"/>
              </w:rPr>
              <w:t>环保投资占比（%）</w:t>
            </w:r>
          </w:p>
        </w:tc>
        <w:tc>
          <w:tcPr>
            <w:tcW w:w="2002" w:type="dxa"/>
            <w:vAlign w:val="center"/>
          </w:tcPr>
          <w:p w14:paraId="793D5D67">
            <w:pPr>
              <w:adjustRightInd w:val="0"/>
              <w:snapToGrid w:val="0"/>
              <w:jc w:val="center"/>
              <w:rPr>
                <w:rFonts w:hint="default" w:eastAsia="宋体"/>
                <w:color w:val="auto"/>
                <w:sz w:val="24"/>
                <w:lang w:val="en-US" w:eastAsia="zh-CN"/>
              </w:rPr>
            </w:pPr>
            <w:r>
              <w:rPr>
                <w:rFonts w:hint="eastAsia"/>
                <w:color w:val="auto"/>
                <w:sz w:val="24"/>
                <w:lang w:val="en-US" w:eastAsia="zh-CN"/>
              </w:rPr>
              <w:t>19.06</w:t>
            </w:r>
          </w:p>
        </w:tc>
        <w:tc>
          <w:tcPr>
            <w:tcW w:w="2314" w:type="dxa"/>
            <w:tcMar>
              <w:top w:w="16" w:type="dxa"/>
              <w:left w:w="16" w:type="dxa"/>
              <w:right w:w="16" w:type="dxa"/>
            </w:tcMar>
            <w:vAlign w:val="center"/>
          </w:tcPr>
          <w:p w14:paraId="58F342DD">
            <w:pPr>
              <w:adjustRightInd w:val="0"/>
              <w:snapToGrid w:val="0"/>
              <w:jc w:val="center"/>
              <w:rPr>
                <w:color w:val="auto"/>
                <w:sz w:val="24"/>
              </w:rPr>
            </w:pPr>
            <w:r>
              <w:rPr>
                <w:color w:val="auto"/>
                <w:sz w:val="24"/>
              </w:rPr>
              <w:t>施工工期</w:t>
            </w:r>
          </w:p>
        </w:tc>
        <w:tc>
          <w:tcPr>
            <w:tcW w:w="3370" w:type="dxa"/>
            <w:vAlign w:val="center"/>
          </w:tcPr>
          <w:p w14:paraId="16B15A55">
            <w:pPr>
              <w:adjustRightInd w:val="0"/>
              <w:snapToGrid w:val="0"/>
              <w:jc w:val="center"/>
              <w:rPr>
                <w:color w:val="auto"/>
                <w:sz w:val="24"/>
              </w:rPr>
            </w:pPr>
            <w:r>
              <w:rPr>
                <w:color w:val="auto"/>
                <w:sz w:val="24"/>
              </w:rPr>
              <w:t>3月</w:t>
            </w:r>
          </w:p>
        </w:tc>
      </w:tr>
      <w:tr w14:paraId="4D79C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4" w:type="dxa"/>
            <w:tcMar>
              <w:top w:w="16" w:type="dxa"/>
              <w:left w:w="16" w:type="dxa"/>
              <w:right w:w="16" w:type="dxa"/>
            </w:tcMar>
            <w:vAlign w:val="center"/>
          </w:tcPr>
          <w:p w14:paraId="3496F695">
            <w:pPr>
              <w:adjustRightInd w:val="0"/>
              <w:snapToGrid w:val="0"/>
              <w:jc w:val="center"/>
              <w:rPr>
                <w:color w:val="auto"/>
                <w:sz w:val="24"/>
              </w:rPr>
            </w:pPr>
            <w:r>
              <w:rPr>
                <w:color w:val="auto"/>
                <w:sz w:val="24"/>
              </w:rPr>
              <w:t>是否开工建设</w:t>
            </w:r>
          </w:p>
        </w:tc>
        <w:tc>
          <w:tcPr>
            <w:tcW w:w="2002" w:type="dxa"/>
            <w:vAlign w:val="center"/>
          </w:tcPr>
          <w:p w14:paraId="60DAC91C">
            <w:pPr>
              <w:adjustRightInd w:val="0"/>
              <w:snapToGrid w:val="0"/>
              <w:rPr>
                <w:color w:val="auto"/>
                <w:sz w:val="24"/>
              </w:rPr>
            </w:pPr>
            <w:r>
              <w:rPr>
                <w:color w:val="auto"/>
                <w:sz w:val="24"/>
              </w:rPr>
              <w:sym w:font="Wingdings 2" w:char="0052"/>
            </w:r>
            <w:r>
              <w:rPr>
                <w:color w:val="auto"/>
                <w:sz w:val="24"/>
              </w:rPr>
              <w:t>否</w:t>
            </w:r>
          </w:p>
          <w:p w14:paraId="59F09976">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2314" w:type="dxa"/>
            <w:tcMar>
              <w:top w:w="16" w:type="dxa"/>
              <w:left w:w="16" w:type="dxa"/>
              <w:right w:w="16" w:type="dxa"/>
            </w:tcMar>
            <w:vAlign w:val="center"/>
          </w:tcPr>
          <w:p w14:paraId="15EE9D82">
            <w:pPr>
              <w:adjustRightInd w:val="0"/>
              <w:snapToGrid w:val="0"/>
              <w:jc w:val="center"/>
              <w:rPr>
                <w:color w:val="auto"/>
                <w:spacing w:val="-6"/>
                <w:sz w:val="24"/>
              </w:rPr>
            </w:pPr>
            <w:r>
              <w:rPr>
                <w:color w:val="auto"/>
                <w:spacing w:val="-6"/>
                <w:sz w:val="24"/>
              </w:rPr>
              <w:t>用地（用海）</w:t>
            </w:r>
          </w:p>
          <w:p w14:paraId="3BE8FF34">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3370" w:type="dxa"/>
            <w:vAlign w:val="center"/>
          </w:tcPr>
          <w:p w14:paraId="0C0A5D99">
            <w:pPr>
              <w:adjustRightInd w:val="0"/>
              <w:snapToGrid w:val="0"/>
              <w:jc w:val="center"/>
              <w:rPr>
                <w:rFonts w:hint="default" w:eastAsia="宋体"/>
                <w:color w:val="auto"/>
                <w:sz w:val="24"/>
                <w:lang w:val="en-US" w:eastAsia="zh-CN"/>
              </w:rPr>
            </w:pPr>
            <w:r>
              <w:rPr>
                <w:rFonts w:hint="eastAsia"/>
                <w:color w:val="auto"/>
                <w:sz w:val="24"/>
                <w:lang w:val="en-US" w:eastAsia="zh-CN"/>
              </w:rPr>
              <w:t>27658</w:t>
            </w:r>
          </w:p>
        </w:tc>
      </w:tr>
      <w:tr w14:paraId="5B58D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84" w:type="dxa"/>
            <w:vAlign w:val="center"/>
          </w:tcPr>
          <w:p w14:paraId="3437028B">
            <w:pPr>
              <w:autoSpaceDE w:val="0"/>
              <w:autoSpaceDN w:val="0"/>
              <w:adjustRightInd w:val="0"/>
              <w:snapToGrid w:val="0"/>
              <w:jc w:val="center"/>
              <w:rPr>
                <w:color w:val="auto"/>
                <w:kern w:val="0"/>
                <w:sz w:val="24"/>
              </w:rPr>
            </w:pPr>
            <w:r>
              <w:rPr>
                <w:color w:val="auto"/>
                <w:kern w:val="0"/>
                <w:sz w:val="24"/>
              </w:rPr>
              <w:t>专项评价设置情况</w:t>
            </w:r>
          </w:p>
        </w:tc>
        <w:tc>
          <w:tcPr>
            <w:tcW w:w="7686" w:type="dxa"/>
            <w:gridSpan w:val="3"/>
            <w:vAlign w:val="center"/>
          </w:tcPr>
          <w:p w14:paraId="3F112CD4">
            <w:pPr>
              <w:autoSpaceDE w:val="0"/>
              <w:autoSpaceDN w:val="0"/>
              <w:adjustRightInd w:val="0"/>
              <w:snapToGrid w:val="0"/>
              <w:jc w:val="center"/>
              <w:rPr>
                <w:color w:val="auto"/>
                <w:kern w:val="0"/>
                <w:sz w:val="24"/>
              </w:rPr>
            </w:pPr>
            <w:r>
              <w:rPr>
                <w:rFonts w:hint="eastAsia"/>
                <w:color w:val="auto"/>
                <w:kern w:val="0"/>
                <w:sz w:val="24"/>
              </w:rPr>
              <w:t>无</w:t>
            </w:r>
          </w:p>
        </w:tc>
      </w:tr>
      <w:tr w14:paraId="4C2F7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84" w:type="dxa"/>
            <w:vAlign w:val="center"/>
          </w:tcPr>
          <w:p w14:paraId="2A42BBAA">
            <w:pPr>
              <w:autoSpaceDE w:val="0"/>
              <w:autoSpaceDN w:val="0"/>
              <w:adjustRightInd w:val="0"/>
              <w:snapToGrid w:val="0"/>
              <w:jc w:val="center"/>
              <w:rPr>
                <w:color w:val="auto"/>
                <w:kern w:val="0"/>
                <w:sz w:val="24"/>
              </w:rPr>
            </w:pPr>
            <w:r>
              <w:rPr>
                <w:color w:val="auto"/>
                <w:sz w:val="24"/>
              </w:rPr>
              <w:t>规划情况</w:t>
            </w:r>
          </w:p>
        </w:tc>
        <w:tc>
          <w:tcPr>
            <w:tcW w:w="7686" w:type="dxa"/>
            <w:gridSpan w:val="3"/>
            <w:vAlign w:val="center"/>
          </w:tcPr>
          <w:p w14:paraId="427D45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eastAsia="宋体"/>
                <w:color w:val="auto"/>
                <w:kern w:val="0"/>
                <w:sz w:val="24"/>
                <w:lang w:val="en-US" w:eastAsia="zh-CN"/>
              </w:rPr>
            </w:pPr>
            <w:r>
              <w:rPr>
                <w:rFonts w:hint="eastAsia"/>
                <w:color w:val="auto"/>
                <w:kern w:val="0"/>
                <w:sz w:val="24"/>
                <w:lang w:val="en-US" w:eastAsia="zh-CN"/>
              </w:rPr>
              <w:t>/</w:t>
            </w:r>
          </w:p>
        </w:tc>
      </w:tr>
      <w:tr w14:paraId="75094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84" w:type="dxa"/>
            <w:tcBorders>
              <w:bottom w:val="single" w:color="auto" w:sz="4" w:space="0"/>
            </w:tcBorders>
            <w:vAlign w:val="center"/>
          </w:tcPr>
          <w:p w14:paraId="5F2DA9CF">
            <w:pPr>
              <w:adjustRightInd w:val="0"/>
              <w:snapToGrid w:val="0"/>
              <w:jc w:val="center"/>
              <w:rPr>
                <w:color w:val="auto"/>
                <w:sz w:val="24"/>
              </w:rPr>
            </w:pPr>
            <w:r>
              <w:rPr>
                <w:color w:val="auto"/>
                <w:sz w:val="24"/>
              </w:rPr>
              <w:t>规划环境影响</w:t>
            </w:r>
          </w:p>
          <w:p w14:paraId="0FD64962">
            <w:pPr>
              <w:adjustRightInd w:val="0"/>
              <w:snapToGrid w:val="0"/>
              <w:jc w:val="center"/>
              <w:rPr>
                <w:color w:val="auto"/>
                <w:kern w:val="0"/>
                <w:sz w:val="24"/>
              </w:rPr>
            </w:pPr>
            <w:r>
              <w:rPr>
                <w:color w:val="auto"/>
                <w:sz w:val="24"/>
              </w:rPr>
              <w:t>评价情况</w:t>
            </w:r>
          </w:p>
        </w:tc>
        <w:tc>
          <w:tcPr>
            <w:tcW w:w="7686" w:type="dxa"/>
            <w:gridSpan w:val="3"/>
            <w:tcBorders>
              <w:bottom w:val="single" w:color="auto" w:sz="4" w:space="0"/>
            </w:tcBorders>
            <w:vAlign w:val="center"/>
          </w:tcPr>
          <w:p w14:paraId="74D20A78">
            <w:pPr>
              <w:autoSpaceDE w:val="0"/>
              <w:autoSpaceDN w:val="0"/>
              <w:adjustRightInd w:val="0"/>
              <w:snapToGrid w:val="0"/>
              <w:spacing w:line="360" w:lineRule="auto"/>
              <w:jc w:val="center"/>
              <w:rPr>
                <w:rFonts w:hint="default" w:eastAsia="宋体"/>
                <w:color w:val="auto"/>
                <w:kern w:val="0"/>
                <w:sz w:val="24"/>
                <w:lang w:val="en-US" w:eastAsia="zh-CN"/>
              </w:rPr>
            </w:pPr>
            <w:r>
              <w:rPr>
                <w:rFonts w:hint="eastAsia"/>
                <w:color w:val="auto"/>
                <w:kern w:val="0"/>
                <w:sz w:val="24"/>
                <w:lang w:val="en-US" w:eastAsia="zh-CN"/>
              </w:rPr>
              <w:t>/</w:t>
            </w:r>
          </w:p>
        </w:tc>
      </w:tr>
      <w:tr w14:paraId="20A13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84" w:type="dxa"/>
            <w:tcBorders>
              <w:top w:val="single" w:color="auto" w:sz="4" w:space="0"/>
              <w:left w:val="single" w:color="auto" w:sz="4" w:space="0"/>
              <w:bottom w:val="single" w:color="auto" w:sz="4" w:space="0"/>
            </w:tcBorders>
            <w:vAlign w:val="center"/>
          </w:tcPr>
          <w:p w14:paraId="01DD594D">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7686" w:type="dxa"/>
            <w:gridSpan w:val="3"/>
            <w:tcBorders>
              <w:top w:val="single" w:color="auto" w:sz="4" w:space="0"/>
              <w:bottom w:val="single" w:color="auto" w:sz="4" w:space="0"/>
              <w:right w:val="single" w:color="auto" w:sz="4" w:space="0"/>
            </w:tcBorders>
            <w:vAlign w:val="center"/>
          </w:tcPr>
          <w:p w14:paraId="16ACBDFD">
            <w:pPr>
              <w:tabs>
                <w:tab w:val="left" w:pos="881"/>
              </w:tabs>
              <w:bidi w:val="0"/>
              <w:jc w:val="center"/>
              <w:rPr>
                <w:rFonts w:hint="default"/>
                <w:lang w:val="en-US" w:eastAsia="zh-CN"/>
              </w:rPr>
            </w:pPr>
            <w:r>
              <w:rPr>
                <w:rFonts w:hint="eastAsia"/>
                <w:lang w:val="en-US" w:eastAsia="zh-CN"/>
              </w:rPr>
              <w:t>/</w:t>
            </w:r>
          </w:p>
        </w:tc>
      </w:tr>
    </w:tbl>
    <w:p w14:paraId="4268DFD4">
      <w:pPr>
        <w:autoSpaceDE w:val="0"/>
        <w:autoSpaceDN w:val="0"/>
        <w:adjustRightInd w:val="0"/>
        <w:snapToGrid w:val="0"/>
        <w:jc w:val="center"/>
        <w:rPr>
          <w:color w:val="auto"/>
          <w:kern w:val="0"/>
          <w:sz w:val="24"/>
        </w:rPr>
      </w:pPr>
      <w:r>
        <w:rPr>
          <w:color w:val="auto"/>
          <w:kern w:val="0"/>
          <w:sz w:val="24"/>
        </w:rPr>
        <w:br w:type="page"/>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7686"/>
      </w:tblGrid>
      <w:tr w14:paraId="4E876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tcBorders>
              <w:top w:val="single" w:color="auto" w:sz="4" w:space="0"/>
            </w:tcBorders>
            <w:vAlign w:val="center"/>
          </w:tcPr>
          <w:p w14:paraId="7055199A">
            <w:pPr>
              <w:autoSpaceDE w:val="0"/>
              <w:autoSpaceDN w:val="0"/>
              <w:adjustRightInd w:val="0"/>
              <w:snapToGrid w:val="0"/>
              <w:jc w:val="center"/>
              <w:rPr>
                <w:color w:val="auto"/>
                <w:kern w:val="0"/>
                <w:sz w:val="24"/>
              </w:rPr>
            </w:pPr>
            <w:r>
              <w:rPr>
                <w:color w:val="auto"/>
                <w:kern w:val="0"/>
                <w:sz w:val="24"/>
              </w:rPr>
              <w:t>其他符合性分析</w:t>
            </w:r>
          </w:p>
        </w:tc>
        <w:tc>
          <w:tcPr>
            <w:tcW w:w="7686" w:type="dxa"/>
            <w:tcBorders>
              <w:top w:val="single" w:color="auto" w:sz="4" w:space="0"/>
            </w:tcBorders>
            <w:vAlign w:val="center"/>
          </w:tcPr>
          <w:p w14:paraId="23A5CDD6">
            <w:pPr>
              <w:numPr>
                <w:ilvl w:val="0"/>
                <w:numId w:val="2"/>
              </w:numPr>
              <w:autoSpaceDE w:val="0"/>
              <w:autoSpaceDN w:val="0"/>
              <w:adjustRightInd w:val="0"/>
              <w:snapToGrid w:val="0"/>
              <w:spacing w:line="360" w:lineRule="auto"/>
              <w:rPr>
                <w:b/>
                <w:bCs/>
                <w:color w:val="auto"/>
                <w:sz w:val="24"/>
              </w:rPr>
            </w:pPr>
            <w:r>
              <w:rPr>
                <w:b/>
                <w:bCs/>
                <w:color w:val="auto"/>
                <w:sz w:val="24"/>
              </w:rPr>
              <w:t>产业政策符合性分析</w:t>
            </w:r>
          </w:p>
          <w:p w14:paraId="0EC374CC">
            <w:pPr>
              <w:autoSpaceDE w:val="0"/>
              <w:autoSpaceDN w:val="0"/>
              <w:adjustRightInd w:val="0"/>
              <w:snapToGrid w:val="0"/>
              <w:spacing w:line="360" w:lineRule="auto"/>
              <w:ind w:firstLine="480" w:firstLineChars="200"/>
              <w:rPr>
                <w:color w:val="auto"/>
                <w:kern w:val="0"/>
                <w:sz w:val="24"/>
              </w:rPr>
            </w:pPr>
            <w:r>
              <w:rPr>
                <w:rFonts w:hint="eastAsia"/>
                <w:color w:val="auto"/>
                <w:kern w:val="0"/>
                <w:sz w:val="24"/>
                <w:lang w:val="en-US" w:eastAsia="zh-CN"/>
              </w:rPr>
              <w:t>本项目属于水泥制品制造行业类别，根据</w:t>
            </w:r>
            <w:r>
              <w:rPr>
                <w:color w:val="auto"/>
                <w:kern w:val="0"/>
                <w:sz w:val="24"/>
              </w:rPr>
              <w:t>《产业结构调整指导目录（20</w:t>
            </w:r>
            <w:r>
              <w:rPr>
                <w:rFonts w:hint="eastAsia"/>
                <w:color w:val="auto"/>
                <w:kern w:val="0"/>
                <w:sz w:val="24"/>
                <w:lang w:val="en-US" w:eastAsia="zh-CN"/>
              </w:rPr>
              <w:t>24</w:t>
            </w:r>
            <w:r>
              <w:rPr>
                <w:color w:val="auto"/>
                <w:kern w:val="0"/>
                <w:sz w:val="24"/>
              </w:rPr>
              <w:t>年本）》</w:t>
            </w:r>
            <w:r>
              <w:rPr>
                <w:rFonts w:hint="eastAsia"/>
                <w:color w:val="auto"/>
                <w:kern w:val="0"/>
                <w:sz w:val="24"/>
                <w:lang w:val="en-US" w:eastAsia="zh-CN"/>
              </w:rPr>
              <w:t>最新文件表示</w:t>
            </w:r>
            <w:r>
              <w:rPr>
                <w:color w:val="auto"/>
                <w:kern w:val="0"/>
                <w:sz w:val="24"/>
              </w:rPr>
              <w:t>，本项目</w:t>
            </w:r>
            <w:r>
              <w:rPr>
                <w:rFonts w:hint="eastAsia"/>
                <w:color w:val="auto"/>
                <w:kern w:val="0"/>
                <w:sz w:val="24"/>
                <w:lang w:val="en-US" w:eastAsia="zh-CN"/>
              </w:rPr>
              <w:t>不在其规范性文件中的</w:t>
            </w:r>
            <w:r>
              <w:rPr>
                <w:color w:val="auto"/>
                <w:kern w:val="0"/>
                <w:sz w:val="24"/>
              </w:rPr>
              <w:t>鼓励类、限制类和淘汰类</w:t>
            </w:r>
            <w:r>
              <w:rPr>
                <w:rFonts w:hint="eastAsia"/>
                <w:color w:val="auto"/>
                <w:kern w:val="0"/>
                <w:sz w:val="24"/>
                <w:lang w:val="en-US" w:eastAsia="zh-CN"/>
              </w:rPr>
              <w:t>项目</w:t>
            </w:r>
            <w:r>
              <w:rPr>
                <w:color w:val="auto"/>
                <w:kern w:val="0"/>
                <w:sz w:val="24"/>
              </w:rPr>
              <w:t>范围内，</w:t>
            </w:r>
            <w:r>
              <w:rPr>
                <w:rFonts w:hint="eastAsia"/>
                <w:color w:val="auto"/>
                <w:kern w:val="0"/>
                <w:sz w:val="24"/>
                <w:lang w:val="en-US" w:eastAsia="zh-CN"/>
              </w:rPr>
              <w:t>且在其</w:t>
            </w:r>
            <w:r>
              <w:rPr>
                <w:color w:val="auto"/>
                <w:kern w:val="0"/>
                <w:sz w:val="24"/>
              </w:rPr>
              <w:t>生产过程中未</w:t>
            </w:r>
            <w:r>
              <w:rPr>
                <w:rFonts w:hint="eastAsia"/>
                <w:color w:val="auto"/>
                <w:kern w:val="0"/>
                <w:sz w:val="24"/>
                <w:lang w:val="en-US" w:eastAsia="zh-CN"/>
              </w:rPr>
              <w:t>涉及到</w:t>
            </w:r>
            <w:r>
              <w:rPr>
                <w:color w:val="auto"/>
                <w:kern w:val="0"/>
                <w:sz w:val="24"/>
              </w:rPr>
              <w:t>国家禁止的淘汰类和限制类的设备及</w:t>
            </w:r>
            <w:r>
              <w:rPr>
                <w:rFonts w:hint="eastAsia"/>
                <w:color w:val="auto"/>
                <w:kern w:val="0"/>
                <w:sz w:val="24"/>
                <w:lang w:val="en-US" w:eastAsia="zh-CN"/>
              </w:rPr>
              <w:t>生产流程，所以认为其属于允许类</w:t>
            </w:r>
            <w:r>
              <w:rPr>
                <w:color w:val="auto"/>
                <w:kern w:val="0"/>
                <w:sz w:val="24"/>
              </w:rPr>
              <w:t>。因此，本项目建设符合国家产业政策。</w:t>
            </w:r>
          </w:p>
          <w:p w14:paraId="3F661155">
            <w:pPr>
              <w:pStyle w:val="20"/>
              <w:spacing w:after="0" w:line="360" w:lineRule="auto"/>
              <w:ind w:left="0" w:leftChars="0" w:firstLine="0" w:firstLineChars="0"/>
              <w:rPr>
                <w:b/>
                <w:bCs/>
                <w:color w:val="auto"/>
                <w:szCs w:val="24"/>
              </w:rPr>
            </w:pPr>
            <w:r>
              <w:rPr>
                <w:b/>
                <w:bCs/>
                <w:color w:val="auto"/>
                <w:szCs w:val="24"/>
              </w:rPr>
              <w:t>2</w:t>
            </w:r>
            <w:r>
              <w:rPr>
                <w:rFonts w:hint="eastAsia"/>
                <w:b/>
                <w:bCs/>
                <w:color w:val="auto"/>
                <w:szCs w:val="24"/>
                <w:lang w:eastAsia="zh-CN"/>
              </w:rPr>
              <w:t>.</w:t>
            </w:r>
            <w:r>
              <w:rPr>
                <w:b/>
                <w:bCs/>
                <w:color w:val="auto"/>
                <w:szCs w:val="24"/>
              </w:rPr>
              <w:t xml:space="preserve"> 与《新疆维吾尔自治区“三线一单”生态环境分区管控要求》（新环环评发〔2021〕18号）的符合性分析</w:t>
            </w:r>
          </w:p>
          <w:p w14:paraId="08064D6A">
            <w:pPr>
              <w:autoSpaceDE w:val="0"/>
              <w:autoSpaceDN w:val="0"/>
              <w:adjustRightInd w:val="0"/>
              <w:snapToGrid w:val="0"/>
              <w:spacing w:line="360" w:lineRule="auto"/>
              <w:ind w:firstLine="480" w:firstLineChars="200"/>
              <w:rPr>
                <w:rFonts w:hint="eastAsia"/>
                <w:color w:val="auto"/>
                <w:kern w:val="0"/>
                <w:sz w:val="24"/>
                <w:lang w:eastAsia="zh-CN"/>
              </w:rPr>
            </w:pPr>
            <w:r>
              <w:rPr>
                <w:rFonts w:hint="eastAsia"/>
                <w:color w:val="auto"/>
                <w:kern w:val="0"/>
                <w:sz w:val="24"/>
              </w:rPr>
              <w:t>为贯彻落实《中共中央国务院关于全面加强生态环境保护坚决打好污染防治攻坚战的意见》和《自治区党委自治区人民政府关于全面加强生态环境保护坚决打好污染防治攻坚战实施方案》按照生态环境部统一部署。</w:t>
            </w:r>
            <w:r>
              <w:rPr>
                <w:color w:val="auto"/>
                <w:kern w:val="0"/>
                <w:sz w:val="24"/>
              </w:rPr>
              <w:t>2021年2月22日新疆维吾尔自治区人民政府办公厅发布了关于印发《新疆维吾尔自治区“三线一单”生态环境分区管控方案》的通知</w:t>
            </w:r>
            <w:r>
              <w:rPr>
                <w:rFonts w:hint="eastAsia"/>
                <w:color w:val="auto"/>
                <w:kern w:val="0"/>
                <w:sz w:val="24"/>
                <w:lang w:eastAsia="zh-CN"/>
              </w:rPr>
              <w:t>。</w:t>
            </w:r>
          </w:p>
          <w:p w14:paraId="0D58B2BC">
            <w:pPr>
              <w:autoSpaceDE w:val="0"/>
              <w:autoSpaceDN w:val="0"/>
              <w:adjustRightInd w:val="0"/>
              <w:snapToGrid w:val="0"/>
              <w:spacing w:line="360" w:lineRule="auto"/>
              <w:ind w:firstLine="480" w:firstLineChars="200"/>
              <w:rPr>
                <w:color w:val="auto"/>
              </w:rPr>
            </w:pPr>
            <w:r>
              <w:rPr>
                <w:rFonts w:hint="eastAsia"/>
                <w:color w:val="auto"/>
                <w:sz w:val="24"/>
                <w:lang w:val="en-US" w:eastAsia="zh-CN"/>
              </w:rPr>
              <w:t>本项目位于昌吉回族自治州木垒县博斯塘乡直属</w:t>
            </w:r>
            <w:r>
              <w:rPr>
                <w:rFonts w:hint="eastAsia"/>
                <w:color w:val="auto"/>
                <w:sz w:val="24"/>
              </w:rPr>
              <w:t>，为风电建设项目临时工程。</w:t>
            </w:r>
            <w:r>
              <w:rPr>
                <w:rFonts w:hint="eastAsia"/>
                <w:color w:val="auto"/>
                <w:sz w:val="24"/>
                <w:lang w:val="en-US" w:eastAsia="zh-CN"/>
              </w:rPr>
              <w:t>本项目与《新疆维吾尔自治区“三线一单”生态环境分区管控要求》相符性分析</w:t>
            </w:r>
            <w:r>
              <w:rPr>
                <w:color w:val="auto"/>
                <w:sz w:val="24"/>
              </w:rPr>
              <w:t>见表1-1</w:t>
            </w:r>
            <w:r>
              <w:rPr>
                <w:rFonts w:hint="eastAsia"/>
                <w:color w:val="auto"/>
                <w:sz w:val="24"/>
              </w:rPr>
              <w:t>。</w:t>
            </w:r>
          </w:p>
          <w:p w14:paraId="70431FA7">
            <w:pPr>
              <w:pStyle w:val="28"/>
              <w:rPr>
                <w:rFonts w:hint="default"/>
                <w:color w:val="auto"/>
              </w:rPr>
            </w:pPr>
            <w:r>
              <w:rPr>
                <w:rFonts w:hint="default"/>
                <w:color w:val="auto"/>
              </w:rPr>
              <w:t>表1-1  本工程与“三线一单”符合性分析</w:t>
            </w:r>
          </w:p>
          <w:tbl>
            <w:tblPr>
              <w:tblStyle w:val="22"/>
              <w:tblW w:w="67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3391"/>
              <w:gridCol w:w="2524"/>
              <w:gridCol w:w="427"/>
            </w:tblGrid>
            <w:tr w14:paraId="26161C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bottom w:val="single" w:color="auto" w:sz="12" w:space="0"/>
                  </w:tcBorders>
                  <w:vAlign w:val="center"/>
                </w:tcPr>
                <w:p w14:paraId="31CAB12E">
                  <w:pPr>
                    <w:jc w:val="center"/>
                    <w:rPr>
                      <w:b/>
                      <w:bCs/>
                      <w:color w:val="auto"/>
                      <w:szCs w:val="21"/>
                    </w:rPr>
                  </w:pPr>
                  <w:r>
                    <w:rPr>
                      <w:b/>
                      <w:bCs/>
                      <w:color w:val="auto"/>
                      <w:szCs w:val="21"/>
                    </w:rPr>
                    <w:t>内容</w:t>
                  </w:r>
                </w:p>
              </w:tc>
              <w:tc>
                <w:tcPr>
                  <w:tcW w:w="3391" w:type="dxa"/>
                  <w:tcBorders>
                    <w:bottom w:val="single" w:color="auto" w:sz="12" w:space="0"/>
                  </w:tcBorders>
                  <w:vAlign w:val="center"/>
                </w:tcPr>
                <w:p w14:paraId="5B7DD213">
                  <w:pPr>
                    <w:pStyle w:val="29"/>
                    <w:spacing w:line="240" w:lineRule="auto"/>
                    <w:rPr>
                      <w:b/>
                      <w:color w:val="auto"/>
                    </w:rPr>
                  </w:pPr>
                  <w:r>
                    <w:rPr>
                      <w:b/>
                      <w:color w:val="auto"/>
                    </w:rPr>
                    <w:t>具体要求</w:t>
                  </w:r>
                </w:p>
              </w:tc>
              <w:tc>
                <w:tcPr>
                  <w:tcW w:w="2524" w:type="dxa"/>
                  <w:tcBorders>
                    <w:bottom w:val="single" w:color="auto" w:sz="12" w:space="0"/>
                  </w:tcBorders>
                  <w:vAlign w:val="center"/>
                </w:tcPr>
                <w:p w14:paraId="081D9D0A">
                  <w:pPr>
                    <w:jc w:val="center"/>
                    <w:rPr>
                      <w:b/>
                      <w:bCs/>
                      <w:color w:val="auto"/>
                      <w:szCs w:val="21"/>
                    </w:rPr>
                  </w:pPr>
                  <w:r>
                    <w:rPr>
                      <w:b/>
                      <w:bCs/>
                      <w:color w:val="auto"/>
                      <w:szCs w:val="21"/>
                    </w:rPr>
                    <w:t>本项目建设内容</w:t>
                  </w:r>
                </w:p>
              </w:tc>
              <w:tc>
                <w:tcPr>
                  <w:tcW w:w="427" w:type="dxa"/>
                  <w:tcBorders>
                    <w:bottom w:val="single" w:color="auto" w:sz="12" w:space="0"/>
                  </w:tcBorders>
                  <w:vAlign w:val="center"/>
                </w:tcPr>
                <w:p w14:paraId="3037F078">
                  <w:pPr>
                    <w:jc w:val="center"/>
                    <w:rPr>
                      <w:b/>
                      <w:bCs/>
                      <w:color w:val="auto"/>
                      <w:szCs w:val="21"/>
                    </w:rPr>
                  </w:pPr>
                  <w:r>
                    <w:rPr>
                      <w:b/>
                      <w:bCs/>
                      <w:color w:val="auto"/>
                      <w:szCs w:val="21"/>
                    </w:rPr>
                    <w:t>符合性</w:t>
                  </w:r>
                </w:p>
              </w:tc>
            </w:tr>
            <w:tr w14:paraId="71946A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op w:val="single" w:color="auto" w:sz="12" w:space="0"/>
                    <w:tl2br w:val="nil"/>
                    <w:tr2bl w:val="nil"/>
                  </w:tcBorders>
                  <w:vAlign w:val="center"/>
                </w:tcPr>
                <w:p w14:paraId="4DF6218A">
                  <w:pPr>
                    <w:wordWrap w:val="0"/>
                    <w:topLinePunct/>
                    <w:snapToGrid w:val="0"/>
                    <w:jc w:val="center"/>
                    <w:rPr>
                      <w:color w:val="auto"/>
                      <w:szCs w:val="21"/>
                    </w:rPr>
                  </w:pPr>
                  <w:r>
                    <w:rPr>
                      <w:color w:val="auto"/>
                      <w:szCs w:val="21"/>
                    </w:rPr>
                    <w:t>生态保护红线</w:t>
                  </w:r>
                </w:p>
              </w:tc>
              <w:tc>
                <w:tcPr>
                  <w:tcW w:w="3391" w:type="dxa"/>
                  <w:tcBorders>
                    <w:top w:val="single" w:color="auto" w:sz="12" w:space="0"/>
                    <w:tl2br w:val="nil"/>
                    <w:tr2bl w:val="nil"/>
                  </w:tcBorders>
                  <w:vAlign w:val="center"/>
                </w:tcPr>
                <w:p w14:paraId="267B91B7">
                  <w:pPr>
                    <w:adjustRightInd w:val="0"/>
                    <w:snapToGrid w:val="0"/>
                    <w:rPr>
                      <w:color w:val="auto"/>
                      <w:kern w:val="0"/>
                      <w:szCs w:val="21"/>
                    </w:rPr>
                  </w:pPr>
                  <w:r>
                    <w:rPr>
                      <w:color w:val="auto"/>
                      <w:kern w:val="0"/>
                      <w:szCs w:val="21"/>
                    </w:rPr>
                    <w:t>生态保护红线是生态空间范围内具有特殊重要生态功能必须实行强制性保护的区域。</w:t>
                  </w:r>
                  <w:r>
                    <w:rPr>
                      <w:rFonts w:hint="eastAsia"/>
                      <w:color w:val="auto"/>
                      <w:kern w:val="0"/>
                      <w:szCs w:val="21"/>
                    </w:rPr>
                    <w:t>按照“生态功能不降低、面积不减少、性质不改变”的基本要求,对划定的生态保护红线实施严格管控,保障和维护国家生态安全的底线和生命线。生态保护红线区执行生态保护红线管理办法的有关要求</w:t>
                  </w:r>
                  <w:r>
                    <w:rPr>
                      <w:color w:val="auto"/>
                      <w:kern w:val="0"/>
                      <w:szCs w:val="21"/>
                    </w:rPr>
                    <w:t>，</w:t>
                  </w:r>
                  <w:r>
                    <w:rPr>
                      <w:rFonts w:hint="eastAsia"/>
                      <w:color w:val="auto"/>
                      <w:kern w:val="0"/>
                      <w:szCs w:val="21"/>
                      <w:lang w:val="en-US" w:eastAsia="zh-CN"/>
                    </w:rPr>
                    <w:t>涉及生态保护红线管控范围内的重大民生项目、重大基础设施项目,应优化空间布局、主动避让;确实无法避让的,应依法依规履行手续,强化减缓生态环境影响和生态补偿措施。</w:t>
                  </w:r>
                </w:p>
              </w:tc>
              <w:tc>
                <w:tcPr>
                  <w:tcW w:w="2524" w:type="dxa"/>
                  <w:tcBorders>
                    <w:top w:val="single" w:color="auto" w:sz="12" w:space="0"/>
                    <w:tl2br w:val="nil"/>
                    <w:tr2bl w:val="nil"/>
                  </w:tcBorders>
                  <w:vAlign w:val="center"/>
                </w:tcPr>
                <w:p w14:paraId="476D4A3B">
                  <w:pPr>
                    <w:wordWrap w:val="0"/>
                    <w:topLinePunct/>
                    <w:snapToGrid w:val="0"/>
                    <w:jc w:val="left"/>
                    <w:rPr>
                      <w:color w:val="auto"/>
                      <w:szCs w:val="21"/>
                    </w:rPr>
                  </w:pPr>
                  <w:r>
                    <w:rPr>
                      <w:rFonts w:hint="eastAsia" w:ascii="宋体" w:hAnsi="宋体" w:cs="宋体"/>
                      <w:color w:val="auto"/>
                      <w:szCs w:val="21"/>
                    </w:rPr>
                    <w:t>建设项目位于昌吉回族自治州木垒哈萨克自治县博斯塘乡境内，</w:t>
                  </w:r>
                  <w:r>
                    <w:rPr>
                      <w:rFonts w:hint="eastAsia" w:ascii="宋体" w:hAnsi="宋体" w:cs="宋体"/>
                      <w:color w:val="auto"/>
                      <w:szCs w:val="21"/>
                      <w:lang w:val="en-US" w:eastAsia="zh-CN"/>
                    </w:rPr>
                    <w:t>该工程地点土地类型主要为沙漠和戈壁，</w:t>
                  </w:r>
                  <w:r>
                    <w:rPr>
                      <w:rFonts w:hint="eastAsia" w:ascii="宋体" w:hAnsi="宋体" w:cs="宋体"/>
                      <w:color w:val="auto"/>
                      <w:szCs w:val="21"/>
                    </w:rPr>
                    <w:t>项目不涉及国家公园、自然保护区、风景名胜区等环境敏感区，不涉及生态保护红线。</w:t>
                  </w:r>
                </w:p>
              </w:tc>
              <w:tc>
                <w:tcPr>
                  <w:tcW w:w="427" w:type="dxa"/>
                  <w:tcBorders>
                    <w:top w:val="single" w:color="auto" w:sz="12" w:space="0"/>
                    <w:tl2br w:val="nil"/>
                    <w:tr2bl w:val="nil"/>
                  </w:tcBorders>
                  <w:vAlign w:val="center"/>
                </w:tcPr>
                <w:p w14:paraId="3F3043DD">
                  <w:pPr>
                    <w:wordWrap w:val="0"/>
                    <w:topLinePunct/>
                    <w:snapToGrid w:val="0"/>
                    <w:jc w:val="center"/>
                    <w:rPr>
                      <w:color w:val="auto"/>
                      <w:kern w:val="0"/>
                      <w:szCs w:val="21"/>
                    </w:rPr>
                  </w:pPr>
                  <w:r>
                    <w:rPr>
                      <w:color w:val="auto"/>
                      <w:szCs w:val="21"/>
                    </w:rPr>
                    <w:t>符合</w:t>
                  </w:r>
                </w:p>
              </w:tc>
            </w:tr>
            <w:tr w14:paraId="29F6E2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l2br w:val="nil"/>
                    <w:tr2bl w:val="nil"/>
                  </w:tcBorders>
                  <w:vAlign w:val="center"/>
                </w:tcPr>
                <w:p w14:paraId="038B7789">
                  <w:pPr>
                    <w:wordWrap w:val="0"/>
                    <w:topLinePunct/>
                    <w:snapToGrid w:val="0"/>
                    <w:jc w:val="center"/>
                    <w:rPr>
                      <w:color w:val="auto"/>
                      <w:szCs w:val="21"/>
                    </w:rPr>
                  </w:pPr>
                  <w:r>
                    <w:rPr>
                      <w:color w:val="auto"/>
                      <w:szCs w:val="21"/>
                    </w:rPr>
                    <w:t>资源利用上线</w:t>
                  </w:r>
                </w:p>
              </w:tc>
              <w:tc>
                <w:tcPr>
                  <w:tcW w:w="3391" w:type="dxa"/>
                  <w:tcBorders>
                    <w:tl2br w:val="nil"/>
                    <w:tr2bl w:val="nil"/>
                  </w:tcBorders>
                  <w:vAlign w:val="center"/>
                </w:tcPr>
                <w:p w14:paraId="13FD3C39">
                  <w:pPr>
                    <w:adjustRightInd w:val="0"/>
                    <w:snapToGrid w:val="0"/>
                    <w:jc w:val="both"/>
                    <w:rPr>
                      <w:color w:val="auto"/>
                      <w:kern w:val="0"/>
                      <w:szCs w:val="21"/>
                    </w:rPr>
                  </w:pPr>
                  <w:r>
                    <w:rPr>
                      <w:color w:val="auto"/>
                    </w:rPr>
                    <w:t>资源是环境的载体，</w:t>
                  </w:r>
                  <w:r>
                    <w:rPr>
                      <w:rFonts w:hint="eastAsia"/>
                      <w:color w:val="auto"/>
                    </w:rPr>
                    <w:t>强化节约集约利用，持续提升资源能源利用效率,水资源、土地资源、能源消耗等达到国家、自治区下达的总量和强度控制目标。</w:t>
                  </w:r>
                  <w:r>
                    <w:rPr>
                      <w:color w:val="auto"/>
                    </w:rPr>
                    <w:t>相关规划环评应依据有关资源利用上线，</w:t>
                  </w:r>
                  <w:r>
                    <w:rPr>
                      <w:rFonts w:hint="eastAsia"/>
                      <w:color w:val="auto"/>
                      <w:lang w:val="en-US" w:eastAsia="zh-CN"/>
                    </w:rPr>
                    <w:t>对该项目的实施</w:t>
                  </w:r>
                  <w:r>
                    <w:rPr>
                      <w:color w:val="auto"/>
                    </w:rPr>
                    <w:t>的资源开发利用，从能源资源开发等量或减量替代、开采方式和规模控制、利用效率和保护措施等方面提出建议。</w:t>
                  </w:r>
                </w:p>
              </w:tc>
              <w:tc>
                <w:tcPr>
                  <w:tcW w:w="2524" w:type="dxa"/>
                  <w:tcBorders>
                    <w:tl2br w:val="nil"/>
                    <w:tr2bl w:val="nil"/>
                  </w:tcBorders>
                  <w:vAlign w:val="center"/>
                </w:tcPr>
                <w:p w14:paraId="1E5BFE58">
                  <w:pPr>
                    <w:wordWrap w:val="0"/>
                    <w:topLinePunct/>
                    <w:snapToGrid w:val="0"/>
                    <w:jc w:val="left"/>
                    <w:rPr>
                      <w:color w:val="auto"/>
                      <w:kern w:val="0"/>
                      <w:szCs w:val="21"/>
                      <w:lang w:bidi="ar"/>
                    </w:rPr>
                  </w:pPr>
                  <w:r>
                    <w:rPr>
                      <w:rFonts w:hint="eastAsia" w:ascii="宋体" w:hAnsi="宋体" w:cs="宋体"/>
                      <w:color w:val="auto"/>
                      <w:szCs w:val="21"/>
                      <w:lang w:val="en-US" w:eastAsia="zh-CN"/>
                    </w:rPr>
                    <w:t>该项目在建造过程中会涉及到水资源和电能，</w:t>
                  </w:r>
                  <w:r>
                    <w:rPr>
                      <w:rFonts w:hint="eastAsia"/>
                      <w:kern w:val="0"/>
                      <w:szCs w:val="21"/>
                    </w:rPr>
                    <w:t>本项目水、</w:t>
                  </w:r>
                  <w:r>
                    <w:rPr>
                      <w:kern w:val="0"/>
                      <w:szCs w:val="21"/>
                    </w:rPr>
                    <w:t>能源</w:t>
                  </w:r>
                  <w:r>
                    <w:rPr>
                      <w:rFonts w:hint="eastAsia"/>
                      <w:kern w:val="0"/>
                      <w:szCs w:val="21"/>
                    </w:rPr>
                    <w:t>资源利用上线严格落实"十四五"相关目标指标</w:t>
                  </w:r>
                  <w:r>
                    <w:rPr>
                      <w:rFonts w:hint="eastAsia" w:ascii="宋体" w:hAnsi="宋体" w:cs="宋体"/>
                      <w:color w:val="auto"/>
                      <w:szCs w:val="21"/>
                    </w:rPr>
                    <w:t>，能源消耗均未超出区域负荷上限，不会给该地区造成资源负担，满足资源利用上线要求。</w:t>
                  </w:r>
                </w:p>
              </w:tc>
              <w:tc>
                <w:tcPr>
                  <w:tcW w:w="427" w:type="dxa"/>
                  <w:tcBorders>
                    <w:tl2br w:val="nil"/>
                    <w:tr2bl w:val="nil"/>
                  </w:tcBorders>
                  <w:vAlign w:val="center"/>
                </w:tcPr>
                <w:p w14:paraId="12565054">
                  <w:pPr>
                    <w:wordWrap w:val="0"/>
                    <w:topLinePunct/>
                    <w:snapToGrid w:val="0"/>
                    <w:jc w:val="center"/>
                    <w:rPr>
                      <w:color w:val="auto"/>
                      <w:szCs w:val="21"/>
                    </w:rPr>
                  </w:pPr>
                  <w:r>
                    <w:rPr>
                      <w:color w:val="auto"/>
                      <w:szCs w:val="21"/>
                    </w:rPr>
                    <w:t>符合</w:t>
                  </w:r>
                </w:p>
              </w:tc>
            </w:tr>
            <w:tr w14:paraId="242C22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l2br w:val="nil"/>
                    <w:tr2bl w:val="nil"/>
                  </w:tcBorders>
                  <w:vAlign w:val="center"/>
                </w:tcPr>
                <w:p w14:paraId="1C529D03">
                  <w:pPr>
                    <w:wordWrap w:val="0"/>
                    <w:topLinePunct/>
                    <w:snapToGrid w:val="0"/>
                    <w:jc w:val="center"/>
                    <w:rPr>
                      <w:color w:val="auto"/>
                      <w:kern w:val="0"/>
                      <w:szCs w:val="21"/>
                    </w:rPr>
                  </w:pPr>
                  <w:r>
                    <w:rPr>
                      <w:color w:val="auto"/>
                      <w:szCs w:val="21"/>
                    </w:rPr>
                    <w:t>环境质量底线</w:t>
                  </w:r>
                </w:p>
              </w:tc>
              <w:tc>
                <w:tcPr>
                  <w:tcW w:w="3391" w:type="dxa"/>
                  <w:tcBorders>
                    <w:tl2br w:val="nil"/>
                    <w:tr2bl w:val="nil"/>
                  </w:tcBorders>
                  <w:vAlign w:val="center"/>
                </w:tcPr>
                <w:p w14:paraId="50A1059F">
                  <w:pPr>
                    <w:pStyle w:val="29"/>
                    <w:spacing w:line="240" w:lineRule="auto"/>
                    <w:rPr>
                      <w:color w:val="auto"/>
                    </w:rPr>
                  </w:pPr>
                  <w:r>
                    <w:rPr>
                      <w:color w:val="auto"/>
                    </w:rPr>
                    <w:t>环境质量底线是国家和地方设置的大气、水和土壤环境质量目标，</w:t>
                  </w:r>
                  <w:r>
                    <w:rPr>
                      <w:rFonts w:hint="eastAsia"/>
                      <w:color w:val="auto"/>
                    </w:rPr>
                    <w:t>全区水环境质量</w:t>
                  </w:r>
                  <w:r>
                    <w:rPr>
                      <w:rFonts w:hint="eastAsia"/>
                      <w:color w:val="auto"/>
                      <w:lang w:val="en-US" w:eastAsia="zh-CN"/>
                    </w:rPr>
                    <w:t>应得到</w:t>
                  </w:r>
                  <w:r>
                    <w:rPr>
                      <w:rFonts w:hint="eastAsia"/>
                      <w:color w:val="auto"/>
                    </w:rPr>
                    <w:t>持续改善，受污染地表水体得到有效治理,饮用水安全保障水平持续提升,地下水超采得到严格控制,地下水水质保持稳定</w:t>
                  </w:r>
                  <w:r>
                    <w:rPr>
                      <w:color w:val="auto"/>
                    </w:rPr>
                    <w:t>。</w:t>
                  </w:r>
                  <w:r>
                    <w:rPr>
                      <w:rFonts w:hint="eastAsia"/>
                      <w:color w:val="auto"/>
                    </w:rPr>
                    <w:t>全区土壤环境质量保持稳定,污染地块安全利用水平稳中有升,土壤环境风险</w:t>
                  </w:r>
                  <w:r>
                    <w:rPr>
                      <w:rFonts w:hint="eastAsia"/>
                      <w:color w:val="auto"/>
                      <w:lang w:val="en-US" w:eastAsia="zh-CN"/>
                    </w:rPr>
                    <w:t>应</w:t>
                  </w:r>
                  <w:r>
                    <w:rPr>
                      <w:rFonts w:hint="eastAsia"/>
                      <w:color w:val="auto"/>
                    </w:rPr>
                    <w:t>得到进一步管控</w:t>
                  </w:r>
                  <w:r>
                    <w:rPr>
                      <w:rFonts w:hint="eastAsia"/>
                      <w:color w:val="auto"/>
                      <w:lang w:eastAsia="zh-CN"/>
                    </w:rPr>
                    <w:t>。</w:t>
                  </w:r>
                  <w:r>
                    <w:rPr>
                      <w:color w:val="auto"/>
                    </w:rPr>
                    <w:t>项目环评应</w:t>
                  </w:r>
                  <w:r>
                    <w:rPr>
                      <w:rFonts w:hint="eastAsia"/>
                      <w:color w:val="auto"/>
                      <w:lang w:val="en-US" w:eastAsia="zh-CN"/>
                    </w:rPr>
                    <w:t>根据</w:t>
                  </w:r>
                  <w:r>
                    <w:rPr>
                      <w:color w:val="auto"/>
                    </w:rPr>
                    <w:t>区域环境质量，</w:t>
                  </w:r>
                  <w:r>
                    <w:rPr>
                      <w:rFonts w:hint="eastAsia"/>
                      <w:color w:val="auto"/>
                      <w:lang w:val="en-US" w:eastAsia="zh-CN"/>
                    </w:rPr>
                    <w:t>进一步</w:t>
                  </w:r>
                  <w:r>
                    <w:rPr>
                      <w:color w:val="auto"/>
                    </w:rPr>
                    <w:t>分析预测项目建设对环境质量的影响，</w:t>
                  </w:r>
                  <w:r>
                    <w:rPr>
                      <w:rFonts w:hint="eastAsia"/>
                      <w:color w:val="auto"/>
                      <w:lang w:val="en-US" w:eastAsia="zh-CN"/>
                    </w:rPr>
                    <w:t>并完善</w:t>
                  </w:r>
                  <w:r>
                    <w:rPr>
                      <w:color w:val="auto"/>
                    </w:rPr>
                    <w:t>污染防治措施</w:t>
                  </w:r>
                  <w:r>
                    <w:rPr>
                      <w:rFonts w:hint="eastAsia"/>
                      <w:color w:val="auto"/>
                      <w:lang w:eastAsia="zh-CN"/>
                    </w:rPr>
                    <w:t>，</w:t>
                  </w:r>
                  <w:r>
                    <w:rPr>
                      <w:rFonts w:hint="eastAsia"/>
                      <w:color w:val="auto"/>
                      <w:lang w:val="en-US" w:eastAsia="zh-CN"/>
                    </w:rPr>
                    <w:t>对</w:t>
                  </w:r>
                  <w:r>
                    <w:rPr>
                      <w:color w:val="auto"/>
                    </w:rPr>
                    <w:t>污染物排放总量</w:t>
                  </w:r>
                  <w:r>
                    <w:rPr>
                      <w:rFonts w:hint="eastAsia"/>
                      <w:color w:val="auto"/>
                      <w:lang w:val="en-US" w:eastAsia="zh-CN"/>
                    </w:rPr>
                    <w:t>提出</w:t>
                  </w:r>
                  <w:r>
                    <w:rPr>
                      <w:color w:val="auto"/>
                    </w:rPr>
                    <w:t>控制要求。</w:t>
                  </w:r>
                </w:p>
              </w:tc>
              <w:tc>
                <w:tcPr>
                  <w:tcW w:w="2524" w:type="dxa"/>
                  <w:tcBorders>
                    <w:tl2br w:val="nil"/>
                    <w:tr2bl w:val="nil"/>
                  </w:tcBorders>
                  <w:vAlign w:val="center"/>
                </w:tcPr>
                <w:p w14:paraId="6575F58F">
                  <w:pPr>
                    <w:wordWrap w:val="0"/>
                    <w:topLinePunct/>
                    <w:snapToGrid w:val="0"/>
                    <w:jc w:val="left"/>
                    <w:rPr>
                      <w:color w:val="auto"/>
                    </w:rPr>
                  </w:pPr>
                  <w:r>
                    <w:rPr>
                      <w:rFonts w:hint="eastAsia" w:ascii="宋体" w:hAnsi="宋体" w:cs="宋体"/>
                      <w:color w:val="auto"/>
                      <w:szCs w:val="21"/>
                      <w:lang w:val="en-US" w:eastAsia="zh-CN"/>
                    </w:rPr>
                    <w:t>该建设项目涉及到的大气污染物主要是颗粒物，在搅拌机进行运作时搅拌设备自带脉冲布袋除尘器，除尘系统进行过滤除尘；有效控制颗粒物的排放。项目产生的污水主要为员工的生活污水，经一体化污水处理系统处理达标后用于厂区绿化生产废水综合利用，生产废水回用于生产。该项目生产过程中，所有的工业固废会重新回用于混凝土的生产中，生活垃圾统一收集后定期清运。</w:t>
                  </w:r>
                  <w:r>
                    <w:rPr>
                      <w:rFonts w:hint="eastAsia"/>
                      <w:kern w:val="0"/>
                      <w:szCs w:val="21"/>
                    </w:rPr>
                    <w:t>项目</w:t>
                  </w:r>
                  <w:r>
                    <w:rPr>
                      <w:kern w:val="0"/>
                      <w:szCs w:val="21"/>
                    </w:rPr>
                    <w:t>危险废物按规范收集、贮存、转运、利用、处置</w:t>
                  </w:r>
                  <w:r>
                    <w:rPr>
                      <w:rFonts w:hint="eastAsia" w:ascii="宋体" w:hAnsi="宋体" w:cs="宋体"/>
                      <w:color w:val="auto"/>
                      <w:szCs w:val="21"/>
                      <w:lang w:val="en-US" w:eastAsia="zh-CN"/>
                    </w:rPr>
                    <w:t>。不会突破环境质量底线。</w:t>
                  </w:r>
                </w:p>
              </w:tc>
              <w:tc>
                <w:tcPr>
                  <w:tcW w:w="427" w:type="dxa"/>
                  <w:tcBorders>
                    <w:tl2br w:val="nil"/>
                    <w:tr2bl w:val="nil"/>
                  </w:tcBorders>
                  <w:vAlign w:val="center"/>
                </w:tcPr>
                <w:p w14:paraId="0C1C5B7B">
                  <w:pPr>
                    <w:wordWrap w:val="0"/>
                    <w:topLinePunct/>
                    <w:snapToGrid w:val="0"/>
                    <w:jc w:val="center"/>
                    <w:rPr>
                      <w:color w:val="auto"/>
                      <w:szCs w:val="21"/>
                    </w:rPr>
                  </w:pPr>
                  <w:r>
                    <w:rPr>
                      <w:color w:val="auto"/>
                      <w:szCs w:val="21"/>
                    </w:rPr>
                    <w:t>符合</w:t>
                  </w:r>
                </w:p>
              </w:tc>
            </w:tr>
            <w:tr w14:paraId="050860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l2br w:val="nil"/>
                    <w:tr2bl w:val="nil"/>
                  </w:tcBorders>
                  <w:vAlign w:val="center"/>
                </w:tcPr>
                <w:p w14:paraId="137FB8AA">
                  <w:pPr>
                    <w:wordWrap w:val="0"/>
                    <w:topLinePunct/>
                    <w:snapToGrid w:val="0"/>
                    <w:jc w:val="center"/>
                    <w:rPr>
                      <w:color w:val="auto"/>
                      <w:szCs w:val="21"/>
                    </w:rPr>
                  </w:pPr>
                  <w:r>
                    <w:rPr>
                      <w:color w:val="auto"/>
                      <w:szCs w:val="21"/>
                    </w:rPr>
                    <w:t>环境准入清单</w:t>
                  </w:r>
                </w:p>
              </w:tc>
              <w:tc>
                <w:tcPr>
                  <w:tcW w:w="3391" w:type="dxa"/>
                  <w:tcBorders>
                    <w:tl2br w:val="nil"/>
                    <w:tr2bl w:val="nil"/>
                  </w:tcBorders>
                  <w:vAlign w:val="center"/>
                </w:tcPr>
                <w:p w14:paraId="0B2D52F9">
                  <w:pPr>
                    <w:adjustRightInd w:val="0"/>
                    <w:snapToGrid w:val="0"/>
                    <w:jc w:val="both"/>
                    <w:rPr>
                      <w:color w:val="auto"/>
                      <w:kern w:val="0"/>
                      <w:szCs w:val="21"/>
                    </w:rPr>
                  </w:pPr>
                  <w:r>
                    <w:rPr>
                      <w:rFonts w:hint="eastAsia" w:ascii="Times New Roman" w:hAnsi="Times New Roman" w:eastAsia="宋体" w:cs="Times New Roman"/>
                      <w:snapToGrid w:val="0"/>
                      <w:color w:val="auto"/>
                      <w:kern w:val="0"/>
                      <w:sz w:val="21"/>
                      <w:szCs w:val="21"/>
                      <w:lang w:val="en-US" w:eastAsia="zh-CN" w:bidi="ar-SA"/>
                    </w:rPr>
                    <w:t>指基于环境管控单元，统筹考虑生态保护红线、环境质量底线、资源利用上线的管控要求，提出的空间布局、污染物排放、环境风 、资源开发利用等方面禁止和限制的环境准入要求。</w:t>
                  </w:r>
                </w:p>
              </w:tc>
              <w:tc>
                <w:tcPr>
                  <w:tcW w:w="2524" w:type="dxa"/>
                  <w:tcBorders>
                    <w:tl2br w:val="nil"/>
                    <w:tr2bl w:val="nil"/>
                  </w:tcBorders>
                  <w:vAlign w:val="center"/>
                </w:tcPr>
                <w:p w14:paraId="1077298F">
                  <w:pPr>
                    <w:wordWrap w:val="0"/>
                    <w:topLinePunct/>
                    <w:snapToGrid w:val="0"/>
                    <w:jc w:val="left"/>
                    <w:rPr>
                      <w:color w:val="auto"/>
                      <w:szCs w:val="21"/>
                      <w:highlight w:val="yellow"/>
                    </w:rPr>
                  </w:pPr>
                  <w:r>
                    <w:rPr>
                      <w:rFonts w:hint="eastAsia" w:ascii="宋体" w:hAnsi="宋体" w:cs="宋体"/>
                      <w:color w:val="auto"/>
                      <w:szCs w:val="21"/>
                      <w:lang w:val="en-US" w:eastAsia="zh-CN"/>
                    </w:rPr>
                    <w:t>本</w:t>
                  </w:r>
                  <w:r>
                    <w:rPr>
                      <w:rFonts w:hint="eastAsia" w:ascii="宋体" w:hAnsi="宋体" w:cs="宋体"/>
                      <w:color w:val="auto"/>
                      <w:szCs w:val="21"/>
                    </w:rPr>
                    <w:t>项目位于</w:t>
                  </w:r>
                  <w:r>
                    <w:rPr>
                      <w:rFonts w:hint="eastAsia" w:ascii="宋体" w:hAnsi="宋体" w:cs="宋体"/>
                      <w:color w:val="auto"/>
                      <w:szCs w:val="21"/>
                      <w:lang w:val="en-US" w:eastAsia="zh-CN"/>
                    </w:rPr>
                    <w:t>昌吉回族自治州木垒哈萨克自治县博斯塘乡境内</w:t>
                  </w:r>
                  <w:r>
                    <w:rPr>
                      <w:rFonts w:hint="eastAsia" w:ascii="宋体" w:hAnsi="宋体" w:cs="宋体"/>
                      <w:color w:val="auto"/>
                      <w:szCs w:val="21"/>
                    </w:rPr>
                    <w:t>，项目区不涉及生态保护红线，</w:t>
                  </w:r>
                  <w:r>
                    <w:rPr>
                      <w:rFonts w:hint="eastAsia" w:ascii="宋体" w:hAnsi="宋体" w:cs="宋体"/>
                      <w:color w:val="auto"/>
                      <w:szCs w:val="21"/>
                      <w:lang w:val="en-US" w:eastAsia="zh-CN"/>
                    </w:rPr>
                    <w:t>环境质量达标，</w:t>
                  </w:r>
                  <w:r>
                    <w:rPr>
                      <w:rFonts w:hint="eastAsia" w:ascii="宋体" w:hAnsi="宋体" w:cs="宋体"/>
                      <w:color w:val="auto"/>
                      <w:szCs w:val="21"/>
                    </w:rPr>
                    <w:t>资源利用量较少；项目未列入《新疆重点生态功能区产业准入清单》中限制类和禁止类。</w:t>
                  </w:r>
                </w:p>
              </w:tc>
              <w:tc>
                <w:tcPr>
                  <w:tcW w:w="427" w:type="dxa"/>
                  <w:tcBorders>
                    <w:tl2br w:val="nil"/>
                    <w:tr2bl w:val="nil"/>
                  </w:tcBorders>
                  <w:vAlign w:val="center"/>
                </w:tcPr>
                <w:p w14:paraId="7B6A7004">
                  <w:pPr>
                    <w:wordWrap w:val="0"/>
                    <w:topLinePunct/>
                    <w:snapToGrid w:val="0"/>
                    <w:jc w:val="center"/>
                    <w:rPr>
                      <w:color w:val="auto"/>
                      <w:szCs w:val="21"/>
                    </w:rPr>
                  </w:pPr>
                  <w:r>
                    <w:rPr>
                      <w:color w:val="auto"/>
                      <w:szCs w:val="21"/>
                    </w:rPr>
                    <w:t>符合</w:t>
                  </w:r>
                </w:p>
              </w:tc>
            </w:tr>
          </w:tbl>
          <w:p w14:paraId="4A7099F9">
            <w:pPr>
              <w:pStyle w:val="13"/>
              <w:rPr>
                <w:color w:val="auto"/>
              </w:rPr>
            </w:pPr>
          </w:p>
          <w:p w14:paraId="3A082ED1">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color w:val="auto"/>
                <w:kern w:val="0"/>
                <w:sz w:val="24"/>
              </w:rPr>
            </w:pPr>
            <w:r>
              <w:rPr>
                <w:rFonts w:hint="eastAsia" w:cs="Times New Roman"/>
                <w:b/>
                <w:bCs/>
                <w:color w:val="auto"/>
                <w:kern w:val="0"/>
                <w:sz w:val="24"/>
                <w:lang w:val="en-US" w:eastAsia="zh-CN"/>
              </w:rPr>
              <w:t>3.</w:t>
            </w:r>
            <w:r>
              <w:rPr>
                <w:rFonts w:ascii="Times New Roman" w:hAnsi="Times New Roman" w:eastAsia="宋体" w:cs="Times New Roman"/>
                <w:b/>
                <w:bCs/>
                <w:color w:val="auto"/>
                <w:kern w:val="0"/>
                <w:sz w:val="24"/>
              </w:rPr>
              <w:t>与《新疆维吾尔自治区七大片区“三线一单”生态环境分区管控要求》（新环环评发[2021]162号）符合性分析</w:t>
            </w:r>
          </w:p>
          <w:p w14:paraId="132FAB3F">
            <w:pPr>
              <w:autoSpaceDE w:val="0"/>
              <w:autoSpaceDN w:val="0"/>
              <w:adjustRightInd w:val="0"/>
              <w:snapToGrid w:val="0"/>
              <w:spacing w:line="360" w:lineRule="auto"/>
              <w:ind w:firstLine="480" w:firstLineChars="200"/>
              <w:rPr>
                <w:rFonts w:eastAsia="宋体"/>
                <w:color w:val="auto"/>
                <w:sz w:val="24"/>
                <w:szCs w:val="24"/>
              </w:rPr>
            </w:pPr>
            <w:r>
              <w:rPr>
                <w:rFonts w:eastAsia="宋体"/>
                <w:snapToGrid/>
                <w:color w:val="auto"/>
                <w:sz w:val="24"/>
                <w:szCs w:val="24"/>
              </w:rPr>
              <w:t>据《新疆维吾尔自治区七大片区“三线一单”生态环境分区管控要求》文件要求：“除国家规划项目外</w:t>
            </w:r>
            <w:r>
              <w:rPr>
                <w:rFonts w:hint="eastAsia" w:eastAsia="宋体"/>
                <w:snapToGrid/>
                <w:color w:val="auto"/>
                <w:sz w:val="24"/>
                <w:szCs w:val="24"/>
                <w:lang w:eastAsia="zh-CN"/>
              </w:rPr>
              <w:t>，</w:t>
            </w:r>
            <w:r>
              <w:rPr>
                <w:rFonts w:eastAsia="宋体"/>
                <w:snapToGrid/>
                <w:color w:val="auto"/>
                <w:sz w:val="24"/>
                <w:szCs w:val="24"/>
              </w:rPr>
              <w:t>乌鲁木齐市七区一县、昌吉市、阜康市玛纳斯县、呼图壁县、沙湾市建成区及周边敏感区域内不再布局建设煤化工、电解铝、燃煤纯发电机组、金属硅、碳化硅、聚氯乙烯（电石法</w:t>
            </w:r>
            <w:r>
              <w:rPr>
                <w:rFonts w:hint="eastAsia" w:eastAsia="宋体"/>
                <w:snapToGrid/>
                <w:color w:val="auto"/>
                <w:sz w:val="24"/>
                <w:szCs w:val="24"/>
                <w:lang w:eastAsia="zh-CN"/>
              </w:rPr>
              <w:t>）</w:t>
            </w:r>
            <w:r>
              <w:rPr>
                <w:rFonts w:eastAsia="宋体"/>
                <w:snapToGrid/>
                <w:color w:val="auto"/>
                <w:sz w:val="24"/>
                <w:szCs w:val="24"/>
              </w:rPr>
              <w:t>、焦炭</w:t>
            </w:r>
            <w:r>
              <w:rPr>
                <w:rFonts w:hint="eastAsia" w:eastAsia="宋体"/>
                <w:snapToGrid/>
                <w:color w:val="auto"/>
                <w:sz w:val="24"/>
                <w:szCs w:val="24"/>
                <w:lang w:eastAsia="zh-CN"/>
              </w:rPr>
              <w:t>（</w:t>
            </w:r>
            <w:r>
              <w:rPr>
                <w:rFonts w:eastAsia="宋体"/>
                <w:snapToGrid/>
                <w:color w:val="auto"/>
                <w:sz w:val="24"/>
                <w:szCs w:val="24"/>
              </w:rPr>
              <w:t>含半焦）等新增产能项目。具备风光电清洁供暖建设条件的区域原则上不新批热电联产项目。坚持属地负责与区域大气污染联防联控相结合</w:t>
            </w:r>
            <w:r>
              <w:rPr>
                <w:rFonts w:hint="eastAsia" w:eastAsia="宋体"/>
                <w:snapToGrid/>
                <w:color w:val="auto"/>
                <w:sz w:val="24"/>
                <w:szCs w:val="24"/>
                <w:lang w:eastAsia="zh-CN"/>
              </w:rPr>
              <w:t>，</w:t>
            </w:r>
            <w:r>
              <w:rPr>
                <w:rFonts w:eastAsia="宋体"/>
                <w:snapToGrid/>
                <w:color w:val="auto"/>
                <w:sz w:val="24"/>
                <w:szCs w:val="24"/>
              </w:rPr>
              <w:t>以明显降低细颗粒物浓度为重点</w:t>
            </w:r>
            <w:r>
              <w:rPr>
                <w:rFonts w:hint="eastAsia" w:eastAsia="宋体"/>
                <w:snapToGrid/>
                <w:color w:val="auto"/>
                <w:sz w:val="24"/>
                <w:szCs w:val="24"/>
                <w:lang w:eastAsia="zh-CN"/>
              </w:rPr>
              <w:t>，</w:t>
            </w:r>
            <w:r>
              <w:rPr>
                <w:rFonts w:eastAsia="宋体"/>
                <w:snapToGrid/>
                <w:color w:val="auto"/>
                <w:sz w:val="24"/>
                <w:szCs w:val="24"/>
              </w:rPr>
              <w:t>协同推进“乌-昌-石”同防同治区域大气环境治理。</w:t>
            </w:r>
            <w:r>
              <w:rPr>
                <w:rFonts w:ascii="Times New Roman" w:hAnsi="Times New Roman" w:eastAsia="宋体" w:cs="Times New Roman"/>
                <w:color w:val="auto"/>
                <w:kern w:val="0"/>
                <w:sz w:val="24"/>
              </w:rPr>
              <w:t>强化企业清洁生产改造，推进节水型企业、节水型工业园区建设，提高资源集约节约利用水平。</w:t>
            </w:r>
            <w:r>
              <w:rPr>
                <w:rFonts w:eastAsia="宋体"/>
                <w:snapToGrid/>
                <w:color w:val="auto"/>
                <w:sz w:val="24"/>
                <w:szCs w:val="24"/>
              </w:rPr>
              <w:t>所有新建、改建、扩建工业项目执行最严格的大气污染物排放标准</w:t>
            </w:r>
            <w:r>
              <w:rPr>
                <w:rFonts w:hint="eastAsia" w:eastAsia="宋体"/>
                <w:snapToGrid/>
                <w:color w:val="auto"/>
                <w:sz w:val="24"/>
                <w:szCs w:val="24"/>
                <w:lang w:eastAsia="zh-CN"/>
              </w:rPr>
              <w:t>，</w:t>
            </w:r>
            <w:r>
              <w:rPr>
                <w:rFonts w:eastAsia="宋体"/>
                <w:snapToGrid/>
                <w:color w:val="auto"/>
                <w:sz w:val="24"/>
                <w:szCs w:val="24"/>
              </w:rPr>
              <w:t>强化氮氧化物深度治理</w:t>
            </w:r>
            <w:r>
              <w:rPr>
                <w:rFonts w:hint="eastAsia" w:eastAsia="宋体"/>
                <w:snapToGrid/>
                <w:color w:val="auto"/>
                <w:sz w:val="24"/>
                <w:szCs w:val="24"/>
                <w:lang w:eastAsia="zh-CN"/>
              </w:rPr>
              <w:t>，</w:t>
            </w:r>
            <w:r>
              <w:rPr>
                <w:rFonts w:eastAsia="宋体"/>
                <w:snapToGrid/>
                <w:color w:val="auto"/>
                <w:sz w:val="24"/>
                <w:szCs w:val="24"/>
              </w:rPr>
              <w:t>确保区域环境空气质量持续改善。强化挥发性有机物防治措施。”</w:t>
            </w:r>
          </w:p>
          <w:p w14:paraId="0A9C9B47">
            <w:pPr>
              <w:autoSpaceDE w:val="0"/>
              <w:autoSpaceDN w:val="0"/>
              <w:adjustRightInd w:val="0"/>
              <w:snapToGrid w:val="0"/>
              <w:spacing w:line="360" w:lineRule="auto"/>
              <w:ind w:firstLine="480" w:firstLineChars="200"/>
              <w:rPr>
                <w:rFonts w:ascii="Times New Roman" w:hAnsi="Times New Roman" w:eastAsia="宋体" w:cs="Times New Roman"/>
                <w:b/>
                <w:bCs/>
                <w:color w:val="auto"/>
                <w:kern w:val="0"/>
                <w:sz w:val="24"/>
              </w:rPr>
            </w:pPr>
            <w:r>
              <w:rPr>
                <w:color w:val="auto"/>
                <w:kern w:val="0"/>
                <w:sz w:val="24"/>
              </w:rPr>
              <w:t>本项目属于水泥制品制造业，不属于煤化工、电解铝、燃煤纯发电机组、金属硅、碳化硅、聚氯乙烯（电石法</w:t>
            </w:r>
            <w:r>
              <w:rPr>
                <w:rFonts w:hint="eastAsia"/>
                <w:color w:val="auto"/>
                <w:kern w:val="0"/>
                <w:sz w:val="24"/>
                <w:lang w:eastAsia="zh-CN"/>
              </w:rPr>
              <w:t>）</w:t>
            </w:r>
            <w:r>
              <w:rPr>
                <w:color w:val="auto"/>
                <w:kern w:val="0"/>
                <w:sz w:val="24"/>
              </w:rPr>
              <w:t>、焦炭</w:t>
            </w:r>
            <w:r>
              <w:rPr>
                <w:rFonts w:hint="eastAsia"/>
                <w:color w:val="auto"/>
                <w:kern w:val="0"/>
                <w:sz w:val="24"/>
                <w:lang w:eastAsia="zh-CN"/>
              </w:rPr>
              <w:t>（</w:t>
            </w:r>
            <w:r>
              <w:rPr>
                <w:color w:val="auto"/>
                <w:kern w:val="0"/>
                <w:sz w:val="24"/>
              </w:rPr>
              <w:t>含半焦）等项目，本项目产生的废气主要污染因子</w:t>
            </w:r>
            <w:r>
              <w:rPr>
                <w:rFonts w:hint="eastAsia"/>
                <w:color w:val="auto"/>
                <w:kern w:val="0"/>
                <w:sz w:val="24"/>
                <w:lang w:val="en-US" w:eastAsia="zh-CN"/>
              </w:rPr>
              <w:t>主要</w:t>
            </w:r>
            <w:r>
              <w:rPr>
                <w:color w:val="auto"/>
                <w:kern w:val="0"/>
                <w:sz w:val="24"/>
              </w:rPr>
              <w:t>为</w:t>
            </w:r>
            <w:r>
              <w:rPr>
                <w:rFonts w:hint="eastAsia"/>
                <w:color w:val="auto"/>
                <w:kern w:val="0"/>
                <w:sz w:val="24"/>
                <w:lang w:val="en-US" w:eastAsia="zh-CN"/>
              </w:rPr>
              <w:t>颗</w:t>
            </w:r>
            <w:r>
              <w:rPr>
                <w:color w:val="auto"/>
                <w:kern w:val="0"/>
                <w:sz w:val="24"/>
              </w:rPr>
              <w:t>粒物，</w:t>
            </w:r>
            <w:r>
              <w:rPr>
                <w:rFonts w:hint="eastAsia" w:ascii="Times New Roman" w:hAnsi="Times New Roman" w:eastAsia="宋体" w:cs="Times New Roman"/>
                <w:color w:val="auto"/>
                <w:kern w:val="0"/>
                <w:sz w:val="24"/>
                <w:lang w:val="en-US" w:eastAsia="zh-CN"/>
              </w:rPr>
              <w:t>由于搅拌设备是一个密闭装置，在搅拌机进行运作时</w:t>
            </w:r>
            <w:r>
              <w:rPr>
                <w:rFonts w:ascii="Times New Roman" w:hAnsi="Times New Roman" w:eastAsia="宋体" w:cs="Times New Roman"/>
                <w:color w:val="auto"/>
                <w:kern w:val="0"/>
                <w:sz w:val="24"/>
              </w:rPr>
              <w:t>搅拌设备自带脉冲布袋除尘器，形成一个全封闭的除尘系统进行过滤除尘；</w:t>
            </w:r>
            <w:r>
              <w:rPr>
                <w:rFonts w:hint="eastAsia" w:ascii="Times New Roman" w:hAnsi="Times New Roman" w:eastAsia="宋体" w:cs="Times New Roman"/>
                <w:color w:val="auto"/>
                <w:kern w:val="0"/>
                <w:sz w:val="24"/>
                <w:lang w:val="en-US" w:eastAsia="zh-CN"/>
              </w:rPr>
              <w:t>产生的悬浮颗粒物得到了有效的控制。项目产生的工业废水和固废继续加入水泥搅拌中循环利用，生活污水经一体化污水处理系统达标后用于灌溉周围绿化。</w:t>
            </w:r>
            <w:r>
              <w:rPr>
                <w:color w:val="auto"/>
                <w:kern w:val="0"/>
                <w:sz w:val="24"/>
              </w:rPr>
              <w:t>因此，符合《新疆维吾尔自治区七大片区“三线一单”生态环境分区管控要求》相关要求。</w:t>
            </w:r>
          </w:p>
          <w:p w14:paraId="32A1D86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color w:val="auto"/>
                <w:kern w:val="0"/>
                <w:sz w:val="24"/>
              </w:rPr>
            </w:pPr>
            <w:r>
              <w:rPr>
                <w:rFonts w:hint="eastAsia" w:cs="Times New Roman"/>
                <w:b/>
                <w:bCs/>
                <w:color w:val="auto"/>
                <w:kern w:val="0"/>
                <w:sz w:val="24"/>
                <w:lang w:val="en-US" w:eastAsia="zh-CN"/>
              </w:rPr>
              <w:t xml:space="preserve">4. </w:t>
            </w:r>
            <w:r>
              <w:rPr>
                <w:rFonts w:ascii="Times New Roman" w:hAnsi="Times New Roman" w:eastAsia="宋体" w:cs="Times New Roman"/>
                <w:b/>
                <w:bCs/>
                <w:color w:val="auto"/>
                <w:kern w:val="0"/>
                <w:sz w:val="24"/>
              </w:rPr>
              <w:t>与《昌吉回族自治州“三线一单”生态环境分区管控方案及生态环境准入清单》（昌州政办发〔2021〕41号）符合性分析</w:t>
            </w:r>
          </w:p>
          <w:p w14:paraId="0625D6FB">
            <w:pPr>
              <w:pStyle w:val="30"/>
              <w:spacing w:line="360" w:lineRule="auto"/>
              <w:ind w:firstLine="480"/>
              <w:jc w:val="both"/>
              <w:rPr>
                <w:rFonts w:hint="eastAsia"/>
                <w:color w:val="auto"/>
                <w:szCs w:val="24"/>
              </w:rPr>
            </w:pPr>
            <w:r>
              <w:rPr>
                <w:rFonts w:hint="eastAsia"/>
                <w:color w:val="auto"/>
                <w:szCs w:val="24"/>
              </w:rPr>
              <w:t>自治州共划定119个环境管控单元，分为优先保护单元、重点管控单元和一般管控单元三类，实施分类管控。</w:t>
            </w:r>
          </w:p>
          <w:p w14:paraId="5B5F161C">
            <w:pPr>
              <w:pStyle w:val="30"/>
              <w:spacing w:line="360" w:lineRule="auto"/>
              <w:ind w:firstLine="480"/>
              <w:jc w:val="both"/>
              <w:rPr>
                <w:rFonts w:hint="eastAsia"/>
                <w:color w:val="auto"/>
                <w:szCs w:val="24"/>
              </w:rPr>
            </w:pPr>
            <w:r>
              <w:rPr>
                <w:rFonts w:hint="eastAsia"/>
                <w:color w:val="auto"/>
                <w:szCs w:val="24"/>
              </w:rPr>
              <w:t>优先保护单元主要包括生态保护红线区和生态保护红线区以外的饮用水水源保护区、水源涵养区、防风固沙区、水土保持区、生物多样性维护区、土地沙化防控区、水土流失防控区等一般生态空间管控区。</w:t>
            </w:r>
          </w:p>
          <w:p w14:paraId="3B938403">
            <w:pPr>
              <w:pStyle w:val="30"/>
              <w:spacing w:line="360" w:lineRule="auto"/>
              <w:ind w:firstLine="480"/>
              <w:jc w:val="both"/>
              <w:rPr>
                <w:rFonts w:hint="eastAsia"/>
                <w:color w:val="auto"/>
                <w:szCs w:val="24"/>
              </w:rPr>
            </w:pPr>
            <w:r>
              <w:rPr>
                <w:rFonts w:hint="eastAsia"/>
                <w:color w:val="auto"/>
                <w:szCs w:val="24"/>
              </w:rPr>
              <w:t>重点管控单元主要包括城镇建成区、工业园区和工业聚集区等。</w:t>
            </w:r>
          </w:p>
          <w:p w14:paraId="1FBABE96">
            <w:pPr>
              <w:pStyle w:val="30"/>
              <w:spacing w:line="360" w:lineRule="auto"/>
              <w:ind w:firstLine="480"/>
              <w:jc w:val="both"/>
              <w:rPr>
                <w:rFonts w:hint="eastAsia"/>
                <w:color w:val="auto"/>
                <w:szCs w:val="24"/>
              </w:rPr>
            </w:pPr>
            <w:r>
              <w:rPr>
                <w:rFonts w:hint="eastAsia"/>
                <w:color w:val="auto"/>
                <w:szCs w:val="24"/>
              </w:rPr>
              <w:t>一般管控单元主要包括优先保护单元和重点管控单元之外的其它区域。</w:t>
            </w:r>
          </w:p>
          <w:p w14:paraId="17E72F00">
            <w:pPr>
              <w:pStyle w:val="30"/>
              <w:spacing w:line="360" w:lineRule="auto"/>
              <w:ind w:firstLine="480"/>
              <w:jc w:val="both"/>
              <w:rPr>
                <w:color w:val="auto"/>
              </w:rPr>
            </w:pPr>
            <w:r>
              <w:rPr>
                <w:color w:val="auto"/>
                <w:szCs w:val="24"/>
              </w:rPr>
              <w:t>本项目位于</w:t>
            </w:r>
            <w:r>
              <w:rPr>
                <w:rFonts w:hint="eastAsia"/>
                <w:color w:val="auto"/>
                <w:szCs w:val="24"/>
              </w:rPr>
              <w:t>昌吉回族自治州木垒县博斯塘乡直属</w:t>
            </w:r>
            <w:r>
              <w:rPr>
                <w:color w:val="auto"/>
                <w:szCs w:val="24"/>
              </w:rPr>
              <w:t>，根据《昌吉回族自治州“三线一单”生态环境分区管控方案及生态环境准入清单》本项目</w:t>
            </w:r>
            <w:r>
              <w:rPr>
                <w:color w:val="auto"/>
              </w:rPr>
              <w:t>所属为文件中“</w:t>
            </w:r>
            <w:r>
              <w:rPr>
                <w:rFonts w:hint="eastAsia"/>
                <w:color w:val="auto"/>
              </w:rPr>
              <w:t>木垒</w:t>
            </w:r>
            <w:r>
              <w:rPr>
                <w:color w:val="auto"/>
              </w:rPr>
              <w:t>县</w:t>
            </w:r>
            <w:r>
              <w:rPr>
                <w:rFonts w:hint="eastAsia"/>
                <w:color w:val="auto"/>
                <w:lang w:val="en-US" w:eastAsia="zh-CN"/>
              </w:rPr>
              <w:t>一般</w:t>
            </w:r>
            <w:r>
              <w:rPr>
                <w:color w:val="auto"/>
              </w:rPr>
              <w:t>管控单元”</w:t>
            </w:r>
            <w:r>
              <w:rPr>
                <w:rFonts w:hint="eastAsia"/>
                <w:color w:val="auto"/>
              </w:rPr>
              <w:t>，环境管控单元编码：</w:t>
            </w:r>
            <w:r>
              <w:rPr>
                <w:rFonts w:ascii="Times New Roman" w:hAnsi="Times New Roman" w:eastAsia="仿宋" w:cs="Times New Roman"/>
                <w:color w:val="000000" w:themeColor="text1"/>
                <w:kern w:val="0"/>
                <w:sz w:val="24"/>
                <w:szCs w:val="24"/>
                <w14:textFill>
                  <w14:solidFill>
                    <w14:schemeClr w14:val="tx1"/>
                  </w14:solidFill>
                </w14:textFill>
              </w:rPr>
              <w:t>ZH65232830001</w:t>
            </w:r>
            <w:r>
              <w:rPr>
                <w:color w:val="auto"/>
              </w:rPr>
              <w:t>。本项目与其符合情况见下表1-2，环境管控单元分类图见附图</w:t>
            </w:r>
            <w:r>
              <w:rPr>
                <w:rFonts w:hint="eastAsia"/>
                <w:color w:val="auto"/>
                <w:lang w:val="en-US" w:eastAsia="zh-CN"/>
              </w:rPr>
              <w:t>4</w:t>
            </w:r>
            <w:r>
              <w:rPr>
                <w:color w:val="auto"/>
              </w:rPr>
              <w:t>。</w:t>
            </w:r>
          </w:p>
          <w:p w14:paraId="5C685F4F">
            <w:pPr>
              <w:pStyle w:val="31"/>
              <w:ind w:firstLine="0"/>
              <w:rPr>
                <w:color w:val="auto"/>
                <w:lang w:bidi="ar"/>
              </w:rPr>
            </w:pPr>
            <w:r>
              <w:rPr>
                <w:color w:val="auto"/>
              </w:rPr>
              <w:t>表1-2    与《昌吉回族自治州“三线一单”生态环境分区管控方案及生态环境准入清单》符合性分析</w:t>
            </w:r>
          </w:p>
          <w:tbl>
            <w:tblPr>
              <w:tblStyle w:val="22"/>
              <w:tblW w:w="463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722"/>
              <w:gridCol w:w="2611"/>
              <w:gridCol w:w="700"/>
            </w:tblGrid>
            <w:tr w14:paraId="0B028A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44" w:type="pct"/>
                  <w:tcBorders>
                    <w:bottom w:val="single" w:color="000000" w:sz="12" w:space="0"/>
                    <w:tl2br w:val="nil"/>
                    <w:tr2bl w:val="nil"/>
                  </w:tcBorders>
                  <w:vAlign w:val="center"/>
                </w:tcPr>
                <w:p w14:paraId="2CC096F0">
                  <w:pPr>
                    <w:pStyle w:val="32"/>
                    <w:rPr>
                      <w:b/>
                      <w:bCs w:val="0"/>
                      <w:color w:val="auto"/>
                      <w:spacing w:val="-2"/>
                    </w:rPr>
                  </w:pPr>
                  <w:r>
                    <w:rPr>
                      <w:b/>
                      <w:bCs w:val="0"/>
                      <w:color w:val="auto"/>
                      <w:spacing w:val="-2"/>
                    </w:rPr>
                    <w:t>管控名称</w:t>
                  </w:r>
                </w:p>
              </w:tc>
              <w:tc>
                <w:tcPr>
                  <w:tcW w:w="1964" w:type="pct"/>
                  <w:tcBorders>
                    <w:bottom w:val="single" w:color="000000" w:sz="12" w:space="0"/>
                    <w:tl2br w:val="nil"/>
                    <w:tr2bl w:val="nil"/>
                  </w:tcBorders>
                  <w:vAlign w:val="center"/>
                </w:tcPr>
                <w:p w14:paraId="5CE50455">
                  <w:pPr>
                    <w:pStyle w:val="32"/>
                    <w:rPr>
                      <w:b/>
                      <w:bCs w:val="0"/>
                      <w:color w:val="auto"/>
                      <w:spacing w:val="-2"/>
                    </w:rPr>
                  </w:pPr>
                  <w:r>
                    <w:rPr>
                      <w:b/>
                      <w:bCs w:val="0"/>
                      <w:color w:val="auto"/>
                      <w:spacing w:val="-2"/>
                    </w:rPr>
                    <w:t>管控要求</w:t>
                  </w:r>
                </w:p>
              </w:tc>
              <w:tc>
                <w:tcPr>
                  <w:tcW w:w="1884" w:type="pct"/>
                  <w:tcBorders>
                    <w:bottom w:val="single" w:color="000000" w:sz="12" w:space="0"/>
                    <w:tl2br w:val="nil"/>
                    <w:tr2bl w:val="nil"/>
                  </w:tcBorders>
                  <w:vAlign w:val="center"/>
                </w:tcPr>
                <w:p w14:paraId="64FFB3DC">
                  <w:pPr>
                    <w:pStyle w:val="32"/>
                    <w:rPr>
                      <w:b/>
                      <w:bCs w:val="0"/>
                      <w:color w:val="auto"/>
                      <w:spacing w:val="-2"/>
                    </w:rPr>
                  </w:pPr>
                  <w:r>
                    <w:rPr>
                      <w:b/>
                      <w:bCs w:val="0"/>
                      <w:color w:val="auto"/>
                      <w:spacing w:val="-2"/>
                    </w:rPr>
                    <w:t>项目概况</w:t>
                  </w:r>
                </w:p>
              </w:tc>
              <w:tc>
                <w:tcPr>
                  <w:tcW w:w="505" w:type="pct"/>
                  <w:tcBorders>
                    <w:bottom w:val="single" w:color="000000" w:sz="12" w:space="0"/>
                    <w:tl2br w:val="nil"/>
                    <w:tr2bl w:val="nil"/>
                  </w:tcBorders>
                  <w:vAlign w:val="center"/>
                </w:tcPr>
                <w:p w14:paraId="35956EA9">
                  <w:pPr>
                    <w:pStyle w:val="32"/>
                    <w:rPr>
                      <w:b/>
                      <w:bCs w:val="0"/>
                      <w:color w:val="auto"/>
                      <w:spacing w:val="-2"/>
                    </w:rPr>
                  </w:pPr>
                  <w:r>
                    <w:rPr>
                      <w:b/>
                      <w:bCs w:val="0"/>
                      <w:color w:val="auto"/>
                      <w:spacing w:val="-2"/>
                    </w:rPr>
                    <w:t>符合情况</w:t>
                  </w:r>
                </w:p>
              </w:tc>
            </w:tr>
            <w:tr w14:paraId="6497D6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44" w:type="pct"/>
                  <w:tcBorders>
                    <w:top w:val="single" w:color="000000" w:sz="12" w:space="0"/>
                    <w:tl2br w:val="nil"/>
                    <w:tr2bl w:val="nil"/>
                  </w:tcBorders>
                  <w:vAlign w:val="center"/>
                </w:tcPr>
                <w:p w14:paraId="7A567371">
                  <w:pPr>
                    <w:pStyle w:val="32"/>
                    <w:rPr>
                      <w:color w:val="auto"/>
                      <w:spacing w:val="-2"/>
                    </w:rPr>
                  </w:pPr>
                  <w:r>
                    <w:rPr>
                      <w:color w:val="auto"/>
                      <w:spacing w:val="-2"/>
                    </w:rPr>
                    <w:t>空间布局约束</w:t>
                  </w:r>
                </w:p>
              </w:tc>
              <w:tc>
                <w:tcPr>
                  <w:tcW w:w="1964" w:type="pct"/>
                  <w:tcBorders>
                    <w:top w:val="single" w:color="000000" w:sz="12" w:space="0"/>
                    <w:tl2br w:val="nil"/>
                    <w:tr2bl w:val="nil"/>
                  </w:tcBorders>
                  <w:vAlign w:val="center"/>
                </w:tcPr>
                <w:p w14:paraId="6AE11BB1">
                  <w:pPr>
                    <w:pStyle w:val="32"/>
                    <w:jc w:val="both"/>
                    <w:rPr>
                      <w:bCs/>
                      <w:color w:val="auto"/>
                      <w:spacing w:val="-2"/>
                      <w:kern w:val="2"/>
                      <w:sz w:val="21"/>
                      <w:szCs w:val="21"/>
                    </w:rPr>
                  </w:pPr>
                  <w:r>
                    <w:rPr>
                      <w:rFonts w:hint="eastAsia"/>
                      <w:color w:val="auto"/>
                      <w:spacing w:val="-2"/>
                      <w:lang w:val="en-US" w:eastAsia="zh-CN"/>
                    </w:rPr>
                    <w:t>1、执行自治区总体准入要求中关于一般环境管控单元的准入要求（表2-4 A7.1）。</w:t>
                  </w:r>
                </w:p>
              </w:tc>
              <w:tc>
                <w:tcPr>
                  <w:tcW w:w="1884" w:type="pct"/>
                  <w:tcBorders>
                    <w:top w:val="single" w:color="000000" w:sz="12" w:space="0"/>
                    <w:tl2br w:val="nil"/>
                    <w:tr2bl w:val="nil"/>
                  </w:tcBorders>
                  <w:vAlign w:val="center"/>
                </w:tcPr>
                <w:p w14:paraId="66EA8BB4">
                  <w:pPr>
                    <w:pStyle w:val="32"/>
                    <w:jc w:val="both"/>
                    <w:rPr>
                      <w:rFonts w:hint="default"/>
                      <w:color w:val="auto"/>
                      <w:spacing w:val="-2"/>
                      <w:lang w:val="en-US"/>
                    </w:rPr>
                  </w:pPr>
                  <w:r>
                    <w:rPr>
                      <w:rFonts w:hint="eastAsia"/>
                      <w:color w:val="auto"/>
                      <w:spacing w:val="-2"/>
                      <w:lang w:val="en-US" w:eastAsia="zh-CN"/>
                    </w:rPr>
                    <w:t>本项目为混凝土搅拌站项目。本项目不涉及高污染，高环境风险工艺。因此本项目</w:t>
                  </w:r>
                  <w:r>
                    <w:rPr>
                      <w:color w:val="auto"/>
                      <w:spacing w:val="-2"/>
                    </w:rPr>
                    <w:t>符合</w:t>
                  </w:r>
                  <w:r>
                    <w:rPr>
                      <w:rFonts w:hint="eastAsia"/>
                      <w:color w:val="auto"/>
                      <w:spacing w:val="-2"/>
                      <w:lang w:val="en-US" w:eastAsia="zh-CN"/>
                    </w:rPr>
                    <w:t>昌吉州的</w:t>
                  </w:r>
                  <w:r>
                    <w:rPr>
                      <w:color w:val="auto"/>
                      <w:spacing w:val="-2"/>
                    </w:rPr>
                    <w:t>总体准入要求中关于</w:t>
                  </w:r>
                  <w:r>
                    <w:rPr>
                      <w:rFonts w:hint="eastAsia"/>
                      <w:color w:val="auto"/>
                      <w:spacing w:val="-2"/>
                      <w:lang w:val="en-US" w:eastAsia="zh-CN"/>
                    </w:rPr>
                    <w:t>一般</w:t>
                  </w:r>
                  <w:r>
                    <w:rPr>
                      <w:color w:val="auto"/>
                      <w:spacing w:val="-2"/>
                    </w:rPr>
                    <w:t>管控单元空间布局要求的准入要求。</w:t>
                  </w:r>
                </w:p>
              </w:tc>
              <w:tc>
                <w:tcPr>
                  <w:tcW w:w="505" w:type="pct"/>
                  <w:tcBorders>
                    <w:top w:val="single" w:color="000000" w:sz="12" w:space="0"/>
                    <w:tl2br w:val="nil"/>
                    <w:tr2bl w:val="nil"/>
                  </w:tcBorders>
                  <w:vAlign w:val="center"/>
                </w:tcPr>
                <w:p w14:paraId="428A5D4A">
                  <w:pPr>
                    <w:pStyle w:val="32"/>
                    <w:rPr>
                      <w:color w:val="auto"/>
                      <w:spacing w:val="-2"/>
                    </w:rPr>
                  </w:pPr>
                  <w:r>
                    <w:rPr>
                      <w:color w:val="auto"/>
                      <w:spacing w:val="-2"/>
                    </w:rPr>
                    <w:t>符合</w:t>
                  </w:r>
                </w:p>
              </w:tc>
            </w:tr>
            <w:tr w14:paraId="589BBD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44" w:type="pct"/>
                  <w:tcBorders>
                    <w:tl2br w:val="nil"/>
                    <w:tr2bl w:val="nil"/>
                  </w:tcBorders>
                  <w:vAlign w:val="center"/>
                </w:tcPr>
                <w:p w14:paraId="58A09CAD">
                  <w:pPr>
                    <w:pStyle w:val="32"/>
                    <w:rPr>
                      <w:color w:val="auto"/>
                      <w:spacing w:val="-2"/>
                    </w:rPr>
                  </w:pPr>
                  <w:r>
                    <w:rPr>
                      <w:color w:val="auto"/>
                      <w:spacing w:val="-2"/>
                    </w:rPr>
                    <w:t>污染物排放管控</w:t>
                  </w:r>
                </w:p>
              </w:tc>
              <w:tc>
                <w:tcPr>
                  <w:tcW w:w="1964" w:type="pct"/>
                  <w:tcBorders>
                    <w:tl2br w:val="nil"/>
                    <w:tr2bl w:val="nil"/>
                  </w:tcBorders>
                  <w:vAlign w:val="center"/>
                </w:tcPr>
                <w:p w14:paraId="68ACB3B7">
                  <w:pPr>
                    <w:pStyle w:val="30"/>
                    <w:jc w:val="both"/>
                    <w:rPr>
                      <w:rFonts w:hint="default" w:ascii="Times New Roman" w:hAnsi="Times New Roman" w:eastAsia="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val="0"/>
                      <w:bCs/>
                      <w:color w:val="auto"/>
                      <w:spacing w:val="-2"/>
                      <w:kern w:val="2"/>
                      <w:sz w:val="21"/>
                      <w:szCs w:val="21"/>
                      <w:lang w:val="en-US" w:eastAsia="zh-CN" w:bidi="ar-SA"/>
                    </w:rPr>
                    <w:t>1、执行自治区总体准入要求中关于一般环境管控单元的准入要求（表2-4 A7.2）。</w:t>
                  </w:r>
                </w:p>
              </w:tc>
              <w:tc>
                <w:tcPr>
                  <w:tcW w:w="1884" w:type="pct"/>
                  <w:tcBorders>
                    <w:tl2br w:val="nil"/>
                    <w:tr2bl w:val="nil"/>
                  </w:tcBorders>
                  <w:vAlign w:val="center"/>
                </w:tcPr>
                <w:p w14:paraId="09FD625E">
                  <w:pPr>
                    <w:pStyle w:val="32"/>
                    <w:jc w:val="both"/>
                    <w:rPr>
                      <w:rFonts w:hint="default" w:eastAsia="宋体"/>
                      <w:color w:val="auto"/>
                      <w:spacing w:val="-2"/>
                      <w:highlight w:val="yellow"/>
                      <w:lang w:val="en-US" w:eastAsia="zh-CN"/>
                    </w:rPr>
                  </w:pPr>
                  <w:r>
                    <w:rPr>
                      <w:rFonts w:hint="eastAsia" w:ascii="Times New Roman" w:hAnsi="Times New Roman" w:eastAsia="宋体" w:cs="Times New Roman"/>
                      <w:b w:val="0"/>
                      <w:bCs/>
                      <w:color w:val="auto"/>
                      <w:spacing w:val="-2"/>
                      <w:kern w:val="2"/>
                      <w:sz w:val="21"/>
                      <w:szCs w:val="21"/>
                      <w:lang w:val="en-US" w:eastAsia="zh-CN" w:bidi="ar-SA"/>
                    </w:rPr>
                    <w:t>本项目</w:t>
                  </w:r>
                  <w:r>
                    <w:rPr>
                      <w:rFonts w:hint="eastAsia" w:cs="Times New Roman"/>
                      <w:b w:val="0"/>
                      <w:bCs/>
                      <w:color w:val="auto"/>
                      <w:spacing w:val="-2"/>
                      <w:kern w:val="2"/>
                      <w:sz w:val="21"/>
                      <w:szCs w:val="21"/>
                      <w:lang w:val="en-US" w:eastAsia="zh-CN" w:bidi="ar-SA"/>
                    </w:rPr>
                    <w:t>产生的大气污染主要为颗粒物，</w:t>
                  </w:r>
                  <w:r>
                    <w:rPr>
                      <w:rFonts w:hint="default" w:ascii="Times New Roman" w:hAnsi="Times New Roman" w:cs="Times New Roman"/>
                      <w:color w:val="auto"/>
                      <w:spacing w:val="0"/>
                      <w:position w:val="0"/>
                      <w:sz w:val="21"/>
                      <w:szCs w:val="21"/>
                      <w:highlight w:val="none"/>
                      <w:lang w:val="en-US" w:eastAsia="zh-CN"/>
                    </w:rPr>
                    <w:t>总量实行倍量替代</w:t>
                  </w:r>
                  <w:r>
                    <w:rPr>
                      <w:rFonts w:hint="eastAsia" w:cs="Times New Roman"/>
                      <w:color w:val="auto"/>
                      <w:spacing w:val="0"/>
                      <w:position w:val="0"/>
                      <w:sz w:val="21"/>
                      <w:szCs w:val="21"/>
                      <w:highlight w:val="none"/>
                      <w:lang w:val="en-US" w:eastAsia="zh-CN"/>
                    </w:rPr>
                    <w:t>，</w:t>
                  </w:r>
                  <w:r>
                    <w:rPr>
                      <w:rFonts w:hint="eastAsia" w:cs="Times New Roman"/>
                      <w:b w:val="0"/>
                      <w:bCs/>
                      <w:color w:val="auto"/>
                      <w:spacing w:val="-2"/>
                      <w:kern w:val="2"/>
                      <w:sz w:val="21"/>
                      <w:szCs w:val="21"/>
                      <w:lang w:val="en-US" w:eastAsia="zh-CN" w:bidi="ar-SA"/>
                    </w:rPr>
                    <w:t>本项目不涉及农业源。</w:t>
                  </w:r>
                  <w:r>
                    <w:rPr>
                      <w:color w:val="auto"/>
                      <w:spacing w:val="-2"/>
                    </w:rPr>
                    <w:t>本项目符合</w:t>
                  </w:r>
                  <w:r>
                    <w:rPr>
                      <w:rFonts w:hint="eastAsia"/>
                      <w:color w:val="auto"/>
                      <w:spacing w:val="-2"/>
                      <w:lang w:val="en-US" w:eastAsia="zh-CN"/>
                    </w:rPr>
                    <w:t>昌吉州</w:t>
                  </w:r>
                  <w:r>
                    <w:rPr>
                      <w:color w:val="auto"/>
                      <w:spacing w:val="-2"/>
                    </w:rPr>
                    <w:t>总体准入要求中关于一般管控单</w:t>
                  </w:r>
                  <w:r>
                    <w:rPr>
                      <w:bCs/>
                      <w:color w:val="auto"/>
                      <w:spacing w:val="-20"/>
                      <w:sz w:val="21"/>
                    </w:rPr>
                    <w:t>元污染物排放的准入要求。</w:t>
                  </w:r>
                </w:p>
              </w:tc>
              <w:tc>
                <w:tcPr>
                  <w:tcW w:w="505" w:type="pct"/>
                  <w:tcBorders>
                    <w:tl2br w:val="nil"/>
                    <w:tr2bl w:val="nil"/>
                  </w:tcBorders>
                  <w:vAlign w:val="center"/>
                </w:tcPr>
                <w:p w14:paraId="45148EF9">
                  <w:pPr>
                    <w:pStyle w:val="32"/>
                    <w:rPr>
                      <w:color w:val="auto"/>
                      <w:spacing w:val="-2"/>
                      <w:highlight w:val="yellow"/>
                    </w:rPr>
                  </w:pPr>
                  <w:r>
                    <w:rPr>
                      <w:color w:val="auto"/>
                      <w:spacing w:val="-2"/>
                    </w:rPr>
                    <w:t>符合</w:t>
                  </w:r>
                </w:p>
              </w:tc>
            </w:tr>
            <w:tr w14:paraId="133E65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tcBorders>
                    <w:tl2br w:val="nil"/>
                    <w:tr2bl w:val="nil"/>
                  </w:tcBorders>
                  <w:vAlign w:val="center"/>
                </w:tcPr>
                <w:p w14:paraId="4E4B9DE5">
                  <w:pPr>
                    <w:pStyle w:val="32"/>
                    <w:rPr>
                      <w:color w:val="auto"/>
                      <w:kern w:val="0"/>
                    </w:rPr>
                  </w:pPr>
                  <w:r>
                    <w:rPr>
                      <w:color w:val="auto"/>
                      <w:kern w:val="0"/>
                    </w:rPr>
                    <w:t>环境风险防控</w:t>
                  </w:r>
                </w:p>
              </w:tc>
              <w:tc>
                <w:tcPr>
                  <w:tcW w:w="1964" w:type="pct"/>
                  <w:tcBorders>
                    <w:tl2br w:val="nil"/>
                    <w:tr2bl w:val="nil"/>
                  </w:tcBorders>
                  <w:vAlign w:val="center"/>
                </w:tcPr>
                <w:p w14:paraId="2B408272">
                  <w:pPr>
                    <w:pStyle w:val="30"/>
                    <w:jc w:val="both"/>
                    <w:rPr>
                      <w:rFonts w:hint="default" w:eastAsia="宋体"/>
                      <w:bCs/>
                      <w:color w:val="auto"/>
                      <w:spacing w:val="-2"/>
                      <w:kern w:val="2"/>
                      <w:sz w:val="21"/>
                      <w:szCs w:val="21"/>
                      <w:lang w:val="en-US" w:eastAsia="zh-CN"/>
                    </w:rPr>
                  </w:pPr>
                  <w:r>
                    <w:rPr>
                      <w:rFonts w:hint="eastAsia" w:ascii="Times New Roman" w:hAnsi="Times New Roman" w:eastAsia="宋体" w:cs="Times New Roman"/>
                      <w:color w:val="auto"/>
                      <w:spacing w:val="-2"/>
                      <w:kern w:val="2"/>
                      <w:sz w:val="21"/>
                      <w:szCs w:val="21"/>
                      <w:lang w:val="en-US" w:eastAsia="zh-CN" w:bidi="ar-SA"/>
                    </w:rPr>
                    <w:t>1、执行自治区总体准入要求中关于一般环境管控单元的准入要求（表2-4 A7.3）。</w:t>
                  </w:r>
                </w:p>
              </w:tc>
              <w:tc>
                <w:tcPr>
                  <w:tcW w:w="1884" w:type="pct"/>
                  <w:tcBorders>
                    <w:tl2br w:val="nil"/>
                    <w:tr2bl w:val="nil"/>
                  </w:tcBorders>
                  <w:vAlign w:val="center"/>
                </w:tcPr>
                <w:p w14:paraId="3BA5B4C8">
                  <w:pPr>
                    <w:adjustRightInd w:val="0"/>
                    <w:snapToGrid w:val="0"/>
                    <w:jc w:val="both"/>
                    <w:rPr>
                      <w:color w:val="auto"/>
                      <w:spacing w:val="-2"/>
                      <w:szCs w:val="21"/>
                      <w:highlight w:val="yellow"/>
                    </w:rPr>
                  </w:pPr>
                  <w:r>
                    <w:rPr>
                      <w:rFonts w:hint="eastAsia" w:cs="Times New Roman"/>
                      <w:color w:val="auto"/>
                      <w:spacing w:val="-2"/>
                      <w:lang w:val="en-US" w:eastAsia="zh-CN"/>
                    </w:rPr>
                    <w:t>本项目为混凝土搅拌站项目，周边多为空地，不涉及农业用地。</w:t>
                  </w:r>
                  <w:r>
                    <w:rPr>
                      <w:rFonts w:hint="eastAsia"/>
                      <w:color w:val="auto"/>
                      <w:spacing w:val="-2"/>
                      <w:lang w:val="en-US" w:eastAsia="zh-CN"/>
                    </w:rPr>
                    <w:t>项目产生的工业废水继续加入水泥搅拌中循环利用，生活污水经一体化污水处理系统达标后用于灌溉周围绿化。</w:t>
                  </w:r>
                  <w:r>
                    <w:rPr>
                      <w:rFonts w:hint="eastAsia"/>
                      <w:color w:val="auto"/>
                      <w:spacing w:val="-2"/>
                      <w:szCs w:val="21"/>
                      <w:lang w:val="en-US" w:eastAsia="zh-CN"/>
                    </w:rPr>
                    <w:t>因此</w:t>
                  </w:r>
                  <w:r>
                    <w:rPr>
                      <w:color w:val="auto"/>
                      <w:spacing w:val="-2"/>
                      <w:szCs w:val="21"/>
                    </w:rPr>
                    <w:t>本项目符合</w:t>
                  </w:r>
                  <w:r>
                    <w:rPr>
                      <w:rFonts w:hint="eastAsia"/>
                      <w:color w:val="auto"/>
                      <w:spacing w:val="-2"/>
                      <w:szCs w:val="21"/>
                      <w:lang w:val="en-US" w:eastAsia="zh-CN"/>
                    </w:rPr>
                    <w:t>昌吉州</w:t>
                  </w:r>
                  <w:r>
                    <w:rPr>
                      <w:color w:val="auto"/>
                      <w:spacing w:val="-2"/>
                      <w:szCs w:val="21"/>
                    </w:rPr>
                    <w:t>总体准入要求中关于</w:t>
                  </w:r>
                  <w:r>
                    <w:rPr>
                      <w:bCs/>
                      <w:color w:val="auto"/>
                      <w:spacing w:val="-2"/>
                      <w:szCs w:val="21"/>
                    </w:rPr>
                    <w:t>一般管</w:t>
                  </w:r>
                  <w:r>
                    <w:rPr>
                      <w:bCs/>
                      <w:color w:val="auto"/>
                      <w:spacing w:val="-20"/>
                      <w:sz w:val="21"/>
                      <w:szCs w:val="21"/>
                    </w:rPr>
                    <w:t>控单元</w:t>
                  </w:r>
                  <w:r>
                    <w:rPr>
                      <w:color w:val="auto"/>
                      <w:spacing w:val="-20"/>
                      <w:kern w:val="0"/>
                      <w:sz w:val="21"/>
                      <w:szCs w:val="21"/>
                    </w:rPr>
                    <w:t>环境风险</w:t>
                  </w:r>
                  <w:r>
                    <w:rPr>
                      <w:color w:val="auto"/>
                      <w:spacing w:val="-20"/>
                      <w:sz w:val="21"/>
                      <w:szCs w:val="21"/>
                    </w:rPr>
                    <w:t>的准入要求。</w:t>
                  </w:r>
                </w:p>
              </w:tc>
              <w:tc>
                <w:tcPr>
                  <w:tcW w:w="505" w:type="pct"/>
                  <w:tcBorders>
                    <w:tl2br w:val="nil"/>
                    <w:tr2bl w:val="nil"/>
                  </w:tcBorders>
                  <w:vAlign w:val="center"/>
                </w:tcPr>
                <w:p w14:paraId="3B2AE1CB">
                  <w:pPr>
                    <w:pStyle w:val="32"/>
                    <w:rPr>
                      <w:color w:val="auto"/>
                      <w:spacing w:val="-2"/>
                      <w:highlight w:val="yellow"/>
                    </w:rPr>
                  </w:pPr>
                  <w:r>
                    <w:rPr>
                      <w:color w:val="auto"/>
                      <w:spacing w:val="-2"/>
                    </w:rPr>
                    <w:t>符合</w:t>
                  </w:r>
                </w:p>
              </w:tc>
            </w:tr>
            <w:tr w14:paraId="3D6429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44" w:type="pct"/>
                  <w:tcBorders>
                    <w:tl2br w:val="nil"/>
                    <w:tr2bl w:val="nil"/>
                  </w:tcBorders>
                  <w:vAlign w:val="center"/>
                </w:tcPr>
                <w:p w14:paraId="74FD325B">
                  <w:pPr>
                    <w:pStyle w:val="32"/>
                    <w:rPr>
                      <w:color w:val="auto"/>
                      <w:spacing w:val="-2"/>
                      <w:highlight w:val="yellow"/>
                    </w:rPr>
                  </w:pPr>
                  <w:r>
                    <w:rPr>
                      <w:color w:val="auto"/>
                      <w:spacing w:val="-2"/>
                    </w:rPr>
                    <w:t>资源利用效率</w:t>
                  </w:r>
                </w:p>
              </w:tc>
              <w:tc>
                <w:tcPr>
                  <w:tcW w:w="1964" w:type="pct"/>
                  <w:tcBorders>
                    <w:tl2br w:val="nil"/>
                    <w:tr2bl w:val="nil"/>
                  </w:tcBorders>
                  <w:vAlign w:val="center"/>
                </w:tcPr>
                <w:p w14:paraId="4DFDE188">
                  <w:pPr>
                    <w:pStyle w:val="33"/>
                    <w:ind w:firstLine="0" w:firstLineChars="0"/>
                    <w:jc w:val="left"/>
                    <w:rPr>
                      <w:rFonts w:hint="default" w:eastAsia="宋体"/>
                      <w:bCs/>
                      <w:color w:val="auto"/>
                      <w:spacing w:val="-2"/>
                      <w:kern w:val="2"/>
                      <w:sz w:val="21"/>
                      <w:szCs w:val="21"/>
                      <w:lang w:val="en-US" w:eastAsia="zh-CN"/>
                    </w:rPr>
                  </w:pPr>
                  <w:r>
                    <w:rPr>
                      <w:rFonts w:hint="eastAsia" w:ascii="Times New Roman" w:hAnsi="Times New Roman" w:eastAsia="宋体" w:cs="Times New Roman"/>
                      <w:color w:val="auto"/>
                      <w:spacing w:val="-2"/>
                      <w:kern w:val="2"/>
                      <w:sz w:val="21"/>
                      <w:szCs w:val="21"/>
                      <w:lang w:val="en-US" w:eastAsia="zh-CN" w:bidi="ar-SA"/>
                    </w:rPr>
                    <w:t>1、执行自治区总体准入要求中关于一般环境管控单元的准入要求（表2-4 A7.4）。</w:t>
                  </w:r>
                </w:p>
              </w:tc>
              <w:tc>
                <w:tcPr>
                  <w:tcW w:w="1884" w:type="pct"/>
                  <w:tcBorders>
                    <w:tl2br w:val="nil"/>
                    <w:tr2bl w:val="nil"/>
                  </w:tcBorders>
                  <w:vAlign w:val="center"/>
                </w:tcPr>
                <w:p w14:paraId="47D50EAF">
                  <w:pPr>
                    <w:pStyle w:val="32"/>
                    <w:jc w:val="both"/>
                    <w:rPr>
                      <w:color w:val="auto"/>
                      <w:spacing w:val="-2"/>
                    </w:rPr>
                  </w:pPr>
                  <w:r>
                    <w:rPr>
                      <w:rFonts w:hint="eastAsia"/>
                      <w:color w:val="auto"/>
                      <w:spacing w:val="-2"/>
                      <w:lang w:val="en-US" w:eastAsia="zh-CN"/>
                    </w:rPr>
                    <w:t>本项目运营期间消耗一定量的水资源，项目水资源消耗量相对区域资源利用总量较少。产生的工业废水和固废继续加入水泥搅拌中循环利用，生活污水经一体化污水处理系统达标后用于灌溉周围绿化。</w:t>
                  </w:r>
                  <w:r>
                    <w:rPr>
                      <w:color w:val="auto"/>
                      <w:spacing w:val="-2"/>
                    </w:rPr>
                    <w:t>本项目符合</w:t>
                  </w:r>
                  <w:r>
                    <w:rPr>
                      <w:rFonts w:hint="eastAsia"/>
                      <w:color w:val="auto"/>
                      <w:spacing w:val="-2"/>
                      <w:lang w:val="en-US" w:eastAsia="zh-CN"/>
                    </w:rPr>
                    <w:t>昌吉州</w:t>
                  </w:r>
                  <w:r>
                    <w:rPr>
                      <w:color w:val="auto"/>
                      <w:spacing w:val="-2"/>
                    </w:rPr>
                    <w:t>总体准入要求中关于</w:t>
                  </w:r>
                  <w:r>
                    <w:rPr>
                      <w:rFonts w:hint="eastAsia"/>
                      <w:color w:val="auto"/>
                      <w:spacing w:val="-2"/>
                      <w:lang w:val="en-US" w:eastAsia="zh-CN"/>
                    </w:rPr>
                    <w:t>一般</w:t>
                  </w:r>
                  <w:r>
                    <w:rPr>
                      <w:color w:val="auto"/>
                      <w:spacing w:val="-2"/>
                    </w:rPr>
                    <w:t>管控单元资源利用要求的准入要求。</w:t>
                  </w:r>
                </w:p>
              </w:tc>
              <w:tc>
                <w:tcPr>
                  <w:tcW w:w="505" w:type="pct"/>
                  <w:tcBorders>
                    <w:tl2br w:val="nil"/>
                    <w:tr2bl w:val="nil"/>
                  </w:tcBorders>
                  <w:vAlign w:val="center"/>
                </w:tcPr>
                <w:p w14:paraId="15F0868A">
                  <w:pPr>
                    <w:pStyle w:val="32"/>
                    <w:rPr>
                      <w:color w:val="auto"/>
                      <w:spacing w:val="-2"/>
                    </w:rPr>
                  </w:pPr>
                  <w:r>
                    <w:rPr>
                      <w:color w:val="auto"/>
                      <w:spacing w:val="-2"/>
                    </w:rPr>
                    <w:t>符合</w:t>
                  </w:r>
                </w:p>
              </w:tc>
            </w:tr>
          </w:tbl>
          <w:p w14:paraId="4EBCB92F">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b/>
                <w:bCs/>
                <w:color w:val="auto"/>
                <w:kern w:val="0"/>
                <w:sz w:val="24"/>
              </w:rPr>
            </w:pPr>
            <w:r>
              <w:rPr>
                <w:rFonts w:hint="eastAsia"/>
                <w:b/>
                <w:bCs/>
                <w:color w:val="auto"/>
                <w:kern w:val="0"/>
                <w:sz w:val="24"/>
                <w:lang w:val="en-US" w:eastAsia="zh-CN"/>
              </w:rPr>
              <w:t>5.</w:t>
            </w:r>
            <w:r>
              <w:rPr>
                <w:b/>
                <w:bCs/>
                <w:color w:val="auto"/>
                <w:kern w:val="0"/>
                <w:sz w:val="24"/>
              </w:rPr>
              <w:t>与《新疆生态环境保护“十四五”规划》的符合性分析</w:t>
            </w:r>
          </w:p>
          <w:p w14:paraId="2BFBFAEB">
            <w:pPr>
              <w:autoSpaceDE w:val="0"/>
              <w:autoSpaceDN w:val="0"/>
              <w:adjustRightInd w:val="0"/>
              <w:snapToGrid w:val="0"/>
              <w:spacing w:line="360" w:lineRule="auto"/>
              <w:ind w:firstLine="480" w:firstLineChars="200"/>
              <w:rPr>
                <w:color w:val="auto"/>
                <w:kern w:val="0"/>
                <w:sz w:val="24"/>
              </w:rPr>
            </w:pPr>
            <w:r>
              <w:rPr>
                <w:color w:val="auto"/>
                <w:kern w:val="0"/>
                <w:sz w:val="24"/>
              </w:rPr>
              <w:t>《新疆生态环境保护“十四五”规划》指出：</w:t>
            </w:r>
            <w:r>
              <w:rPr>
                <w:rFonts w:ascii="Times New Roman" w:hAnsi="Times New Roman" w:eastAsia="宋体" w:cs="Times New Roman"/>
                <w:color w:val="auto"/>
                <w:kern w:val="0"/>
                <w:sz w:val="24"/>
              </w:rPr>
              <w:t>“坚持绿色引领，促进经济转型升级。坚持绿色发展理念，以资源环境承载力为基础，以环境准入为约束，全面实施以“三线一单”为核心的生态环境分区管控体系，围绕建设绿色“一带一路”经济核心区和支撑兵团向南发展重大战略，优化产业结构，调整能源结构，形成节约资源和保护环境的空间格局、产业结构、生产方式、生活方式。”</w:t>
            </w:r>
          </w:p>
          <w:p w14:paraId="23236051">
            <w:pPr>
              <w:autoSpaceDE w:val="0"/>
              <w:autoSpaceDN w:val="0"/>
              <w:adjustRightInd w:val="0"/>
              <w:snapToGrid w:val="0"/>
              <w:spacing w:line="360" w:lineRule="auto"/>
              <w:ind w:firstLine="480" w:firstLineChars="200"/>
              <w:rPr>
                <w:color w:val="auto"/>
                <w:kern w:val="0"/>
                <w:sz w:val="24"/>
              </w:rPr>
            </w:pPr>
            <w:r>
              <w:rPr>
                <w:color w:val="auto"/>
                <w:kern w:val="0"/>
                <w:sz w:val="24"/>
              </w:rPr>
              <w:t>“</w:t>
            </w:r>
            <w:r>
              <w:rPr>
                <w:rFonts w:ascii="Times New Roman" w:hAnsi="Times New Roman" w:eastAsia="宋体" w:cs="Times New Roman"/>
                <w:color w:val="auto"/>
                <w:kern w:val="0"/>
                <w:sz w:val="24"/>
              </w:rPr>
              <w:t>持续推进钢铁、水泥、焦化行业超低排放改造。针对铸造、铁合金、焦化、水泥、砖瓦、石灰、耐火材料、金属冶炼以及煤化工、石油化工等行业，严格控制物料储存、输送及生产工艺过程无组织排放。</w:t>
            </w:r>
            <w:r>
              <w:rPr>
                <w:color w:val="auto"/>
                <w:kern w:val="0"/>
                <w:sz w:val="24"/>
              </w:rPr>
              <w:t>”</w:t>
            </w:r>
          </w:p>
          <w:p w14:paraId="532E4B7E">
            <w:pPr>
              <w:autoSpaceDE w:val="0"/>
              <w:autoSpaceDN w:val="0"/>
              <w:adjustRightInd w:val="0"/>
              <w:snapToGrid w:val="0"/>
              <w:spacing w:line="360" w:lineRule="auto"/>
              <w:ind w:firstLine="480" w:firstLineChars="200"/>
              <w:rPr>
                <w:color w:val="auto"/>
                <w:kern w:val="0"/>
                <w:sz w:val="24"/>
              </w:rPr>
            </w:pPr>
            <w:r>
              <w:rPr>
                <w:color w:val="auto"/>
                <w:kern w:val="0"/>
                <w:sz w:val="24"/>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p w14:paraId="2057CD8B">
            <w:pPr>
              <w:autoSpaceDE w:val="0"/>
              <w:autoSpaceDN w:val="0"/>
              <w:adjustRightInd w:val="0"/>
              <w:snapToGrid w:val="0"/>
              <w:spacing w:line="360" w:lineRule="auto"/>
              <w:ind w:firstLine="480" w:firstLineChars="200"/>
              <w:rPr>
                <w:color w:val="auto"/>
                <w:kern w:val="0"/>
                <w:sz w:val="24"/>
              </w:rPr>
            </w:pPr>
            <w:r>
              <w:rPr>
                <w:color w:val="auto"/>
                <w:kern w:val="0"/>
                <w:sz w:val="24"/>
              </w:rPr>
              <w:t>本项目属于水泥制品制造业，不属于</w:t>
            </w:r>
            <w:r>
              <w:rPr>
                <w:rFonts w:hint="eastAsia"/>
                <w:color w:val="auto"/>
                <w:kern w:val="0"/>
                <w:sz w:val="24"/>
                <w:lang w:eastAsia="zh-CN"/>
              </w:rPr>
              <w:t>“</w:t>
            </w:r>
            <w:r>
              <w:rPr>
                <w:color w:val="auto"/>
                <w:kern w:val="0"/>
                <w:sz w:val="24"/>
              </w:rPr>
              <w:t>两高</w:t>
            </w:r>
            <w:r>
              <w:rPr>
                <w:rFonts w:hint="eastAsia"/>
                <w:color w:val="auto"/>
                <w:kern w:val="0"/>
                <w:sz w:val="24"/>
                <w:lang w:eastAsia="zh-CN"/>
              </w:rPr>
              <w:t>”</w:t>
            </w:r>
            <w:r>
              <w:rPr>
                <w:color w:val="auto"/>
                <w:kern w:val="0"/>
                <w:sz w:val="24"/>
              </w:rPr>
              <w:t>项目。本项目位于</w:t>
            </w:r>
            <w:r>
              <w:rPr>
                <w:rFonts w:hint="eastAsia"/>
                <w:color w:val="auto"/>
                <w:kern w:val="0"/>
                <w:sz w:val="24"/>
              </w:rPr>
              <w:t>昌吉回族自治州木垒县博斯塘乡直属</w:t>
            </w:r>
            <w:r>
              <w:rPr>
                <w:color w:val="auto"/>
                <w:kern w:val="0"/>
                <w:sz w:val="24"/>
              </w:rPr>
              <w:t>，已落实</w:t>
            </w:r>
            <w:r>
              <w:rPr>
                <w:rFonts w:hint="eastAsia"/>
                <w:color w:val="auto"/>
                <w:kern w:val="0"/>
                <w:sz w:val="24"/>
                <w:lang w:eastAsia="zh-CN"/>
              </w:rPr>
              <w:t>“</w:t>
            </w:r>
            <w:r>
              <w:rPr>
                <w:color w:val="auto"/>
                <w:kern w:val="0"/>
                <w:sz w:val="24"/>
              </w:rPr>
              <w:t>三线一单</w:t>
            </w:r>
            <w:r>
              <w:rPr>
                <w:rFonts w:hint="eastAsia"/>
                <w:color w:val="auto"/>
                <w:kern w:val="0"/>
                <w:sz w:val="24"/>
                <w:lang w:eastAsia="zh-CN"/>
              </w:rPr>
              <w:t>”</w:t>
            </w:r>
            <w:r>
              <w:rPr>
                <w:color w:val="auto"/>
                <w:kern w:val="0"/>
                <w:sz w:val="24"/>
              </w:rPr>
              <w:t>生态环境分区管控要求。</w:t>
            </w:r>
          </w:p>
          <w:p w14:paraId="5A0FA8EB">
            <w:pPr>
              <w:autoSpaceDE w:val="0"/>
              <w:autoSpaceDN w:val="0"/>
              <w:adjustRightInd w:val="0"/>
              <w:snapToGrid w:val="0"/>
              <w:spacing w:line="360" w:lineRule="auto"/>
              <w:ind w:firstLine="480" w:firstLineChars="200"/>
              <w:rPr>
                <w:color w:val="auto"/>
                <w:kern w:val="0"/>
                <w:sz w:val="24"/>
              </w:rPr>
            </w:pPr>
            <w:r>
              <w:rPr>
                <w:color w:val="auto"/>
                <w:kern w:val="0"/>
                <w:sz w:val="24"/>
              </w:rPr>
              <w:t>本项目生产产生的废气污染物执行《水泥工业大气污染物排放标准》（GB4915-2013）无组织排放要求</w:t>
            </w:r>
            <w:r>
              <w:rPr>
                <w:rFonts w:hint="eastAsia"/>
                <w:color w:val="auto"/>
                <w:kern w:val="0"/>
                <w:sz w:val="24"/>
                <w:lang w:val="en-US" w:eastAsia="zh-CN"/>
              </w:rPr>
              <w:t>和大气污染物排放限值</w:t>
            </w:r>
            <w:r>
              <w:rPr>
                <w:color w:val="auto"/>
                <w:kern w:val="0"/>
                <w:sz w:val="24"/>
              </w:rPr>
              <w:t>，</w:t>
            </w:r>
            <w:r>
              <w:rPr>
                <w:rFonts w:hint="eastAsia"/>
                <w:color w:val="auto"/>
                <w:kern w:val="0"/>
                <w:sz w:val="24"/>
              </w:rPr>
              <w:t>水泥工业企业的物料处理、输送、装卸、储存过程封闭，对块石、粘湿物料浆料以及车船装卸料过程</w:t>
            </w:r>
            <w:r>
              <w:rPr>
                <w:rFonts w:hint="eastAsia"/>
                <w:color w:val="auto"/>
                <w:kern w:val="0"/>
                <w:sz w:val="24"/>
                <w:lang w:val="en-US" w:eastAsia="zh-CN"/>
              </w:rPr>
              <w:t>采取洒水降尘的方式</w:t>
            </w:r>
            <w:r>
              <w:rPr>
                <w:rFonts w:hint="eastAsia"/>
                <w:color w:val="auto"/>
                <w:kern w:val="0"/>
                <w:sz w:val="24"/>
              </w:rPr>
              <w:t>，控制颗粒物无组织排放。</w:t>
            </w:r>
            <w:r>
              <w:rPr>
                <w:rFonts w:hint="eastAsia"/>
                <w:color w:val="auto"/>
                <w:kern w:val="0"/>
                <w:sz w:val="24"/>
                <w:lang w:val="en-US" w:eastAsia="zh-CN"/>
              </w:rPr>
              <w:t>搅拌设备和筒仓安装脉冲布袋除尘器，进行局部气体收集</w:t>
            </w:r>
            <w:r>
              <w:rPr>
                <w:rFonts w:hint="eastAsia"/>
                <w:color w:val="auto"/>
                <w:kern w:val="0"/>
                <w:sz w:val="24"/>
                <w:lang w:eastAsia="zh-CN"/>
              </w:rPr>
              <w:t>，</w:t>
            </w:r>
            <w:r>
              <w:rPr>
                <w:rFonts w:hint="eastAsia"/>
                <w:color w:val="auto"/>
                <w:kern w:val="0"/>
                <w:sz w:val="24"/>
                <w:lang w:val="en-US" w:eastAsia="zh-CN"/>
              </w:rPr>
              <w:t>达标排放。</w:t>
            </w:r>
            <w:r>
              <w:rPr>
                <w:color w:val="auto"/>
                <w:kern w:val="0"/>
                <w:sz w:val="24"/>
              </w:rPr>
              <w:t>对周围环境影响较小。本项目施工期全面落实</w:t>
            </w:r>
            <w:r>
              <w:rPr>
                <w:rFonts w:hint="eastAsia"/>
                <w:color w:val="auto"/>
                <w:kern w:val="0"/>
                <w:sz w:val="24"/>
                <w:lang w:eastAsia="zh-CN"/>
              </w:rPr>
              <w:t>“</w:t>
            </w:r>
            <w:r>
              <w:rPr>
                <w:color w:val="auto"/>
                <w:kern w:val="0"/>
                <w:sz w:val="24"/>
              </w:rPr>
              <w:t>六个百分之百</w:t>
            </w:r>
            <w:r>
              <w:rPr>
                <w:rFonts w:hint="eastAsia"/>
                <w:color w:val="auto"/>
                <w:kern w:val="0"/>
                <w:sz w:val="24"/>
                <w:lang w:eastAsia="zh-CN"/>
              </w:rPr>
              <w:t>”</w:t>
            </w:r>
            <w:r>
              <w:rPr>
                <w:color w:val="auto"/>
                <w:kern w:val="0"/>
                <w:sz w:val="24"/>
              </w:rPr>
              <w:t>，加强道路扬尘整治，提升综合防控水平。因此，与《新疆生态环境保护“十四五”规划》相符合。</w:t>
            </w:r>
          </w:p>
          <w:p w14:paraId="6C540DAD">
            <w:pPr>
              <w:pStyle w:val="20"/>
              <w:numPr>
                <w:ilvl w:val="0"/>
                <w:numId w:val="0"/>
              </w:numPr>
              <w:spacing w:after="0" w:line="360" w:lineRule="auto"/>
              <w:ind w:leftChars="0"/>
              <w:rPr>
                <w:b/>
                <w:bCs/>
                <w:color w:val="auto"/>
                <w:szCs w:val="24"/>
                <w:highlight w:val="none"/>
              </w:rPr>
            </w:pPr>
            <w:r>
              <w:rPr>
                <w:rFonts w:hint="eastAsia"/>
                <w:b/>
                <w:bCs/>
                <w:color w:val="auto"/>
                <w:szCs w:val="24"/>
                <w:highlight w:val="none"/>
                <w:lang w:val="en-US" w:eastAsia="zh-CN"/>
              </w:rPr>
              <w:t>6.与《昌吉回族自治州生态环境保护与建设“十四五”规划》的符合性分析</w:t>
            </w:r>
          </w:p>
          <w:p w14:paraId="7E9A9F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根据《昌吉回族自治州生态环境保护与建设“十四五”规划》中的相关内容：深化工业污染治理。严格落实物料转运、物料堆场、生产工艺、厂区环境等环节的无组织排放精准管控要求，完成钢铁、建材、有色、火电、焦化、铸造、水泥、炭素、矿山开采等重点行业及燃煤锅炉等物料（含废渣）运输、装卸、储存、转移和工艺过程等无组织排放深度治理，明确企业无组织排放治理的具体点位、治理标准、治理期限。</w:t>
            </w:r>
          </w:p>
          <w:p w14:paraId="5CD24E5A">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color w:val="auto"/>
                <w:lang w:val="en-US" w:eastAsia="zh-CN"/>
              </w:rPr>
            </w:pPr>
            <w:r>
              <w:rPr>
                <w:rFonts w:hint="eastAsia"/>
                <w:color w:val="auto"/>
                <w:sz w:val="24"/>
                <w:szCs w:val="24"/>
                <w:lang w:val="en-US" w:eastAsia="zh-CN"/>
              </w:rPr>
              <w:t>本项目属于水泥制品制造业，项目使用的水泥、粉煤灰等粉料贮存于筒仓中，筒仓粉尘采用脉冲式布袋除尘器，能有效减少筒仓无组织扬尘的排放。密封储存的要求，故本项目符合《昌吉回族自治州生态环境保护与建设“十四五”规划》中的相关要求。</w:t>
            </w:r>
          </w:p>
          <w:p w14:paraId="644CFF29">
            <w:pPr>
              <w:pStyle w:val="20"/>
              <w:numPr>
                <w:ilvl w:val="0"/>
                <w:numId w:val="0"/>
              </w:numPr>
              <w:spacing w:after="0" w:line="360" w:lineRule="auto"/>
              <w:ind w:leftChars="0"/>
              <w:rPr>
                <w:b/>
                <w:bCs/>
                <w:color w:val="auto"/>
                <w:szCs w:val="24"/>
              </w:rPr>
            </w:pPr>
            <w:r>
              <w:rPr>
                <w:rFonts w:hint="eastAsia"/>
                <w:b/>
                <w:bCs/>
                <w:color w:val="auto"/>
                <w:szCs w:val="24"/>
                <w:lang w:val="en-US" w:eastAsia="zh-CN"/>
              </w:rPr>
              <w:t>7.</w:t>
            </w:r>
            <w:r>
              <w:rPr>
                <w:b/>
                <w:bCs/>
                <w:color w:val="auto"/>
                <w:szCs w:val="24"/>
              </w:rPr>
              <w:t>与《新疆维吾尔自治区大气污染防治条例》的符合性分析</w:t>
            </w:r>
          </w:p>
          <w:p w14:paraId="64EC3125">
            <w:pPr>
              <w:autoSpaceDE w:val="0"/>
              <w:autoSpaceDN w:val="0"/>
              <w:adjustRightInd w:val="0"/>
              <w:snapToGrid w:val="0"/>
              <w:spacing w:line="360" w:lineRule="auto"/>
              <w:ind w:firstLine="480" w:firstLineChars="200"/>
              <w:rPr>
                <w:rFonts w:hint="eastAsia"/>
                <w:color w:val="auto"/>
                <w:kern w:val="0"/>
                <w:sz w:val="24"/>
              </w:rPr>
            </w:pPr>
            <w:r>
              <w:rPr>
                <w:color w:val="auto"/>
                <w:kern w:val="0"/>
                <w:sz w:val="24"/>
              </w:rPr>
              <w:t>根据《新疆维吾尔自治区大气污染防治条例》中的相关内容：“禁止在自治区行政区域内引进能（水）耗不符合相关国家标准中准入值要求且污染物排放和环境风险防控不符合国家（地方）标准及有关产业准入条件的高污染（排放）、高能（水）耗、高环境风险的工业项目。禁止新建、改建、扩建列入淘汰类目录的高污染工业项目。禁止使用列入淘汰类目录的工艺、设备、产品。</w:t>
            </w:r>
            <w:r>
              <w:rPr>
                <w:rFonts w:hint="eastAsia"/>
                <w:color w:val="auto"/>
                <w:kern w:val="0"/>
                <w:sz w:val="24"/>
              </w:rPr>
              <w:t>贮存易产生扬尘的煤炭、煤矸石、煤渣、煤灰、水泥、石灰石膏、砂土等物料的堆场应当密闭:不能密闭的，贮存单位或者个人应当采取下列防尘措施:</w:t>
            </w:r>
          </w:p>
          <w:p w14:paraId="026C6264">
            <w:pPr>
              <w:autoSpaceDE w:val="0"/>
              <w:autoSpaceDN w:val="0"/>
              <w:adjustRightInd w:val="0"/>
              <w:snapToGrid w:val="0"/>
              <w:spacing w:line="360" w:lineRule="auto"/>
              <w:ind w:firstLine="480" w:firstLineChars="200"/>
              <w:rPr>
                <w:rFonts w:hint="eastAsia"/>
                <w:color w:val="auto"/>
                <w:kern w:val="0"/>
                <w:sz w:val="24"/>
              </w:rPr>
            </w:pPr>
            <w:r>
              <w:rPr>
                <w:rFonts w:hint="eastAsia"/>
                <w:color w:val="auto"/>
                <w:kern w:val="0"/>
                <w:sz w:val="24"/>
              </w:rPr>
              <w:t>(</w:t>
            </w:r>
            <w:r>
              <w:rPr>
                <w:rFonts w:hint="eastAsia"/>
                <w:color w:val="auto"/>
                <w:kern w:val="0"/>
                <w:sz w:val="24"/>
                <w:lang w:val="en-US" w:eastAsia="zh-CN"/>
              </w:rPr>
              <w:t>一</w:t>
            </w:r>
            <w:r>
              <w:rPr>
                <w:rFonts w:hint="eastAsia"/>
                <w:color w:val="auto"/>
                <w:kern w:val="0"/>
                <w:sz w:val="24"/>
              </w:rPr>
              <w:t>)堆场的场坪、路面应当进行硬化处理，并保持路面整洁:</w:t>
            </w:r>
          </w:p>
          <w:p w14:paraId="1D06DFD1">
            <w:pPr>
              <w:autoSpaceDE w:val="0"/>
              <w:autoSpaceDN w:val="0"/>
              <w:adjustRightInd w:val="0"/>
              <w:snapToGrid w:val="0"/>
              <w:spacing w:line="360" w:lineRule="auto"/>
              <w:ind w:firstLine="480" w:firstLineChars="200"/>
              <w:rPr>
                <w:rFonts w:hint="eastAsia"/>
                <w:color w:val="auto"/>
                <w:kern w:val="0"/>
                <w:sz w:val="24"/>
              </w:rPr>
            </w:pPr>
            <w:r>
              <w:rPr>
                <w:rFonts w:hint="eastAsia"/>
                <w:color w:val="auto"/>
                <w:kern w:val="0"/>
                <w:sz w:val="24"/>
              </w:rPr>
              <w:t>(二)堆场周边应当配备高于堆存物料的围挡、防风抑尘网等设施:</w:t>
            </w:r>
          </w:p>
          <w:p w14:paraId="5A864C8A">
            <w:pPr>
              <w:autoSpaceDE w:val="0"/>
              <w:autoSpaceDN w:val="0"/>
              <w:adjustRightInd w:val="0"/>
              <w:snapToGrid w:val="0"/>
              <w:spacing w:line="360" w:lineRule="auto"/>
              <w:ind w:firstLine="480" w:firstLineChars="200"/>
              <w:rPr>
                <w:rFonts w:hint="eastAsia"/>
                <w:color w:val="auto"/>
                <w:kern w:val="0"/>
                <w:sz w:val="24"/>
              </w:rPr>
            </w:pPr>
            <w:r>
              <w:rPr>
                <w:rFonts w:hint="eastAsia"/>
                <w:color w:val="auto"/>
                <w:kern w:val="0"/>
                <w:sz w:val="24"/>
              </w:rPr>
              <w:t>(三)按照物料类别采取相应的覆盖、喷淋和围挡等防风抑尘措施。</w:t>
            </w:r>
          </w:p>
          <w:p w14:paraId="0A0C5DF4">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露天装卸物料应当采取密闭或者喷淋等抑尘措施:输送的物料应当在装料卸料处配备吸尘、喷淋等防尘设施</w:t>
            </w:r>
            <w:r>
              <w:rPr>
                <w:color w:val="auto"/>
                <w:kern w:val="0"/>
                <w:sz w:val="24"/>
              </w:rPr>
              <w:t>”</w:t>
            </w:r>
          </w:p>
          <w:p w14:paraId="6319C000">
            <w:pPr>
              <w:autoSpaceDE w:val="0"/>
              <w:autoSpaceDN w:val="0"/>
              <w:adjustRightInd w:val="0"/>
              <w:snapToGrid w:val="0"/>
              <w:spacing w:line="360" w:lineRule="auto"/>
              <w:ind w:firstLine="480" w:firstLineChars="200"/>
              <w:rPr>
                <w:color w:val="auto"/>
                <w:kern w:val="0"/>
                <w:sz w:val="24"/>
              </w:rPr>
            </w:pPr>
            <w:r>
              <w:rPr>
                <w:color w:val="auto"/>
                <w:kern w:val="0"/>
                <w:sz w:val="24"/>
              </w:rPr>
              <w:t>本项目属于“允许类”，不属于高污染（排放）、高能（水）耗、高环境风险的工业项目，不属于淘汰类目录的高污染工业项目的生产工艺及设备</w:t>
            </w:r>
            <w:r>
              <w:rPr>
                <w:rFonts w:hint="eastAsia"/>
                <w:color w:val="auto"/>
                <w:kern w:val="0"/>
                <w:sz w:val="24"/>
                <w:lang w:eastAsia="zh-CN"/>
              </w:rPr>
              <w:t>。</w:t>
            </w:r>
            <w:r>
              <w:rPr>
                <w:rFonts w:hint="eastAsia"/>
                <w:color w:val="auto"/>
                <w:kern w:val="0"/>
                <w:sz w:val="24"/>
                <w:lang w:val="en-US" w:eastAsia="zh-CN"/>
              </w:rPr>
              <w:t>本项目在运行期间采用半封闭式的料场，并定期洒水，降低运行期的扬尘量。本项目</w:t>
            </w:r>
            <w:r>
              <w:rPr>
                <w:color w:val="auto"/>
                <w:kern w:val="0"/>
                <w:sz w:val="24"/>
              </w:rPr>
              <w:t>符合《新疆维吾尔自治区大气污染防治条例》。</w:t>
            </w:r>
          </w:p>
          <w:p w14:paraId="60CE775A">
            <w:pPr>
              <w:numPr>
                <w:ilvl w:val="0"/>
                <w:numId w:val="3"/>
              </w:numPr>
              <w:spacing w:line="360" w:lineRule="auto"/>
              <w:jc w:val="left"/>
              <w:rPr>
                <w:rFonts w:hint="eastAsia" w:eastAsia="宋体"/>
                <w:b/>
                <w:bCs/>
                <w:color w:val="auto"/>
                <w:kern w:val="0"/>
                <w:sz w:val="24"/>
                <w:lang w:val="en-US" w:eastAsia="zh-CN"/>
              </w:rPr>
            </w:pPr>
            <w:r>
              <w:rPr>
                <w:rFonts w:hint="eastAsia" w:eastAsia="宋体"/>
                <w:b/>
                <w:bCs/>
                <w:color w:val="auto"/>
                <w:kern w:val="0"/>
                <w:sz w:val="24"/>
                <w:lang w:val="en-US" w:eastAsia="zh-CN"/>
              </w:rPr>
              <w:t>与《空气质量持续改善行动计划》的符合性分析</w:t>
            </w:r>
          </w:p>
          <w:p w14:paraId="5C1C8493">
            <w:pPr>
              <w:numPr>
                <w:ilvl w:val="0"/>
                <w:numId w:val="0"/>
              </w:numPr>
              <w:spacing w:line="360" w:lineRule="auto"/>
              <w:ind w:firstLine="480" w:firstLineChars="200"/>
              <w:jc w:val="left"/>
              <w:rPr>
                <w:rFonts w:hint="eastAsia" w:eastAsia="宋体" w:cs="Times New Roman"/>
                <w:color w:val="auto"/>
                <w:kern w:val="0"/>
                <w:sz w:val="24"/>
                <w:lang w:val="en-US" w:eastAsia="zh-CN"/>
              </w:rPr>
            </w:pPr>
            <w:r>
              <w:rPr>
                <w:rFonts w:hint="eastAsia" w:eastAsia="宋体" w:cs="Times New Roman"/>
                <w:color w:val="auto"/>
                <w:kern w:val="0"/>
                <w:sz w:val="24"/>
                <w:lang w:val="en-US" w:eastAsia="zh-CN"/>
              </w:rPr>
              <w:t>根据《空气质量持续改善行动计划》中第（十八）条：深化扬尘污染综合治理，将防治扬尘污染费用纳入工程造价，物料堆场基本完成抑尘设施建设和物料输送系统封闭改造。</w:t>
            </w:r>
          </w:p>
          <w:p w14:paraId="30884180">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eastAsia="宋体" w:cs="Times New Roman"/>
                <w:color w:val="auto"/>
                <w:kern w:val="0"/>
                <w:sz w:val="24"/>
                <w:lang w:val="en-US" w:eastAsia="zh-CN"/>
              </w:rPr>
              <w:t>本项目</w:t>
            </w:r>
            <w:r>
              <w:rPr>
                <w:rFonts w:hint="eastAsia" w:ascii="Times New Roman" w:hAnsi="Times New Roman" w:eastAsia="宋体" w:cs="Times New Roman"/>
                <w:color w:val="auto"/>
                <w:kern w:val="0"/>
                <w:sz w:val="24"/>
              </w:rPr>
              <w:t>施工单位</w:t>
            </w:r>
            <w:r>
              <w:rPr>
                <w:rFonts w:hint="eastAsia" w:eastAsia="宋体" w:cs="Times New Roman"/>
                <w:color w:val="auto"/>
                <w:kern w:val="0"/>
                <w:sz w:val="24"/>
                <w:lang w:val="en-US" w:eastAsia="zh-CN"/>
              </w:rPr>
              <w:t>会</w:t>
            </w:r>
            <w:r>
              <w:rPr>
                <w:rFonts w:hint="eastAsia" w:ascii="Times New Roman" w:hAnsi="Times New Roman" w:eastAsia="宋体" w:cs="Times New Roman"/>
                <w:color w:val="auto"/>
                <w:kern w:val="0"/>
                <w:sz w:val="24"/>
              </w:rPr>
              <w:t>采取下列防尘措施：</w:t>
            </w:r>
          </w:p>
          <w:p w14:paraId="66A5CA6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①建设工程开工前，按照标准在施工现场周边设置围挡，并对围挡进行维护；</w:t>
            </w:r>
          </w:p>
          <w:p w14:paraId="5969299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②在施工现场出入口公示施工现场负责人、环保监督员、扬尘污染主要控制措施、举报电话等信息；</w:t>
            </w:r>
          </w:p>
          <w:p w14:paraId="7E924F02">
            <w:pPr>
              <w:pStyle w:val="30"/>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③对施工现场内主要道路和物料堆放场地进行硬化，对其他裸露场地进行覆盖或者临时洒水降尘，对土方进行集中堆放，并采取覆盖或者密闭等措施；</w:t>
            </w:r>
          </w:p>
          <w:p w14:paraId="46B61C14">
            <w:pPr>
              <w:pStyle w:val="30"/>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④施工现场出口处应当设置车辆冲洗设施，施工车辆冲洗干净后方可上路行驶；</w:t>
            </w:r>
          </w:p>
          <w:p w14:paraId="080F16FC">
            <w:pPr>
              <w:numPr>
                <w:ilvl w:val="0"/>
                <w:numId w:val="3"/>
              </w:numPr>
              <w:spacing w:line="360" w:lineRule="auto"/>
              <w:ind w:left="0" w:leftChars="0" w:firstLine="0" w:firstLineChars="0"/>
              <w:jc w:val="left"/>
              <w:rPr>
                <w:rFonts w:hint="eastAsia" w:eastAsia="宋体"/>
                <w:b/>
                <w:bCs/>
                <w:color w:val="auto"/>
                <w:kern w:val="0"/>
                <w:sz w:val="24"/>
                <w:lang w:val="en-US" w:eastAsia="zh-CN"/>
              </w:rPr>
            </w:pPr>
            <w:r>
              <w:rPr>
                <w:rFonts w:hint="eastAsia" w:eastAsia="宋体"/>
                <w:b/>
                <w:bCs/>
                <w:color w:val="auto"/>
                <w:kern w:val="0"/>
                <w:sz w:val="24"/>
                <w:lang w:val="en-US" w:eastAsia="zh-CN"/>
              </w:rPr>
              <w:t>与《工业料场堆场扬尘整治方案》的符合性分析</w:t>
            </w:r>
          </w:p>
          <w:p w14:paraId="6AFCF039">
            <w:pPr>
              <w:bidi w:val="0"/>
              <w:spacing w:line="360" w:lineRule="auto"/>
              <w:ind w:firstLine="480" w:firstLineChars="200"/>
              <w:rPr>
                <w:rFonts w:hint="eastAsia"/>
                <w:sz w:val="24"/>
                <w:szCs w:val="32"/>
                <w:lang w:val="en-US" w:eastAsia="zh-CN"/>
              </w:rPr>
            </w:pPr>
            <w:r>
              <w:rPr>
                <w:rFonts w:hint="eastAsia"/>
                <w:sz w:val="24"/>
                <w:szCs w:val="32"/>
                <w:lang w:val="en-US" w:eastAsia="zh-CN"/>
              </w:rPr>
              <w:t>根据《工业料堆场扬尘整治规范》（DB65/T4061-2017）中表2工业料堆场扬尘整治方案选择参考表，详见下表1-3。</w:t>
            </w:r>
          </w:p>
          <w:p w14:paraId="5A7F2762">
            <w:pPr>
              <w:bidi w:val="0"/>
              <w:jc w:val="center"/>
              <w:rPr>
                <w:rFonts w:hint="default"/>
                <w:lang w:val="en-US" w:eastAsia="zh-CN"/>
              </w:rPr>
            </w:pPr>
            <w:r>
              <w:rPr>
                <w:rFonts w:hint="eastAsia"/>
                <w:b/>
                <w:bCs/>
                <w:lang w:val="en-US" w:eastAsia="zh-CN"/>
              </w:rPr>
              <w:t>表1-3 工业料堆场扬尘整治方案选择参考表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3259"/>
              <w:gridCol w:w="2029"/>
            </w:tblGrid>
            <w:tr w14:paraId="1C0C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tcBorders>
                    <w:top w:val="single" w:color="auto" w:sz="12" w:space="0"/>
                    <w:bottom w:val="single" w:color="auto" w:sz="12" w:space="0"/>
                  </w:tcBorders>
                </w:tcPr>
                <w:p w14:paraId="4A2ACE1F">
                  <w:pPr>
                    <w:bidi w:val="0"/>
                    <w:jc w:val="center"/>
                    <w:rPr>
                      <w:rFonts w:hint="default"/>
                      <w:b/>
                      <w:bCs/>
                      <w:lang w:val="en-US" w:eastAsia="zh-CN"/>
                    </w:rPr>
                  </w:pPr>
                  <w:r>
                    <w:rPr>
                      <w:rFonts w:hint="eastAsia"/>
                      <w:b/>
                      <w:bCs/>
                      <w:lang w:val="en-US" w:eastAsia="zh-CN"/>
                    </w:rPr>
                    <w:t>工业料堆场类型</w:t>
                  </w:r>
                </w:p>
              </w:tc>
              <w:tc>
                <w:tcPr>
                  <w:tcW w:w="3544" w:type="pct"/>
                  <w:gridSpan w:val="2"/>
                  <w:tcBorders>
                    <w:top w:val="single" w:color="auto" w:sz="12" w:space="0"/>
                    <w:bottom w:val="single" w:color="auto" w:sz="12" w:space="0"/>
                    <w:right w:val="nil"/>
                  </w:tcBorders>
                </w:tcPr>
                <w:p w14:paraId="1D0F24E3">
                  <w:pPr>
                    <w:bidi w:val="0"/>
                    <w:jc w:val="center"/>
                    <w:rPr>
                      <w:rFonts w:hint="default"/>
                      <w:b/>
                      <w:bCs/>
                      <w:lang w:val="en-US" w:eastAsia="zh-CN"/>
                    </w:rPr>
                  </w:pPr>
                  <w:r>
                    <w:rPr>
                      <w:rFonts w:hint="eastAsia"/>
                      <w:b/>
                      <w:bCs/>
                      <w:lang w:val="en-US" w:eastAsia="zh-CN"/>
                    </w:rPr>
                    <w:t>方案</w:t>
                  </w:r>
                </w:p>
              </w:tc>
            </w:tr>
            <w:tr w14:paraId="1FEE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restart"/>
                  <w:tcBorders>
                    <w:top w:val="single" w:color="auto" w:sz="12" w:space="0"/>
                    <w:left w:val="nil"/>
                  </w:tcBorders>
                  <w:vAlign w:val="center"/>
                </w:tcPr>
                <w:p w14:paraId="6E826298">
                  <w:pPr>
                    <w:bidi w:val="0"/>
                    <w:jc w:val="center"/>
                    <w:rPr>
                      <w:rFonts w:hint="default"/>
                      <w:b/>
                      <w:bCs/>
                      <w:lang w:val="en-US" w:eastAsia="zh-CN"/>
                    </w:rPr>
                  </w:pPr>
                  <w:r>
                    <w:rPr>
                      <w:rFonts w:hint="eastAsia"/>
                      <w:b/>
                      <w:bCs/>
                      <w:lang w:val="en-US" w:eastAsia="zh-CN"/>
                    </w:rPr>
                    <w:t>Ⅰ类料堆场</w:t>
                  </w:r>
                </w:p>
              </w:tc>
              <w:tc>
                <w:tcPr>
                  <w:tcW w:w="3544" w:type="pct"/>
                  <w:gridSpan w:val="2"/>
                  <w:tcBorders>
                    <w:top w:val="single" w:color="auto" w:sz="12" w:space="0"/>
                    <w:right w:val="nil"/>
                  </w:tcBorders>
                </w:tcPr>
                <w:p w14:paraId="69751CDF">
                  <w:pPr>
                    <w:bidi w:val="0"/>
                    <w:rPr>
                      <w:rFonts w:hint="default"/>
                      <w:lang w:val="en-US" w:eastAsia="zh-CN"/>
                    </w:rPr>
                  </w:pPr>
                  <w:r>
                    <w:rPr>
                      <w:rFonts w:hint="eastAsia"/>
                      <w:lang w:val="en-US" w:eastAsia="zh-CN"/>
                    </w:rPr>
                    <w:t>（1）筒仓</w:t>
                  </w:r>
                </w:p>
              </w:tc>
            </w:tr>
            <w:tr w14:paraId="36B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continue"/>
                  <w:tcBorders>
                    <w:left w:val="nil"/>
                  </w:tcBorders>
                  <w:vAlign w:val="center"/>
                </w:tcPr>
                <w:p w14:paraId="30986C5D">
                  <w:pPr>
                    <w:bidi w:val="0"/>
                    <w:jc w:val="center"/>
                    <w:rPr>
                      <w:rFonts w:hint="default"/>
                      <w:b/>
                      <w:bCs/>
                      <w:lang w:val="en-US" w:eastAsia="zh-CN"/>
                    </w:rPr>
                  </w:pPr>
                </w:p>
              </w:tc>
              <w:tc>
                <w:tcPr>
                  <w:tcW w:w="3544" w:type="pct"/>
                  <w:gridSpan w:val="2"/>
                  <w:tcBorders>
                    <w:right w:val="nil"/>
                  </w:tcBorders>
                </w:tcPr>
                <w:p w14:paraId="35B2E2E4">
                  <w:pPr>
                    <w:bidi w:val="0"/>
                    <w:rPr>
                      <w:rFonts w:hint="default"/>
                      <w:lang w:val="en-US" w:eastAsia="zh-CN"/>
                    </w:rPr>
                  </w:pPr>
                  <w:r>
                    <w:rPr>
                      <w:rFonts w:hint="eastAsia"/>
                      <w:lang w:val="en-US" w:eastAsia="zh-CN"/>
                    </w:rPr>
                    <w:t>（2）圆形料仓</w:t>
                  </w:r>
                </w:p>
              </w:tc>
            </w:tr>
            <w:tr w14:paraId="1CE8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continue"/>
                  <w:tcBorders>
                    <w:left w:val="nil"/>
                  </w:tcBorders>
                  <w:vAlign w:val="center"/>
                </w:tcPr>
                <w:p w14:paraId="5E9C463B">
                  <w:pPr>
                    <w:bidi w:val="0"/>
                    <w:jc w:val="center"/>
                    <w:rPr>
                      <w:rFonts w:hint="default"/>
                      <w:b/>
                      <w:bCs/>
                      <w:lang w:val="en-US" w:eastAsia="zh-CN"/>
                    </w:rPr>
                  </w:pPr>
                </w:p>
              </w:tc>
              <w:tc>
                <w:tcPr>
                  <w:tcW w:w="3544" w:type="pct"/>
                  <w:gridSpan w:val="2"/>
                  <w:tcBorders>
                    <w:right w:val="nil"/>
                  </w:tcBorders>
                </w:tcPr>
                <w:p w14:paraId="1DFD2B62">
                  <w:pPr>
                    <w:bidi w:val="0"/>
                    <w:rPr>
                      <w:rFonts w:hint="default"/>
                      <w:lang w:val="en-US" w:eastAsia="zh-CN"/>
                    </w:rPr>
                  </w:pPr>
                  <w:r>
                    <w:rPr>
                      <w:rFonts w:hint="eastAsia"/>
                      <w:lang w:val="en-US" w:eastAsia="zh-CN"/>
                    </w:rPr>
                    <w:t>（3）其他全封闭性料仓</w:t>
                  </w:r>
                </w:p>
              </w:tc>
            </w:tr>
            <w:tr w14:paraId="14E4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restart"/>
                  <w:tcBorders>
                    <w:left w:val="nil"/>
                  </w:tcBorders>
                  <w:vAlign w:val="center"/>
                </w:tcPr>
                <w:p w14:paraId="18CC7B5B">
                  <w:pPr>
                    <w:bidi w:val="0"/>
                    <w:jc w:val="center"/>
                    <w:rPr>
                      <w:rFonts w:hint="default"/>
                      <w:b/>
                      <w:bCs/>
                      <w:lang w:val="en-US" w:eastAsia="zh-CN"/>
                    </w:rPr>
                  </w:pPr>
                  <w:r>
                    <w:rPr>
                      <w:rFonts w:hint="eastAsia"/>
                      <w:b/>
                      <w:bCs/>
                      <w:lang w:val="en-US" w:eastAsia="zh-CN"/>
                    </w:rPr>
                    <w:t>Ⅱ类料堆场</w:t>
                  </w:r>
                </w:p>
              </w:tc>
              <w:tc>
                <w:tcPr>
                  <w:tcW w:w="3544" w:type="pct"/>
                  <w:gridSpan w:val="2"/>
                  <w:tcBorders>
                    <w:right w:val="nil"/>
                  </w:tcBorders>
                </w:tcPr>
                <w:p w14:paraId="515BBC08">
                  <w:pPr>
                    <w:bidi w:val="0"/>
                    <w:rPr>
                      <w:rFonts w:hint="default"/>
                      <w:lang w:val="en-US" w:eastAsia="zh-CN"/>
                    </w:rPr>
                  </w:pPr>
                  <w:r>
                    <w:rPr>
                      <w:rFonts w:hint="eastAsia"/>
                      <w:lang w:val="en-US" w:eastAsia="zh-CN"/>
                    </w:rPr>
                    <w:t>（4）可用Ⅰ类料堆场防治方案</w:t>
                  </w:r>
                </w:p>
              </w:tc>
            </w:tr>
            <w:tr w14:paraId="1059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55" w:type="pct"/>
                  <w:vMerge w:val="continue"/>
                  <w:tcBorders>
                    <w:left w:val="nil"/>
                  </w:tcBorders>
                  <w:vAlign w:val="center"/>
                </w:tcPr>
                <w:p w14:paraId="567D65BF">
                  <w:pPr>
                    <w:bidi w:val="0"/>
                    <w:jc w:val="center"/>
                    <w:rPr>
                      <w:rFonts w:hint="default"/>
                      <w:b/>
                      <w:bCs/>
                      <w:lang w:val="en-US" w:eastAsia="zh-CN"/>
                    </w:rPr>
                  </w:pPr>
                </w:p>
              </w:tc>
              <w:tc>
                <w:tcPr>
                  <w:tcW w:w="2184" w:type="pct"/>
                  <w:vAlign w:val="center"/>
                </w:tcPr>
                <w:p w14:paraId="4957BFB8">
                  <w:pPr>
                    <w:bidi w:val="0"/>
                    <w:jc w:val="both"/>
                    <w:rPr>
                      <w:rFonts w:hint="default"/>
                      <w:lang w:val="en-US" w:eastAsia="zh-CN"/>
                    </w:rPr>
                  </w:pPr>
                  <w:r>
                    <w:rPr>
                      <w:rFonts w:hint="eastAsia"/>
                      <w:lang w:val="en-US" w:eastAsia="zh-CN"/>
                    </w:rPr>
                    <w:t>（5）半封闭仓库+</w:t>
                  </w:r>
                </w:p>
              </w:tc>
              <w:tc>
                <w:tcPr>
                  <w:tcW w:w="1359" w:type="pct"/>
                  <w:vMerge w:val="restart"/>
                  <w:tcBorders>
                    <w:right w:val="nil"/>
                  </w:tcBorders>
                </w:tcPr>
                <w:p w14:paraId="310F0A98">
                  <w:pPr>
                    <w:bidi w:val="0"/>
                    <w:rPr>
                      <w:rFonts w:hint="eastAsia"/>
                      <w:lang w:val="en-US" w:eastAsia="zh-CN"/>
                    </w:rPr>
                  </w:pPr>
                  <w:r>
                    <w:rPr>
                      <w:rFonts w:hint="eastAsia"/>
                      <w:lang w:val="en-US" w:eastAsia="zh-CN"/>
                    </w:rPr>
                    <w:t>a）喷洒水</w:t>
                  </w:r>
                </w:p>
                <w:p w14:paraId="71D5D913">
                  <w:pPr>
                    <w:bidi w:val="0"/>
                    <w:rPr>
                      <w:rFonts w:hint="default"/>
                      <w:lang w:val="en-US" w:eastAsia="zh-CN"/>
                    </w:rPr>
                  </w:pPr>
                  <w:r>
                    <w:rPr>
                      <w:rFonts w:hint="eastAsia"/>
                      <w:lang w:val="en-US" w:eastAsia="zh-CN"/>
                    </w:rPr>
                    <w:t>b）覆盖</w:t>
                  </w:r>
                </w:p>
                <w:p w14:paraId="7A7EBE69">
                  <w:pPr>
                    <w:bidi w:val="0"/>
                    <w:rPr>
                      <w:rFonts w:hint="default"/>
                      <w:lang w:val="en-US" w:eastAsia="zh-CN"/>
                    </w:rPr>
                  </w:pPr>
                  <w:r>
                    <w:rPr>
                      <w:rFonts w:hint="eastAsia"/>
                      <w:lang w:val="en-US" w:eastAsia="zh-CN"/>
                    </w:rPr>
                    <w:t>c）喷洒抑尘剂</w:t>
                  </w:r>
                </w:p>
                <w:p w14:paraId="7EAD6E28">
                  <w:pPr>
                    <w:bidi w:val="0"/>
                    <w:rPr>
                      <w:rFonts w:hint="default"/>
                      <w:lang w:val="en-US" w:eastAsia="zh-CN"/>
                    </w:rPr>
                  </w:pPr>
                  <w:r>
                    <w:rPr>
                      <w:rFonts w:hint="eastAsia"/>
                      <w:lang w:val="en-US" w:eastAsia="zh-CN"/>
                    </w:rPr>
                    <w:t>d）干雾抑尘</w:t>
                  </w:r>
                </w:p>
              </w:tc>
            </w:tr>
            <w:tr w14:paraId="39D6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55" w:type="pct"/>
                  <w:vMerge w:val="continue"/>
                  <w:tcBorders>
                    <w:left w:val="nil"/>
                  </w:tcBorders>
                  <w:vAlign w:val="center"/>
                </w:tcPr>
                <w:p w14:paraId="4357431C">
                  <w:pPr>
                    <w:bidi w:val="0"/>
                    <w:jc w:val="center"/>
                    <w:rPr>
                      <w:rFonts w:hint="default"/>
                      <w:b/>
                      <w:bCs/>
                      <w:lang w:val="en-US" w:eastAsia="zh-CN"/>
                    </w:rPr>
                  </w:pPr>
                </w:p>
              </w:tc>
              <w:tc>
                <w:tcPr>
                  <w:tcW w:w="2184" w:type="pct"/>
                  <w:vAlign w:val="center"/>
                </w:tcPr>
                <w:p w14:paraId="5EF0FB85">
                  <w:pPr>
                    <w:bidi w:val="0"/>
                    <w:jc w:val="both"/>
                    <w:rPr>
                      <w:rFonts w:hint="default"/>
                      <w:lang w:val="en-US" w:eastAsia="zh-CN"/>
                    </w:rPr>
                  </w:pPr>
                  <w:r>
                    <w:rPr>
                      <w:rFonts w:hint="eastAsia"/>
                      <w:lang w:val="en-US" w:eastAsia="zh-CN"/>
                    </w:rPr>
                    <w:t>（6）防风抑尘网（强）+</w:t>
                  </w:r>
                </w:p>
              </w:tc>
              <w:tc>
                <w:tcPr>
                  <w:tcW w:w="1359" w:type="pct"/>
                  <w:vMerge w:val="continue"/>
                  <w:tcBorders>
                    <w:right w:val="nil"/>
                  </w:tcBorders>
                </w:tcPr>
                <w:p w14:paraId="1D7F5465">
                  <w:pPr>
                    <w:bidi w:val="0"/>
                    <w:rPr>
                      <w:rFonts w:hint="default"/>
                      <w:lang w:val="en-US" w:eastAsia="zh-CN"/>
                    </w:rPr>
                  </w:pPr>
                </w:p>
              </w:tc>
            </w:tr>
            <w:tr w14:paraId="027D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vMerge w:val="restart"/>
                  <w:tcBorders>
                    <w:left w:val="nil"/>
                  </w:tcBorders>
                  <w:vAlign w:val="center"/>
                </w:tcPr>
                <w:p w14:paraId="2071C961">
                  <w:pPr>
                    <w:bidi w:val="0"/>
                    <w:jc w:val="center"/>
                    <w:rPr>
                      <w:rFonts w:hint="default"/>
                      <w:b/>
                      <w:bCs/>
                      <w:lang w:val="en-US" w:eastAsia="zh-CN"/>
                    </w:rPr>
                  </w:pPr>
                  <w:r>
                    <w:rPr>
                      <w:rFonts w:hint="eastAsia"/>
                      <w:b/>
                      <w:bCs/>
                      <w:lang w:val="en-US" w:eastAsia="zh-CN"/>
                    </w:rPr>
                    <w:t>Ⅲ类料堆场</w:t>
                  </w:r>
                </w:p>
              </w:tc>
              <w:tc>
                <w:tcPr>
                  <w:tcW w:w="3544" w:type="pct"/>
                  <w:gridSpan w:val="2"/>
                  <w:tcBorders>
                    <w:right w:val="nil"/>
                  </w:tcBorders>
                </w:tcPr>
                <w:p w14:paraId="58276DF4">
                  <w:pPr>
                    <w:bidi w:val="0"/>
                    <w:rPr>
                      <w:rFonts w:hint="default"/>
                      <w:lang w:val="en-US" w:eastAsia="zh-CN"/>
                    </w:rPr>
                  </w:pPr>
                  <w:r>
                    <w:rPr>
                      <w:rFonts w:hint="eastAsia"/>
                      <w:lang w:val="en-US" w:eastAsia="zh-CN"/>
                    </w:rPr>
                    <w:t>（7）可用Ⅰ和Ⅱ类料堆场防治方案</w:t>
                  </w:r>
                </w:p>
              </w:tc>
            </w:tr>
            <w:tr w14:paraId="1FAB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55" w:type="pct"/>
                  <w:vMerge w:val="continue"/>
                  <w:tcBorders>
                    <w:left w:val="nil"/>
                    <w:bottom w:val="single" w:color="auto" w:sz="12" w:space="0"/>
                  </w:tcBorders>
                </w:tcPr>
                <w:p w14:paraId="1F7BC7EE">
                  <w:pPr>
                    <w:bidi w:val="0"/>
                    <w:rPr>
                      <w:rFonts w:hint="default"/>
                      <w:lang w:val="en-US" w:eastAsia="zh-CN"/>
                    </w:rPr>
                  </w:pPr>
                </w:p>
              </w:tc>
              <w:tc>
                <w:tcPr>
                  <w:tcW w:w="2184" w:type="pct"/>
                  <w:tcBorders>
                    <w:bottom w:val="single" w:color="auto" w:sz="12" w:space="0"/>
                  </w:tcBorders>
                  <w:vAlign w:val="center"/>
                </w:tcPr>
                <w:p w14:paraId="598A0D80">
                  <w:pPr>
                    <w:bidi w:val="0"/>
                    <w:jc w:val="both"/>
                    <w:rPr>
                      <w:rFonts w:hint="default"/>
                      <w:lang w:val="en-US" w:eastAsia="zh-CN"/>
                    </w:rPr>
                  </w:pPr>
                  <w:r>
                    <w:rPr>
                      <w:rFonts w:hint="eastAsia"/>
                      <w:lang w:val="en-US" w:eastAsia="zh-CN"/>
                    </w:rPr>
                    <w:t>（8）覆盖</w:t>
                  </w:r>
                </w:p>
              </w:tc>
              <w:tc>
                <w:tcPr>
                  <w:tcW w:w="1359" w:type="pct"/>
                  <w:tcBorders>
                    <w:bottom w:val="single" w:color="auto" w:sz="12" w:space="0"/>
                    <w:right w:val="nil"/>
                  </w:tcBorders>
                </w:tcPr>
                <w:p w14:paraId="3F38D051">
                  <w:pPr>
                    <w:bidi w:val="0"/>
                    <w:rPr>
                      <w:rFonts w:hint="eastAsia"/>
                      <w:lang w:val="en-US" w:eastAsia="zh-CN"/>
                    </w:rPr>
                  </w:pPr>
                  <w:r>
                    <w:rPr>
                      <w:rFonts w:hint="eastAsia"/>
                      <w:lang w:val="en-US" w:eastAsia="zh-CN"/>
                    </w:rPr>
                    <w:t>a）喷洒水</w:t>
                  </w:r>
                </w:p>
                <w:p w14:paraId="0EF1C309">
                  <w:pPr>
                    <w:bidi w:val="0"/>
                    <w:rPr>
                      <w:rFonts w:hint="default"/>
                      <w:lang w:val="en-US" w:eastAsia="zh-CN"/>
                    </w:rPr>
                  </w:pPr>
                  <w:r>
                    <w:rPr>
                      <w:rFonts w:hint="eastAsia"/>
                      <w:lang w:val="en-US" w:eastAsia="zh-CN"/>
                    </w:rPr>
                    <w:t>b）喷洒抑尘剂</w:t>
                  </w:r>
                </w:p>
              </w:tc>
            </w:tr>
          </w:tbl>
          <w:p w14:paraId="566B3FE3">
            <w:pPr>
              <w:numPr>
                <w:ilvl w:val="0"/>
                <w:numId w:val="0"/>
              </w:numPr>
              <w:spacing w:line="360" w:lineRule="auto"/>
              <w:ind w:firstLine="480" w:firstLineChars="200"/>
              <w:jc w:val="left"/>
              <w:rPr>
                <w:rFonts w:hint="default" w:ascii="Times New Roman" w:hAnsi="Times New Roman" w:eastAsia="宋体" w:cs="Times New Roman"/>
                <w:b w:val="0"/>
                <w:bCs w:val="0"/>
                <w:sz w:val="24"/>
                <w:szCs w:val="32"/>
                <w:lang w:val="en-US" w:eastAsia="zh-CN"/>
              </w:rPr>
            </w:pPr>
            <w:r>
              <w:rPr>
                <w:rFonts w:hint="default" w:ascii="Times New Roman" w:hAnsi="Times New Roman" w:eastAsia="宋体" w:cs="Times New Roman"/>
                <w:sz w:val="24"/>
                <w:szCs w:val="32"/>
                <w:lang w:val="en-US" w:eastAsia="zh-CN"/>
              </w:rPr>
              <w:t>《工业料堆场扬尘整治规范》（DB65/T4061-2017）要求：“对于</w:t>
            </w:r>
            <w:r>
              <w:rPr>
                <w:rFonts w:hint="default" w:ascii="Times New Roman" w:hAnsi="Times New Roman" w:eastAsia="宋体" w:cs="Times New Roman"/>
                <w:b w:val="0"/>
                <w:bCs w:val="0"/>
                <w:sz w:val="24"/>
                <w:szCs w:val="32"/>
                <w:lang w:val="en-US" w:eastAsia="zh-CN"/>
              </w:rPr>
              <w:t>Ⅱ类料堆场，除选取（5）和（6）两种措施之一外，根据物料特性还应至少选取a、b、c和d四种防治措施之一”。</w:t>
            </w:r>
          </w:p>
          <w:p w14:paraId="53CE5289">
            <w:pPr>
              <w:numPr>
                <w:ilvl w:val="0"/>
                <w:numId w:val="0"/>
              </w:numPr>
              <w:spacing w:line="360" w:lineRule="auto"/>
              <w:ind w:firstLine="480" w:firstLineChars="200"/>
              <w:jc w:val="left"/>
              <w:rPr>
                <w:rFonts w:hint="eastAsia" w:cs="Times New Roman"/>
                <w:color w:val="auto"/>
                <w:kern w:val="0"/>
                <w:sz w:val="24"/>
                <w:lang w:val="en-US" w:eastAsia="zh-CN"/>
              </w:rPr>
            </w:pPr>
            <w:r>
              <w:rPr>
                <w:rFonts w:hint="default" w:ascii="Times New Roman" w:hAnsi="Times New Roman" w:eastAsia="宋体" w:cs="Times New Roman"/>
                <w:sz w:val="24"/>
                <w:szCs w:val="32"/>
                <w:lang w:val="en-US" w:eastAsia="zh-CN"/>
              </w:rPr>
              <w:t>本项目采取的料堆场类型为Ⅱ类料堆场中的半封闭仓库，同时采用了a和b两种防治措施，</w:t>
            </w:r>
            <w:r>
              <w:rPr>
                <w:rFonts w:hint="eastAsia" w:ascii="Times New Roman" w:hAnsi="Times New Roman" w:eastAsia="宋体" w:cs="Times New Roman"/>
                <w:sz w:val="24"/>
                <w:szCs w:val="32"/>
                <w:lang w:val="en-US" w:eastAsia="zh-CN"/>
              </w:rPr>
              <w:t>即</w:t>
            </w:r>
            <w:r>
              <w:rPr>
                <w:rFonts w:hint="default" w:ascii="Times New Roman" w:hAnsi="Times New Roman" w:eastAsia="宋体" w:cs="Times New Roman"/>
                <w:sz w:val="24"/>
                <w:szCs w:val="32"/>
                <w:lang w:val="en-US" w:eastAsia="zh-CN"/>
              </w:rPr>
              <w:t>喷洒水和覆盖。半封闭仓库周边的路面均采取硬化，并路面保持湿润。因此项目的建设符合《工业料堆场扬尘整治规范》（DB65/T4061-2017）的相关要求。</w:t>
            </w:r>
          </w:p>
          <w:p w14:paraId="657D62D9">
            <w:pPr>
              <w:numPr>
                <w:ilvl w:val="0"/>
                <w:numId w:val="0"/>
              </w:numPr>
              <w:spacing w:line="360" w:lineRule="auto"/>
              <w:ind w:firstLine="480" w:firstLineChars="200"/>
              <w:jc w:val="left"/>
              <w:rPr>
                <w:rFonts w:hint="eastAsia"/>
                <w:b/>
                <w:bCs/>
                <w:color w:val="auto"/>
                <w:kern w:val="0"/>
                <w:sz w:val="24"/>
                <w:lang w:val="en-US" w:eastAsia="zh-CN"/>
              </w:rPr>
            </w:pPr>
            <w:r>
              <w:rPr>
                <w:rFonts w:hint="eastAsia" w:cs="Times New Roman"/>
                <w:color w:val="auto"/>
                <w:kern w:val="0"/>
                <w:sz w:val="24"/>
                <w:lang w:val="en-US" w:eastAsia="zh-CN"/>
              </w:rPr>
              <w:t>本项目会在施工现场公示环保监督员，负责工业料堆场扬尘控制工作。本项目料场为半封闭式，配备喷淋防尘措施。本项目会对主要道路和物料堆放地进行硬化，并定期洒水降尘。本项目会在出入口设置车辆清洗平台，清洗后的水经沉淀池处理用于洒水降尘。</w:t>
            </w:r>
          </w:p>
          <w:p w14:paraId="402BC91F">
            <w:pPr>
              <w:numPr>
                <w:ilvl w:val="0"/>
                <w:numId w:val="3"/>
              </w:numPr>
              <w:spacing w:line="360" w:lineRule="auto"/>
              <w:ind w:left="0" w:leftChars="0" w:firstLine="0" w:firstLineChars="0"/>
              <w:jc w:val="left"/>
              <w:rPr>
                <w:rFonts w:hint="eastAsia" w:eastAsia="宋体"/>
                <w:b/>
                <w:bCs/>
                <w:color w:val="auto"/>
                <w:kern w:val="0"/>
                <w:sz w:val="24"/>
                <w:lang w:val="en-US" w:eastAsia="zh-CN"/>
              </w:rPr>
            </w:pPr>
            <w:r>
              <w:rPr>
                <w:rFonts w:hint="eastAsia" w:eastAsia="宋体"/>
                <w:b/>
                <w:bCs/>
                <w:color w:val="auto"/>
                <w:kern w:val="0"/>
                <w:sz w:val="24"/>
                <w:lang w:val="en-US" w:eastAsia="zh-CN"/>
              </w:rPr>
              <w:t>与《关于深入打好污染防治攻坚战的实施方案》的符合性分析</w:t>
            </w:r>
          </w:p>
          <w:p w14:paraId="3ABC2D41">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根据《关于深入打好污染防治攻坚战的实施方案》中的相关内容：“（七）坚决遏制高耗能高排放低水平项目盲目发展。严把高耗能高排放低水平项目准入关口，严格落实污染物排放区域削减要求，对不符合规定的项目坚决停批停建。依法依规淘汰落后产能和化解过剩产能；（十四）加强大气面源和噪声污染治理。提升城市精细化管理水平，强化施工、道路、堆场、裸露地面等扬尘管控，加强城市保洁和清扫。加大餐饮油烟污染、恶臭异味治理力度。强化秸秆综合利用和禁烧管控。深化消耗臭氧层物质和氢氟碳化物环境管理。实施噪声污染防治行动，畅通噪声污染投诉渠道，加快解决群众关心的突出噪声问题。”</w:t>
            </w:r>
          </w:p>
          <w:p w14:paraId="00552A81">
            <w:pPr>
              <w:autoSpaceDE w:val="0"/>
              <w:autoSpaceDN w:val="0"/>
              <w:adjustRightInd w:val="0"/>
              <w:snapToGrid w:val="0"/>
              <w:spacing w:line="360" w:lineRule="auto"/>
              <w:ind w:firstLine="480" w:firstLineChars="200"/>
              <w:rPr>
                <w:rFonts w:hint="eastAsia" w:eastAsia="宋体"/>
                <w:b/>
                <w:bCs/>
                <w:color w:val="auto"/>
                <w:kern w:val="0"/>
                <w:sz w:val="24"/>
                <w:lang w:val="en-US" w:eastAsia="zh-CN"/>
              </w:rPr>
            </w:pPr>
            <w:r>
              <w:rPr>
                <w:rFonts w:hint="eastAsia" w:ascii="Times New Roman" w:hAnsi="Times New Roman" w:eastAsia="宋体" w:cs="Times New Roman"/>
                <w:color w:val="auto"/>
                <w:kern w:val="0"/>
                <w:sz w:val="24"/>
                <w:lang w:val="en-US" w:eastAsia="zh-CN"/>
              </w:rPr>
              <w:t>本项目严格控制生产耗能和污染排放，不属于高耗能高排放低水平项目，不属于《产业结构调整指导目录（2024年本）》中的淘汰类项目；施工期和运营期由施工、道路、堆场、裸露地面产生的扬尘均采取有效的环保治理措施进行处理，处理后的废气均能满足排放标准；食堂安装有国家认可的单位检测合格的油烟净化设施，经过处理的油烟经专用烟道排放，对周围环境影响不大；机械设备定期进行维护升级以减少噪声的排放，经过生产车间的墙体及其他控制措施等对声源削减，噪声排放能满足相关排放标准。因此，项目的建设符合《关于深入打好污染防治攻坚战的实施方案》。</w:t>
            </w:r>
          </w:p>
          <w:p w14:paraId="581677D0">
            <w:pPr>
              <w:numPr>
                <w:ilvl w:val="0"/>
                <w:numId w:val="3"/>
              </w:numPr>
              <w:spacing w:line="360" w:lineRule="auto"/>
              <w:ind w:left="0" w:leftChars="0" w:firstLine="0" w:firstLineChars="0"/>
              <w:jc w:val="left"/>
              <w:rPr>
                <w:rFonts w:hint="eastAsia" w:eastAsia="宋体"/>
                <w:b/>
                <w:bCs/>
                <w:color w:val="auto"/>
                <w:kern w:val="0"/>
                <w:sz w:val="24"/>
                <w:lang w:val="en-US" w:eastAsia="zh-CN"/>
              </w:rPr>
            </w:pPr>
            <w:r>
              <w:rPr>
                <w:rFonts w:hint="eastAsia" w:eastAsia="宋体"/>
                <w:b/>
                <w:bCs/>
                <w:color w:val="auto"/>
                <w:kern w:val="0"/>
                <w:sz w:val="24"/>
                <w:lang w:val="en-US" w:eastAsia="zh-CN"/>
              </w:rPr>
              <w:t>与</w:t>
            </w:r>
            <w:r>
              <w:rPr>
                <w:rFonts w:hint="eastAsia" w:ascii="Times New Roman" w:hAnsi="Times New Roman" w:eastAsia="宋体" w:cs="Times New Roman"/>
                <w:b/>
                <w:bCs/>
                <w:color w:val="auto"/>
                <w:kern w:val="0"/>
                <w:sz w:val="24"/>
                <w:szCs w:val="24"/>
                <w:lang w:val="en-US" w:eastAsia="zh-CN" w:bidi="ar"/>
              </w:rPr>
              <w:t>《国务院关于印发&lt;空气质量持续改善行动计划&gt;的通知》(国发〔2023〕24号)</w:t>
            </w:r>
            <w:r>
              <w:rPr>
                <w:rFonts w:hint="eastAsia" w:eastAsia="宋体"/>
                <w:b/>
                <w:bCs/>
                <w:color w:val="auto"/>
                <w:kern w:val="0"/>
                <w:sz w:val="24"/>
                <w:lang w:val="en-US" w:eastAsia="zh-CN"/>
              </w:rPr>
              <w:t>的符合性分析</w:t>
            </w:r>
          </w:p>
          <w:p w14:paraId="56036660">
            <w:pPr>
              <w:numPr>
                <w:ilvl w:val="0"/>
                <w:numId w:val="0"/>
              </w:numPr>
              <w:spacing w:line="360" w:lineRule="auto"/>
              <w:ind w:firstLine="480" w:firstLineChars="200"/>
              <w:jc w:val="lef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根据《关于深入打好污染防治攻坚战的实施方案》中的相关内容：“(十五)加快提升机动车清洁化水平；(十八)深化扬尘污染综合治理。</w:t>
            </w:r>
          </w:p>
          <w:p w14:paraId="29B3300C">
            <w:pPr>
              <w:numPr>
                <w:ilvl w:val="0"/>
                <w:numId w:val="0"/>
              </w:numPr>
              <w:tabs>
                <w:tab w:val="left" w:pos="656"/>
              </w:tabs>
              <w:spacing w:line="360" w:lineRule="auto"/>
              <w:ind w:firstLine="480" w:firstLineChars="200"/>
              <w:jc w:val="left"/>
              <w:rPr>
                <w:rFonts w:hint="eastAsia"/>
                <w:b/>
                <w:bCs/>
                <w:color w:val="auto"/>
                <w:kern w:val="0"/>
                <w:sz w:val="24"/>
                <w:lang w:val="en-US" w:eastAsia="zh-CN"/>
              </w:rPr>
            </w:pPr>
            <w:r>
              <w:rPr>
                <w:rFonts w:hint="eastAsia" w:cs="Times New Roman"/>
                <w:color w:val="auto"/>
                <w:kern w:val="0"/>
                <w:sz w:val="24"/>
                <w:lang w:val="en-US" w:eastAsia="zh-CN"/>
              </w:rPr>
              <w:t>本项目会在出入口设置车辆清洗平台，清洗后的水经沉淀池处理用于洒水降尘。本项目会在施工现场公示环保监督员，负责工业料堆场扬尘控制工作。本项目料场为半封闭式，配备喷淋防尘措施。本项目会对主要道路和物料堆放地进行硬化，并定期洒水降尘。</w:t>
            </w:r>
          </w:p>
          <w:p w14:paraId="16331E82">
            <w:pPr>
              <w:numPr>
                <w:ilvl w:val="0"/>
                <w:numId w:val="0"/>
              </w:numPr>
              <w:spacing w:line="360" w:lineRule="auto"/>
              <w:jc w:val="left"/>
              <w:rPr>
                <w:b/>
                <w:bCs/>
                <w:color w:val="auto"/>
                <w:kern w:val="0"/>
                <w:sz w:val="24"/>
              </w:rPr>
            </w:pPr>
            <w:r>
              <w:rPr>
                <w:rFonts w:hint="eastAsia"/>
                <w:b/>
                <w:bCs/>
                <w:color w:val="auto"/>
                <w:kern w:val="0"/>
                <w:sz w:val="24"/>
                <w:lang w:val="en-US" w:eastAsia="zh-CN"/>
              </w:rPr>
              <w:t>12.</w:t>
            </w:r>
            <w:r>
              <w:rPr>
                <w:b/>
                <w:bCs/>
                <w:color w:val="auto"/>
                <w:kern w:val="0"/>
                <w:sz w:val="24"/>
              </w:rPr>
              <w:t>选址的符合性分析</w:t>
            </w:r>
          </w:p>
          <w:p w14:paraId="5C556EC8">
            <w:pPr>
              <w:autoSpaceDE w:val="0"/>
              <w:autoSpaceDN w:val="0"/>
              <w:adjustRightInd w:val="0"/>
              <w:snapToGrid w:val="0"/>
              <w:spacing w:line="360" w:lineRule="auto"/>
              <w:ind w:firstLine="480" w:firstLineChars="200"/>
              <w:rPr>
                <w:color w:val="auto"/>
                <w:kern w:val="0"/>
                <w:sz w:val="24"/>
              </w:rPr>
            </w:pPr>
            <w:r>
              <w:rPr>
                <w:rFonts w:hint="eastAsia" w:cs="Times New Roman"/>
                <w:color w:val="auto"/>
                <w:kern w:val="0"/>
                <w:sz w:val="24"/>
                <w:lang w:val="en-US" w:eastAsia="zh-CN"/>
              </w:rPr>
              <w:t>本项目为临时用地，临时用地的土地类型为天然牧草地，使用年限为两年，见附件5，</w:t>
            </w:r>
            <w:r>
              <w:rPr>
                <w:rFonts w:ascii="Times New Roman" w:hAnsi="Times New Roman" w:eastAsia="宋体" w:cs="Times New Roman"/>
                <w:color w:val="auto"/>
                <w:kern w:val="0"/>
                <w:sz w:val="24"/>
                <w:lang w:val="en-US" w:eastAsia="zh-CN"/>
              </w:rPr>
              <w:t>项目区位于准噶尔盆地东南部，阿勒泰山脉南麓。</w:t>
            </w:r>
            <w:r>
              <w:rPr>
                <w:rFonts w:hint="eastAsia" w:ascii="Times New Roman" w:hAnsi="Times New Roman" w:eastAsia="宋体" w:cs="Times New Roman"/>
                <w:color w:val="auto"/>
                <w:kern w:val="0"/>
                <w:sz w:val="24"/>
                <w:lang w:val="en-US" w:eastAsia="zh-CN"/>
              </w:rPr>
              <w:t>中心地理坐标:</w:t>
            </w:r>
            <w:r>
              <w:rPr>
                <w:rFonts w:hint="default" w:ascii="Times New Roman" w:hAnsi="Times New Roman" w:eastAsia="宋体" w:cs="Times New Roman"/>
                <w:color w:val="auto"/>
                <w:sz w:val="24"/>
                <w:szCs w:val="24"/>
                <w:lang w:val="en-US" w:eastAsia="zh-CN"/>
              </w:rPr>
              <w:t>东经：9</w:t>
            </w:r>
            <w:r>
              <w:rPr>
                <w:rFonts w:hint="eastAsia" w:ascii="Times New Roman" w:hAnsi="Times New Roman" w:eastAsia="宋体" w:cs="Times New Roman"/>
                <w:color w:val="auto"/>
                <w:sz w:val="24"/>
                <w:szCs w:val="24"/>
                <w:lang w:val="en-US" w:eastAsia="zh-CN"/>
              </w:rPr>
              <w:t>0°34′42.12″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北纬：</w:t>
            </w: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4°18′27.88″</w:t>
            </w:r>
            <w:r>
              <w:rPr>
                <w:rFonts w:hint="eastAsia" w:ascii="Times New Roman" w:hAnsi="Times New Roman" w:eastAsia="宋体" w:cs="Times New Roman"/>
                <w:color w:val="auto"/>
                <w:kern w:val="0"/>
                <w:sz w:val="24"/>
                <w:lang w:val="en-US" w:eastAsia="zh-CN"/>
              </w:rPr>
              <w:t>，临时用地地形平坦，主要以戈壁滩为主，场址区周边有简易砂石道路和公路通过，交通条件便利。</w:t>
            </w:r>
            <w:r>
              <w:rPr>
                <w:color w:val="auto"/>
                <w:kern w:val="0"/>
                <w:sz w:val="24"/>
              </w:rPr>
              <w:t>为项目的顺利实施提供了保障</w:t>
            </w:r>
            <w:r>
              <w:rPr>
                <w:rFonts w:hint="eastAsia"/>
                <w:color w:val="auto"/>
                <w:kern w:val="0"/>
                <w:sz w:val="24"/>
                <w:lang w:val="en-US" w:eastAsia="zh-CN"/>
              </w:rPr>
              <w:t>,本项目属于混凝土搅拌站建设项目，项目用地为临时用地，</w:t>
            </w:r>
            <w:r>
              <w:rPr>
                <w:color w:val="auto"/>
                <w:kern w:val="0"/>
                <w:sz w:val="24"/>
              </w:rPr>
              <w:t>本项目生产工艺简单，在落实各项大气污染治理措施后，对区域的大气污染影响较小。</w:t>
            </w:r>
          </w:p>
          <w:p w14:paraId="642C0083">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根据现场调查，项目周围无自然保护区及珍稀动植物，项目所产生的各项污染物，在采取本评价所提出的各项治理措施后，均可做到达标排放或得到合理的处理处置，且本项目周围距居民区较远，因此本项目的建设对周围环境影响较小。项目所在区域基础设施配套完善，周围具有较完善的给水、供电、通信等</w:t>
            </w:r>
            <w:r>
              <w:rPr>
                <w:rFonts w:hint="eastAsia" w:ascii="Times New Roman" w:hAnsi="Times New Roman" w:eastAsia="宋体" w:cs="Times New Roman"/>
                <w:color w:val="auto"/>
                <w:kern w:val="0"/>
                <w:sz w:val="24"/>
                <w:lang w:val="en-US" w:eastAsia="zh-CN"/>
              </w:rPr>
              <w:t>系统</w:t>
            </w:r>
            <w:r>
              <w:rPr>
                <w:rFonts w:hint="default" w:ascii="Times New Roman" w:hAnsi="Times New Roman" w:eastAsia="宋体" w:cs="Times New Roman"/>
                <w:color w:val="auto"/>
                <w:kern w:val="0"/>
                <w:sz w:val="24"/>
                <w:lang w:val="en-US" w:eastAsia="zh-CN"/>
              </w:rPr>
              <w:t>，可以满足该项目生产需求。</w:t>
            </w:r>
          </w:p>
          <w:p w14:paraId="371DA8E4">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项目区所在地周围无饮用水保护区、基本农田保护区、生态脆弱区等社会关注区，根据《建设项目环境影响评价分类管类管理名录2021版》（生态保护部令第16号）中对环境敏感区的界定原则，本项目地处环境非敏感区。</w:t>
            </w:r>
          </w:p>
          <w:p w14:paraId="4ECAAF51">
            <w:pPr>
              <w:autoSpaceDE w:val="0"/>
              <w:autoSpaceDN w:val="0"/>
              <w:adjustRightInd w:val="0"/>
              <w:snapToGrid w:val="0"/>
              <w:spacing w:line="360" w:lineRule="auto"/>
              <w:ind w:firstLine="480" w:firstLineChars="200"/>
              <w:rPr>
                <w:rFonts w:hint="default"/>
                <w:lang w:val="en-US" w:eastAsia="zh-CN"/>
              </w:rPr>
            </w:pPr>
            <w:r>
              <w:rPr>
                <w:rFonts w:hint="default" w:ascii="Times New Roman" w:hAnsi="Times New Roman" w:eastAsia="宋体" w:cs="Times New Roman"/>
                <w:color w:val="auto"/>
                <w:kern w:val="0"/>
                <w:sz w:val="24"/>
                <w:lang w:val="en-US" w:eastAsia="zh-CN"/>
              </w:rPr>
              <w:t>用地不属于国土资发《关于发布实施&lt;限制用地项目目录（2012年本）和&lt;禁止用地项目目录（2012年本）&gt;的通知》中限制用地和禁止用地项目。项目所在区域交通便利，利于本项目建设。</w:t>
            </w:r>
          </w:p>
          <w:p w14:paraId="0E2754B2">
            <w:pPr>
              <w:autoSpaceDE w:val="0"/>
              <w:autoSpaceDN w:val="0"/>
              <w:adjustRightInd w:val="0"/>
              <w:snapToGrid w:val="0"/>
              <w:spacing w:line="360" w:lineRule="auto"/>
              <w:ind w:firstLine="480" w:firstLineChars="200"/>
            </w:pPr>
            <w:r>
              <w:rPr>
                <w:rFonts w:hint="default" w:ascii="Times New Roman" w:hAnsi="Times New Roman" w:eastAsia="宋体" w:cs="Times New Roman"/>
                <w:color w:val="auto"/>
                <w:kern w:val="0"/>
                <w:sz w:val="24"/>
                <w:lang w:val="en-US" w:eastAsia="zh-CN"/>
              </w:rPr>
              <w:t>项目区周边无社会关注的自然保护区、风景区、名胜古迹和其他需要特别保护的敏感目标；同时，本项目工艺及产品对外环境无特殊要求，无其他制约因素，故本项目与外环境相容。</w:t>
            </w:r>
          </w:p>
          <w:p w14:paraId="4DF166EC">
            <w:pPr>
              <w:autoSpaceDE w:val="0"/>
              <w:autoSpaceDN w:val="0"/>
              <w:adjustRightInd w:val="0"/>
              <w:snapToGrid w:val="0"/>
              <w:spacing w:line="360" w:lineRule="auto"/>
              <w:ind w:firstLine="480" w:firstLineChars="200"/>
            </w:pPr>
            <w:r>
              <w:rPr>
                <w:color w:val="auto"/>
                <w:kern w:val="0"/>
                <w:sz w:val="24"/>
              </w:rPr>
              <w:t>综上，项目选址地理位置及基础设施条件良好，</w:t>
            </w:r>
            <w:r>
              <w:rPr>
                <w:rFonts w:hint="eastAsia"/>
                <w:color w:val="auto"/>
                <w:kern w:val="0"/>
                <w:sz w:val="24"/>
                <w:lang w:val="en-US" w:eastAsia="zh-CN"/>
              </w:rPr>
              <w:t>本项目选址合理。项目地理位置图见附图1，</w:t>
            </w:r>
            <w:r>
              <w:rPr>
                <w:color w:val="auto"/>
                <w:kern w:val="0"/>
                <w:sz w:val="24"/>
              </w:rPr>
              <w:t>项目周边关系图见附图</w:t>
            </w:r>
            <w:r>
              <w:rPr>
                <w:rFonts w:hint="eastAsia"/>
                <w:color w:val="auto"/>
                <w:kern w:val="0"/>
                <w:sz w:val="24"/>
                <w:lang w:val="en-US" w:eastAsia="zh-CN"/>
              </w:rPr>
              <w:t>2</w:t>
            </w:r>
            <w:r>
              <w:rPr>
                <w:color w:val="auto"/>
                <w:kern w:val="0"/>
                <w:sz w:val="24"/>
              </w:rPr>
              <w:t>。</w:t>
            </w:r>
          </w:p>
        </w:tc>
      </w:tr>
    </w:tbl>
    <w:p w14:paraId="6EF83349">
      <w:pPr>
        <w:spacing w:line="360" w:lineRule="auto"/>
        <w:outlineLvl w:val="0"/>
        <w:rPr>
          <w:rFonts w:eastAsia="黑体"/>
          <w:color w:val="auto"/>
          <w:sz w:val="30"/>
          <w:vertAlign w:val="baseli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35C1C80">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1"/>
        <w:tblW w:w="88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8056"/>
      </w:tblGrid>
      <w:tr w14:paraId="0611D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160" w:hRule="atLeast"/>
          <w:jc w:val="center"/>
        </w:trPr>
        <w:tc>
          <w:tcPr>
            <w:tcW w:w="763" w:type="dxa"/>
            <w:vAlign w:val="center"/>
          </w:tcPr>
          <w:p w14:paraId="1D01BC27">
            <w:pPr>
              <w:pStyle w:val="19"/>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8056" w:type="dxa"/>
          </w:tcPr>
          <w:p w14:paraId="00417ACB">
            <w:pPr>
              <w:numPr>
                <w:ilvl w:val="0"/>
                <w:numId w:val="4"/>
              </w:numPr>
              <w:tabs>
                <w:tab w:val="left" w:pos="255"/>
              </w:tabs>
              <w:spacing w:before="120" w:beforeLines="50" w:line="360" w:lineRule="auto"/>
              <w:rPr>
                <w:b/>
                <w:color w:val="auto"/>
                <w:sz w:val="24"/>
                <w:highlight w:val="none"/>
              </w:rPr>
            </w:pPr>
            <w:r>
              <w:rPr>
                <w:b/>
                <w:color w:val="auto"/>
                <w:sz w:val="24"/>
                <w:highlight w:val="none"/>
                <w:lang w:val="en-GB"/>
              </w:rPr>
              <w:t>建设项目基本情况</w:t>
            </w:r>
          </w:p>
          <w:p w14:paraId="2EB4565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项目名称：</w:t>
            </w:r>
            <w:r>
              <w:rPr>
                <w:rFonts w:hint="eastAsia" w:ascii="Times New Roman" w:hAnsi="Times New Roman" w:eastAsia="宋体" w:cs="Times New Roman"/>
                <w:color w:val="auto"/>
                <w:kern w:val="0"/>
                <w:sz w:val="24"/>
                <w:lang w:eastAsia="zh-CN"/>
              </w:rPr>
              <w:t>木垒黑走马混凝土有限责任公司</w:t>
            </w:r>
            <w:r>
              <w:rPr>
                <w:rFonts w:hint="eastAsia" w:cs="Times New Roman"/>
                <w:color w:val="auto"/>
                <w:kern w:val="0"/>
                <w:sz w:val="24"/>
                <w:lang w:val="en-US" w:eastAsia="zh-CN"/>
              </w:rPr>
              <w:t>老君庙西风电场</w:t>
            </w:r>
            <w:r>
              <w:rPr>
                <w:rFonts w:hint="eastAsia" w:ascii="Times New Roman" w:hAnsi="Times New Roman" w:eastAsia="宋体" w:cs="Times New Roman"/>
                <w:color w:val="auto"/>
                <w:kern w:val="0"/>
                <w:sz w:val="24"/>
                <w:lang w:eastAsia="zh-CN"/>
              </w:rPr>
              <w:t>商砼项目</w:t>
            </w:r>
            <w:r>
              <w:rPr>
                <w:rFonts w:ascii="Times New Roman" w:hAnsi="Times New Roman" w:eastAsia="宋体" w:cs="Times New Roman"/>
                <w:color w:val="auto"/>
                <w:kern w:val="0"/>
                <w:sz w:val="24"/>
              </w:rPr>
              <w:t>；</w:t>
            </w:r>
          </w:p>
          <w:p w14:paraId="530424B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总 投 资：</w:t>
            </w:r>
            <w:r>
              <w:rPr>
                <w:rFonts w:hint="eastAsia" w:cs="Times New Roman"/>
                <w:color w:val="auto"/>
                <w:kern w:val="0"/>
                <w:sz w:val="24"/>
                <w:lang w:val="en-US" w:eastAsia="zh-CN"/>
              </w:rPr>
              <w:t>500</w:t>
            </w:r>
            <w:r>
              <w:rPr>
                <w:rFonts w:ascii="Times New Roman" w:hAnsi="Times New Roman" w:eastAsia="宋体" w:cs="Times New Roman"/>
                <w:color w:val="auto"/>
                <w:kern w:val="0"/>
                <w:sz w:val="24"/>
              </w:rPr>
              <w:t>万元，全部由建设单位自筹；</w:t>
            </w:r>
          </w:p>
          <w:p w14:paraId="5AE3027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建设单位：</w:t>
            </w:r>
            <w:r>
              <w:rPr>
                <w:rFonts w:hint="eastAsia" w:ascii="Times New Roman" w:hAnsi="Times New Roman" w:eastAsia="宋体" w:cs="Times New Roman"/>
                <w:color w:val="auto"/>
                <w:kern w:val="0"/>
                <w:sz w:val="24"/>
                <w:lang w:val="zh-CN"/>
              </w:rPr>
              <w:t>木垒黑走马混凝土有限责任公司</w:t>
            </w:r>
            <w:r>
              <w:rPr>
                <w:rFonts w:ascii="Times New Roman" w:hAnsi="Times New Roman" w:eastAsia="宋体" w:cs="Times New Roman"/>
                <w:color w:val="auto"/>
                <w:kern w:val="0"/>
                <w:sz w:val="24"/>
              </w:rPr>
              <w:t>；</w:t>
            </w:r>
          </w:p>
          <w:p w14:paraId="44096842">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建设性质：</w:t>
            </w:r>
            <w:r>
              <w:rPr>
                <w:rFonts w:hint="eastAsia" w:ascii="Times New Roman" w:hAnsi="Times New Roman" w:eastAsia="宋体" w:cs="Times New Roman"/>
                <w:color w:val="auto"/>
                <w:kern w:val="0"/>
                <w:sz w:val="24"/>
                <w:lang w:val="en-US" w:eastAsia="zh-CN"/>
              </w:rPr>
              <w:t>新建</w:t>
            </w:r>
            <w:r>
              <w:rPr>
                <w:rFonts w:hint="eastAsia" w:ascii="Times New Roman" w:hAnsi="Times New Roman" w:eastAsia="宋体" w:cs="Times New Roman"/>
                <w:color w:val="auto"/>
                <w:kern w:val="0"/>
                <w:sz w:val="24"/>
                <w:lang w:eastAsia="zh-CN"/>
              </w:rPr>
              <w:t>；</w:t>
            </w:r>
          </w:p>
          <w:p w14:paraId="7781EAB1">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建设地点：</w:t>
            </w:r>
            <w:r>
              <w:rPr>
                <w:rFonts w:hint="eastAsia"/>
                <w:color w:val="auto"/>
                <w:sz w:val="24"/>
                <w:u w:val="none"/>
              </w:rPr>
              <w:t>昌吉回族自治州木垒哈萨克自治县博斯塘乡境内</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中心地理坐标：</w:t>
            </w:r>
            <w:r>
              <w:rPr>
                <w:rFonts w:hint="default" w:ascii="Times New Roman" w:hAnsi="Times New Roman" w:eastAsia="宋体" w:cs="Times New Roman"/>
                <w:color w:val="auto"/>
                <w:sz w:val="24"/>
                <w:szCs w:val="24"/>
                <w:lang w:val="en-US" w:eastAsia="zh-CN"/>
              </w:rPr>
              <w:t>东经：9</w:t>
            </w:r>
            <w:r>
              <w:rPr>
                <w:rFonts w:hint="eastAsia" w:ascii="Times New Roman" w:hAnsi="Times New Roman" w:eastAsia="宋体" w:cs="Times New Roman"/>
                <w:color w:val="auto"/>
                <w:sz w:val="24"/>
                <w:szCs w:val="24"/>
                <w:lang w:val="en-US" w:eastAsia="zh-CN"/>
              </w:rPr>
              <w:t>0°34′42.12″</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北纬：</w:t>
            </w: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4°18′27.88″</w:t>
            </w:r>
            <w:r>
              <w:rPr>
                <w:rFonts w:hint="eastAsia"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rPr>
              <w:t>项目占地面积</w:t>
            </w:r>
            <w:r>
              <w:rPr>
                <w:rFonts w:hint="eastAsia" w:cs="Times New Roman"/>
                <w:color w:val="auto"/>
                <w:kern w:val="0"/>
                <w:sz w:val="24"/>
                <w:lang w:val="en-US" w:eastAsia="zh-CN"/>
              </w:rPr>
              <w:t>27658</w:t>
            </w:r>
            <w:r>
              <w:rPr>
                <w:rFonts w:hint="default" w:ascii="Times New Roman" w:hAnsi="Times New Roman" w:eastAsia="宋体" w:cs="Times New Roman"/>
                <w:color w:val="auto"/>
                <w:kern w:val="0"/>
                <w:sz w:val="24"/>
              </w:rPr>
              <w:t>m</w:t>
            </w:r>
            <w:r>
              <w:rPr>
                <w:rFonts w:hint="default" w:ascii="Times New Roman" w:hAnsi="Times New Roman" w:eastAsia="宋体" w:cs="Times New Roman"/>
                <w:color w:val="auto"/>
                <w:kern w:val="0"/>
                <w:sz w:val="24"/>
                <w:vertAlign w:val="superscript"/>
              </w:rPr>
              <w:t>2</w:t>
            </w:r>
            <w:r>
              <w:rPr>
                <w:rFonts w:hint="default" w:ascii="Times New Roman" w:hAnsi="Times New Roman" w:eastAsia="宋体" w:cs="Times New Roman"/>
                <w:color w:val="auto"/>
                <w:kern w:val="0"/>
                <w:sz w:val="24"/>
              </w:rPr>
              <w:t>。项目区东侧、南侧、</w:t>
            </w:r>
            <w:r>
              <w:rPr>
                <w:rFonts w:hint="eastAsia" w:ascii="Times New Roman" w:hAnsi="Times New Roman" w:eastAsia="宋体" w:cs="Times New Roman"/>
                <w:color w:val="auto"/>
                <w:kern w:val="0"/>
                <w:sz w:val="24"/>
                <w:lang w:val="en-US" w:eastAsia="zh-CN"/>
              </w:rPr>
              <w:t>西侧、</w:t>
            </w:r>
            <w:r>
              <w:rPr>
                <w:rFonts w:hint="default" w:ascii="Times New Roman" w:hAnsi="Times New Roman" w:eastAsia="宋体" w:cs="Times New Roman"/>
                <w:color w:val="auto"/>
                <w:kern w:val="0"/>
                <w:sz w:val="24"/>
              </w:rPr>
              <w:t>北侧均为空地。项目地理位置见图1，项目周边关系图见图2。</w:t>
            </w:r>
          </w:p>
          <w:p w14:paraId="53040CC2">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eastAsia" w:cs="Times New Roman"/>
                <w:color w:val="auto"/>
                <w:kern w:val="0"/>
                <w:sz w:val="24"/>
                <w:lang w:val="en-US" w:eastAsia="zh-CN"/>
              </w:rPr>
              <w:t>建造本项目是为了给附近风电场提供混凝土，服务年限为2年，到期拆除并进行土地复垦。</w:t>
            </w:r>
          </w:p>
          <w:p w14:paraId="28C130A0">
            <w:pPr>
              <w:pStyle w:val="2"/>
              <w:numPr>
                <w:ilvl w:val="0"/>
                <w:numId w:val="4"/>
              </w:numPr>
              <w:rPr>
                <w:color w:val="auto"/>
                <w:szCs w:val="24"/>
              </w:rPr>
            </w:pPr>
            <w:r>
              <w:rPr>
                <w:color w:val="auto"/>
                <w:szCs w:val="24"/>
              </w:rPr>
              <w:t>建设项目内容</w:t>
            </w:r>
          </w:p>
          <w:p w14:paraId="3B739CF1">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本项目占地面积</w:t>
            </w:r>
            <w:r>
              <w:rPr>
                <w:rFonts w:hint="eastAsia" w:cs="Times New Roman"/>
                <w:color w:val="auto"/>
                <w:kern w:val="0"/>
                <w:sz w:val="24"/>
                <w:lang w:val="en-US" w:eastAsia="zh-CN"/>
              </w:rPr>
              <w:t>27658</w:t>
            </w:r>
            <w:r>
              <w:rPr>
                <w:rFonts w:hint="eastAsia" w:ascii="Times New Roman" w:hAnsi="Times New Roman" w:cs="Times New Roman"/>
                <w:color w:val="auto"/>
                <w:kern w:val="0"/>
                <w:sz w:val="24"/>
                <w:lang w:val="en-US" w:eastAsia="zh-CN"/>
              </w:rPr>
              <w:t>m</w:t>
            </w:r>
            <w:r>
              <w:rPr>
                <w:rFonts w:hint="eastAsia" w:ascii="Times New Roman" w:hAnsi="Times New Roman" w:cs="Times New Roman"/>
                <w:color w:val="auto"/>
                <w:kern w:val="0"/>
                <w:sz w:val="24"/>
                <w:vertAlign w:val="superscript"/>
                <w:lang w:val="en-US" w:eastAsia="zh-CN"/>
              </w:rPr>
              <w:t>2</w:t>
            </w:r>
            <w:r>
              <w:rPr>
                <w:rFonts w:hint="default" w:ascii="Times New Roman" w:hAnsi="Times New Roman" w:eastAsia="宋体" w:cs="Times New Roman"/>
                <w:color w:val="auto"/>
                <w:kern w:val="0"/>
                <w:sz w:val="24"/>
              </w:rPr>
              <w:t>，总建筑面积</w:t>
            </w:r>
            <w:r>
              <w:rPr>
                <w:rFonts w:hint="eastAsia" w:cs="Times New Roman"/>
                <w:color w:val="auto"/>
                <w:kern w:val="0"/>
                <w:sz w:val="24"/>
                <w:lang w:val="en-US" w:eastAsia="zh-CN"/>
              </w:rPr>
              <w:t>3792.54</w:t>
            </w:r>
            <w:r>
              <w:rPr>
                <w:rFonts w:hint="default" w:ascii="Times New Roman" w:hAnsi="Times New Roman" w:eastAsia="宋体" w:cs="Times New Roman"/>
                <w:color w:val="auto"/>
                <w:kern w:val="0"/>
                <w:sz w:val="24"/>
              </w:rPr>
              <w:t>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rPr>
              <w:t>，项目投产后建成后年产20万立方米混凝土。</w:t>
            </w:r>
            <w:r>
              <w:rPr>
                <w:rFonts w:hint="eastAsia" w:cs="Times New Roman"/>
                <w:color w:val="auto"/>
                <w:kern w:val="0"/>
                <w:sz w:val="24"/>
                <w:lang w:val="en-US" w:eastAsia="zh-CN"/>
              </w:rPr>
              <w:t>本项目同时</w:t>
            </w:r>
            <w:r>
              <w:rPr>
                <w:rFonts w:hint="eastAsia" w:ascii="Times New Roman" w:hAnsi="Times New Roman" w:eastAsia="宋体" w:cs="Times New Roman"/>
                <w:color w:val="auto"/>
                <w:kern w:val="0"/>
                <w:sz w:val="24"/>
                <w:szCs w:val="24"/>
                <w:highlight w:val="none"/>
                <w:lang w:val="en-US" w:eastAsia="zh-CN" w:bidi="ar-SA"/>
              </w:rPr>
              <w:t>配套建设混凝土质量检测实验室</w:t>
            </w:r>
            <w:r>
              <w:rPr>
                <w:rFonts w:hint="default" w:ascii="Times New Roman" w:hAnsi="Times New Roman" w:eastAsia="宋体" w:cs="Times New Roman"/>
                <w:color w:val="auto"/>
                <w:kern w:val="0"/>
                <w:sz w:val="24"/>
              </w:rPr>
              <w:t>项目组成情况见表2-1。</w:t>
            </w:r>
          </w:p>
          <w:p w14:paraId="5E6BD3D9">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表2-1    项目工程组成一览表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347"/>
              <w:gridCol w:w="2704"/>
              <w:gridCol w:w="1704"/>
              <w:gridCol w:w="856"/>
            </w:tblGrid>
            <w:tr w14:paraId="2DFAFF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226" w:type="dxa"/>
                  <w:tcBorders>
                    <w:bottom w:val="single" w:color="auto" w:sz="12" w:space="0"/>
                  </w:tcBorders>
                  <w:vAlign w:val="center"/>
                </w:tcPr>
                <w:p w14:paraId="03238254">
                  <w:pPr>
                    <w:pStyle w:val="36"/>
                    <w:rPr>
                      <w:b/>
                      <w:bCs/>
                      <w:color w:val="auto"/>
                      <w:sz w:val="21"/>
                      <w:szCs w:val="21"/>
                    </w:rPr>
                  </w:pPr>
                  <w:r>
                    <w:rPr>
                      <w:b/>
                      <w:bCs/>
                      <w:color w:val="auto"/>
                      <w:sz w:val="21"/>
                      <w:szCs w:val="21"/>
                    </w:rPr>
                    <w:t>工程类型</w:t>
                  </w:r>
                </w:p>
              </w:tc>
              <w:tc>
                <w:tcPr>
                  <w:tcW w:w="1347" w:type="dxa"/>
                  <w:tcBorders>
                    <w:bottom w:val="single" w:color="auto" w:sz="12" w:space="0"/>
                  </w:tcBorders>
                  <w:vAlign w:val="center"/>
                </w:tcPr>
                <w:p w14:paraId="20B8CF37">
                  <w:pPr>
                    <w:pStyle w:val="36"/>
                    <w:rPr>
                      <w:b/>
                      <w:bCs/>
                      <w:color w:val="auto"/>
                      <w:sz w:val="21"/>
                      <w:szCs w:val="21"/>
                    </w:rPr>
                  </w:pPr>
                  <w:r>
                    <w:rPr>
                      <w:b/>
                      <w:bCs/>
                      <w:color w:val="auto"/>
                      <w:sz w:val="21"/>
                      <w:szCs w:val="21"/>
                    </w:rPr>
                    <w:t>工程名称</w:t>
                  </w:r>
                </w:p>
              </w:tc>
              <w:tc>
                <w:tcPr>
                  <w:tcW w:w="2704" w:type="dxa"/>
                  <w:tcBorders>
                    <w:bottom w:val="single" w:color="auto" w:sz="12" w:space="0"/>
                  </w:tcBorders>
                  <w:vAlign w:val="center"/>
                </w:tcPr>
                <w:p w14:paraId="510CD564">
                  <w:pPr>
                    <w:pStyle w:val="36"/>
                    <w:rPr>
                      <w:b/>
                      <w:bCs/>
                      <w:color w:val="auto"/>
                      <w:sz w:val="21"/>
                      <w:szCs w:val="21"/>
                    </w:rPr>
                  </w:pPr>
                  <w:r>
                    <w:rPr>
                      <w:b/>
                      <w:bCs/>
                      <w:color w:val="auto"/>
                      <w:sz w:val="21"/>
                      <w:szCs w:val="21"/>
                    </w:rPr>
                    <w:t>工程内容</w:t>
                  </w:r>
                </w:p>
              </w:tc>
              <w:tc>
                <w:tcPr>
                  <w:tcW w:w="1704" w:type="dxa"/>
                  <w:tcBorders>
                    <w:bottom w:val="single" w:color="auto" w:sz="12" w:space="0"/>
                  </w:tcBorders>
                  <w:vAlign w:val="center"/>
                </w:tcPr>
                <w:p w14:paraId="347F3CF4">
                  <w:pPr>
                    <w:pStyle w:val="36"/>
                    <w:rPr>
                      <w:b/>
                      <w:bCs/>
                      <w:color w:val="auto"/>
                      <w:sz w:val="21"/>
                      <w:szCs w:val="21"/>
                    </w:rPr>
                  </w:pPr>
                  <w:r>
                    <w:rPr>
                      <w:b/>
                      <w:bCs/>
                      <w:color w:val="auto"/>
                      <w:sz w:val="21"/>
                      <w:szCs w:val="21"/>
                    </w:rPr>
                    <w:t>工程规模</w:t>
                  </w:r>
                </w:p>
              </w:tc>
              <w:tc>
                <w:tcPr>
                  <w:tcW w:w="856" w:type="dxa"/>
                  <w:tcBorders>
                    <w:bottom w:val="single" w:color="auto" w:sz="12" w:space="0"/>
                  </w:tcBorders>
                  <w:vAlign w:val="center"/>
                </w:tcPr>
                <w:p w14:paraId="006FE065">
                  <w:pPr>
                    <w:pStyle w:val="36"/>
                    <w:rPr>
                      <w:b/>
                      <w:bCs/>
                      <w:color w:val="auto"/>
                      <w:sz w:val="21"/>
                      <w:szCs w:val="21"/>
                    </w:rPr>
                  </w:pPr>
                  <w:r>
                    <w:rPr>
                      <w:b/>
                      <w:bCs/>
                      <w:color w:val="auto"/>
                      <w:sz w:val="21"/>
                      <w:szCs w:val="21"/>
                    </w:rPr>
                    <w:t>备注</w:t>
                  </w:r>
                </w:p>
              </w:tc>
            </w:tr>
            <w:tr w14:paraId="606409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6" w:type="dxa"/>
                  <w:tcBorders>
                    <w:top w:val="single" w:color="auto" w:sz="12" w:space="0"/>
                    <w:tl2br w:val="nil"/>
                    <w:tr2bl w:val="nil"/>
                  </w:tcBorders>
                  <w:vAlign w:val="center"/>
                </w:tcPr>
                <w:p w14:paraId="5F745CD6">
                  <w:pPr>
                    <w:pStyle w:val="36"/>
                    <w:rPr>
                      <w:color w:val="auto"/>
                      <w:sz w:val="21"/>
                      <w:szCs w:val="21"/>
                    </w:rPr>
                  </w:pPr>
                  <w:r>
                    <w:rPr>
                      <w:color w:val="auto"/>
                      <w:sz w:val="21"/>
                      <w:szCs w:val="21"/>
                    </w:rPr>
                    <w:t>主体工程</w:t>
                  </w:r>
                </w:p>
              </w:tc>
              <w:tc>
                <w:tcPr>
                  <w:tcW w:w="1347" w:type="dxa"/>
                  <w:tcBorders>
                    <w:top w:val="single" w:color="auto" w:sz="12" w:space="0"/>
                    <w:tl2br w:val="nil"/>
                    <w:tr2bl w:val="nil"/>
                  </w:tcBorders>
                  <w:vAlign w:val="center"/>
                </w:tcPr>
                <w:p w14:paraId="5185DE78">
                  <w:pPr>
                    <w:pStyle w:val="36"/>
                    <w:rPr>
                      <w:rFonts w:hint="eastAsia" w:eastAsia="宋体"/>
                      <w:color w:val="auto"/>
                      <w:sz w:val="21"/>
                      <w:szCs w:val="21"/>
                      <w:lang w:eastAsia="zh-CN"/>
                    </w:rPr>
                  </w:pPr>
                  <w:r>
                    <w:rPr>
                      <w:rFonts w:hint="eastAsia"/>
                      <w:color w:val="auto"/>
                      <w:sz w:val="21"/>
                      <w:szCs w:val="21"/>
                      <w:lang w:val="en-US" w:eastAsia="zh-CN"/>
                    </w:rPr>
                    <w:t>搅拌楼</w:t>
                  </w:r>
                </w:p>
              </w:tc>
              <w:tc>
                <w:tcPr>
                  <w:tcW w:w="2704" w:type="dxa"/>
                  <w:tcBorders>
                    <w:top w:val="single" w:color="auto" w:sz="12" w:space="0"/>
                    <w:bottom w:val="single" w:color="auto" w:sz="6" w:space="0"/>
                  </w:tcBorders>
                  <w:vAlign w:val="center"/>
                </w:tcPr>
                <w:p w14:paraId="338AEFB2">
                  <w:pPr>
                    <w:jc w:val="center"/>
                    <w:rPr>
                      <w:color w:val="auto"/>
                      <w:sz w:val="21"/>
                      <w:szCs w:val="21"/>
                    </w:rPr>
                  </w:pPr>
                  <w:r>
                    <w:rPr>
                      <w:color w:val="auto"/>
                      <w:sz w:val="21"/>
                      <w:szCs w:val="21"/>
                    </w:rPr>
                    <w:t>密闭搅拌楼，内设</w:t>
                  </w:r>
                  <w:r>
                    <w:rPr>
                      <w:rFonts w:hint="eastAsia"/>
                      <w:color w:val="auto"/>
                      <w:sz w:val="21"/>
                      <w:szCs w:val="21"/>
                      <w:lang w:val="en-US" w:eastAsia="zh-CN"/>
                    </w:rPr>
                    <w:t>两</w:t>
                  </w:r>
                  <w:r>
                    <w:rPr>
                      <w:color w:val="auto"/>
                      <w:sz w:val="21"/>
                      <w:szCs w:val="21"/>
                    </w:rPr>
                    <w:t>条240</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/h</w:t>
                  </w:r>
                  <w:r>
                    <w:rPr>
                      <w:color w:val="auto"/>
                      <w:sz w:val="21"/>
                      <w:szCs w:val="21"/>
                    </w:rPr>
                    <w:t>混凝土生产线，配置</w:t>
                  </w:r>
                  <w:r>
                    <w:rPr>
                      <w:rFonts w:hint="eastAsia"/>
                      <w:color w:val="auto"/>
                      <w:sz w:val="21"/>
                      <w:szCs w:val="21"/>
                      <w:lang w:val="en-US" w:eastAsia="zh-CN"/>
                    </w:rPr>
                    <w:t>2</w:t>
                  </w:r>
                  <w:r>
                    <w:rPr>
                      <w:color w:val="auto"/>
                      <w:sz w:val="21"/>
                      <w:szCs w:val="21"/>
                    </w:rPr>
                    <w:t>套搅拌设备</w:t>
                  </w:r>
                </w:p>
              </w:tc>
              <w:tc>
                <w:tcPr>
                  <w:tcW w:w="1704" w:type="dxa"/>
                  <w:tcBorders>
                    <w:top w:val="single" w:color="auto" w:sz="12" w:space="0"/>
                    <w:bottom w:val="single" w:color="auto" w:sz="6" w:space="0"/>
                  </w:tcBorders>
                  <w:vAlign w:val="center"/>
                </w:tcPr>
                <w:p w14:paraId="2B19E6E4">
                  <w:pPr>
                    <w:pStyle w:val="36"/>
                    <w:rPr>
                      <w:color w:val="auto"/>
                      <w:sz w:val="21"/>
                      <w:szCs w:val="21"/>
                    </w:rPr>
                  </w:pPr>
                  <w:r>
                    <w:rPr>
                      <w:color w:val="auto"/>
                      <w:sz w:val="21"/>
                      <w:szCs w:val="21"/>
                    </w:rPr>
                    <w:t>占地</w:t>
                  </w:r>
                  <w:r>
                    <w:rPr>
                      <w:rFonts w:hint="eastAsia"/>
                      <w:color w:val="auto"/>
                      <w:sz w:val="21"/>
                      <w:szCs w:val="21"/>
                      <w:lang w:val="en-US" w:eastAsia="zh-CN"/>
                    </w:rPr>
                    <w:t>480</w:t>
                  </w:r>
                  <w:r>
                    <w:rPr>
                      <w:color w:val="auto"/>
                      <w:sz w:val="21"/>
                      <w:szCs w:val="21"/>
                      <w:lang w:val="zh-CN"/>
                    </w:rPr>
                    <w:t>m</w:t>
                  </w:r>
                  <w:r>
                    <w:rPr>
                      <w:color w:val="auto"/>
                      <w:sz w:val="21"/>
                      <w:szCs w:val="21"/>
                      <w:vertAlign w:val="superscript"/>
                      <w:lang w:val="zh-CN"/>
                    </w:rPr>
                    <w:t>2</w:t>
                  </w:r>
                </w:p>
              </w:tc>
              <w:tc>
                <w:tcPr>
                  <w:tcW w:w="856" w:type="dxa"/>
                  <w:tcBorders>
                    <w:top w:val="single" w:color="auto" w:sz="12" w:space="0"/>
                    <w:bottom w:val="single" w:color="auto" w:sz="6" w:space="0"/>
                  </w:tcBorders>
                  <w:vAlign w:val="center"/>
                </w:tcPr>
                <w:p w14:paraId="0750AACF">
                  <w:pPr>
                    <w:pStyle w:val="36"/>
                    <w:rPr>
                      <w:rFonts w:hint="eastAsia" w:eastAsia="宋体"/>
                      <w:color w:val="auto"/>
                      <w:sz w:val="21"/>
                      <w:szCs w:val="21"/>
                      <w:lang w:eastAsia="zh-CN"/>
                    </w:rPr>
                  </w:pPr>
                  <w:r>
                    <w:rPr>
                      <w:rFonts w:hint="eastAsia"/>
                      <w:color w:val="auto"/>
                      <w:sz w:val="21"/>
                      <w:szCs w:val="21"/>
                      <w:lang w:val="en-US" w:eastAsia="zh-CN"/>
                    </w:rPr>
                    <w:t>新建</w:t>
                  </w:r>
                </w:p>
              </w:tc>
            </w:tr>
            <w:tr w14:paraId="5AA80F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restart"/>
                  <w:tcBorders>
                    <w:tl2br w:val="nil"/>
                    <w:tr2bl w:val="nil"/>
                  </w:tcBorders>
                  <w:vAlign w:val="center"/>
                </w:tcPr>
                <w:p w14:paraId="6D7E38DC">
                  <w:pPr>
                    <w:pStyle w:val="36"/>
                    <w:rPr>
                      <w:color w:val="auto"/>
                      <w:sz w:val="21"/>
                      <w:szCs w:val="21"/>
                    </w:rPr>
                  </w:pPr>
                  <w:r>
                    <w:rPr>
                      <w:color w:val="auto"/>
                      <w:sz w:val="21"/>
                      <w:szCs w:val="21"/>
                    </w:rPr>
                    <w:t>储运工程</w:t>
                  </w:r>
                </w:p>
              </w:tc>
              <w:tc>
                <w:tcPr>
                  <w:tcW w:w="1347" w:type="dxa"/>
                  <w:tcBorders>
                    <w:tl2br w:val="nil"/>
                    <w:tr2bl w:val="nil"/>
                  </w:tcBorders>
                  <w:vAlign w:val="center"/>
                </w:tcPr>
                <w:p w14:paraId="27F06998">
                  <w:pPr>
                    <w:pStyle w:val="36"/>
                    <w:rPr>
                      <w:color w:val="auto"/>
                      <w:sz w:val="21"/>
                      <w:szCs w:val="21"/>
                    </w:rPr>
                  </w:pPr>
                  <w:r>
                    <w:rPr>
                      <w:color w:val="auto"/>
                      <w:sz w:val="21"/>
                      <w:szCs w:val="21"/>
                    </w:rPr>
                    <w:t>砂石料堆场</w:t>
                  </w:r>
                </w:p>
              </w:tc>
              <w:tc>
                <w:tcPr>
                  <w:tcW w:w="2704" w:type="dxa"/>
                  <w:tcBorders>
                    <w:tl2br w:val="nil"/>
                    <w:tr2bl w:val="nil"/>
                  </w:tcBorders>
                  <w:vAlign w:val="center"/>
                </w:tcPr>
                <w:p w14:paraId="414B2C5B">
                  <w:pPr>
                    <w:pStyle w:val="36"/>
                    <w:rPr>
                      <w:rFonts w:hint="default"/>
                      <w:color w:val="auto"/>
                      <w:sz w:val="21"/>
                      <w:szCs w:val="21"/>
                      <w:lang w:val="en-US"/>
                    </w:rPr>
                  </w:pPr>
                  <w:r>
                    <w:rPr>
                      <w:rFonts w:hint="eastAsia"/>
                      <w:color w:val="auto"/>
                      <w:sz w:val="21"/>
                      <w:szCs w:val="21"/>
                      <w:lang w:val="en-US" w:eastAsia="zh-CN"/>
                    </w:rPr>
                    <w:t>半封闭式砂石料堆放处</w:t>
                  </w:r>
                </w:p>
              </w:tc>
              <w:tc>
                <w:tcPr>
                  <w:tcW w:w="1704" w:type="dxa"/>
                  <w:tcBorders>
                    <w:tl2br w:val="nil"/>
                    <w:tr2bl w:val="nil"/>
                  </w:tcBorders>
                  <w:vAlign w:val="center"/>
                </w:tcPr>
                <w:p w14:paraId="5ACE5299">
                  <w:pPr>
                    <w:pStyle w:val="36"/>
                    <w:rPr>
                      <w:color w:val="auto"/>
                      <w:sz w:val="21"/>
                      <w:szCs w:val="21"/>
                    </w:rPr>
                  </w:pPr>
                  <w:r>
                    <w:rPr>
                      <w:rFonts w:hint="eastAsia"/>
                      <w:color w:val="auto"/>
                      <w:sz w:val="21"/>
                      <w:szCs w:val="21"/>
                      <w:lang w:val="en-US" w:eastAsia="zh-CN"/>
                    </w:rPr>
                    <w:t>2000</w:t>
                  </w:r>
                  <w:r>
                    <w:rPr>
                      <w:color w:val="auto"/>
                      <w:sz w:val="21"/>
                      <w:szCs w:val="21"/>
                      <w:lang w:val="zh-CN"/>
                    </w:rPr>
                    <w:t>m</w:t>
                  </w:r>
                  <w:r>
                    <w:rPr>
                      <w:color w:val="auto"/>
                      <w:sz w:val="21"/>
                      <w:szCs w:val="21"/>
                      <w:vertAlign w:val="superscript"/>
                      <w:lang w:val="zh-CN"/>
                    </w:rPr>
                    <w:t>2</w:t>
                  </w:r>
                </w:p>
              </w:tc>
              <w:tc>
                <w:tcPr>
                  <w:tcW w:w="856" w:type="dxa"/>
                  <w:tcBorders>
                    <w:tl2br w:val="nil"/>
                    <w:tr2bl w:val="nil"/>
                  </w:tcBorders>
                  <w:vAlign w:val="center"/>
                </w:tcPr>
                <w:p w14:paraId="3AEC79E8">
                  <w:pPr>
                    <w:pStyle w:val="36"/>
                    <w:rPr>
                      <w:rFonts w:hint="eastAsia" w:eastAsia="宋体"/>
                      <w:color w:val="auto"/>
                      <w:sz w:val="21"/>
                      <w:szCs w:val="21"/>
                      <w:lang w:eastAsia="zh-CN"/>
                    </w:rPr>
                  </w:pPr>
                  <w:r>
                    <w:rPr>
                      <w:rFonts w:hint="eastAsia"/>
                      <w:color w:val="auto"/>
                      <w:sz w:val="21"/>
                      <w:szCs w:val="21"/>
                      <w:lang w:val="en-US" w:eastAsia="zh-CN"/>
                    </w:rPr>
                    <w:t>新建</w:t>
                  </w:r>
                </w:p>
              </w:tc>
            </w:tr>
            <w:tr w14:paraId="22EFD7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26" w:type="dxa"/>
                  <w:vMerge w:val="continue"/>
                  <w:tcBorders>
                    <w:tl2br w:val="nil"/>
                    <w:tr2bl w:val="nil"/>
                  </w:tcBorders>
                  <w:vAlign w:val="center"/>
                </w:tcPr>
                <w:p w14:paraId="15BF9736">
                  <w:pPr>
                    <w:pStyle w:val="36"/>
                    <w:rPr>
                      <w:color w:val="auto"/>
                      <w:sz w:val="21"/>
                      <w:szCs w:val="21"/>
                    </w:rPr>
                  </w:pPr>
                </w:p>
              </w:tc>
              <w:tc>
                <w:tcPr>
                  <w:tcW w:w="1347" w:type="dxa"/>
                  <w:tcBorders>
                    <w:tl2br w:val="nil"/>
                    <w:tr2bl w:val="nil"/>
                  </w:tcBorders>
                  <w:vAlign w:val="center"/>
                </w:tcPr>
                <w:p w14:paraId="150D2DF8">
                  <w:pPr>
                    <w:pStyle w:val="36"/>
                    <w:rPr>
                      <w:color w:val="auto"/>
                      <w:sz w:val="21"/>
                      <w:szCs w:val="21"/>
                    </w:rPr>
                  </w:pPr>
                  <w:r>
                    <w:rPr>
                      <w:color w:val="auto"/>
                      <w:sz w:val="21"/>
                      <w:szCs w:val="21"/>
                    </w:rPr>
                    <w:t>粉料筒仓</w:t>
                  </w:r>
                </w:p>
              </w:tc>
              <w:tc>
                <w:tcPr>
                  <w:tcW w:w="2704" w:type="dxa"/>
                  <w:tcBorders>
                    <w:tl2br w:val="nil"/>
                    <w:tr2bl w:val="nil"/>
                  </w:tcBorders>
                  <w:vAlign w:val="center"/>
                </w:tcPr>
                <w:p w14:paraId="31D377B2">
                  <w:pPr>
                    <w:pStyle w:val="36"/>
                    <w:rPr>
                      <w:color w:val="auto"/>
                      <w:sz w:val="21"/>
                      <w:szCs w:val="21"/>
                    </w:rPr>
                  </w:pPr>
                  <w:r>
                    <w:rPr>
                      <w:color w:val="auto"/>
                      <w:sz w:val="21"/>
                      <w:szCs w:val="21"/>
                    </w:rPr>
                    <w:t>粉料筒仓</w:t>
                  </w:r>
                </w:p>
              </w:tc>
              <w:tc>
                <w:tcPr>
                  <w:tcW w:w="1704" w:type="dxa"/>
                  <w:tcBorders>
                    <w:tl2br w:val="nil"/>
                    <w:tr2bl w:val="nil"/>
                  </w:tcBorders>
                  <w:vAlign w:val="center"/>
                </w:tcPr>
                <w:p w14:paraId="10B0631F">
                  <w:pPr>
                    <w:pStyle w:val="36"/>
                    <w:rPr>
                      <w:color w:val="auto"/>
                      <w:sz w:val="21"/>
                      <w:szCs w:val="21"/>
                    </w:rPr>
                  </w:pPr>
                  <w:r>
                    <w:rPr>
                      <w:rFonts w:hint="eastAsia"/>
                      <w:color w:val="auto"/>
                      <w:sz w:val="21"/>
                      <w:szCs w:val="21"/>
                      <w:lang w:val="en-US" w:eastAsia="zh-CN"/>
                    </w:rPr>
                    <w:t>/</w:t>
                  </w:r>
                </w:p>
              </w:tc>
              <w:tc>
                <w:tcPr>
                  <w:tcW w:w="856" w:type="dxa"/>
                  <w:tcBorders>
                    <w:tl2br w:val="nil"/>
                    <w:tr2bl w:val="nil"/>
                  </w:tcBorders>
                  <w:vAlign w:val="center"/>
                </w:tcPr>
                <w:p w14:paraId="2B9B59D8">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3C89BD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3E0A6BAA">
                  <w:pPr>
                    <w:pStyle w:val="36"/>
                    <w:rPr>
                      <w:color w:val="auto"/>
                      <w:sz w:val="21"/>
                      <w:szCs w:val="21"/>
                    </w:rPr>
                  </w:pPr>
                </w:p>
              </w:tc>
              <w:tc>
                <w:tcPr>
                  <w:tcW w:w="1347" w:type="dxa"/>
                  <w:tcBorders>
                    <w:tl2br w:val="nil"/>
                    <w:tr2bl w:val="nil"/>
                  </w:tcBorders>
                  <w:vAlign w:val="center"/>
                </w:tcPr>
                <w:p w14:paraId="24F1EA81">
                  <w:pPr>
                    <w:pStyle w:val="36"/>
                    <w:rPr>
                      <w:color w:val="auto"/>
                      <w:sz w:val="21"/>
                      <w:szCs w:val="21"/>
                    </w:rPr>
                  </w:pPr>
                  <w:r>
                    <w:rPr>
                      <w:color w:val="auto"/>
                      <w:sz w:val="21"/>
                      <w:szCs w:val="21"/>
                    </w:rPr>
                    <w:t>输送廊道</w:t>
                  </w:r>
                </w:p>
              </w:tc>
              <w:tc>
                <w:tcPr>
                  <w:tcW w:w="2704" w:type="dxa"/>
                  <w:tcBorders>
                    <w:tl2br w:val="nil"/>
                    <w:tr2bl w:val="nil"/>
                  </w:tcBorders>
                  <w:vAlign w:val="center"/>
                </w:tcPr>
                <w:p w14:paraId="1FBD1FF4">
                  <w:pPr>
                    <w:pStyle w:val="36"/>
                    <w:rPr>
                      <w:color w:val="auto"/>
                      <w:sz w:val="21"/>
                      <w:szCs w:val="21"/>
                    </w:rPr>
                  </w:pPr>
                  <w:r>
                    <w:rPr>
                      <w:color w:val="auto"/>
                      <w:sz w:val="21"/>
                      <w:szCs w:val="21"/>
                    </w:rPr>
                    <w:t>封闭输送廊道</w:t>
                  </w:r>
                </w:p>
              </w:tc>
              <w:tc>
                <w:tcPr>
                  <w:tcW w:w="1704" w:type="dxa"/>
                  <w:tcBorders>
                    <w:tl2br w:val="nil"/>
                    <w:tr2bl w:val="nil"/>
                  </w:tcBorders>
                  <w:vAlign w:val="center"/>
                </w:tcPr>
                <w:p w14:paraId="4C163E8D">
                  <w:pPr>
                    <w:pStyle w:val="36"/>
                    <w:rPr>
                      <w:color w:val="auto"/>
                      <w:sz w:val="21"/>
                      <w:szCs w:val="21"/>
                    </w:rPr>
                  </w:pPr>
                  <w:r>
                    <w:rPr>
                      <w:color w:val="auto"/>
                      <w:sz w:val="21"/>
                      <w:szCs w:val="21"/>
                    </w:rPr>
                    <w:t>/</w:t>
                  </w:r>
                </w:p>
              </w:tc>
              <w:tc>
                <w:tcPr>
                  <w:tcW w:w="856" w:type="dxa"/>
                  <w:tcBorders>
                    <w:tl2br w:val="nil"/>
                    <w:tr2bl w:val="nil"/>
                  </w:tcBorders>
                  <w:vAlign w:val="center"/>
                </w:tcPr>
                <w:p w14:paraId="7AACF852">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3E1C0D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2D155B52">
                  <w:pPr>
                    <w:pStyle w:val="36"/>
                    <w:rPr>
                      <w:color w:val="auto"/>
                      <w:sz w:val="21"/>
                      <w:szCs w:val="21"/>
                    </w:rPr>
                  </w:pPr>
                </w:p>
              </w:tc>
              <w:tc>
                <w:tcPr>
                  <w:tcW w:w="1347" w:type="dxa"/>
                  <w:tcBorders>
                    <w:tl2br w:val="nil"/>
                    <w:tr2bl w:val="nil"/>
                  </w:tcBorders>
                  <w:vAlign w:val="center"/>
                </w:tcPr>
                <w:p w14:paraId="1BB36625">
                  <w:pPr>
                    <w:pStyle w:val="8"/>
                    <w:spacing w:after="0"/>
                    <w:ind w:left="0" w:leftChars="0"/>
                    <w:jc w:val="center"/>
                    <w:rPr>
                      <w:color w:val="auto"/>
                      <w:sz w:val="21"/>
                      <w:szCs w:val="21"/>
                    </w:rPr>
                  </w:pPr>
                  <w:r>
                    <w:rPr>
                      <w:color w:val="auto"/>
                      <w:sz w:val="21"/>
                      <w:szCs w:val="21"/>
                    </w:rPr>
                    <w:t>运输</w:t>
                  </w:r>
                </w:p>
              </w:tc>
              <w:tc>
                <w:tcPr>
                  <w:tcW w:w="2704" w:type="dxa"/>
                  <w:tcBorders>
                    <w:tl2br w:val="nil"/>
                    <w:tr2bl w:val="nil"/>
                  </w:tcBorders>
                  <w:vAlign w:val="center"/>
                </w:tcPr>
                <w:p w14:paraId="63DA30E0">
                  <w:pPr>
                    <w:pStyle w:val="8"/>
                    <w:spacing w:after="0"/>
                    <w:ind w:left="0" w:leftChars="0"/>
                    <w:jc w:val="center"/>
                    <w:rPr>
                      <w:color w:val="auto"/>
                      <w:sz w:val="21"/>
                      <w:szCs w:val="21"/>
                    </w:rPr>
                  </w:pPr>
                  <w:r>
                    <w:rPr>
                      <w:color w:val="auto"/>
                      <w:sz w:val="21"/>
                      <w:szCs w:val="21"/>
                    </w:rPr>
                    <w:t>装载机2辆，混凝土罐车15台</w:t>
                  </w:r>
                </w:p>
              </w:tc>
              <w:tc>
                <w:tcPr>
                  <w:tcW w:w="1704" w:type="dxa"/>
                  <w:tcBorders>
                    <w:tl2br w:val="nil"/>
                    <w:tr2bl w:val="nil"/>
                  </w:tcBorders>
                  <w:vAlign w:val="center"/>
                </w:tcPr>
                <w:p w14:paraId="1EEF1EFB">
                  <w:pPr>
                    <w:pStyle w:val="8"/>
                    <w:spacing w:after="0"/>
                    <w:ind w:left="0" w:leftChars="0"/>
                    <w:jc w:val="center"/>
                    <w:rPr>
                      <w:color w:val="auto"/>
                      <w:sz w:val="21"/>
                      <w:szCs w:val="21"/>
                    </w:rPr>
                  </w:pPr>
                  <w:r>
                    <w:rPr>
                      <w:color w:val="auto"/>
                      <w:sz w:val="21"/>
                      <w:szCs w:val="21"/>
                    </w:rPr>
                    <w:t>/</w:t>
                  </w:r>
                </w:p>
              </w:tc>
              <w:tc>
                <w:tcPr>
                  <w:tcW w:w="856" w:type="dxa"/>
                  <w:tcBorders>
                    <w:tl2br w:val="nil"/>
                    <w:tr2bl w:val="nil"/>
                  </w:tcBorders>
                  <w:vAlign w:val="center"/>
                </w:tcPr>
                <w:p w14:paraId="7297AE08">
                  <w:pPr>
                    <w:pStyle w:val="8"/>
                    <w:spacing w:after="0"/>
                    <w:ind w:left="0" w:leftChars="0"/>
                    <w:jc w:val="center"/>
                    <w:rPr>
                      <w:color w:val="auto"/>
                      <w:sz w:val="21"/>
                      <w:szCs w:val="21"/>
                    </w:rPr>
                  </w:pPr>
                  <w:r>
                    <w:rPr>
                      <w:color w:val="auto"/>
                      <w:sz w:val="21"/>
                      <w:szCs w:val="21"/>
                    </w:rPr>
                    <w:t>运输</w:t>
                  </w:r>
                </w:p>
              </w:tc>
            </w:tr>
            <w:tr w14:paraId="29442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12D6B13C">
                  <w:pPr>
                    <w:pStyle w:val="36"/>
                    <w:rPr>
                      <w:color w:val="auto"/>
                      <w:sz w:val="21"/>
                      <w:szCs w:val="21"/>
                    </w:rPr>
                  </w:pPr>
                </w:p>
              </w:tc>
              <w:tc>
                <w:tcPr>
                  <w:tcW w:w="1347" w:type="dxa"/>
                  <w:tcBorders>
                    <w:tl2br w:val="nil"/>
                    <w:tr2bl w:val="nil"/>
                  </w:tcBorders>
                  <w:vAlign w:val="center"/>
                </w:tcPr>
                <w:p w14:paraId="6CD12796">
                  <w:pPr>
                    <w:pStyle w:val="8"/>
                    <w:spacing w:after="0"/>
                    <w:ind w:left="0" w:leftChars="0"/>
                    <w:jc w:val="center"/>
                    <w:rPr>
                      <w:rFonts w:hint="eastAsia" w:eastAsia="宋体"/>
                      <w:color w:val="auto"/>
                      <w:sz w:val="21"/>
                      <w:szCs w:val="21"/>
                      <w:lang w:val="en-US" w:eastAsia="zh-CN"/>
                    </w:rPr>
                  </w:pPr>
                  <w:r>
                    <w:rPr>
                      <w:rFonts w:hint="eastAsia"/>
                      <w:color w:val="auto"/>
                      <w:sz w:val="21"/>
                      <w:szCs w:val="21"/>
                      <w:lang w:val="en-US" w:eastAsia="zh-CN"/>
                    </w:rPr>
                    <w:t>储水罐</w:t>
                  </w:r>
                </w:p>
              </w:tc>
              <w:tc>
                <w:tcPr>
                  <w:tcW w:w="2704" w:type="dxa"/>
                  <w:tcBorders>
                    <w:tl2br w:val="nil"/>
                    <w:tr2bl w:val="nil"/>
                  </w:tcBorders>
                  <w:vAlign w:val="center"/>
                </w:tcPr>
                <w:p w14:paraId="3C3D7435">
                  <w:pPr>
                    <w:pStyle w:val="8"/>
                    <w:spacing w:after="0"/>
                    <w:ind w:left="0" w:leftChars="0"/>
                    <w:jc w:val="center"/>
                    <w:rPr>
                      <w:color w:val="auto"/>
                      <w:sz w:val="21"/>
                      <w:szCs w:val="21"/>
                    </w:rPr>
                  </w:pPr>
                  <w:r>
                    <w:rPr>
                      <w:rFonts w:hint="eastAsia"/>
                      <w:color w:val="auto"/>
                      <w:sz w:val="21"/>
                      <w:szCs w:val="21"/>
                      <w:lang w:val="en-US" w:eastAsia="zh-CN"/>
                    </w:rPr>
                    <w:t>储存项目用水</w:t>
                  </w:r>
                </w:p>
              </w:tc>
              <w:tc>
                <w:tcPr>
                  <w:tcW w:w="1704" w:type="dxa"/>
                  <w:tcBorders>
                    <w:tl2br w:val="nil"/>
                    <w:tr2bl w:val="nil"/>
                  </w:tcBorders>
                  <w:vAlign w:val="center"/>
                </w:tcPr>
                <w:p w14:paraId="714BA34F">
                  <w:pPr>
                    <w:pStyle w:val="8"/>
                    <w:spacing w:after="0"/>
                    <w:ind w:left="0" w:leftChars="0"/>
                    <w:jc w:val="center"/>
                    <w:rPr>
                      <w:color w:val="auto"/>
                      <w:sz w:val="21"/>
                      <w:szCs w:val="21"/>
                    </w:rPr>
                  </w:pPr>
                  <w:r>
                    <w:rPr>
                      <w:rFonts w:hint="eastAsia"/>
                      <w:color w:val="auto"/>
                      <w:sz w:val="21"/>
                      <w:szCs w:val="21"/>
                      <w:lang w:val="en-US" w:eastAsia="zh-CN"/>
                    </w:rPr>
                    <w:t>/</w:t>
                  </w:r>
                </w:p>
              </w:tc>
              <w:tc>
                <w:tcPr>
                  <w:tcW w:w="856" w:type="dxa"/>
                  <w:tcBorders>
                    <w:tl2br w:val="nil"/>
                    <w:tr2bl w:val="nil"/>
                  </w:tcBorders>
                  <w:vAlign w:val="center"/>
                </w:tcPr>
                <w:p w14:paraId="18719EE3">
                  <w:pPr>
                    <w:pStyle w:val="8"/>
                    <w:spacing w:after="0"/>
                    <w:ind w:left="0" w:leftChars="0"/>
                    <w:jc w:val="center"/>
                    <w:rPr>
                      <w:color w:val="auto"/>
                      <w:sz w:val="21"/>
                      <w:szCs w:val="21"/>
                    </w:rPr>
                  </w:pPr>
                  <w:r>
                    <w:rPr>
                      <w:rFonts w:hint="eastAsia"/>
                      <w:color w:val="auto"/>
                      <w:sz w:val="21"/>
                      <w:szCs w:val="21"/>
                      <w:lang w:val="en-US" w:eastAsia="zh-CN"/>
                    </w:rPr>
                    <w:t>新建</w:t>
                  </w:r>
                </w:p>
              </w:tc>
            </w:tr>
            <w:tr w14:paraId="6A7650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restart"/>
                  <w:tcBorders>
                    <w:tl2br w:val="nil"/>
                    <w:tr2bl w:val="nil"/>
                  </w:tcBorders>
                  <w:vAlign w:val="center"/>
                </w:tcPr>
                <w:p w14:paraId="0FAB9EAB">
                  <w:pPr>
                    <w:pStyle w:val="36"/>
                    <w:rPr>
                      <w:color w:val="auto"/>
                      <w:sz w:val="21"/>
                      <w:szCs w:val="21"/>
                    </w:rPr>
                  </w:pPr>
                  <w:r>
                    <w:rPr>
                      <w:color w:val="auto"/>
                      <w:sz w:val="21"/>
                      <w:szCs w:val="21"/>
                    </w:rPr>
                    <w:t>辅助工程</w:t>
                  </w:r>
                </w:p>
              </w:tc>
              <w:tc>
                <w:tcPr>
                  <w:tcW w:w="1347" w:type="dxa"/>
                  <w:tcBorders>
                    <w:tl2br w:val="nil"/>
                    <w:tr2bl w:val="nil"/>
                  </w:tcBorders>
                  <w:vAlign w:val="center"/>
                </w:tcPr>
                <w:p w14:paraId="61F5553C">
                  <w:pPr>
                    <w:pStyle w:val="36"/>
                    <w:rPr>
                      <w:color w:val="auto"/>
                      <w:sz w:val="21"/>
                      <w:szCs w:val="21"/>
                    </w:rPr>
                  </w:pPr>
                  <w:r>
                    <w:rPr>
                      <w:rFonts w:hint="eastAsia"/>
                      <w:color w:val="auto"/>
                      <w:sz w:val="21"/>
                      <w:szCs w:val="21"/>
                      <w:lang w:val="en-US" w:eastAsia="zh-CN"/>
                    </w:rPr>
                    <w:t>质量检测</w:t>
                  </w:r>
                  <w:r>
                    <w:rPr>
                      <w:color w:val="auto"/>
                      <w:sz w:val="21"/>
                      <w:szCs w:val="21"/>
                    </w:rPr>
                    <w:t>实验室</w:t>
                  </w:r>
                </w:p>
              </w:tc>
              <w:tc>
                <w:tcPr>
                  <w:tcW w:w="2704" w:type="dxa"/>
                  <w:tcBorders>
                    <w:tl2br w:val="nil"/>
                    <w:tr2bl w:val="nil"/>
                  </w:tcBorders>
                  <w:vAlign w:val="center"/>
                </w:tcPr>
                <w:p w14:paraId="3D285032">
                  <w:pPr>
                    <w:pStyle w:val="36"/>
                    <w:rPr>
                      <w:color w:val="auto"/>
                      <w:sz w:val="21"/>
                      <w:szCs w:val="21"/>
                    </w:rPr>
                  </w:pPr>
                  <w:r>
                    <w:rPr>
                      <w:color w:val="auto"/>
                      <w:sz w:val="21"/>
                      <w:szCs w:val="21"/>
                    </w:rPr>
                    <w:t>1间，彩钢房</w:t>
                  </w:r>
                </w:p>
              </w:tc>
              <w:tc>
                <w:tcPr>
                  <w:tcW w:w="1704" w:type="dxa"/>
                  <w:tcBorders>
                    <w:tl2br w:val="nil"/>
                    <w:tr2bl w:val="nil"/>
                  </w:tcBorders>
                  <w:vAlign w:val="center"/>
                </w:tcPr>
                <w:p w14:paraId="3A708084">
                  <w:pPr>
                    <w:pStyle w:val="36"/>
                    <w:rPr>
                      <w:color w:val="auto"/>
                      <w:sz w:val="21"/>
                      <w:szCs w:val="21"/>
                    </w:rPr>
                  </w:pPr>
                  <w:r>
                    <w:rPr>
                      <w:rFonts w:hint="eastAsia"/>
                      <w:color w:val="auto"/>
                      <w:sz w:val="21"/>
                      <w:szCs w:val="21"/>
                      <w:lang w:val="en-US" w:eastAsia="zh-CN"/>
                    </w:rPr>
                    <w:t>200</w:t>
                  </w:r>
                  <w:r>
                    <w:rPr>
                      <w:color w:val="auto"/>
                      <w:sz w:val="21"/>
                      <w:szCs w:val="21"/>
                      <w:lang w:val="zh-CN"/>
                    </w:rPr>
                    <w:t>m</w:t>
                  </w:r>
                  <w:r>
                    <w:rPr>
                      <w:color w:val="auto"/>
                      <w:sz w:val="21"/>
                      <w:szCs w:val="21"/>
                      <w:vertAlign w:val="superscript"/>
                      <w:lang w:val="zh-CN"/>
                    </w:rPr>
                    <w:t>2</w:t>
                  </w:r>
                </w:p>
              </w:tc>
              <w:tc>
                <w:tcPr>
                  <w:tcW w:w="856" w:type="dxa"/>
                  <w:tcBorders>
                    <w:tl2br w:val="nil"/>
                    <w:tr2bl w:val="nil"/>
                  </w:tcBorders>
                  <w:vAlign w:val="center"/>
                </w:tcPr>
                <w:p w14:paraId="13CE2372">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6A7948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0F1828AF">
                  <w:pPr>
                    <w:pStyle w:val="36"/>
                    <w:rPr>
                      <w:color w:val="auto"/>
                      <w:sz w:val="21"/>
                      <w:szCs w:val="21"/>
                    </w:rPr>
                  </w:pPr>
                </w:p>
              </w:tc>
              <w:tc>
                <w:tcPr>
                  <w:tcW w:w="1347" w:type="dxa"/>
                  <w:tcBorders>
                    <w:tl2br w:val="nil"/>
                    <w:tr2bl w:val="nil"/>
                  </w:tcBorders>
                  <w:vAlign w:val="center"/>
                </w:tcPr>
                <w:p w14:paraId="39053DD9">
                  <w:pPr>
                    <w:pStyle w:val="36"/>
                    <w:rPr>
                      <w:color w:val="auto"/>
                      <w:sz w:val="21"/>
                      <w:szCs w:val="21"/>
                    </w:rPr>
                  </w:pPr>
                  <w:r>
                    <w:rPr>
                      <w:color w:val="auto"/>
                      <w:sz w:val="21"/>
                      <w:szCs w:val="21"/>
                    </w:rPr>
                    <w:t>磅房</w:t>
                  </w:r>
                </w:p>
              </w:tc>
              <w:tc>
                <w:tcPr>
                  <w:tcW w:w="2704" w:type="dxa"/>
                  <w:tcBorders>
                    <w:tl2br w:val="nil"/>
                    <w:tr2bl w:val="nil"/>
                  </w:tcBorders>
                  <w:vAlign w:val="center"/>
                </w:tcPr>
                <w:p w14:paraId="0F27ECFF">
                  <w:pPr>
                    <w:pStyle w:val="36"/>
                    <w:rPr>
                      <w:color w:val="auto"/>
                      <w:sz w:val="21"/>
                      <w:szCs w:val="21"/>
                    </w:rPr>
                  </w:pPr>
                  <w:r>
                    <w:rPr>
                      <w:color w:val="auto"/>
                      <w:sz w:val="21"/>
                      <w:szCs w:val="21"/>
                    </w:rPr>
                    <w:t>1层，彩钢房</w:t>
                  </w:r>
                </w:p>
              </w:tc>
              <w:tc>
                <w:tcPr>
                  <w:tcW w:w="1704" w:type="dxa"/>
                  <w:tcBorders>
                    <w:tl2br w:val="nil"/>
                    <w:tr2bl w:val="nil"/>
                  </w:tcBorders>
                  <w:vAlign w:val="center"/>
                </w:tcPr>
                <w:p w14:paraId="28DFC3EA">
                  <w:pPr>
                    <w:pStyle w:val="36"/>
                    <w:rPr>
                      <w:color w:val="auto"/>
                      <w:sz w:val="21"/>
                      <w:szCs w:val="21"/>
                    </w:rPr>
                  </w:pPr>
                  <w:r>
                    <w:rPr>
                      <w:rFonts w:hint="eastAsia"/>
                      <w:color w:val="auto"/>
                      <w:sz w:val="21"/>
                      <w:szCs w:val="21"/>
                      <w:lang w:val="en-US" w:eastAsia="zh-CN"/>
                    </w:rPr>
                    <w:t>100</w:t>
                  </w:r>
                  <w:r>
                    <w:rPr>
                      <w:color w:val="auto"/>
                      <w:sz w:val="21"/>
                      <w:szCs w:val="21"/>
                      <w:lang w:val="zh-CN"/>
                    </w:rPr>
                    <w:t>m</w:t>
                  </w:r>
                  <w:r>
                    <w:rPr>
                      <w:color w:val="auto"/>
                      <w:sz w:val="21"/>
                      <w:szCs w:val="21"/>
                      <w:vertAlign w:val="superscript"/>
                      <w:lang w:val="zh-CN"/>
                    </w:rPr>
                    <w:t>2</w:t>
                  </w:r>
                </w:p>
              </w:tc>
              <w:tc>
                <w:tcPr>
                  <w:tcW w:w="856" w:type="dxa"/>
                  <w:tcBorders>
                    <w:tl2br w:val="nil"/>
                    <w:tr2bl w:val="nil"/>
                  </w:tcBorders>
                  <w:vAlign w:val="center"/>
                </w:tcPr>
                <w:p w14:paraId="16549560">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7366BC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26" w:type="dxa"/>
                  <w:vMerge w:val="continue"/>
                  <w:tcBorders>
                    <w:tl2br w:val="nil"/>
                    <w:tr2bl w:val="nil"/>
                  </w:tcBorders>
                  <w:vAlign w:val="center"/>
                </w:tcPr>
                <w:p w14:paraId="1F639D30">
                  <w:pPr>
                    <w:pStyle w:val="36"/>
                    <w:rPr>
                      <w:color w:val="auto"/>
                      <w:sz w:val="21"/>
                      <w:szCs w:val="21"/>
                    </w:rPr>
                  </w:pPr>
                </w:p>
              </w:tc>
              <w:tc>
                <w:tcPr>
                  <w:tcW w:w="1347" w:type="dxa"/>
                  <w:tcBorders>
                    <w:tl2br w:val="nil"/>
                    <w:tr2bl w:val="nil"/>
                  </w:tcBorders>
                  <w:vAlign w:val="center"/>
                </w:tcPr>
                <w:p w14:paraId="083C43D4">
                  <w:pPr>
                    <w:pStyle w:val="36"/>
                    <w:rPr>
                      <w:color w:val="auto"/>
                      <w:sz w:val="21"/>
                      <w:szCs w:val="21"/>
                    </w:rPr>
                  </w:pPr>
                  <w:r>
                    <w:rPr>
                      <w:color w:val="auto"/>
                      <w:sz w:val="21"/>
                      <w:szCs w:val="21"/>
                    </w:rPr>
                    <w:t>办公室</w:t>
                  </w:r>
                </w:p>
              </w:tc>
              <w:tc>
                <w:tcPr>
                  <w:tcW w:w="2704" w:type="dxa"/>
                  <w:tcBorders>
                    <w:tl2br w:val="nil"/>
                    <w:tr2bl w:val="nil"/>
                  </w:tcBorders>
                  <w:vAlign w:val="center"/>
                </w:tcPr>
                <w:p w14:paraId="62657021">
                  <w:pPr>
                    <w:pStyle w:val="36"/>
                    <w:rPr>
                      <w:color w:val="auto"/>
                      <w:sz w:val="21"/>
                      <w:szCs w:val="21"/>
                    </w:rPr>
                  </w:pPr>
                  <w:r>
                    <w:rPr>
                      <w:color w:val="auto"/>
                      <w:sz w:val="21"/>
                      <w:szCs w:val="21"/>
                    </w:rPr>
                    <w:t>1层，彩钢房</w:t>
                  </w:r>
                </w:p>
              </w:tc>
              <w:tc>
                <w:tcPr>
                  <w:tcW w:w="1704" w:type="dxa"/>
                  <w:tcBorders>
                    <w:tl2br w:val="nil"/>
                    <w:tr2bl w:val="nil"/>
                  </w:tcBorders>
                  <w:vAlign w:val="center"/>
                </w:tcPr>
                <w:p w14:paraId="38CD383C">
                  <w:pPr>
                    <w:pStyle w:val="36"/>
                    <w:rPr>
                      <w:color w:val="auto"/>
                      <w:sz w:val="21"/>
                      <w:szCs w:val="21"/>
                    </w:rPr>
                  </w:pPr>
                  <w:r>
                    <w:rPr>
                      <w:rFonts w:hint="eastAsia"/>
                      <w:color w:val="auto"/>
                      <w:sz w:val="21"/>
                      <w:szCs w:val="21"/>
                      <w:lang w:val="en-US" w:eastAsia="zh-CN"/>
                    </w:rPr>
                    <w:t>2</w:t>
                  </w:r>
                  <w:r>
                    <w:rPr>
                      <w:color w:val="auto"/>
                      <w:sz w:val="21"/>
                      <w:szCs w:val="21"/>
                    </w:rPr>
                    <w:t>00</w:t>
                  </w:r>
                  <w:r>
                    <w:rPr>
                      <w:color w:val="auto"/>
                      <w:sz w:val="21"/>
                      <w:szCs w:val="21"/>
                      <w:lang w:val="zh-CN"/>
                    </w:rPr>
                    <w:t>m</w:t>
                  </w:r>
                  <w:r>
                    <w:rPr>
                      <w:color w:val="auto"/>
                      <w:sz w:val="21"/>
                      <w:szCs w:val="21"/>
                      <w:vertAlign w:val="superscript"/>
                      <w:lang w:val="zh-CN"/>
                    </w:rPr>
                    <w:t>2</w:t>
                  </w:r>
                </w:p>
              </w:tc>
              <w:tc>
                <w:tcPr>
                  <w:tcW w:w="856" w:type="dxa"/>
                  <w:tcBorders>
                    <w:tl2br w:val="nil"/>
                    <w:tr2bl w:val="nil"/>
                  </w:tcBorders>
                  <w:vAlign w:val="center"/>
                </w:tcPr>
                <w:p w14:paraId="3EDE3E49">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0CEA29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continue"/>
                  <w:tcBorders>
                    <w:tl2br w:val="nil"/>
                    <w:tr2bl w:val="nil"/>
                  </w:tcBorders>
                  <w:vAlign w:val="center"/>
                </w:tcPr>
                <w:p w14:paraId="6B6740E9">
                  <w:pPr>
                    <w:pStyle w:val="36"/>
                    <w:rPr>
                      <w:color w:val="auto"/>
                      <w:sz w:val="21"/>
                      <w:szCs w:val="21"/>
                    </w:rPr>
                  </w:pPr>
                </w:p>
              </w:tc>
              <w:tc>
                <w:tcPr>
                  <w:tcW w:w="1347" w:type="dxa"/>
                  <w:tcBorders>
                    <w:tl2br w:val="nil"/>
                    <w:tr2bl w:val="nil"/>
                  </w:tcBorders>
                  <w:vAlign w:val="center"/>
                </w:tcPr>
                <w:p w14:paraId="525F6044">
                  <w:pPr>
                    <w:pStyle w:val="36"/>
                    <w:rPr>
                      <w:color w:val="auto"/>
                      <w:sz w:val="21"/>
                      <w:szCs w:val="21"/>
                    </w:rPr>
                  </w:pPr>
                  <w:r>
                    <w:rPr>
                      <w:rFonts w:hint="eastAsia"/>
                      <w:color w:val="auto"/>
                      <w:sz w:val="21"/>
                      <w:szCs w:val="21"/>
                      <w:lang w:val="en-US" w:eastAsia="zh-CN"/>
                    </w:rPr>
                    <w:t>地磅</w:t>
                  </w:r>
                </w:p>
              </w:tc>
              <w:tc>
                <w:tcPr>
                  <w:tcW w:w="2704" w:type="dxa"/>
                  <w:tcBorders>
                    <w:tl2br w:val="nil"/>
                    <w:tr2bl w:val="nil"/>
                  </w:tcBorders>
                  <w:vAlign w:val="center"/>
                </w:tcPr>
                <w:p w14:paraId="3CBC3351">
                  <w:pPr>
                    <w:pStyle w:val="36"/>
                    <w:rPr>
                      <w:color w:val="auto"/>
                      <w:sz w:val="21"/>
                      <w:szCs w:val="21"/>
                    </w:rPr>
                  </w:pPr>
                  <w:r>
                    <w:rPr>
                      <w:color w:val="auto"/>
                      <w:sz w:val="21"/>
                      <w:szCs w:val="21"/>
                    </w:rPr>
                    <w:t>1间，彩钢房</w:t>
                  </w:r>
                </w:p>
              </w:tc>
              <w:tc>
                <w:tcPr>
                  <w:tcW w:w="1704" w:type="dxa"/>
                  <w:tcBorders>
                    <w:tl2br w:val="nil"/>
                    <w:tr2bl w:val="nil"/>
                  </w:tcBorders>
                  <w:vAlign w:val="center"/>
                </w:tcPr>
                <w:p w14:paraId="4F676ABC">
                  <w:pPr>
                    <w:pStyle w:val="36"/>
                    <w:rPr>
                      <w:color w:val="auto"/>
                      <w:sz w:val="21"/>
                      <w:szCs w:val="21"/>
                    </w:rPr>
                  </w:pPr>
                  <w:r>
                    <w:rPr>
                      <w:rFonts w:hint="eastAsia"/>
                      <w:color w:val="auto"/>
                      <w:sz w:val="21"/>
                      <w:szCs w:val="21"/>
                      <w:lang w:val="en-US" w:eastAsia="zh-CN"/>
                    </w:rPr>
                    <w:t>100</w:t>
                  </w:r>
                  <w:r>
                    <w:rPr>
                      <w:color w:val="auto"/>
                      <w:sz w:val="21"/>
                      <w:szCs w:val="21"/>
                      <w:lang w:val="zh-CN"/>
                    </w:rPr>
                    <w:t>m</w:t>
                  </w:r>
                  <w:r>
                    <w:rPr>
                      <w:color w:val="auto"/>
                      <w:sz w:val="21"/>
                      <w:szCs w:val="21"/>
                      <w:vertAlign w:val="superscript"/>
                      <w:lang w:val="zh-CN"/>
                    </w:rPr>
                    <w:t>2</w:t>
                  </w:r>
                </w:p>
              </w:tc>
              <w:tc>
                <w:tcPr>
                  <w:tcW w:w="856" w:type="dxa"/>
                  <w:tcBorders>
                    <w:tl2br w:val="nil"/>
                    <w:tr2bl w:val="nil"/>
                  </w:tcBorders>
                  <w:vAlign w:val="center"/>
                </w:tcPr>
                <w:p w14:paraId="3763992F">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770597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4DE52071">
                  <w:pPr>
                    <w:pStyle w:val="36"/>
                    <w:rPr>
                      <w:color w:val="auto"/>
                      <w:sz w:val="21"/>
                      <w:szCs w:val="21"/>
                    </w:rPr>
                  </w:pPr>
                </w:p>
              </w:tc>
              <w:tc>
                <w:tcPr>
                  <w:tcW w:w="1347" w:type="dxa"/>
                  <w:tcBorders>
                    <w:tl2br w:val="nil"/>
                    <w:tr2bl w:val="nil"/>
                  </w:tcBorders>
                  <w:vAlign w:val="center"/>
                </w:tcPr>
                <w:p w14:paraId="34A82B33">
                  <w:pPr>
                    <w:pStyle w:val="36"/>
                    <w:rPr>
                      <w:color w:val="auto"/>
                      <w:sz w:val="21"/>
                      <w:szCs w:val="21"/>
                    </w:rPr>
                  </w:pPr>
                  <w:r>
                    <w:rPr>
                      <w:color w:val="auto"/>
                      <w:sz w:val="21"/>
                      <w:szCs w:val="21"/>
                    </w:rPr>
                    <w:t>食堂</w:t>
                  </w:r>
                </w:p>
              </w:tc>
              <w:tc>
                <w:tcPr>
                  <w:tcW w:w="2704" w:type="dxa"/>
                  <w:tcBorders>
                    <w:tl2br w:val="nil"/>
                    <w:tr2bl w:val="nil"/>
                  </w:tcBorders>
                  <w:vAlign w:val="center"/>
                </w:tcPr>
                <w:p w14:paraId="2169F4D7">
                  <w:pPr>
                    <w:pStyle w:val="36"/>
                    <w:rPr>
                      <w:rFonts w:hint="default" w:eastAsia="宋体"/>
                      <w:color w:val="auto"/>
                      <w:sz w:val="21"/>
                      <w:szCs w:val="21"/>
                      <w:lang w:val="en-US" w:eastAsia="zh-CN"/>
                    </w:rPr>
                  </w:pPr>
                  <w:r>
                    <w:rPr>
                      <w:rFonts w:hint="eastAsia"/>
                      <w:color w:val="auto"/>
                      <w:sz w:val="21"/>
                      <w:szCs w:val="21"/>
                      <w:lang w:val="en-US" w:eastAsia="zh-CN"/>
                    </w:rPr>
                    <w:t>1间，彩钢房</w:t>
                  </w:r>
                </w:p>
              </w:tc>
              <w:tc>
                <w:tcPr>
                  <w:tcW w:w="1704" w:type="dxa"/>
                  <w:tcBorders>
                    <w:tl2br w:val="nil"/>
                    <w:tr2bl w:val="nil"/>
                  </w:tcBorders>
                  <w:vAlign w:val="center"/>
                </w:tcPr>
                <w:p w14:paraId="55BB0B47">
                  <w:pPr>
                    <w:pStyle w:val="36"/>
                    <w:rPr>
                      <w:rFonts w:hint="default" w:eastAsia="宋体"/>
                      <w:color w:val="auto"/>
                      <w:sz w:val="21"/>
                      <w:szCs w:val="21"/>
                      <w:vertAlign w:val="superscript"/>
                      <w:lang w:val="en-US" w:eastAsia="zh-CN"/>
                    </w:rPr>
                  </w:pPr>
                  <w:r>
                    <w:rPr>
                      <w:rFonts w:hint="eastAsia"/>
                      <w:color w:val="auto"/>
                      <w:sz w:val="21"/>
                      <w:szCs w:val="21"/>
                      <w:lang w:val="en-US" w:eastAsia="zh-CN"/>
                    </w:rPr>
                    <w:t>100m</w:t>
                  </w:r>
                  <w:r>
                    <w:rPr>
                      <w:rFonts w:hint="eastAsia"/>
                      <w:color w:val="auto"/>
                      <w:sz w:val="21"/>
                      <w:szCs w:val="21"/>
                      <w:vertAlign w:val="superscript"/>
                      <w:lang w:val="en-US" w:eastAsia="zh-CN"/>
                    </w:rPr>
                    <w:t>2</w:t>
                  </w:r>
                </w:p>
              </w:tc>
              <w:tc>
                <w:tcPr>
                  <w:tcW w:w="856" w:type="dxa"/>
                  <w:tcBorders>
                    <w:tl2br w:val="nil"/>
                    <w:tr2bl w:val="nil"/>
                  </w:tcBorders>
                  <w:vAlign w:val="center"/>
                </w:tcPr>
                <w:p w14:paraId="55C83EA8">
                  <w:pPr>
                    <w:pStyle w:val="36"/>
                    <w:rPr>
                      <w:rFonts w:hint="default" w:eastAsia="宋体"/>
                      <w:color w:val="auto"/>
                      <w:sz w:val="21"/>
                      <w:szCs w:val="21"/>
                      <w:lang w:val="en-US" w:eastAsia="zh-CN"/>
                    </w:rPr>
                  </w:pPr>
                  <w:r>
                    <w:rPr>
                      <w:rFonts w:hint="eastAsia"/>
                      <w:color w:val="auto"/>
                      <w:sz w:val="21"/>
                      <w:szCs w:val="21"/>
                      <w:lang w:val="en-US" w:eastAsia="zh-CN"/>
                    </w:rPr>
                    <w:t>新建</w:t>
                  </w:r>
                </w:p>
              </w:tc>
            </w:tr>
            <w:tr w14:paraId="764785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14B481F8">
                  <w:pPr>
                    <w:pStyle w:val="36"/>
                    <w:rPr>
                      <w:color w:val="auto"/>
                      <w:sz w:val="21"/>
                      <w:szCs w:val="21"/>
                    </w:rPr>
                  </w:pPr>
                </w:p>
              </w:tc>
              <w:tc>
                <w:tcPr>
                  <w:tcW w:w="1347" w:type="dxa"/>
                  <w:tcBorders>
                    <w:tl2br w:val="nil"/>
                    <w:tr2bl w:val="nil"/>
                  </w:tcBorders>
                  <w:vAlign w:val="center"/>
                </w:tcPr>
                <w:p w14:paraId="3A5F30A5">
                  <w:pPr>
                    <w:pStyle w:val="36"/>
                    <w:rPr>
                      <w:color w:val="auto"/>
                      <w:sz w:val="21"/>
                      <w:szCs w:val="21"/>
                    </w:rPr>
                  </w:pPr>
                  <w:r>
                    <w:rPr>
                      <w:color w:val="auto"/>
                      <w:sz w:val="21"/>
                      <w:szCs w:val="21"/>
                    </w:rPr>
                    <w:t>员工宿舍</w:t>
                  </w:r>
                </w:p>
              </w:tc>
              <w:tc>
                <w:tcPr>
                  <w:tcW w:w="2704" w:type="dxa"/>
                  <w:tcBorders>
                    <w:tl2br w:val="nil"/>
                    <w:tr2bl w:val="nil"/>
                  </w:tcBorders>
                  <w:vAlign w:val="center"/>
                </w:tcPr>
                <w:p w14:paraId="31F002F5">
                  <w:pPr>
                    <w:pStyle w:val="36"/>
                    <w:rPr>
                      <w:color w:val="auto"/>
                      <w:sz w:val="21"/>
                      <w:szCs w:val="21"/>
                    </w:rPr>
                  </w:pPr>
                  <w:r>
                    <w:rPr>
                      <w:color w:val="auto"/>
                      <w:sz w:val="21"/>
                      <w:szCs w:val="21"/>
                    </w:rPr>
                    <w:t>彩钢房</w:t>
                  </w:r>
                </w:p>
              </w:tc>
              <w:tc>
                <w:tcPr>
                  <w:tcW w:w="1704" w:type="dxa"/>
                  <w:tcBorders>
                    <w:tl2br w:val="nil"/>
                    <w:tr2bl w:val="nil"/>
                  </w:tcBorders>
                  <w:vAlign w:val="center"/>
                </w:tcPr>
                <w:p w14:paraId="71C0667C">
                  <w:pPr>
                    <w:pStyle w:val="36"/>
                    <w:rPr>
                      <w:color w:val="auto"/>
                      <w:sz w:val="21"/>
                      <w:szCs w:val="21"/>
                    </w:rPr>
                  </w:pPr>
                  <w:r>
                    <w:rPr>
                      <w:rFonts w:hint="eastAsia"/>
                      <w:color w:val="auto"/>
                      <w:sz w:val="21"/>
                      <w:szCs w:val="21"/>
                      <w:lang w:val="en-US" w:eastAsia="zh-CN"/>
                    </w:rPr>
                    <w:t>1</w:t>
                  </w:r>
                  <w:r>
                    <w:rPr>
                      <w:color w:val="auto"/>
                      <w:sz w:val="21"/>
                      <w:szCs w:val="21"/>
                    </w:rPr>
                    <w:t>00</w:t>
                  </w:r>
                  <w:r>
                    <w:rPr>
                      <w:color w:val="auto"/>
                      <w:sz w:val="21"/>
                      <w:szCs w:val="21"/>
                      <w:lang w:val="zh-CN"/>
                    </w:rPr>
                    <w:t>m</w:t>
                  </w:r>
                  <w:r>
                    <w:rPr>
                      <w:color w:val="auto"/>
                      <w:sz w:val="21"/>
                      <w:szCs w:val="21"/>
                      <w:vertAlign w:val="superscript"/>
                      <w:lang w:val="zh-CN"/>
                    </w:rPr>
                    <w:t>2</w:t>
                  </w:r>
                </w:p>
              </w:tc>
              <w:tc>
                <w:tcPr>
                  <w:tcW w:w="856" w:type="dxa"/>
                  <w:tcBorders>
                    <w:tl2br w:val="nil"/>
                    <w:tr2bl w:val="nil"/>
                  </w:tcBorders>
                  <w:vAlign w:val="center"/>
                </w:tcPr>
                <w:p w14:paraId="6E96E73F">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790294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26" w:type="dxa"/>
                  <w:vMerge w:val="restart"/>
                  <w:tcBorders>
                    <w:tl2br w:val="nil"/>
                    <w:tr2bl w:val="nil"/>
                  </w:tcBorders>
                  <w:vAlign w:val="center"/>
                </w:tcPr>
                <w:p w14:paraId="1B230F27">
                  <w:pPr>
                    <w:pStyle w:val="36"/>
                    <w:rPr>
                      <w:color w:val="auto"/>
                      <w:sz w:val="21"/>
                      <w:szCs w:val="21"/>
                    </w:rPr>
                  </w:pPr>
                  <w:r>
                    <w:rPr>
                      <w:color w:val="auto"/>
                      <w:sz w:val="21"/>
                      <w:szCs w:val="21"/>
                    </w:rPr>
                    <w:t>公用工程</w:t>
                  </w:r>
                </w:p>
              </w:tc>
              <w:tc>
                <w:tcPr>
                  <w:tcW w:w="1347" w:type="dxa"/>
                  <w:tcBorders>
                    <w:tl2br w:val="nil"/>
                    <w:tr2bl w:val="nil"/>
                  </w:tcBorders>
                  <w:vAlign w:val="center"/>
                </w:tcPr>
                <w:p w14:paraId="06F6E119">
                  <w:pPr>
                    <w:pStyle w:val="36"/>
                    <w:rPr>
                      <w:color w:val="auto"/>
                      <w:sz w:val="21"/>
                      <w:szCs w:val="21"/>
                    </w:rPr>
                  </w:pPr>
                  <w:r>
                    <w:rPr>
                      <w:color w:val="auto"/>
                      <w:sz w:val="21"/>
                      <w:szCs w:val="21"/>
                    </w:rPr>
                    <w:t>供水工程</w:t>
                  </w:r>
                </w:p>
              </w:tc>
              <w:tc>
                <w:tcPr>
                  <w:tcW w:w="4408" w:type="dxa"/>
                  <w:gridSpan w:val="2"/>
                  <w:tcBorders>
                    <w:tl2br w:val="nil"/>
                    <w:tr2bl w:val="nil"/>
                  </w:tcBorders>
                  <w:vAlign w:val="center"/>
                </w:tcPr>
                <w:p w14:paraId="196FF027">
                  <w:pPr>
                    <w:pStyle w:val="36"/>
                    <w:rPr>
                      <w:rFonts w:hint="default" w:eastAsia="宋体"/>
                      <w:color w:val="auto"/>
                      <w:sz w:val="21"/>
                      <w:szCs w:val="21"/>
                      <w:lang w:val="en-US" w:eastAsia="zh-CN"/>
                    </w:rPr>
                  </w:pPr>
                  <w:r>
                    <w:rPr>
                      <w:rFonts w:hint="eastAsia"/>
                      <w:color w:val="auto"/>
                      <w:sz w:val="21"/>
                      <w:szCs w:val="21"/>
                      <w:lang w:val="en-US" w:eastAsia="zh-CN"/>
                    </w:rPr>
                    <w:t>从距施工场地10km左右的村庄拉运</w:t>
                  </w:r>
                </w:p>
              </w:tc>
              <w:tc>
                <w:tcPr>
                  <w:tcW w:w="856" w:type="dxa"/>
                  <w:tcBorders>
                    <w:tl2br w:val="nil"/>
                    <w:tr2bl w:val="nil"/>
                  </w:tcBorders>
                  <w:vAlign w:val="center"/>
                </w:tcPr>
                <w:p w14:paraId="348BDAFA">
                  <w:pPr>
                    <w:pStyle w:val="36"/>
                    <w:rPr>
                      <w:rFonts w:hint="default" w:eastAsia="宋体"/>
                      <w:color w:val="auto"/>
                      <w:sz w:val="21"/>
                      <w:szCs w:val="21"/>
                      <w:lang w:val="en-US" w:eastAsia="zh-CN"/>
                    </w:rPr>
                  </w:pPr>
                  <w:r>
                    <w:rPr>
                      <w:rFonts w:hint="eastAsia"/>
                      <w:color w:val="auto"/>
                      <w:sz w:val="21"/>
                      <w:szCs w:val="21"/>
                      <w:lang w:val="en-US" w:eastAsia="zh-CN"/>
                    </w:rPr>
                    <w:t>/</w:t>
                  </w:r>
                </w:p>
              </w:tc>
            </w:tr>
            <w:tr w14:paraId="14936D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center"/>
                </w:tcPr>
                <w:p w14:paraId="53B6E251">
                  <w:pPr>
                    <w:pStyle w:val="36"/>
                    <w:rPr>
                      <w:color w:val="auto"/>
                      <w:sz w:val="21"/>
                      <w:szCs w:val="21"/>
                    </w:rPr>
                  </w:pPr>
                </w:p>
              </w:tc>
              <w:tc>
                <w:tcPr>
                  <w:tcW w:w="1347" w:type="dxa"/>
                  <w:tcBorders>
                    <w:tl2br w:val="nil"/>
                    <w:tr2bl w:val="nil"/>
                  </w:tcBorders>
                  <w:vAlign w:val="center"/>
                </w:tcPr>
                <w:p w14:paraId="76DA51EB">
                  <w:pPr>
                    <w:pStyle w:val="36"/>
                    <w:rPr>
                      <w:color w:val="auto"/>
                      <w:sz w:val="21"/>
                      <w:szCs w:val="21"/>
                    </w:rPr>
                  </w:pPr>
                  <w:r>
                    <w:rPr>
                      <w:color w:val="auto"/>
                      <w:sz w:val="21"/>
                      <w:szCs w:val="21"/>
                    </w:rPr>
                    <w:t>供电工程</w:t>
                  </w:r>
                </w:p>
              </w:tc>
              <w:tc>
                <w:tcPr>
                  <w:tcW w:w="4408" w:type="dxa"/>
                  <w:gridSpan w:val="2"/>
                  <w:tcBorders>
                    <w:tl2br w:val="nil"/>
                    <w:tr2bl w:val="nil"/>
                  </w:tcBorders>
                  <w:vAlign w:val="center"/>
                </w:tcPr>
                <w:p w14:paraId="62A61DEB">
                  <w:pPr>
                    <w:pStyle w:val="36"/>
                    <w:rPr>
                      <w:color w:val="auto"/>
                      <w:sz w:val="21"/>
                      <w:szCs w:val="21"/>
                    </w:rPr>
                  </w:pPr>
                  <w:r>
                    <w:rPr>
                      <w:rFonts w:hint="eastAsia"/>
                      <w:color w:val="auto"/>
                      <w:sz w:val="21"/>
                      <w:szCs w:val="21"/>
                    </w:rPr>
                    <w:t>由电网直接接入</w:t>
                  </w:r>
                </w:p>
              </w:tc>
              <w:tc>
                <w:tcPr>
                  <w:tcW w:w="856" w:type="dxa"/>
                  <w:tcBorders>
                    <w:tl2br w:val="nil"/>
                    <w:tr2bl w:val="nil"/>
                  </w:tcBorders>
                  <w:vAlign w:val="center"/>
                </w:tcPr>
                <w:p w14:paraId="3BBC1306">
                  <w:pPr>
                    <w:pStyle w:val="36"/>
                    <w:rPr>
                      <w:color w:val="auto"/>
                      <w:sz w:val="21"/>
                      <w:szCs w:val="21"/>
                    </w:rPr>
                  </w:pPr>
                  <w:r>
                    <w:rPr>
                      <w:color w:val="auto"/>
                      <w:sz w:val="21"/>
                      <w:szCs w:val="21"/>
                    </w:rPr>
                    <w:t>/</w:t>
                  </w:r>
                </w:p>
              </w:tc>
            </w:tr>
            <w:tr w14:paraId="69E0BE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continue"/>
                  <w:tcBorders>
                    <w:tl2br w:val="nil"/>
                    <w:tr2bl w:val="nil"/>
                  </w:tcBorders>
                  <w:vAlign w:val="center"/>
                </w:tcPr>
                <w:p w14:paraId="26E8268B">
                  <w:pPr>
                    <w:pStyle w:val="36"/>
                    <w:rPr>
                      <w:color w:val="auto"/>
                      <w:sz w:val="21"/>
                      <w:szCs w:val="21"/>
                    </w:rPr>
                  </w:pPr>
                </w:p>
              </w:tc>
              <w:tc>
                <w:tcPr>
                  <w:tcW w:w="1347" w:type="dxa"/>
                  <w:tcBorders>
                    <w:tl2br w:val="nil"/>
                    <w:tr2bl w:val="nil"/>
                  </w:tcBorders>
                  <w:vAlign w:val="center"/>
                </w:tcPr>
                <w:p w14:paraId="16BA66B5">
                  <w:pPr>
                    <w:pStyle w:val="36"/>
                    <w:rPr>
                      <w:color w:val="auto"/>
                      <w:sz w:val="21"/>
                      <w:szCs w:val="21"/>
                    </w:rPr>
                  </w:pPr>
                  <w:r>
                    <w:rPr>
                      <w:color w:val="auto"/>
                      <w:sz w:val="21"/>
                      <w:szCs w:val="21"/>
                    </w:rPr>
                    <w:t>供热工程</w:t>
                  </w:r>
                </w:p>
              </w:tc>
              <w:tc>
                <w:tcPr>
                  <w:tcW w:w="4408" w:type="dxa"/>
                  <w:gridSpan w:val="2"/>
                  <w:tcBorders>
                    <w:tl2br w:val="nil"/>
                    <w:tr2bl w:val="nil"/>
                  </w:tcBorders>
                  <w:vAlign w:val="center"/>
                </w:tcPr>
                <w:p w14:paraId="5B6D30B2">
                  <w:pPr>
                    <w:pStyle w:val="36"/>
                    <w:rPr>
                      <w:color w:val="auto"/>
                      <w:sz w:val="21"/>
                      <w:szCs w:val="21"/>
                    </w:rPr>
                  </w:pPr>
                  <w:r>
                    <w:rPr>
                      <w:color w:val="auto"/>
                      <w:sz w:val="21"/>
                      <w:szCs w:val="21"/>
                    </w:rPr>
                    <w:t>冬季不生产，值班人员采用电采暖</w:t>
                  </w:r>
                </w:p>
              </w:tc>
              <w:tc>
                <w:tcPr>
                  <w:tcW w:w="856" w:type="dxa"/>
                  <w:tcBorders>
                    <w:tl2br w:val="nil"/>
                    <w:tr2bl w:val="nil"/>
                  </w:tcBorders>
                  <w:vAlign w:val="center"/>
                </w:tcPr>
                <w:p w14:paraId="2FEDF248">
                  <w:pPr>
                    <w:pStyle w:val="36"/>
                    <w:rPr>
                      <w:color w:val="auto"/>
                      <w:sz w:val="21"/>
                      <w:szCs w:val="21"/>
                    </w:rPr>
                  </w:pPr>
                  <w:r>
                    <w:rPr>
                      <w:color w:val="auto"/>
                      <w:sz w:val="21"/>
                      <w:szCs w:val="21"/>
                    </w:rPr>
                    <w:t>/</w:t>
                  </w:r>
                </w:p>
              </w:tc>
            </w:tr>
            <w:tr w14:paraId="631825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6" w:type="dxa"/>
                  <w:vMerge w:val="continue"/>
                  <w:tcBorders>
                    <w:tl2br w:val="nil"/>
                    <w:tr2bl w:val="nil"/>
                  </w:tcBorders>
                  <w:vAlign w:val="center"/>
                </w:tcPr>
                <w:p w14:paraId="0F71596E">
                  <w:pPr>
                    <w:pStyle w:val="36"/>
                    <w:rPr>
                      <w:color w:val="auto"/>
                      <w:sz w:val="21"/>
                      <w:szCs w:val="21"/>
                    </w:rPr>
                  </w:pPr>
                </w:p>
              </w:tc>
              <w:tc>
                <w:tcPr>
                  <w:tcW w:w="1347" w:type="dxa"/>
                  <w:tcBorders>
                    <w:tl2br w:val="nil"/>
                    <w:tr2bl w:val="nil"/>
                  </w:tcBorders>
                  <w:vAlign w:val="center"/>
                </w:tcPr>
                <w:p w14:paraId="2BC62AEE">
                  <w:pPr>
                    <w:pStyle w:val="36"/>
                    <w:rPr>
                      <w:color w:val="auto"/>
                      <w:sz w:val="21"/>
                      <w:szCs w:val="21"/>
                    </w:rPr>
                  </w:pPr>
                  <w:r>
                    <w:rPr>
                      <w:color w:val="auto"/>
                      <w:sz w:val="21"/>
                      <w:szCs w:val="21"/>
                    </w:rPr>
                    <w:t>排水工程</w:t>
                  </w:r>
                </w:p>
              </w:tc>
              <w:tc>
                <w:tcPr>
                  <w:tcW w:w="4408" w:type="dxa"/>
                  <w:gridSpan w:val="2"/>
                  <w:tcBorders>
                    <w:tl2br w:val="nil"/>
                    <w:tr2bl w:val="nil"/>
                  </w:tcBorders>
                  <w:vAlign w:val="center"/>
                </w:tcPr>
                <w:p w14:paraId="1E841408">
                  <w:pPr>
                    <w:pStyle w:val="36"/>
                    <w:rPr>
                      <w:rFonts w:hint="default"/>
                      <w:color w:val="auto"/>
                      <w:sz w:val="21"/>
                      <w:szCs w:val="21"/>
                      <w:lang w:val="en-US" w:eastAsia="zh-CN"/>
                    </w:rPr>
                  </w:pPr>
                  <w:r>
                    <w:rPr>
                      <w:color w:val="auto"/>
                      <w:sz w:val="21"/>
                      <w:szCs w:val="21"/>
                    </w:rPr>
                    <w:t>生产废水经沉淀池沉淀后回用于生产，生活污水经一体化污水处理系统处理达标后用于</w:t>
                  </w:r>
                  <w:r>
                    <w:rPr>
                      <w:rFonts w:hint="eastAsia"/>
                      <w:color w:val="auto"/>
                      <w:sz w:val="21"/>
                      <w:szCs w:val="21"/>
                      <w:lang w:val="en-US" w:eastAsia="zh-CN"/>
                    </w:rPr>
                    <w:t>厂区绿化</w:t>
                  </w:r>
                </w:p>
              </w:tc>
              <w:tc>
                <w:tcPr>
                  <w:tcW w:w="856" w:type="dxa"/>
                  <w:tcBorders>
                    <w:tl2br w:val="nil"/>
                    <w:tr2bl w:val="nil"/>
                  </w:tcBorders>
                  <w:vAlign w:val="center"/>
                </w:tcPr>
                <w:p w14:paraId="455F2E95">
                  <w:pPr>
                    <w:pStyle w:val="36"/>
                    <w:rPr>
                      <w:rFonts w:hint="eastAsia" w:eastAsia="宋体"/>
                      <w:color w:val="auto"/>
                      <w:sz w:val="21"/>
                      <w:szCs w:val="21"/>
                      <w:lang w:eastAsia="zh-CN"/>
                    </w:rPr>
                  </w:pPr>
                  <w:r>
                    <w:rPr>
                      <w:rFonts w:hint="eastAsia"/>
                      <w:color w:val="auto"/>
                      <w:sz w:val="21"/>
                      <w:szCs w:val="21"/>
                      <w:lang w:val="en-US" w:eastAsia="zh-CN"/>
                    </w:rPr>
                    <w:t>新建</w:t>
                  </w:r>
                </w:p>
              </w:tc>
            </w:tr>
            <w:tr w14:paraId="546F0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6" w:type="dxa"/>
                  <w:vMerge w:val="restart"/>
                  <w:tcBorders>
                    <w:tl2br w:val="nil"/>
                    <w:tr2bl w:val="nil"/>
                  </w:tcBorders>
                  <w:vAlign w:val="center"/>
                </w:tcPr>
                <w:p w14:paraId="14B3C5AC">
                  <w:pPr>
                    <w:pStyle w:val="36"/>
                    <w:rPr>
                      <w:color w:val="auto"/>
                      <w:sz w:val="21"/>
                      <w:szCs w:val="21"/>
                    </w:rPr>
                  </w:pPr>
                  <w:r>
                    <w:rPr>
                      <w:color w:val="auto"/>
                      <w:sz w:val="21"/>
                      <w:szCs w:val="21"/>
                    </w:rPr>
                    <w:t>环保工程</w:t>
                  </w:r>
                </w:p>
              </w:tc>
              <w:tc>
                <w:tcPr>
                  <w:tcW w:w="1347" w:type="dxa"/>
                  <w:tcBorders>
                    <w:tl2br w:val="nil"/>
                    <w:tr2bl w:val="nil"/>
                  </w:tcBorders>
                  <w:vAlign w:val="center"/>
                </w:tcPr>
                <w:p w14:paraId="33BBAFD0">
                  <w:pPr>
                    <w:pStyle w:val="36"/>
                    <w:rPr>
                      <w:color w:val="auto"/>
                      <w:sz w:val="21"/>
                      <w:szCs w:val="21"/>
                    </w:rPr>
                  </w:pPr>
                  <w:r>
                    <w:rPr>
                      <w:color w:val="auto"/>
                      <w:sz w:val="21"/>
                      <w:szCs w:val="21"/>
                    </w:rPr>
                    <w:t>废气治理</w:t>
                  </w:r>
                </w:p>
              </w:tc>
              <w:tc>
                <w:tcPr>
                  <w:tcW w:w="4408" w:type="dxa"/>
                  <w:gridSpan w:val="2"/>
                  <w:tcBorders>
                    <w:tl2br w:val="nil"/>
                    <w:tr2bl w:val="nil"/>
                  </w:tcBorders>
                  <w:vAlign w:val="center"/>
                </w:tcPr>
                <w:p w14:paraId="450C8AC0">
                  <w:pPr>
                    <w:pStyle w:val="36"/>
                    <w:jc w:val="both"/>
                    <w:rPr>
                      <w:color w:val="auto"/>
                      <w:sz w:val="21"/>
                      <w:szCs w:val="21"/>
                    </w:rPr>
                  </w:pPr>
                  <w:r>
                    <w:rPr>
                      <w:color w:val="auto"/>
                      <w:sz w:val="21"/>
                      <w:szCs w:val="21"/>
                    </w:rPr>
                    <w:t>料场</w:t>
                  </w:r>
                  <w:r>
                    <w:rPr>
                      <w:rFonts w:hint="eastAsia"/>
                      <w:color w:val="auto"/>
                      <w:sz w:val="21"/>
                      <w:szCs w:val="21"/>
                      <w:lang w:val="en-US" w:eastAsia="zh-CN"/>
                    </w:rPr>
                    <w:t>采用半封闭式</w:t>
                  </w:r>
                  <w:r>
                    <w:rPr>
                      <w:color w:val="auto"/>
                      <w:sz w:val="21"/>
                      <w:szCs w:val="21"/>
                    </w:rPr>
                    <w:t>，洒水降尘；物料装卸及厂区道路运输及时清扫，洒水降尘；物料输送采取封闭廊道；搅拌机自带脉冲布袋除尘器；</w:t>
                  </w:r>
                  <w:r>
                    <w:rPr>
                      <w:rFonts w:hint="eastAsia"/>
                      <w:color w:val="auto"/>
                      <w:sz w:val="21"/>
                      <w:szCs w:val="21"/>
                      <w:lang w:val="en-US" w:eastAsia="zh-CN"/>
                    </w:rPr>
                    <w:t>每个</w:t>
                  </w:r>
                  <w:r>
                    <w:rPr>
                      <w:color w:val="auto"/>
                      <w:sz w:val="21"/>
                      <w:szCs w:val="21"/>
                    </w:rPr>
                    <w:t>筒仓呼吸孔口配套安装</w:t>
                  </w:r>
                  <w:r>
                    <w:rPr>
                      <w:rFonts w:hint="eastAsia"/>
                      <w:color w:val="auto"/>
                      <w:sz w:val="21"/>
                      <w:szCs w:val="21"/>
                      <w:lang w:val="en-US" w:eastAsia="zh-CN"/>
                    </w:rPr>
                    <w:t>一套</w:t>
                  </w:r>
                  <w:r>
                    <w:rPr>
                      <w:color w:val="auto"/>
                      <w:sz w:val="21"/>
                      <w:szCs w:val="21"/>
                    </w:rPr>
                    <w:t>布袋除尘器</w:t>
                  </w:r>
                  <w:r>
                    <w:rPr>
                      <w:rFonts w:hint="eastAsia"/>
                      <w:color w:val="auto"/>
                      <w:sz w:val="21"/>
                      <w:szCs w:val="21"/>
                      <w:lang w:eastAsia="zh-CN"/>
                    </w:rPr>
                    <w:t>；</w:t>
                  </w:r>
                  <w:r>
                    <w:rPr>
                      <w:rFonts w:hint="eastAsia"/>
                      <w:color w:val="auto"/>
                      <w:sz w:val="21"/>
                      <w:szCs w:val="21"/>
                      <w:lang w:val="en-US" w:eastAsia="zh-CN"/>
                    </w:rPr>
                    <w:t>设置洗车平台，对进出车辆进行清洗，降低粉尘的影响。</w:t>
                  </w:r>
                </w:p>
              </w:tc>
              <w:tc>
                <w:tcPr>
                  <w:tcW w:w="856" w:type="dxa"/>
                  <w:vMerge w:val="restart"/>
                  <w:tcBorders>
                    <w:tl2br w:val="nil"/>
                    <w:tr2bl w:val="nil"/>
                  </w:tcBorders>
                  <w:vAlign w:val="center"/>
                </w:tcPr>
                <w:p w14:paraId="093F25B4">
                  <w:pPr>
                    <w:pStyle w:val="36"/>
                    <w:rPr>
                      <w:rFonts w:hint="eastAsia" w:eastAsia="宋体"/>
                      <w:color w:val="auto"/>
                      <w:sz w:val="21"/>
                      <w:szCs w:val="21"/>
                      <w:lang w:val="en-US" w:eastAsia="zh-CN"/>
                    </w:rPr>
                  </w:pPr>
                  <w:r>
                    <w:rPr>
                      <w:rFonts w:hint="eastAsia"/>
                      <w:color w:val="auto"/>
                      <w:sz w:val="21"/>
                      <w:szCs w:val="21"/>
                      <w:lang w:val="en-US" w:eastAsia="zh-CN"/>
                    </w:rPr>
                    <w:t>新建</w:t>
                  </w:r>
                </w:p>
              </w:tc>
            </w:tr>
            <w:tr w14:paraId="5D1F98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26" w:type="dxa"/>
                  <w:vMerge w:val="continue"/>
                  <w:tcBorders>
                    <w:tl2br w:val="nil"/>
                    <w:tr2bl w:val="nil"/>
                  </w:tcBorders>
                  <w:vAlign w:val="top"/>
                </w:tcPr>
                <w:p w14:paraId="5BCF30F3">
                  <w:pPr>
                    <w:pStyle w:val="36"/>
                    <w:rPr>
                      <w:color w:val="auto"/>
                      <w:sz w:val="21"/>
                      <w:szCs w:val="21"/>
                    </w:rPr>
                  </w:pPr>
                </w:p>
              </w:tc>
              <w:tc>
                <w:tcPr>
                  <w:tcW w:w="1347" w:type="dxa"/>
                  <w:tcBorders>
                    <w:tl2br w:val="nil"/>
                    <w:tr2bl w:val="nil"/>
                  </w:tcBorders>
                  <w:vAlign w:val="center"/>
                </w:tcPr>
                <w:p w14:paraId="5DB30543">
                  <w:pPr>
                    <w:pStyle w:val="36"/>
                    <w:rPr>
                      <w:color w:val="auto"/>
                      <w:sz w:val="21"/>
                      <w:szCs w:val="21"/>
                    </w:rPr>
                  </w:pPr>
                  <w:r>
                    <w:rPr>
                      <w:color w:val="auto"/>
                      <w:sz w:val="21"/>
                      <w:szCs w:val="21"/>
                    </w:rPr>
                    <w:t>废水治理</w:t>
                  </w:r>
                </w:p>
              </w:tc>
              <w:tc>
                <w:tcPr>
                  <w:tcW w:w="4408" w:type="dxa"/>
                  <w:gridSpan w:val="2"/>
                  <w:tcBorders>
                    <w:tl2br w:val="nil"/>
                    <w:tr2bl w:val="nil"/>
                  </w:tcBorders>
                  <w:vAlign w:val="center"/>
                </w:tcPr>
                <w:p w14:paraId="1715FD0F">
                  <w:pPr>
                    <w:pStyle w:val="36"/>
                    <w:rPr>
                      <w:color w:val="auto"/>
                      <w:sz w:val="21"/>
                      <w:szCs w:val="21"/>
                    </w:rPr>
                  </w:pPr>
                  <w:r>
                    <w:rPr>
                      <w:color w:val="auto"/>
                      <w:sz w:val="21"/>
                      <w:szCs w:val="21"/>
                    </w:rPr>
                    <w:t>生产废水经沉淀池沉淀后回用于生产，生活污水经一体化污水处理系统处理达标后用于</w:t>
                  </w:r>
                  <w:r>
                    <w:rPr>
                      <w:rFonts w:hint="eastAsia"/>
                      <w:color w:val="auto"/>
                      <w:sz w:val="21"/>
                      <w:szCs w:val="21"/>
                      <w:lang w:val="en-US" w:eastAsia="zh-CN"/>
                    </w:rPr>
                    <w:t>厂区绿化</w:t>
                  </w:r>
                  <w:r>
                    <w:rPr>
                      <w:rFonts w:hint="eastAsia"/>
                      <w:color w:val="auto"/>
                      <w:sz w:val="21"/>
                      <w:szCs w:val="21"/>
                    </w:rPr>
                    <w:t>。</w:t>
                  </w:r>
                </w:p>
              </w:tc>
              <w:tc>
                <w:tcPr>
                  <w:tcW w:w="856" w:type="dxa"/>
                  <w:vMerge w:val="continue"/>
                  <w:tcBorders>
                    <w:tl2br w:val="nil"/>
                    <w:tr2bl w:val="nil"/>
                  </w:tcBorders>
                  <w:vAlign w:val="center"/>
                </w:tcPr>
                <w:p w14:paraId="7F0C3764">
                  <w:pPr>
                    <w:pStyle w:val="36"/>
                    <w:rPr>
                      <w:color w:val="auto"/>
                      <w:sz w:val="21"/>
                      <w:szCs w:val="21"/>
                    </w:rPr>
                  </w:pPr>
                </w:p>
              </w:tc>
            </w:tr>
            <w:tr w14:paraId="18DB96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6" w:type="dxa"/>
                  <w:vMerge w:val="continue"/>
                  <w:tcBorders>
                    <w:tl2br w:val="nil"/>
                    <w:tr2bl w:val="nil"/>
                  </w:tcBorders>
                  <w:vAlign w:val="top"/>
                </w:tcPr>
                <w:p w14:paraId="1DC9D698">
                  <w:pPr>
                    <w:pStyle w:val="36"/>
                    <w:rPr>
                      <w:color w:val="auto"/>
                      <w:sz w:val="21"/>
                      <w:szCs w:val="21"/>
                    </w:rPr>
                  </w:pPr>
                </w:p>
              </w:tc>
              <w:tc>
                <w:tcPr>
                  <w:tcW w:w="1347" w:type="dxa"/>
                  <w:tcBorders>
                    <w:tl2br w:val="nil"/>
                    <w:tr2bl w:val="nil"/>
                  </w:tcBorders>
                  <w:vAlign w:val="center"/>
                </w:tcPr>
                <w:p w14:paraId="072F79ED">
                  <w:pPr>
                    <w:pStyle w:val="36"/>
                    <w:rPr>
                      <w:color w:val="auto"/>
                      <w:sz w:val="21"/>
                      <w:szCs w:val="21"/>
                    </w:rPr>
                  </w:pPr>
                  <w:r>
                    <w:rPr>
                      <w:color w:val="auto"/>
                      <w:sz w:val="21"/>
                      <w:szCs w:val="21"/>
                    </w:rPr>
                    <w:t>固废治理</w:t>
                  </w:r>
                </w:p>
              </w:tc>
              <w:tc>
                <w:tcPr>
                  <w:tcW w:w="4408" w:type="dxa"/>
                  <w:gridSpan w:val="2"/>
                  <w:tcBorders>
                    <w:tl2br w:val="nil"/>
                    <w:tr2bl w:val="nil"/>
                  </w:tcBorders>
                  <w:vAlign w:val="center"/>
                </w:tcPr>
                <w:p w14:paraId="5A965FD7">
                  <w:pPr>
                    <w:pStyle w:val="36"/>
                    <w:rPr>
                      <w:color w:val="auto"/>
                      <w:sz w:val="21"/>
                      <w:szCs w:val="21"/>
                    </w:rPr>
                  </w:pPr>
                  <w:r>
                    <w:rPr>
                      <w:color w:val="auto"/>
                      <w:sz w:val="21"/>
                      <w:szCs w:val="21"/>
                    </w:rPr>
                    <w:t>生活垃圾经收集后，委托环卫部门处理；不合格和剩余混凝土、沉淀池沉渣</w:t>
                  </w:r>
                  <w:r>
                    <w:rPr>
                      <w:rFonts w:hint="eastAsia"/>
                      <w:color w:val="auto"/>
                      <w:sz w:val="21"/>
                      <w:szCs w:val="21"/>
                      <w:lang w:val="en-US" w:eastAsia="zh-CN"/>
                    </w:rPr>
                    <w:t>等生产固废</w:t>
                  </w:r>
                  <w:r>
                    <w:rPr>
                      <w:color w:val="auto"/>
                      <w:sz w:val="21"/>
                      <w:szCs w:val="21"/>
                    </w:rPr>
                    <w:t>厂内</w:t>
                  </w:r>
                  <w:r>
                    <w:rPr>
                      <w:rFonts w:hint="eastAsia"/>
                      <w:color w:val="auto"/>
                      <w:sz w:val="21"/>
                      <w:szCs w:val="21"/>
                      <w:lang w:val="en-US" w:eastAsia="zh-CN"/>
                    </w:rPr>
                    <w:t>人工破碎</w:t>
                  </w:r>
                  <w:r>
                    <w:rPr>
                      <w:color w:val="auto"/>
                      <w:sz w:val="21"/>
                      <w:szCs w:val="21"/>
                    </w:rPr>
                    <w:t>回收利用；</w:t>
                  </w:r>
                  <w:r>
                    <w:rPr>
                      <w:rFonts w:hint="eastAsia"/>
                      <w:color w:val="auto"/>
                      <w:sz w:val="21"/>
                      <w:szCs w:val="21"/>
                      <w:lang w:val="en-US" w:eastAsia="zh-CN"/>
                    </w:rPr>
                    <w:t>污泥运送至生活垃圾填埋场填埋；</w:t>
                  </w:r>
                  <w:r>
                    <w:rPr>
                      <w:color w:val="auto"/>
                      <w:sz w:val="21"/>
                      <w:szCs w:val="21"/>
                    </w:rPr>
                    <w:t>废机油暂存于危废暂存间，</w:t>
                  </w:r>
                  <w:r>
                    <w:rPr>
                      <w:rFonts w:hint="eastAsia"/>
                      <w:color w:val="auto"/>
                      <w:sz w:val="21"/>
                      <w:szCs w:val="21"/>
                      <w:lang w:val="en-US" w:eastAsia="zh-CN"/>
                    </w:rPr>
                    <w:t>优先用于厂内输送设备润滑，剩余部分</w:t>
                  </w:r>
                  <w:r>
                    <w:rPr>
                      <w:color w:val="auto"/>
                      <w:sz w:val="21"/>
                      <w:szCs w:val="21"/>
                    </w:rPr>
                    <w:t>委托有资质的单位处置</w:t>
                  </w:r>
                </w:p>
              </w:tc>
              <w:tc>
                <w:tcPr>
                  <w:tcW w:w="856" w:type="dxa"/>
                  <w:vMerge w:val="continue"/>
                  <w:tcBorders>
                    <w:tl2br w:val="nil"/>
                    <w:tr2bl w:val="nil"/>
                  </w:tcBorders>
                  <w:vAlign w:val="center"/>
                </w:tcPr>
                <w:p w14:paraId="35624A07">
                  <w:pPr>
                    <w:pStyle w:val="36"/>
                    <w:rPr>
                      <w:color w:val="auto"/>
                      <w:sz w:val="21"/>
                      <w:szCs w:val="21"/>
                    </w:rPr>
                  </w:pPr>
                </w:p>
              </w:tc>
            </w:tr>
            <w:tr w14:paraId="63EB66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26" w:type="dxa"/>
                  <w:vMerge w:val="continue"/>
                  <w:tcBorders>
                    <w:tl2br w:val="nil"/>
                    <w:tr2bl w:val="nil"/>
                  </w:tcBorders>
                  <w:vAlign w:val="top"/>
                </w:tcPr>
                <w:p w14:paraId="47802748">
                  <w:pPr>
                    <w:pStyle w:val="36"/>
                    <w:rPr>
                      <w:color w:val="auto"/>
                      <w:sz w:val="21"/>
                      <w:szCs w:val="21"/>
                    </w:rPr>
                  </w:pPr>
                </w:p>
              </w:tc>
              <w:tc>
                <w:tcPr>
                  <w:tcW w:w="1347" w:type="dxa"/>
                  <w:tcBorders>
                    <w:tl2br w:val="nil"/>
                    <w:tr2bl w:val="nil"/>
                  </w:tcBorders>
                  <w:vAlign w:val="center"/>
                </w:tcPr>
                <w:p w14:paraId="6FC392EE">
                  <w:pPr>
                    <w:pStyle w:val="36"/>
                    <w:rPr>
                      <w:rFonts w:hint="default" w:eastAsia="宋体"/>
                      <w:color w:val="auto"/>
                      <w:sz w:val="21"/>
                      <w:szCs w:val="21"/>
                      <w:lang w:val="en-US" w:eastAsia="zh-CN"/>
                    </w:rPr>
                  </w:pPr>
                  <w:r>
                    <w:rPr>
                      <w:rFonts w:hint="eastAsia"/>
                      <w:color w:val="auto"/>
                      <w:sz w:val="21"/>
                      <w:szCs w:val="21"/>
                      <w:lang w:val="en-US" w:eastAsia="zh-CN"/>
                    </w:rPr>
                    <w:t>生态治理</w:t>
                  </w:r>
                </w:p>
              </w:tc>
              <w:tc>
                <w:tcPr>
                  <w:tcW w:w="4408" w:type="dxa"/>
                  <w:gridSpan w:val="2"/>
                  <w:tcBorders>
                    <w:tl2br w:val="nil"/>
                    <w:tr2bl w:val="nil"/>
                  </w:tcBorders>
                  <w:vAlign w:val="center"/>
                </w:tcPr>
                <w:p w14:paraId="5A73A957">
                  <w:pPr>
                    <w:jc w:val="center"/>
                    <w:rPr>
                      <w:rFonts w:hint="default" w:ascii="Times New Roman" w:hAnsi="Times New Roman" w:eastAsia="宋体" w:cs="Times New Roman"/>
                      <w:color w:val="auto"/>
                      <w:spacing w:val="0"/>
                      <w:w w:val="100"/>
                      <w:kern w:val="0"/>
                      <w:sz w:val="21"/>
                      <w:szCs w:val="21"/>
                      <w:highlight w:val="none"/>
                      <w:lang w:val="en-US" w:eastAsia="zh-CN" w:bidi="ar-SA"/>
                    </w:rPr>
                  </w:pPr>
                  <w:r>
                    <w:rPr>
                      <w:rFonts w:hint="default" w:ascii="Times New Roman" w:hAnsi="Times New Roman" w:eastAsia="宋体" w:cs="Times New Roman"/>
                      <w:color w:val="auto"/>
                      <w:spacing w:val="0"/>
                      <w:w w:val="100"/>
                      <w:kern w:val="0"/>
                      <w:sz w:val="21"/>
                      <w:szCs w:val="21"/>
                      <w:highlight w:val="none"/>
                      <w:lang w:val="en-US" w:eastAsia="zh-CN" w:bidi="ar-SA"/>
                    </w:rPr>
                    <w:t>限制施工作业范围，不超出项目占地范围，减少施工开挖面积和临时性占地，施工结束后恢复临时占地原有地貌采取工程措施、植物措施和临时措施相结合控制水土流失量</w:t>
                  </w:r>
                </w:p>
              </w:tc>
              <w:tc>
                <w:tcPr>
                  <w:tcW w:w="856" w:type="dxa"/>
                  <w:tcBorders>
                    <w:tl2br w:val="nil"/>
                    <w:tr2bl w:val="nil"/>
                  </w:tcBorders>
                  <w:vAlign w:val="center"/>
                </w:tcPr>
                <w:p w14:paraId="11639590">
                  <w:pPr>
                    <w:pStyle w:val="36"/>
                    <w:rPr>
                      <w:rFonts w:hint="eastAsia" w:eastAsia="宋体"/>
                      <w:color w:val="auto"/>
                      <w:sz w:val="21"/>
                      <w:szCs w:val="21"/>
                      <w:lang w:val="en-US" w:eastAsia="zh-CN"/>
                    </w:rPr>
                  </w:pPr>
                  <w:r>
                    <w:rPr>
                      <w:rFonts w:hint="eastAsia"/>
                      <w:color w:val="auto"/>
                      <w:sz w:val="21"/>
                      <w:szCs w:val="21"/>
                      <w:lang w:val="en-US" w:eastAsia="zh-CN"/>
                    </w:rPr>
                    <w:t>/</w:t>
                  </w:r>
                </w:p>
              </w:tc>
            </w:tr>
          </w:tbl>
          <w:p w14:paraId="26FA1E67">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b/>
                <w:color w:val="auto"/>
                <w:sz w:val="24"/>
              </w:rPr>
            </w:pPr>
            <w:r>
              <w:rPr>
                <w:b/>
                <w:color w:val="auto"/>
                <w:sz w:val="24"/>
              </w:rPr>
              <w:t>主要生产设备</w:t>
            </w:r>
          </w:p>
          <w:p w14:paraId="145AD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本项目主要设备情况见表2-2。</w:t>
            </w:r>
          </w:p>
          <w:p w14:paraId="4F59D64C">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表2-2    本项目主要设备一览表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899"/>
              <w:gridCol w:w="1601"/>
              <w:gridCol w:w="1158"/>
              <w:gridCol w:w="1387"/>
              <w:gridCol w:w="916"/>
            </w:tblGrid>
            <w:tr w14:paraId="104B08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vMerge w:val="restart"/>
                  <w:tcBorders>
                    <w:bottom w:val="single" w:color="auto" w:sz="6" w:space="0"/>
                    <w:right w:val="single" w:color="auto" w:sz="6" w:space="0"/>
                  </w:tcBorders>
                  <w:vAlign w:val="center"/>
                </w:tcPr>
                <w:p w14:paraId="5ADB9234">
                  <w:pPr>
                    <w:widowControl/>
                    <w:snapToGrid w:val="0"/>
                    <w:jc w:val="center"/>
                    <w:rPr>
                      <w:b/>
                      <w:bCs/>
                      <w:color w:val="auto"/>
                      <w:sz w:val="21"/>
                      <w:szCs w:val="21"/>
                    </w:rPr>
                  </w:pPr>
                  <w:r>
                    <w:rPr>
                      <w:b/>
                      <w:bCs/>
                      <w:color w:val="auto"/>
                      <w:sz w:val="21"/>
                      <w:szCs w:val="21"/>
                    </w:rPr>
                    <w:t>序号</w:t>
                  </w:r>
                </w:p>
              </w:tc>
              <w:tc>
                <w:tcPr>
                  <w:tcW w:w="1899" w:type="dxa"/>
                  <w:vMerge w:val="restart"/>
                  <w:tcBorders>
                    <w:left w:val="single" w:color="auto" w:sz="6" w:space="0"/>
                    <w:bottom w:val="single" w:color="auto" w:sz="6" w:space="0"/>
                    <w:right w:val="single" w:color="auto" w:sz="6" w:space="0"/>
                  </w:tcBorders>
                  <w:vAlign w:val="center"/>
                </w:tcPr>
                <w:p w14:paraId="4E195174">
                  <w:pPr>
                    <w:widowControl/>
                    <w:snapToGrid w:val="0"/>
                    <w:jc w:val="center"/>
                    <w:rPr>
                      <w:b/>
                      <w:bCs/>
                      <w:color w:val="auto"/>
                      <w:sz w:val="21"/>
                      <w:szCs w:val="21"/>
                    </w:rPr>
                  </w:pPr>
                  <w:r>
                    <w:rPr>
                      <w:b/>
                      <w:bCs/>
                      <w:color w:val="auto"/>
                      <w:sz w:val="21"/>
                      <w:szCs w:val="21"/>
                    </w:rPr>
                    <w:t>设备名称</w:t>
                  </w:r>
                </w:p>
              </w:tc>
              <w:tc>
                <w:tcPr>
                  <w:tcW w:w="4146" w:type="dxa"/>
                  <w:gridSpan w:val="3"/>
                  <w:tcBorders>
                    <w:left w:val="single" w:color="auto" w:sz="6" w:space="0"/>
                    <w:bottom w:val="single" w:color="auto" w:sz="6" w:space="0"/>
                  </w:tcBorders>
                  <w:vAlign w:val="center"/>
                </w:tcPr>
                <w:p w14:paraId="21211664">
                  <w:pPr>
                    <w:widowControl/>
                    <w:snapToGrid w:val="0"/>
                    <w:jc w:val="center"/>
                    <w:rPr>
                      <w:b/>
                      <w:bCs/>
                      <w:color w:val="auto"/>
                      <w:sz w:val="21"/>
                      <w:szCs w:val="21"/>
                    </w:rPr>
                  </w:pPr>
                  <w:r>
                    <w:rPr>
                      <w:b/>
                      <w:bCs/>
                      <w:color w:val="auto"/>
                      <w:sz w:val="21"/>
                      <w:szCs w:val="21"/>
                    </w:rPr>
                    <w:t>设施参数</w:t>
                  </w:r>
                </w:p>
              </w:tc>
              <w:tc>
                <w:tcPr>
                  <w:tcW w:w="916" w:type="dxa"/>
                  <w:vMerge w:val="restart"/>
                  <w:vAlign w:val="center"/>
                </w:tcPr>
                <w:p w14:paraId="08658057">
                  <w:pPr>
                    <w:widowControl/>
                    <w:snapToGrid w:val="0"/>
                    <w:jc w:val="center"/>
                    <w:rPr>
                      <w:b/>
                      <w:bCs/>
                      <w:color w:val="auto"/>
                      <w:sz w:val="21"/>
                      <w:szCs w:val="21"/>
                    </w:rPr>
                  </w:pPr>
                  <w:r>
                    <w:rPr>
                      <w:b/>
                      <w:bCs/>
                      <w:color w:val="auto"/>
                      <w:sz w:val="21"/>
                      <w:szCs w:val="21"/>
                    </w:rPr>
                    <w:t>数量</w:t>
                  </w:r>
                </w:p>
              </w:tc>
            </w:tr>
            <w:tr w14:paraId="2D1FA6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vMerge w:val="continue"/>
                  <w:tcBorders>
                    <w:top w:val="single" w:color="auto" w:sz="6" w:space="0"/>
                    <w:bottom w:val="single" w:color="auto" w:sz="12" w:space="0"/>
                    <w:right w:val="single" w:color="auto" w:sz="6" w:space="0"/>
                  </w:tcBorders>
                  <w:vAlign w:val="center"/>
                </w:tcPr>
                <w:p w14:paraId="07DEE56C">
                  <w:pPr>
                    <w:widowControl/>
                    <w:snapToGrid w:val="0"/>
                    <w:jc w:val="center"/>
                    <w:rPr>
                      <w:color w:val="auto"/>
                      <w:sz w:val="21"/>
                      <w:szCs w:val="21"/>
                    </w:rPr>
                  </w:pPr>
                </w:p>
              </w:tc>
              <w:tc>
                <w:tcPr>
                  <w:tcW w:w="1899" w:type="dxa"/>
                  <w:vMerge w:val="continue"/>
                  <w:tcBorders>
                    <w:top w:val="single" w:color="auto" w:sz="6" w:space="0"/>
                    <w:left w:val="single" w:color="auto" w:sz="6" w:space="0"/>
                    <w:bottom w:val="single" w:color="auto" w:sz="12" w:space="0"/>
                    <w:right w:val="single" w:color="auto" w:sz="6" w:space="0"/>
                  </w:tcBorders>
                  <w:vAlign w:val="center"/>
                </w:tcPr>
                <w:p w14:paraId="406AF645">
                  <w:pPr>
                    <w:widowControl/>
                    <w:jc w:val="center"/>
                    <w:rPr>
                      <w:color w:val="auto"/>
                      <w:sz w:val="21"/>
                      <w:szCs w:val="21"/>
                    </w:rPr>
                  </w:pPr>
                </w:p>
              </w:tc>
              <w:tc>
                <w:tcPr>
                  <w:tcW w:w="1601" w:type="dxa"/>
                  <w:tcBorders>
                    <w:top w:val="single" w:color="auto" w:sz="6" w:space="0"/>
                    <w:left w:val="single" w:color="auto" w:sz="6" w:space="0"/>
                    <w:bottom w:val="single" w:color="auto" w:sz="12" w:space="0"/>
                    <w:right w:val="single" w:color="auto" w:sz="6" w:space="0"/>
                  </w:tcBorders>
                  <w:vAlign w:val="center"/>
                </w:tcPr>
                <w:p w14:paraId="758A0075">
                  <w:pPr>
                    <w:widowControl/>
                    <w:jc w:val="center"/>
                    <w:rPr>
                      <w:b/>
                      <w:bCs/>
                      <w:color w:val="auto"/>
                      <w:sz w:val="21"/>
                      <w:szCs w:val="21"/>
                    </w:rPr>
                  </w:pPr>
                  <w:r>
                    <w:rPr>
                      <w:b/>
                      <w:bCs/>
                      <w:color w:val="auto"/>
                      <w:sz w:val="21"/>
                      <w:szCs w:val="21"/>
                    </w:rPr>
                    <w:t>参数名称</w:t>
                  </w:r>
                </w:p>
              </w:tc>
              <w:tc>
                <w:tcPr>
                  <w:tcW w:w="1158" w:type="dxa"/>
                  <w:tcBorders>
                    <w:top w:val="single" w:color="auto" w:sz="6" w:space="0"/>
                    <w:left w:val="single" w:color="auto" w:sz="6" w:space="0"/>
                    <w:bottom w:val="single" w:color="auto" w:sz="12" w:space="0"/>
                    <w:right w:val="single" w:color="auto" w:sz="6" w:space="0"/>
                  </w:tcBorders>
                  <w:vAlign w:val="center"/>
                </w:tcPr>
                <w:p w14:paraId="67EA02DE">
                  <w:pPr>
                    <w:widowControl/>
                    <w:jc w:val="center"/>
                    <w:rPr>
                      <w:b/>
                      <w:bCs/>
                      <w:color w:val="auto"/>
                      <w:sz w:val="21"/>
                      <w:szCs w:val="21"/>
                    </w:rPr>
                  </w:pPr>
                  <w:r>
                    <w:rPr>
                      <w:rFonts w:hint="eastAsia"/>
                      <w:b/>
                      <w:bCs/>
                      <w:color w:val="auto"/>
                      <w:sz w:val="21"/>
                      <w:szCs w:val="21"/>
                    </w:rPr>
                    <w:t>规格</w:t>
                  </w:r>
                </w:p>
              </w:tc>
              <w:tc>
                <w:tcPr>
                  <w:tcW w:w="1387" w:type="dxa"/>
                  <w:tcBorders>
                    <w:top w:val="single" w:color="auto" w:sz="6" w:space="0"/>
                    <w:left w:val="single" w:color="auto" w:sz="6" w:space="0"/>
                    <w:bottom w:val="single" w:color="auto" w:sz="12" w:space="0"/>
                  </w:tcBorders>
                  <w:vAlign w:val="center"/>
                </w:tcPr>
                <w:p w14:paraId="044C02EB">
                  <w:pPr>
                    <w:widowControl/>
                    <w:jc w:val="center"/>
                    <w:rPr>
                      <w:b/>
                      <w:bCs/>
                      <w:color w:val="auto"/>
                      <w:sz w:val="21"/>
                      <w:szCs w:val="21"/>
                    </w:rPr>
                  </w:pPr>
                  <w:r>
                    <w:rPr>
                      <w:b/>
                      <w:bCs/>
                      <w:color w:val="auto"/>
                      <w:sz w:val="21"/>
                      <w:szCs w:val="21"/>
                    </w:rPr>
                    <w:t>计量单位</w:t>
                  </w:r>
                </w:p>
              </w:tc>
              <w:tc>
                <w:tcPr>
                  <w:tcW w:w="916" w:type="dxa"/>
                  <w:vMerge w:val="continue"/>
                  <w:tcBorders>
                    <w:tl2br w:val="nil"/>
                    <w:tr2bl w:val="nil"/>
                  </w:tcBorders>
                  <w:vAlign w:val="center"/>
                </w:tcPr>
                <w:p w14:paraId="3C953A52">
                  <w:pPr>
                    <w:widowControl/>
                    <w:jc w:val="center"/>
                    <w:rPr>
                      <w:color w:val="auto"/>
                      <w:sz w:val="21"/>
                      <w:szCs w:val="21"/>
                    </w:rPr>
                  </w:pPr>
                </w:p>
              </w:tc>
            </w:tr>
            <w:tr w14:paraId="6F4EE4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tcBorders>
                    <w:top w:val="single" w:color="auto" w:sz="12" w:space="0"/>
                    <w:tl2br w:val="nil"/>
                    <w:tr2bl w:val="nil"/>
                  </w:tcBorders>
                  <w:vAlign w:val="center"/>
                </w:tcPr>
                <w:p w14:paraId="74632004">
                  <w:pPr>
                    <w:widowControl/>
                    <w:snapToGrid w:val="0"/>
                    <w:jc w:val="center"/>
                    <w:rPr>
                      <w:color w:val="auto"/>
                      <w:sz w:val="21"/>
                      <w:szCs w:val="21"/>
                    </w:rPr>
                  </w:pPr>
                  <w:r>
                    <w:rPr>
                      <w:color w:val="auto"/>
                      <w:sz w:val="21"/>
                      <w:szCs w:val="21"/>
                    </w:rPr>
                    <w:t>1</w:t>
                  </w:r>
                </w:p>
              </w:tc>
              <w:tc>
                <w:tcPr>
                  <w:tcW w:w="1899" w:type="dxa"/>
                  <w:tcBorders>
                    <w:top w:val="single" w:color="auto" w:sz="12" w:space="0"/>
                    <w:tl2br w:val="nil"/>
                    <w:tr2bl w:val="nil"/>
                  </w:tcBorders>
                  <w:vAlign w:val="center"/>
                </w:tcPr>
                <w:p w14:paraId="65179EE7">
                  <w:pPr>
                    <w:widowControl/>
                    <w:jc w:val="center"/>
                    <w:rPr>
                      <w:color w:val="auto"/>
                      <w:sz w:val="21"/>
                      <w:szCs w:val="21"/>
                    </w:rPr>
                  </w:pPr>
                  <w:r>
                    <w:rPr>
                      <w:color w:val="auto"/>
                      <w:sz w:val="21"/>
                      <w:szCs w:val="21"/>
                    </w:rPr>
                    <w:t>搅拌机（主机）</w:t>
                  </w:r>
                </w:p>
              </w:tc>
              <w:tc>
                <w:tcPr>
                  <w:tcW w:w="1601" w:type="dxa"/>
                  <w:tcBorders>
                    <w:top w:val="single" w:color="auto" w:sz="12" w:space="0"/>
                    <w:tl2br w:val="nil"/>
                    <w:tr2bl w:val="nil"/>
                  </w:tcBorders>
                  <w:vAlign w:val="center"/>
                </w:tcPr>
                <w:p w14:paraId="09D9584F">
                  <w:pPr>
                    <w:widowControl/>
                    <w:jc w:val="center"/>
                    <w:rPr>
                      <w:color w:val="auto"/>
                      <w:sz w:val="21"/>
                      <w:szCs w:val="21"/>
                    </w:rPr>
                  </w:pPr>
                  <w:r>
                    <w:rPr>
                      <w:color w:val="auto"/>
                      <w:sz w:val="21"/>
                      <w:szCs w:val="21"/>
                    </w:rPr>
                    <w:t>搅拌能力</w:t>
                  </w:r>
                </w:p>
              </w:tc>
              <w:tc>
                <w:tcPr>
                  <w:tcW w:w="1158" w:type="dxa"/>
                  <w:tcBorders>
                    <w:top w:val="single" w:color="auto" w:sz="12" w:space="0"/>
                    <w:tl2br w:val="nil"/>
                    <w:tr2bl w:val="nil"/>
                  </w:tcBorders>
                  <w:vAlign w:val="center"/>
                </w:tcPr>
                <w:p w14:paraId="0EFB2BF2">
                  <w:pPr>
                    <w:widowControl/>
                    <w:jc w:val="center"/>
                    <w:rPr>
                      <w:color w:val="auto"/>
                      <w:sz w:val="21"/>
                      <w:szCs w:val="21"/>
                    </w:rPr>
                  </w:pPr>
                  <w:r>
                    <w:rPr>
                      <w:rFonts w:hint="eastAsia"/>
                      <w:color w:val="auto"/>
                      <w:sz w:val="21"/>
                      <w:szCs w:val="21"/>
                    </w:rPr>
                    <w:t>240</w:t>
                  </w:r>
                </w:p>
              </w:tc>
              <w:tc>
                <w:tcPr>
                  <w:tcW w:w="1387" w:type="dxa"/>
                  <w:tcBorders>
                    <w:top w:val="single" w:color="auto" w:sz="12" w:space="0"/>
                    <w:tl2br w:val="nil"/>
                    <w:tr2bl w:val="nil"/>
                  </w:tcBorders>
                  <w:vAlign w:val="center"/>
                </w:tcPr>
                <w:p w14:paraId="1E67068C">
                  <w:pPr>
                    <w:widowControl/>
                    <w:jc w:val="center"/>
                    <w:rPr>
                      <w:color w:val="auto"/>
                      <w:sz w:val="21"/>
                      <w:szCs w:val="21"/>
                    </w:rPr>
                  </w:pPr>
                  <w:r>
                    <w:rPr>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h</w:t>
                  </w:r>
                </w:p>
              </w:tc>
              <w:tc>
                <w:tcPr>
                  <w:tcW w:w="916" w:type="dxa"/>
                  <w:tcBorders>
                    <w:top w:val="single" w:color="auto" w:sz="12" w:space="0"/>
                    <w:tl2br w:val="nil"/>
                    <w:tr2bl w:val="nil"/>
                  </w:tcBorders>
                  <w:vAlign w:val="center"/>
                </w:tcPr>
                <w:p w14:paraId="29FE6989">
                  <w:pPr>
                    <w:widowControl/>
                    <w:jc w:val="center"/>
                    <w:rPr>
                      <w:rFonts w:hint="eastAsia" w:eastAsia="宋体"/>
                      <w:color w:val="auto"/>
                      <w:sz w:val="21"/>
                      <w:szCs w:val="21"/>
                      <w:lang w:val="en-US" w:eastAsia="zh-CN"/>
                    </w:rPr>
                  </w:pPr>
                  <w:r>
                    <w:rPr>
                      <w:rFonts w:hint="eastAsia"/>
                      <w:color w:val="auto"/>
                      <w:sz w:val="21"/>
                      <w:szCs w:val="21"/>
                      <w:lang w:val="en-US" w:eastAsia="zh-CN"/>
                    </w:rPr>
                    <w:t>2</w:t>
                  </w:r>
                  <w:r>
                    <w:rPr>
                      <w:rFonts w:hint="eastAsia"/>
                      <w:color w:val="auto"/>
                      <w:lang w:val="en-US" w:eastAsia="zh-CN"/>
                    </w:rPr>
                    <w:t>台</w:t>
                  </w:r>
                </w:p>
              </w:tc>
            </w:tr>
            <w:tr w14:paraId="2E911C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6" w:type="dxa"/>
                  <w:tcBorders>
                    <w:tl2br w:val="nil"/>
                    <w:tr2bl w:val="nil"/>
                  </w:tcBorders>
                  <w:vAlign w:val="center"/>
                </w:tcPr>
                <w:p w14:paraId="1AE58C74">
                  <w:pPr>
                    <w:widowControl/>
                    <w:snapToGrid w:val="0"/>
                    <w:jc w:val="center"/>
                    <w:rPr>
                      <w:color w:val="auto"/>
                      <w:sz w:val="21"/>
                      <w:szCs w:val="21"/>
                    </w:rPr>
                  </w:pPr>
                  <w:r>
                    <w:rPr>
                      <w:color w:val="auto"/>
                      <w:sz w:val="21"/>
                      <w:szCs w:val="21"/>
                    </w:rPr>
                    <w:t>2</w:t>
                  </w:r>
                </w:p>
              </w:tc>
              <w:tc>
                <w:tcPr>
                  <w:tcW w:w="1899" w:type="dxa"/>
                  <w:tcBorders>
                    <w:tl2br w:val="nil"/>
                    <w:tr2bl w:val="nil"/>
                  </w:tcBorders>
                  <w:vAlign w:val="center"/>
                </w:tcPr>
                <w:p w14:paraId="70108837">
                  <w:pPr>
                    <w:widowControl/>
                    <w:jc w:val="center"/>
                    <w:rPr>
                      <w:color w:val="auto"/>
                      <w:sz w:val="21"/>
                      <w:szCs w:val="21"/>
                    </w:rPr>
                  </w:pPr>
                  <w:r>
                    <w:rPr>
                      <w:color w:val="auto"/>
                      <w:sz w:val="21"/>
                      <w:szCs w:val="21"/>
                    </w:rPr>
                    <w:t>筒仓</w:t>
                  </w:r>
                </w:p>
              </w:tc>
              <w:tc>
                <w:tcPr>
                  <w:tcW w:w="1601" w:type="dxa"/>
                  <w:tcBorders>
                    <w:tl2br w:val="nil"/>
                    <w:tr2bl w:val="nil"/>
                  </w:tcBorders>
                  <w:vAlign w:val="center"/>
                </w:tcPr>
                <w:p w14:paraId="7F68816E">
                  <w:pPr>
                    <w:widowControl/>
                    <w:jc w:val="center"/>
                    <w:rPr>
                      <w:color w:val="auto"/>
                      <w:sz w:val="21"/>
                      <w:szCs w:val="21"/>
                    </w:rPr>
                  </w:pPr>
                  <w:r>
                    <w:rPr>
                      <w:color w:val="auto"/>
                      <w:sz w:val="21"/>
                      <w:szCs w:val="21"/>
                    </w:rPr>
                    <w:t>容积</w:t>
                  </w:r>
                </w:p>
              </w:tc>
              <w:tc>
                <w:tcPr>
                  <w:tcW w:w="1158" w:type="dxa"/>
                  <w:tcBorders>
                    <w:tl2br w:val="nil"/>
                    <w:tr2bl w:val="nil"/>
                  </w:tcBorders>
                  <w:vAlign w:val="center"/>
                </w:tcPr>
                <w:p w14:paraId="59637E90">
                  <w:pPr>
                    <w:widowControl/>
                    <w:jc w:val="center"/>
                    <w:rPr>
                      <w:rFonts w:hint="default" w:eastAsia="宋体"/>
                      <w:color w:val="auto"/>
                      <w:sz w:val="21"/>
                      <w:szCs w:val="21"/>
                      <w:lang w:val="en-US" w:eastAsia="zh-CN"/>
                    </w:rPr>
                  </w:pPr>
                  <w:r>
                    <w:rPr>
                      <w:rFonts w:hint="eastAsia"/>
                      <w:color w:val="auto"/>
                      <w:sz w:val="21"/>
                      <w:szCs w:val="21"/>
                      <w:lang w:val="en-US" w:eastAsia="zh-CN"/>
                    </w:rPr>
                    <w:t>300</w:t>
                  </w:r>
                </w:p>
              </w:tc>
              <w:tc>
                <w:tcPr>
                  <w:tcW w:w="1387" w:type="dxa"/>
                  <w:tcBorders>
                    <w:tl2br w:val="nil"/>
                    <w:tr2bl w:val="nil"/>
                  </w:tcBorders>
                  <w:vAlign w:val="center"/>
                </w:tcPr>
                <w:p w14:paraId="017DFFC8">
                  <w:pPr>
                    <w:widowControl/>
                    <w:jc w:val="center"/>
                    <w:rPr>
                      <w:color w:val="auto"/>
                      <w:sz w:val="21"/>
                      <w:szCs w:val="21"/>
                    </w:rPr>
                  </w:pPr>
                  <w:r>
                    <w:rPr>
                      <w:color w:val="auto"/>
                      <w:sz w:val="21"/>
                      <w:szCs w:val="21"/>
                    </w:rPr>
                    <w:t>m</w:t>
                  </w:r>
                  <w:r>
                    <w:rPr>
                      <w:color w:val="auto"/>
                      <w:sz w:val="21"/>
                      <w:szCs w:val="21"/>
                      <w:vertAlign w:val="superscript"/>
                    </w:rPr>
                    <w:t>3</w:t>
                  </w:r>
                </w:p>
              </w:tc>
              <w:tc>
                <w:tcPr>
                  <w:tcW w:w="916" w:type="dxa"/>
                  <w:tcBorders>
                    <w:tl2br w:val="nil"/>
                    <w:tr2bl w:val="nil"/>
                  </w:tcBorders>
                  <w:vAlign w:val="center"/>
                </w:tcPr>
                <w:p w14:paraId="39F34F21">
                  <w:pPr>
                    <w:widowControl/>
                    <w:jc w:val="center"/>
                    <w:rPr>
                      <w:rFonts w:hint="default" w:eastAsia="宋体"/>
                      <w:color w:val="auto"/>
                      <w:sz w:val="21"/>
                      <w:szCs w:val="21"/>
                      <w:lang w:val="en-US" w:eastAsia="zh-CN"/>
                    </w:rPr>
                  </w:pPr>
                  <w:r>
                    <w:rPr>
                      <w:rFonts w:hint="eastAsia"/>
                      <w:color w:val="auto"/>
                      <w:sz w:val="21"/>
                      <w:szCs w:val="21"/>
                      <w:lang w:val="en-US" w:eastAsia="zh-CN"/>
                    </w:rPr>
                    <w:t>5个</w:t>
                  </w:r>
                </w:p>
              </w:tc>
            </w:tr>
            <w:tr w14:paraId="1B6C6C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tcBorders>
                    <w:tl2br w:val="nil"/>
                    <w:tr2bl w:val="nil"/>
                  </w:tcBorders>
                  <w:vAlign w:val="center"/>
                </w:tcPr>
                <w:p w14:paraId="4F6ED754">
                  <w:pPr>
                    <w:widowControl/>
                    <w:snapToGrid w:val="0"/>
                    <w:jc w:val="center"/>
                    <w:rPr>
                      <w:color w:val="auto"/>
                      <w:sz w:val="21"/>
                      <w:szCs w:val="21"/>
                    </w:rPr>
                  </w:pPr>
                  <w:r>
                    <w:rPr>
                      <w:color w:val="auto"/>
                      <w:sz w:val="21"/>
                      <w:szCs w:val="21"/>
                    </w:rPr>
                    <w:t>3</w:t>
                  </w:r>
                </w:p>
              </w:tc>
              <w:tc>
                <w:tcPr>
                  <w:tcW w:w="1899" w:type="dxa"/>
                  <w:tcBorders>
                    <w:tl2br w:val="nil"/>
                    <w:tr2bl w:val="nil"/>
                  </w:tcBorders>
                  <w:vAlign w:val="center"/>
                </w:tcPr>
                <w:p w14:paraId="593FC005">
                  <w:pPr>
                    <w:widowControl/>
                    <w:jc w:val="center"/>
                    <w:rPr>
                      <w:color w:val="auto"/>
                      <w:sz w:val="21"/>
                      <w:szCs w:val="21"/>
                    </w:rPr>
                  </w:pPr>
                  <w:r>
                    <w:rPr>
                      <w:color w:val="auto"/>
                      <w:sz w:val="21"/>
                      <w:szCs w:val="21"/>
                    </w:rPr>
                    <w:t>泵车</w:t>
                  </w:r>
                </w:p>
              </w:tc>
              <w:tc>
                <w:tcPr>
                  <w:tcW w:w="1601" w:type="dxa"/>
                  <w:tcBorders>
                    <w:tl2br w:val="nil"/>
                    <w:tr2bl w:val="nil"/>
                  </w:tcBorders>
                  <w:vAlign w:val="center"/>
                </w:tcPr>
                <w:p w14:paraId="1ABF356C">
                  <w:pPr>
                    <w:widowControl/>
                    <w:jc w:val="center"/>
                    <w:rPr>
                      <w:color w:val="auto"/>
                      <w:sz w:val="21"/>
                      <w:szCs w:val="21"/>
                    </w:rPr>
                  </w:pPr>
                  <w:r>
                    <w:rPr>
                      <w:color w:val="auto"/>
                      <w:sz w:val="21"/>
                      <w:szCs w:val="21"/>
                    </w:rPr>
                    <w:t>容积</w:t>
                  </w:r>
                </w:p>
              </w:tc>
              <w:tc>
                <w:tcPr>
                  <w:tcW w:w="1158" w:type="dxa"/>
                  <w:tcBorders>
                    <w:tl2br w:val="nil"/>
                    <w:tr2bl w:val="nil"/>
                  </w:tcBorders>
                  <w:vAlign w:val="center"/>
                </w:tcPr>
                <w:p w14:paraId="32D5CA38">
                  <w:pPr>
                    <w:widowControl/>
                    <w:jc w:val="center"/>
                    <w:rPr>
                      <w:color w:val="auto"/>
                      <w:sz w:val="21"/>
                      <w:szCs w:val="21"/>
                    </w:rPr>
                  </w:pPr>
                  <w:r>
                    <w:rPr>
                      <w:color w:val="auto"/>
                      <w:sz w:val="21"/>
                      <w:szCs w:val="21"/>
                    </w:rPr>
                    <w:t>/</w:t>
                  </w:r>
                </w:p>
              </w:tc>
              <w:tc>
                <w:tcPr>
                  <w:tcW w:w="1387" w:type="dxa"/>
                  <w:tcBorders>
                    <w:tl2br w:val="nil"/>
                    <w:tr2bl w:val="nil"/>
                  </w:tcBorders>
                  <w:vAlign w:val="center"/>
                </w:tcPr>
                <w:p w14:paraId="364C968F">
                  <w:pPr>
                    <w:widowControl/>
                    <w:jc w:val="center"/>
                    <w:rPr>
                      <w:color w:val="auto"/>
                      <w:sz w:val="21"/>
                      <w:szCs w:val="21"/>
                    </w:rPr>
                  </w:pPr>
                  <w:r>
                    <w:rPr>
                      <w:color w:val="auto"/>
                      <w:sz w:val="21"/>
                      <w:szCs w:val="21"/>
                    </w:rPr>
                    <w:t>/</w:t>
                  </w:r>
                </w:p>
              </w:tc>
              <w:tc>
                <w:tcPr>
                  <w:tcW w:w="916" w:type="dxa"/>
                  <w:tcBorders>
                    <w:tl2br w:val="nil"/>
                    <w:tr2bl w:val="nil"/>
                  </w:tcBorders>
                  <w:vAlign w:val="center"/>
                </w:tcPr>
                <w:p w14:paraId="4A60E6A7">
                  <w:pPr>
                    <w:widowControl/>
                    <w:jc w:val="center"/>
                    <w:rPr>
                      <w:rFonts w:hint="default" w:eastAsia="宋体"/>
                      <w:color w:val="auto"/>
                      <w:sz w:val="21"/>
                      <w:szCs w:val="21"/>
                      <w:lang w:val="en-US" w:eastAsia="zh-CN"/>
                    </w:rPr>
                  </w:pPr>
                  <w:r>
                    <w:rPr>
                      <w:rFonts w:hint="eastAsia"/>
                      <w:color w:val="auto"/>
                      <w:sz w:val="21"/>
                      <w:szCs w:val="21"/>
                      <w:lang w:val="en-US" w:eastAsia="zh-CN"/>
                    </w:rPr>
                    <w:t>6辆</w:t>
                  </w:r>
                </w:p>
              </w:tc>
            </w:tr>
            <w:tr w14:paraId="180D11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tcBorders>
                    <w:tl2br w:val="nil"/>
                    <w:tr2bl w:val="nil"/>
                  </w:tcBorders>
                  <w:vAlign w:val="center"/>
                </w:tcPr>
                <w:p w14:paraId="232BA1AA">
                  <w:pPr>
                    <w:widowControl/>
                    <w:snapToGrid w:val="0"/>
                    <w:jc w:val="center"/>
                    <w:rPr>
                      <w:color w:val="auto"/>
                      <w:sz w:val="21"/>
                      <w:szCs w:val="21"/>
                    </w:rPr>
                  </w:pPr>
                  <w:r>
                    <w:rPr>
                      <w:color w:val="auto"/>
                      <w:sz w:val="21"/>
                      <w:szCs w:val="21"/>
                    </w:rPr>
                    <w:t>4</w:t>
                  </w:r>
                </w:p>
              </w:tc>
              <w:tc>
                <w:tcPr>
                  <w:tcW w:w="1899" w:type="dxa"/>
                  <w:tcBorders>
                    <w:tl2br w:val="nil"/>
                    <w:tr2bl w:val="nil"/>
                  </w:tcBorders>
                  <w:vAlign w:val="center"/>
                </w:tcPr>
                <w:p w14:paraId="0310774A">
                  <w:pPr>
                    <w:widowControl/>
                    <w:jc w:val="center"/>
                    <w:rPr>
                      <w:color w:val="auto"/>
                      <w:sz w:val="21"/>
                      <w:szCs w:val="21"/>
                    </w:rPr>
                  </w:pPr>
                  <w:r>
                    <w:rPr>
                      <w:color w:val="auto"/>
                      <w:sz w:val="21"/>
                      <w:szCs w:val="21"/>
                    </w:rPr>
                    <w:t>装载机</w:t>
                  </w:r>
                </w:p>
              </w:tc>
              <w:tc>
                <w:tcPr>
                  <w:tcW w:w="1601" w:type="dxa"/>
                  <w:tcBorders>
                    <w:tl2br w:val="nil"/>
                    <w:tr2bl w:val="nil"/>
                  </w:tcBorders>
                  <w:vAlign w:val="center"/>
                </w:tcPr>
                <w:p w14:paraId="66702B0C">
                  <w:pPr>
                    <w:widowControl/>
                    <w:jc w:val="center"/>
                    <w:rPr>
                      <w:color w:val="auto"/>
                      <w:sz w:val="21"/>
                      <w:szCs w:val="21"/>
                    </w:rPr>
                  </w:pPr>
                  <w:r>
                    <w:rPr>
                      <w:color w:val="auto"/>
                      <w:sz w:val="21"/>
                      <w:szCs w:val="21"/>
                    </w:rPr>
                    <w:t>容积</w:t>
                  </w:r>
                </w:p>
              </w:tc>
              <w:tc>
                <w:tcPr>
                  <w:tcW w:w="1158" w:type="dxa"/>
                  <w:tcBorders>
                    <w:tl2br w:val="nil"/>
                    <w:tr2bl w:val="nil"/>
                  </w:tcBorders>
                  <w:vAlign w:val="center"/>
                </w:tcPr>
                <w:p w14:paraId="6187C9AA">
                  <w:pPr>
                    <w:widowControl/>
                    <w:jc w:val="center"/>
                    <w:rPr>
                      <w:color w:val="auto"/>
                      <w:sz w:val="21"/>
                      <w:szCs w:val="21"/>
                    </w:rPr>
                  </w:pPr>
                  <w:r>
                    <w:rPr>
                      <w:color w:val="auto"/>
                      <w:sz w:val="21"/>
                      <w:szCs w:val="21"/>
                    </w:rPr>
                    <w:t>/</w:t>
                  </w:r>
                </w:p>
              </w:tc>
              <w:tc>
                <w:tcPr>
                  <w:tcW w:w="1387" w:type="dxa"/>
                  <w:tcBorders>
                    <w:tl2br w:val="nil"/>
                    <w:tr2bl w:val="nil"/>
                  </w:tcBorders>
                  <w:vAlign w:val="center"/>
                </w:tcPr>
                <w:p w14:paraId="6FD1381B">
                  <w:pPr>
                    <w:widowControl/>
                    <w:jc w:val="center"/>
                    <w:rPr>
                      <w:color w:val="auto"/>
                      <w:sz w:val="21"/>
                      <w:szCs w:val="21"/>
                    </w:rPr>
                  </w:pPr>
                  <w:r>
                    <w:rPr>
                      <w:color w:val="auto"/>
                      <w:sz w:val="21"/>
                      <w:szCs w:val="21"/>
                    </w:rPr>
                    <w:t>/</w:t>
                  </w:r>
                </w:p>
              </w:tc>
              <w:tc>
                <w:tcPr>
                  <w:tcW w:w="916" w:type="dxa"/>
                  <w:tcBorders>
                    <w:tl2br w:val="nil"/>
                    <w:tr2bl w:val="nil"/>
                  </w:tcBorders>
                  <w:vAlign w:val="center"/>
                </w:tcPr>
                <w:p w14:paraId="0FF1189B">
                  <w:pPr>
                    <w:widowControl/>
                    <w:jc w:val="center"/>
                    <w:rPr>
                      <w:rFonts w:hint="default" w:eastAsia="宋体"/>
                      <w:color w:val="auto"/>
                      <w:sz w:val="21"/>
                      <w:szCs w:val="21"/>
                      <w:lang w:val="en-US" w:eastAsia="zh-CN"/>
                    </w:rPr>
                  </w:pPr>
                  <w:r>
                    <w:rPr>
                      <w:rFonts w:hint="eastAsia"/>
                      <w:color w:val="auto"/>
                      <w:sz w:val="21"/>
                      <w:szCs w:val="21"/>
                      <w:lang w:val="en-US" w:eastAsia="zh-CN"/>
                    </w:rPr>
                    <w:t>2个</w:t>
                  </w:r>
                </w:p>
              </w:tc>
            </w:tr>
            <w:tr w14:paraId="59A1A7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tcBorders>
                    <w:tl2br w:val="nil"/>
                    <w:tr2bl w:val="nil"/>
                  </w:tcBorders>
                  <w:vAlign w:val="center"/>
                </w:tcPr>
                <w:p w14:paraId="50234588">
                  <w:pPr>
                    <w:widowControl/>
                    <w:snapToGrid w:val="0"/>
                    <w:jc w:val="center"/>
                    <w:rPr>
                      <w:color w:val="auto"/>
                      <w:sz w:val="21"/>
                      <w:szCs w:val="21"/>
                    </w:rPr>
                  </w:pPr>
                  <w:r>
                    <w:rPr>
                      <w:color w:val="auto"/>
                      <w:sz w:val="21"/>
                      <w:szCs w:val="21"/>
                    </w:rPr>
                    <w:t>5</w:t>
                  </w:r>
                </w:p>
              </w:tc>
              <w:tc>
                <w:tcPr>
                  <w:tcW w:w="1899" w:type="dxa"/>
                  <w:tcBorders>
                    <w:tl2br w:val="nil"/>
                    <w:tr2bl w:val="nil"/>
                  </w:tcBorders>
                  <w:vAlign w:val="center"/>
                </w:tcPr>
                <w:p w14:paraId="6B680EAC">
                  <w:pPr>
                    <w:widowControl/>
                    <w:jc w:val="center"/>
                    <w:rPr>
                      <w:color w:val="auto"/>
                      <w:sz w:val="21"/>
                      <w:szCs w:val="21"/>
                    </w:rPr>
                  </w:pPr>
                  <w:r>
                    <w:rPr>
                      <w:color w:val="auto"/>
                      <w:sz w:val="21"/>
                      <w:szCs w:val="21"/>
                    </w:rPr>
                    <w:t>混凝土罐车</w:t>
                  </w:r>
                </w:p>
              </w:tc>
              <w:tc>
                <w:tcPr>
                  <w:tcW w:w="1601" w:type="dxa"/>
                  <w:tcBorders>
                    <w:tl2br w:val="nil"/>
                    <w:tr2bl w:val="nil"/>
                  </w:tcBorders>
                  <w:vAlign w:val="center"/>
                </w:tcPr>
                <w:p w14:paraId="1C39857C">
                  <w:pPr>
                    <w:widowControl/>
                    <w:jc w:val="center"/>
                    <w:rPr>
                      <w:color w:val="auto"/>
                      <w:sz w:val="21"/>
                      <w:szCs w:val="21"/>
                    </w:rPr>
                  </w:pPr>
                  <w:r>
                    <w:rPr>
                      <w:color w:val="auto"/>
                      <w:sz w:val="21"/>
                      <w:szCs w:val="21"/>
                    </w:rPr>
                    <w:t>容积</w:t>
                  </w:r>
                </w:p>
              </w:tc>
              <w:tc>
                <w:tcPr>
                  <w:tcW w:w="1158" w:type="dxa"/>
                  <w:tcBorders>
                    <w:tl2br w:val="nil"/>
                    <w:tr2bl w:val="nil"/>
                  </w:tcBorders>
                  <w:vAlign w:val="center"/>
                </w:tcPr>
                <w:p w14:paraId="49DC734A">
                  <w:pPr>
                    <w:widowControl/>
                    <w:jc w:val="center"/>
                    <w:rPr>
                      <w:color w:val="auto"/>
                      <w:sz w:val="21"/>
                      <w:szCs w:val="21"/>
                    </w:rPr>
                  </w:pPr>
                  <w:r>
                    <w:rPr>
                      <w:color w:val="auto"/>
                      <w:sz w:val="21"/>
                      <w:szCs w:val="21"/>
                    </w:rPr>
                    <w:t>/</w:t>
                  </w:r>
                </w:p>
              </w:tc>
              <w:tc>
                <w:tcPr>
                  <w:tcW w:w="1387" w:type="dxa"/>
                  <w:tcBorders>
                    <w:tl2br w:val="nil"/>
                    <w:tr2bl w:val="nil"/>
                  </w:tcBorders>
                  <w:vAlign w:val="center"/>
                </w:tcPr>
                <w:p w14:paraId="59FA92EC">
                  <w:pPr>
                    <w:widowControl/>
                    <w:jc w:val="center"/>
                    <w:rPr>
                      <w:color w:val="auto"/>
                      <w:sz w:val="21"/>
                      <w:szCs w:val="21"/>
                    </w:rPr>
                  </w:pPr>
                  <w:r>
                    <w:rPr>
                      <w:color w:val="auto"/>
                      <w:sz w:val="21"/>
                      <w:szCs w:val="21"/>
                    </w:rPr>
                    <w:t>/</w:t>
                  </w:r>
                </w:p>
              </w:tc>
              <w:tc>
                <w:tcPr>
                  <w:tcW w:w="916" w:type="dxa"/>
                  <w:tcBorders>
                    <w:tl2br w:val="nil"/>
                    <w:tr2bl w:val="nil"/>
                  </w:tcBorders>
                  <w:vAlign w:val="center"/>
                </w:tcPr>
                <w:p w14:paraId="21946D3B">
                  <w:pPr>
                    <w:widowControl/>
                    <w:jc w:val="center"/>
                    <w:rPr>
                      <w:rFonts w:hint="default" w:eastAsia="宋体"/>
                      <w:color w:val="auto"/>
                      <w:sz w:val="21"/>
                      <w:szCs w:val="21"/>
                      <w:lang w:val="en-US" w:eastAsia="zh-CN"/>
                    </w:rPr>
                  </w:pPr>
                  <w:r>
                    <w:rPr>
                      <w:rFonts w:hint="eastAsia"/>
                      <w:color w:val="auto"/>
                      <w:sz w:val="21"/>
                      <w:szCs w:val="21"/>
                      <w:lang w:val="en-US" w:eastAsia="zh-CN"/>
                    </w:rPr>
                    <w:t>15辆</w:t>
                  </w:r>
                </w:p>
              </w:tc>
            </w:tr>
            <w:tr w14:paraId="266036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 w:type="dxa"/>
                  <w:tcBorders>
                    <w:tl2br w:val="nil"/>
                    <w:tr2bl w:val="nil"/>
                  </w:tcBorders>
                  <w:vAlign w:val="center"/>
                </w:tcPr>
                <w:p w14:paraId="4DC153FC">
                  <w:pPr>
                    <w:widowControl/>
                    <w:snapToGrid w:val="0"/>
                    <w:jc w:val="center"/>
                    <w:rPr>
                      <w:rFonts w:hint="eastAsia" w:eastAsia="宋体"/>
                      <w:color w:val="auto"/>
                      <w:sz w:val="21"/>
                      <w:szCs w:val="21"/>
                      <w:lang w:val="en-US" w:eastAsia="zh-CN"/>
                    </w:rPr>
                  </w:pPr>
                  <w:r>
                    <w:rPr>
                      <w:rFonts w:hint="eastAsia"/>
                      <w:color w:val="auto"/>
                      <w:sz w:val="21"/>
                      <w:szCs w:val="21"/>
                      <w:lang w:val="en-US" w:eastAsia="zh-CN"/>
                    </w:rPr>
                    <w:t>6</w:t>
                  </w:r>
                </w:p>
              </w:tc>
              <w:tc>
                <w:tcPr>
                  <w:tcW w:w="1899" w:type="dxa"/>
                  <w:tcBorders>
                    <w:tl2br w:val="nil"/>
                    <w:tr2bl w:val="nil"/>
                  </w:tcBorders>
                  <w:vAlign w:val="center"/>
                </w:tcPr>
                <w:p w14:paraId="0F3F6D32">
                  <w:pPr>
                    <w:widowControl/>
                    <w:jc w:val="center"/>
                    <w:rPr>
                      <w:rFonts w:hint="eastAsia" w:eastAsia="宋体"/>
                      <w:color w:val="auto"/>
                      <w:sz w:val="21"/>
                      <w:szCs w:val="21"/>
                      <w:lang w:val="en-US" w:eastAsia="zh-CN"/>
                    </w:rPr>
                  </w:pPr>
                  <w:r>
                    <w:rPr>
                      <w:rFonts w:hint="eastAsia"/>
                      <w:color w:val="auto"/>
                      <w:sz w:val="21"/>
                      <w:szCs w:val="21"/>
                      <w:lang w:val="en-US" w:eastAsia="zh-CN"/>
                    </w:rPr>
                    <w:t>储水罐</w:t>
                  </w:r>
                </w:p>
              </w:tc>
              <w:tc>
                <w:tcPr>
                  <w:tcW w:w="1601" w:type="dxa"/>
                  <w:tcBorders>
                    <w:tl2br w:val="nil"/>
                    <w:tr2bl w:val="nil"/>
                  </w:tcBorders>
                  <w:vAlign w:val="center"/>
                </w:tcPr>
                <w:p w14:paraId="13149B2F">
                  <w:pPr>
                    <w:widowControl/>
                    <w:jc w:val="center"/>
                    <w:rPr>
                      <w:rFonts w:hint="eastAsia" w:eastAsia="宋体"/>
                      <w:color w:val="auto"/>
                      <w:sz w:val="21"/>
                      <w:szCs w:val="21"/>
                      <w:lang w:val="en-US" w:eastAsia="zh-CN"/>
                    </w:rPr>
                  </w:pPr>
                  <w:r>
                    <w:rPr>
                      <w:rFonts w:hint="eastAsia"/>
                      <w:color w:val="auto"/>
                      <w:sz w:val="21"/>
                      <w:szCs w:val="21"/>
                      <w:lang w:val="en-US" w:eastAsia="zh-CN"/>
                    </w:rPr>
                    <w:t>容积</w:t>
                  </w:r>
                </w:p>
              </w:tc>
              <w:tc>
                <w:tcPr>
                  <w:tcW w:w="1158" w:type="dxa"/>
                  <w:tcBorders>
                    <w:tl2br w:val="nil"/>
                    <w:tr2bl w:val="nil"/>
                  </w:tcBorders>
                  <w:vAlign w:val="center"/>
                </w:tcPr>
                <w:p w14:paraId="1A7735BE">
                  <w:pPr>
                    <w:widowControl/>
                    <w:jc w:val="center"/>
                    <w:rPr>
                      <w:rFonts w:hint="default" w:eastAsia="宋体"/>
                      <w:color w:val="auto"/>
                      <w:sz w:val="21"/>
                      <w:szCs w:val="21"/>
                      <w:lang w:val="en-US" w:eastAsia="zh-CN"/>
                    </w:rPr>
                  </w:pPr>
                  <w:r>
                    <w:rPr>
                      <w:rFonts w:hint="eastAsia"/>
                      <w:color w:val="auto"/>
                      <w:sz w:val="21"/>
                      <w:szCs w:val="21"/>
                      <w:lang w:val="en-US" w:eastAsia="zh-CN"/>
                    </w:rPr>
                    <w:t>300</w:t>
                  </w:r>
                </w:p>
              </w:tc>
              <w:tc>
                <w:tcPr>
                  <w:tcW w:w="1387" w:type="dxa"/>
                  <w:tcBorders>
                    <w:tl2br w:val="nil"/>
                    <w:tr2bl w:val="nil"/>
                  </w:tcBorders>
                  <w:vAlign w:val="center"/>
                </w:tcPr>
                <w:p w14:paraId="0FAB5E4F">
                  <w:pPr>
                    <w:widowControl/>
                    <w:jc w:val="center"/>
                    <w:rPr>
                      <w:rFonts w:hint="default" w:eastAsia="宋体"/>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916" w:type="dxa"/>
                  <w:tcBorders>
                    <w:tl2br w:val="nil"/>
                    <w:tr2bl w:val="nil"/>
                  </w:tcBorders>
                  <w:vAlign w:val="center"/>
                </w:tcPr>
                <w:p w14:paraId="4E9CDD54">
                  <w:pPr>
                    <w:widowControl/>
                    <w:jc w:val="center"/>
                    <w:rPr>
                      <w:rFonts w:hint="default"/>
                      <w:color w:val="auto"/>
                      <w:sz w:val="21"/>
                      <w:szCs w:val="21"/>
                      <w:lang w:val="en-US" w:eastAsia="zh-CN"/>
                    </w:rPr>
                  </w:pPr>
                  <w:r>
                    <w:rPr>
                      <w:rFonts w:hint="eastAsia"/>
                      <w:color w:val="auto"/>
                      <w:sz w:val="21"/>
                      <w:szCs w:val="21"/>
                      <w:lang w:val="en-US" w:eastAsia="zh-CN"/>
                    </w:rPr>
                    <w:t>2个</w:t>
                  </w:r>
                </w:p>
              </w:tc>
            </w:tr>
          </w:tbl>
          <w:p w14:paraId="04C9BE2F">
            <w:pPr>
              <w:numPr>
                <w:ilvl w:val="0"/>
                <w:numId w:val="4"/>
              </w:numPr>
              <w:spacing w:line="360" w:lineRule="auto"/>
              <w:ind w:left="0" w:leftChars="0" w:firstLine="0" w:firstLineChars="0"/>
              <w:rPr>
                <w:b/>
                <w:bCs/>
                <w:color w:val="auto"/>
                <w:sz w:val="24"/>
              </w:rPr>
            </w:pPr>
            <w:r>
              <w:rPr>
                <w:b/>
                <w:bCs/>
                <w:color w:val="auto"/>
                <w:sz w:val="24"/>
              </w:rPr>
              <w:t>原辅材料消耗情况</w:t>
            </w:r>
          </w:p>
          <w:p w14:paraId="4696097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本项目主要原料为水泥、砂石、外加剂、粉煤灰、矿粉、水等，供货渠道根据生产情况与企业实际情况进行选择、货源充足。本项目主要原辅材料消耗情况见表2-3。</w:t>
            </w:r>
          </w:p>
          <w:p w14:paraId="293C8EF1">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表2-3    本项目原辅材料消耗情况一览表</w:t>
            </w:r>
          </w:p>
          <w:tbl>
            <w:tblPr>
              <w:tblStyle w:val="22"/>
              <w:tblW w:w="477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44"/>
              <w:gridCol w:w="1059"/>
              <w:gridCol w:w="1476"/>
              <w:gridCol w:w="1528"/>
              <w:gridCol w:w="1325"/>
            </w:tblGrid>
            <w:tr w14:paraId="78106D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vAlign w:val="center"/>
                </w:tcPr>
                <w:p w14:paraId="4FB4B491">
                  <w:pPr>
                    <w:pStyle w:val="37"/>
                    <w:rPr>
                      <w:color w:val="auto"/>
                      <w:sz w:val="21"/>
                      <w:szCs w:val="21"/>
                    </w:rPr>
                  </w:pPr>
                  <w:r>
                    <w:rPr>
                      <w:color w:val="auto"/>
                      <w:sz w:val="21"/>
                      <w:szCs w:val="21"/>
                    </w:rPr>
                    <w:t>序号</w:t>
                  </w:r>
                </w:p>
              </w:tc>
              <w:tc>
                <w:tcPr>
                  <w:tcW w:w="764" w:type="pct"/>
                  <w:vAlign w:val="center"/>
                </w:tcPr>
                <w:p w14:paraId="00EA0C52">
                  <w:pPr>
                    <w:pStyle w:val="36"/>
                    <w:rPr>
                      <w:color w:val="auto"/>
                      <w:sz w:val="21"/>
                      <w:szCs w:val="21"/>
                    </w:rPr>
                  </w:pPr>
                  <w:r>
                    <w:rPr>
                      <w:color w:val="auto"/>
                      <w:sz w:val="21"/>
                      <w:szCs w:val="21"/>
                    </w:rPr>
                    <w:t>种类</w:t>
                  </w:r>
                </w:p>
              </w:tc>
              <w:tc>
                <w:tcPr>
                  <w:tcW w:w="707" w:type="pct"/>
                  <w:vAlign w:val="center"/>
                </w:tcPr>
                <w:p w14:paraId="39954E95">
                  <w:pPr>
                    <w:pStyle w:val="36"/>
                    <w:rPr>
                      <w:color w:val="auto"/>
                      <w:sz w:val="21"/>
                      <w:szCs w:val="21"/>
                    </w:rPr>
                  </w:pPr>
                  <w:r>
                    <w:rPr>
                      <w:color w:val="auto"/>
                      <w:sz w:val="21"/>
                      <w:szCs w:val="21"/>
                    </w:rPr>
                    <w:t>名称</w:t>
                  </w:r>
                </w:p>
              </w:tc>
              <w:tc>
                <w:tcPr>
                  <w:tcW w:w="985" w:type="pct"/>
                  <w:vAlign w:val="center"/>
                </w:tcPr>
                <w:p w14:paraId="29C42BBE">
                  <w:pPr>
                    <w:pStyle w:val="36"/>
                    <w:rPr>
                      <w:color w:val="auto"/>
                      <w:sz w:val="21"/>
                      <w:szCs w:val="21"/>
                    </w:rPr>
                  </w:pPr>
                  <w:r>
                    <w:rPr>
                      <w:color w:val="auto"/>
                      <w:sz w:val="21"/>
                      <w:szCs w:val="21"/>
                    </w:rPr>
                    <w:t>年消耗量</w:t>
                  </w:r>
                </w:p>
                <w:p w14:paraId="4D3AB7E0">
                  <w:pPr>
                    <w:pStyle w:val="36"/>
                    <w:rPr>
                      <w:color w:val="auto"/>
                      <w:sz w:val="21"/>
                      <w:szCs w:val="21"/>
                    </w:rPr>
                  </w:pPr>
                  <w:r>
                    <w:rPr>
                      <w:color w:val="auto"/>
                      <w:sz w:val="21"/>
                      <w:szCs w:val="21"/>
                    </w:rPr>
                    <w:t>（t/a）</w:t>
                  </w:r>
                </w:p>
              </w:tc>
              <w:tc>
                <w:tcPr>
                  <w:tcW w:w="1020" w:type="pct"/>
                  <w:tcBorders>
                    <w:bottom w:val="single" w:color="auto" w:sz="12" w:space="0"/>
                  </w:tcBorders>
                  <w:vAlign w:val="center"/>
                </w:tcPr>
                <w:p w14:paraId="554970A2">
                  <w:pPr>
                    <w:pStyle w:val="37"/>
                    <w:rPr>
                      <w:color w:val="auto"/>
                      <w:sz w:val="21"/>
                      <w:szCs w:val="21"/>
                    </w:rPr>
                  </w:pPr>
                  <w:r>
                    <w:rPr>
                      <w:color w:val="auto"/>
                      <w:sz w:val="21"/>
                      <w:szCs w:val="21"/>
                    </w:rPr>
                    <w:t>储运</w:t>
                  </w:r>
                </w:p>
                <w:p w14:paraId="75A84C63">
                  <w:pPr>
                    <w:pStyle w:val="37"/>
                    <w:rPr>
                      <w:color w:val="auto"/>
                      <w:sz w:val="21"/>
                      <w:szCs w:val="21"/>
                    </w:rPr>
                  </w:pPr>
                  <w:r>
                    <w:rPr>
                      <w:color w:val="auto"/>
                      <w:sz w:val="21"/>
                      <w:szCs w:val="21"/>
                    </w:rPr>
                    <w:t>方式</w:t>
                  </w:r>
                </w:p>
              </w:tc>
              <w:tc>
                <w:tcPr>
                  <w:tcW w:w="884" w:type="pct"/>
                  <w:tcBorders>
                    <w:bottom w:val="single" w:color="auto" w:sz="12" w:space="0"/>
                  </w:tcBorders>
                  <w:vAlign w:val="center"/>
                </w:tcPr>
                <w:p w14:paraId="7DB942F1">
                  <w:pPr>
                    <w:pStyle w:val="37"/>
                    <w:rPr>
                      <w:color w:val="auto"/>
                      <w:sz w:val="21"/>
                      <w:szCs w:val="21"/>
                    </w:rPr>
                  </w:pPr>
                  <w:r>
                    <w:rPr>
                      <w:color w:val="auto"/>
                      <w:sz w:val="21"/>
                      <w:szCs w:val="21"/>
                    </w:rPr>
                    <w:t>备注</w:t>
                  </w:r>
                </w:p>
              </w:tc>
            </w:tr>
            <w:tr w14:paraId="54B790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tcBorders>
                    <w:top w:val="single" w:color="auto" w:sz="12" w:space="0"/>
                    <w:tl2br w:val="nil"/>
                    <w:tr2bl w:val="nil"/>
                  </w:tcBorders>
                  <w:vAlign w:val="center"/>
                </w:tcPr>
                <w:p w14:paraId="011060B3">
                  <w:pPr>
                    <w:pStyle w:val="37"/>
                    <w:rPr>
                      <w:color w:val="auto"/>
                      <w:sz w:val="21"/>
                      <w:szCs w:val="21"/>
                    </w:rPr>
                  </w:pPr>
                  <w:r>
                    <w:rPr>
                      <w:color w:val="auto"/>
                      <w:sz w:val="21"/>
                      <w:szCs w:val="21"/>
                    </w:rPr>
                    <w:t>1</w:t>
                  </w:r>
                </w:p>
              </w:tc>
              <w:tc>
                <w:tcPr>
                  <w:tcW w:w="764" w:type="pct"/>
                  <w:vMerge w:val="restart"/>
                  <w:tcBorders>
                    <w:top w:val="single" w:color="auto" w:sz="12" w:space="0"/>
                    <w:tl2br w:val="nil"/>
                    <w:tr2bl w:val="nil"/>
                  </w:tcBorders>
                  <w:vAlign w:val="center"/>
                </w:tcPr>
                <w:p w14:paraId="4556E67D">
                  <w:pPr>
                    <w:adjustRightInd w:val="0"/>
                    <w:snapToGrid w:val="0"/>
                    <w:spacing w:line="360" w:lineRule="exact"/>
                    <w:jc w:val="center"/>
                    <w:rPr>
                      <w:color w:val="auto"/>
                      <w:sz w:val="21"/>
                      <w:szCs w:val="21"/>
                    </w:rPr>
                  </w:pPr>
                  <w:r>
                    <w:rPr>
                      <w:color w:val="auto"/>
                      <w:sz w:val="21"/>
                      <w:szCs w:val="21"/>
                    </w:rPr>
                    <w:t>原料</w:t>
                  </w:r>
                </w:p>
                <w:p w14:paraId="7F8368B6">
                  <w:pPr>
                    <w:adjustRightInd w:val="0"/>
                    <w:snapToGrid w:val="0"/>
                    <w:spacing w:line="360" w:lineRule="exact"/>
                    <w:jc w:val="center"/>
                    <w:rPr>
                      <w:color w:val="auto"/>
                      <w:sz w:val="21"/>
                      <w:szCs w:val="21"/>
                    </w:rPr>
                  </w:pPr>
                </w:p>
              </w:tc>
              <w:tc>
                <w:tcPr>
                  <w:tcW w:w="707" w:type="pct"/>
                  <w:tcBorders>
                    <w:top w:val="single" w:color="auto" w:sz="12" w:space="0"/>
                    <w:tl2br w:val="nil"/>
                    <w:tr2bl w:val="nil"/>
                  </w:tcBorders>
                  <w:vAlign w:val="center"/>
                </w:tcPr>
                <w:p w14:paraId="3160A785">
                  <w:pPr>
                    <w:adjustRightInd w:val="0"/>
                    <w:snapToGrid w:val="0"/>
                    <w:spacing w:line="360" w:lineRule="exact"/>
                    <w:jc w:val="center"/>
                    <w:rPr>
                      <w:color w:val="auto"/>
                      <w:sz w:val="21"/>
                      <w:szCs w:val="21"/>
                    </w:rPr>
                  </w:pPr>
                  <w:r>
                    <w:rPr>
                      <w:color w:val="auto"/>
                      <w:sz w:val="21"/>
                      <w:szCs w:val="21"/>
                    </w:rPr>
                    <w:t>水泥</w:t>
                  </w:r>
                </w:p>
              </w:tc>
              <w:tc>
                <w:tcPr>
                  <w:tcW w:w="985" w:type="pct"/>
                  <w:tcBorders>
                    <w:top w:val="single" w:color="auto" w:sz="12" w:space="0"/>
                    <w:tl2br w:val="nil"/>
                    <w:tr2bl w:val="nil"/>
                  </w:tcBorders>
                  <w:vAlign w:val="center"/>
                </w:tcPr>
                <w:p w14:paraId="07D96DBE">
                  <w:pPr>
                    <w:adjustRightInd w:val="0"/>
                    <w:snapToGrid w:val="0"/>
                    <w:spacing w:line="360" w:lineRule="exact"/>
                    <w:jc w:val="center"/>
                    <w:rPr>
                      <w:rFonts w:hint="default" w:eastAsia="宋体"/>
                      <w:color w:val="auto"/>
                      <w:sz w:val="21"/>
                      <w:szCs w:val="21"/>
                      <w:lang w:val="en-US" w:eastAsia="zh-CN"/>
                    </w:rPr>
                  </w:pPr>
                  <w:r>
                    <w:rPr>
                      <w:rFonts w:hint="eastAsia"/>
                      <w:color w:val="auto"/>
                      <w:sz w:val="21"/>
                      <w:szCs w:val="21"/>
                      <w:lang w:val="en-US" w:eastAsia="zh-CN"/>
                    </w:rPr>
                    <w:t>85620</w:t>
                  </w:r>
                </w:p>
              </w:tc>
              <w:tc>
                <w:tcPr>
                  <w:tcW w:w="1020" w:type="pct"/>
                  <w:tcBorders>
                    <w:top w:val="single" w:color="auto" w:sz="12" w:space="0"/>
                  </w:tcBorders>
                  <w:vAlign w:val="center"/>
                </w:tcPr>
                <w:p w14:paraId="46A970A4">
                  <w:pPr>
                    <w:pStyle w:val="37"/>
                    <w:rPr>
                      <w:color w:val="auto"/>
                      <w:sz w:val="21"/>
                      <w:szCs w:val="21"/>
                    </w:rPr>
                  </w:pPr>
                  <w:r>
                    <w:rPr>
                      <w:color w:val="auto"/>
                      <w:sz w:val="21"/>
                      <w:szCs w:val="21"/>
                    </w:rPr>
                    <w:t>筒仓</w:t>
                  </w:r>
                </w:p>
              </w:tc>
              <w:tc>
                <w:tcPr>
                  <w:tcW w:w="884" w:type="pct"/>
                  <w:tcBorders>
                    <w:top w:val="single" w:color="auto" w:sz="12" w:space="0"/>
                  </w:tcBorders>
                  <w:vAlign w:val="center"/>
                </w:tcPr>
                <w:p w14:paraId="6D8DCA72">
                  <w:pPr>
                    <w:pStyle w:val="37"/>
                    <w:rPr>
                      <w:color w:val="auto"/>
                      <w:sz w:val="21"/>
                      <w:szCs w:val="21"/>
                    </w:rPr>
                  </w:pPr>
                  <w:r>
                    <w:rPr>
                      <w:color w:val="auto"/>
                      <w:sz w:val="21"/>
                      <w:szCs w:val="21"/>
                    </w:rPr>
                    <w:t>外购</w:t>
                  </w:r>
                </w:p>
              </w:tc>
            </w:tr>
            <w:tr w14:paraId="1A7E91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tcBorders>
                    <w:tl2br w:val="nil"/>
                    <w:tr2bl w:val="nil"/>
                  </w:tcBorders>
                  <w:vAlign w:val="center"/>
                </w:tcPr>
                <w:p w14:paraId="2AA33435">
                  <w:pPr>
                    <w:pStyle w:val="37"/>
                    <w:rPr>
                      <w:color w:val="auto"/>
                      <w:sz w:val="21"/>
                      <w:szCs w:val="21"/>
                    </w:rPr>
                  </w:pPr>
                </w:p>
              </w:tc>
              <w:tc>
                <w:tcPr>
                  <w:tcW w:w="764" w:type="pct"/>
                  <w:vMerge w:val="continue"/>
                  <w:tcBorders>
                    <w:tl2br w:val="nil"/>
                    <w:tr2bl w:val="nil"/>
                  </w:tcBorders>
                  <w:vAlign w:val="center"/>
                </w:tcPr>
                <w:p w14:paraId="15FFF406">
                  <w:pPr>
                    <w:adjustRightInd w:val="0"/>
                    <w:snapToGrid w:val="0"/>
                    <w:spacing w:line="360" w:lineRule="exact"/>
                    <w:jc w:val="center"/>
                    <w:rPr>
                      <w:color w:val="auto"/>
                      <w:sz w:val="21"/>
                      <w:szCs w:val="21"/>
                    </w:rPr>
                  </w:pPr>
                </w:p>
              </w:tc>
              <w:tc>
                <w:tcPr>
                  <w:tcW w:w="707" w:type="pct"/>
                  <w:tcBorders>
                    <w:tl2br w:val="nil"/>
                    <w:tr2bl w:val="nil"/>
                  </w:tcBorders>
                  <w:vAlign w:val="center"/>
                </w:tcPr>
                <w:p w14:paraId="4C18E3C1">
                  <w:pPr>
                    <w:adjustRightInd w:val="0"/>
                    <w:snapToGrid w:val="0"/>
                    <w:spacing w:line="360" w:lineRule="exact"/>
                    <w:jc w:val="center"/>
                    <w:rPr>
                      <w:color w:val="auto"/>
                      <w:sz w:val="21"/>
                      <w:szCs w:val="21"/>
                    </w:rPr>
                  </w:pPr>
                  <w:r>
                    <w:rPr>
                      <w:color w:val="auto"/>
                      <w:sz w:val="21"/>
                      <w:szCs w:val="21"/>
                    </w:rPr>
                    <w:t>粉煤灰</w:t>
                  </w:r>
                </w:p>
              </w:tc>
              <w:tc>
                <w:tcPr>
                  <w:tcW w:w="985" w:type="pct"/>
                  <w:tcBorders>
                    <w:tl2br w:val="nil"/>
                    <w:tr2bl w:val="nil"/>
                  </w:tcBorders>
                  <w:vAlign w:val="center"/>
                </w:tcPr>
                <w:p w14:paraId="7D207F02">
                  <w:pPr>
                    <w:adjustRightInd w:val="0"/>
                    <w:snapToGrid w:val="0"/>
                    <w:spacing w:line="360" w:lineRule="exact"/>
                    <w:jc w:val="center"/>
                    <w:rPr>
                      <w:rFonts w:hint="default" w:eastAsia="宋体"/>
                      <w:color w:val="auto"/>
                      <w:sz w:val="21"/>
                      <w:szCs w:val="21"/>
                      <w:lang w:val="en-US" w:eastAsia="zh-CN"/>
                    </w:rPr>
                  </w:pPr>
                  <w:r>
                    <w:rPr>
                      <w:rFonts w:hint="eastAsia"/>
                      <w:color w:val="auto"/>
                      <w:sz w:val="21"/>
                      <w:szCs w:val="21"/>
                      <w:lang w:val="en-US" w:eastAsia="zh-CN"/>
                    </w:rPr>
                    <w:t>43432</w:t>
                  </w:r>
                </w:p>
              </w:tc>
              <w:tc>
                <w:tcPr>
                  <w:tcW w:w="1020" w:type="pct"/>
                  <w:tcBorders>
                    <w:tl2br w:val="nil"/>
                    <w:tr2bl w:val="nil"/>
                  </w:tcBorders>
                  <w:vAlign w:val="center"/>
                </w:tcPr>
                <w:p w14:paraId="29ADB4A4">
                  <w:pPr>
                    <w:jc w:val="center"/>
                    <w:rPr>
                      <w:color w:val="auto"/>
                      <w:sz w:val="21"/>
                      <w:szCs w:val="21"/>
                    </w:rPr>
                  </w:pPr>
                  <w:r>
                    <w:rPr>
                      <w:color w:val="auto"/>
                      <w:sz w:val="21"/>
                      <w:szCs w:val="21"/>
                    </w:rPr>
                    <w:t>筒仓</w:t>
                  </w:r>
                </w:p>
              </w:tc>
              <w:tc>
                <w:tcPr>
                  <w:tcW w:w="884" w:type="pct"/>
                  <w:tcBorders>
                    <w:tl2br w:val="nil"/>
                    <w:tr2bl w:val="nil"/>
                  </w:tcBorders>
                  <w:vAlign w:val="center"/>
                </w:tcPr>
                <w:p w14:paraId="69534588">
                  <w:pPr>
                    <w:pStyle w:val="37"/>
                    <w:rPr>
                      <w:color w:val="auto"/>
                      <w:sz w:val="21"/>
                      <w:szCs w:val="21"/>
                    </w:rPr>
                  </w:pPr>
                  <w:r>
                    <w:rPr>
                      <w:color w:val="auto"/>
                      <w:sz w:val="21"/>
                      <w:szCs w:val="21"/>
                    </w:rPr>
                    <w:t>外购</w:t>
                  </w:r>
                </w:p>
              </w:tc>
            </w:tr>
            <w:tr w14:paraId="177D92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tcBorders>
                    <w:tl2br w:val="nil"/>
                    <w:tr2bl w:val="nil"/>
                  </w:tcBorders>
                  <w:vAlign w:val="center"/>
                </w:tcPr>
                <w:p w14:paraId="67151209">
                  <w:pPr>
                    <w:pStyle w:val="37"/>
                    <w:rPr>
                      <w:color w:val="auto"/>
                      <w:sz w:val="21"/>
                      <w:szCs w:val="21"/>
                    </w:rPr>
                  </w:pPr>
                  <w:r>
                    <w:rPr>
                      <w:color w:val="auto"/>
                      <w:sz w:val="21"/>
                      <w:szCs w:val="21"/>
                    </w:rPr>
                    <w:t>2</w:t>
                  </w:r>
                </w:p>
              </w:tc>
              <w:tc>
                <w:tcPr>
                  <w:tcW w:w="764" w:type="pct"/>
                  <w:vMerge w:val="continue"/>
                  <w:tcBorders>
                    <w:tl2br w:val="nil"/>
                    <w:tr2bl w:val="nil"/>
                  </w:tcBorders>
                  <w:vAlign w:val="center"/>
                </w:tcPr>
                <w:p w14:paraId="061F9D6A">
                  <w:pPr>
                    <w:adjustRightInd w:val="0"/>
                    <w:snapToGrid w:val="0"/>
                    <w:spacing w:line="360" w:lineRule="exact"/>
                    <w:jc w:val="center"/>
                    <w:rPr>
                      <w:color w:val="auto"/>
                      <w:sz w:val="21"/>
                      <w:szCs w:val="21"/>
                    </w:rPr>
                  </w:pPr>
                </w:p>
              </w:tc>
              <w:tc>
                <w:tcPr>
                  <w:tcW w:w="707" w:type="pct"/>
                  <w:tcBorders>
                    <w:tl2br w:val="nil"/>
                    <w:tr2bl w:val="nil"/>
                  </w:tcBorders>
                  <w:vAlign w:val="center"/>
                </w:tcPr>
                <w:p w14:paraId="786B1B2F">
                  <w:pPr>
                    <w:adjustRightInd w:val="0"/>
                    <w:snapToGrid w:val="0"/>
                    <w:spacing w:line="360" w:lineRule="exact"/>
                    <w:jc w:val="center"/>
                    <w:rPr>
                      <w:color w:val="auto"/>
                      <w:sz w:val="21"/>
                      <w:szCs w:val="21"/>
                    </w:rPr>
                  </w:pPr>
                  <w:r>
                    <w:rPr>
                      <w:color w:val="auto"/>
                      <w:sz w:val="21"/>
                      <w:szCs w:val="21"/>
                    </w:rPr>
                    <w:t>砂子</w:t>
                  </w:r>
                </w:p>
              </w:tc>
              <w:tc>
                <w:tcPr>
                  <w:tcW w:w="985" w:type="pct"/>
                  <w:tcBorders>
                    <w:tl2br w:val="nil"/>
                    <w:tr2bl w:val="nil"/>
                  </w:tcBorders>
                  <w:vAlign w:val="center"/>
                </w:tcPr>
                <w:p w14:paraId="423B936A">
                  <w:pPr>
                    <w:adjustRightInd w:val="0"/>
                    <w:snapToGrid w:val="0"/>
                    <w:spacing w:line="360" w:lineRule="exact"/>
                    <w:jc w:val="center"/>
                    <w:rPr>
                      <w:rFonts w:hint="default" w:eastAsia="宋体"/>
                      <w:color w:val="auto"/>
                      <w:sz w:val="21"/>
                      <w:szCs w:val="21"/>
                      <w:lang w:val="en-US" w:eastAsia="zh-CN"/>
                    </w:rPr>
                  </w:pPr>
                  <w:r>
                    <w:rPr>
                      <w:rFonts w:hint="eastAsia"/>
                      <w:color w:val="auto"/>
                      <w:sz w:val="21"/>
                      <w:szCs w:val="21"/>
                      <w:lang w:val="en-US" w:eastAsia="zh-CN"/>
                    </w:rPr>
                    <w:t>125030</w:t>
                  </w:r>
                </w:p>
              </w:tc>
              <w:tc>
                <w:tcPr>
                  <w:tcW w:w="1020" w:type="pct"/>
                  <w:tcBorders>
                    <w:tl2br w:val="nil"/>
                    <w:tr2bl w:val="nil"/>
                  </w:tcBorders>
                  <w:vAlign w:val="center"/>
                </w:tcPr>
                <w:p w14:paraId="0B1A7D8D">
                  <w:pPr>
                    <w:jc w:val="center"/>
                    <w:rPr>
                      <w:color w:val="auto"/>
                      <w:sz w:val="21"/>
                      <w:szCs w:val="21"/>
                    </w:rPr>
                  </w:pPr>
                  <w:r>
                    <w:rPr>
                      <w:color w:val="auto"/>
                      <w:sz w:val="21"/>
                      <w:szCs w:val="21"/>
                    </w:rPr>
                    <w:t>散装</w:t>
                  </w:r>
                </w:p>
              </w:tc>
              <w:tc>
                <w:tcPr>
                  <w:tcW w:w="884" w:type="pct"/>
                  <w:tcBorders>
                    <w:tl2br w:val="nil"/>
                    <w:tr2bl w:val="nil"/>
                  </w:tcBorders>
                  <w:vAlign w:val="center"/>
                </w:tcPr>
                <w:p w14:paraId="164941A4">
                  <w:pPr>
                    <w:pStyle w:val="37"/>
                    <w:rPr>
                      <w:color w:val="auto"/>
                      <w:sz w:val="21"/>
                      <w:szCs w:val="21"/>
                    </w:rPr>
                  </w:pPr>
                  <w:r>
                    <w:rPr>
                      <w:color w:val="auto"/>
                      <w:sz w:val="21"/>
                      <w:szCs w:val="21"/>
                    </w:rPr>
                    <w:t>外购</w:t>
                  </w:r>
                </w:p>
              </w:tc>
            </w:tr>
            <w:tr w14:paraId="0998CB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tcBorders>
                    <w:tl2br w:val="nil"/>
                    <w:tr2bl w:val="nil"/>
                  </w:tcBorders>
                  <w:vAlign w:val="center"/>
                </w:tcPr>
                <w:p w14:paraId="22948990">
                  <w:pPr>
                    <w:pStyle w:val="37"/>
                    <w:rPr>
                      <w:color w:val="auto"/>
                      <w:sz w:val="21"/>
                      <w:szCs w:val="21"/>
                    </w:rPr>
                  </w:pPr>
                  <w:r>
                    <w:rPr>
                      <w:color w:val="auto"/>
                      <w:sz w:val="21"/>
                      <w:szCs w:val="21"/>
                    </w:rPr>
                    <w:t>3</w:t>
                  </w:r>
                </w:p>
              </w:tc>
              <w:tc>
                <w:tcPr>
                  <w:tcW w:w="764" w:type="pct"/>
                  <w:vMerge w:val="continue"/>
                  <w:tcBorders>
                    <w:tl2br w:val="nil"/>
                    <w:tr2bl w:val="nil"/>
                  </w:tcBorders>
                  <w:vAlign w:val="center"/>
                </w:tcPr>
                <w:p w14:paraId="4863C715">
                  <w:pPr>
                    <w:adjustRightInd w:val="0"/>
                    <w:snapToGrid w:val="0"/>
                    <w:spacing w:line="360" w:lineRule="exact"/>
                    <w:jc w:val="center"/>
                    <w:rPr>
                      <w:color w:val="auto"/>
                      <w:sz w:val="21"/>
                      <w:szCs w:val="21"/>
                    </w:rPr>
                  </w:pPr>
                </w:p>
              </w:tc>
              <w:tc>
                <w:tcPr>
                  <w:tcW w:w="707" w:type="pct"/>
                  <w:tcBorders>
                    <w:tl2br w:val="nil"/>
                    <w:tr2bl w:val="nil"/>
                  </w:tcBorders>
                  <w:vAlign w:val="center"/>
                </w:tcPr>
                <w:p w14:paraId="78861CB7">
                  <w:pPr>
                    <w:adjustRightInd w:val="0"/>
                    <w:snapToGrid w:val="0"/>
                    <w:spacing w:line="360" w:lineRule="exact"/>
                    <w:jc w:val="center"/>
                    <w:rPr>
                      <w:color w:val="auto"/>
                      <w:sz w:val="21"/>
                      <w:szCs w:val="21"/>
                    </w:rPr>
                  </w:pPr>
                  <w:r>
                    <w:rPr>
                      <w:color w:val="auto"/>
                      <w:sz w:val="21"/>
                      <w:szCs w:val="21"/>
                    </w:rPr>
                    <w:t>碎石</w:t>
                  </w:r>
                </w:p>
              </w:tc>
              <w:tc>
                <w:tcPr>
                  <w:tcW w:w="985" w:type="pct"/>
                  <w:tcBorders>
                    <w:tl2br w:val="nil"/>
                    <w:tr2bl w:val="nil"/>
                  </w:tcBorders>
                  <w:vAlign w:val="center"/>
                </w:tcPr>
                <w:p w14:paraId="19044FAF">
                  <w:pPr>
                    <w:adjustRightInd w:val="0"/>
                    <w:snapToGrid w:val="0"/>
                    <w:spacing w:line="360" w:lineRule="exact"/>
                    <w:jc w:val="center"/>
                    <w:rPr>
                      <w:rFonts w:hint="default" w:eastAsia="宋体"/>
                      <w:color w:val="auto"/>
                      <w:sz w:val="21"/>
                      <w:szCs w:val="21"/>
                      <w:lang w:val="en-US" w:eastAsia="zh-CN"/>
                    </w:rPr>
                  </w:pPr>
                  <w:r>
                    <w:rPr>
                      <w:rFonts w:hint="eastAsia"/>
                      <w:color w:val="auto"/>
                      <w:sz w:val="21"/>
                      <w:szCs w:val="21"/>
                      <w:lang w:val="en-US" w:eastAsia="zh-CN"/>
                    </w:rPr>
                    <w:t>175020</w:t>
                  </w:r>
                </w:p>
              </w:tc>
              <w:tc>
                <w:tcPr>
                  <w:tcW w:w="1020" w:type="pct"/>
                  <w:tcBorders>
                    <w:tl2br w:val="nil"/>
                    <w:tr2bl w:val="nil"/>
                  </w:tcBorders>
                  <w:vAlign w:val="center"/>
                </w:tcPr>
                <w:p w14:paraId="1C5F1DEF">
                  <w:pPr>
                    <w:jc w:val="center"/>
                    <w:rPr>
                      <w:color w:val="auto"/>
                      <w:sz w:val="21"/>
                      <w:szCs w:val="21"/>
                    </w:rPr>
                  </w:pPr>
                  <w:r>
                    <w:rPr>
                      <w:color w:val="auto"/>
                      <w:sz w:val="21"/>
                      <w:szCs w:val="21"/>
                    </w:rPr>
                    <w:t>散装</w:t>
                  </w:r>
                </w:p>
              </w:tc>
              <w:tc>
                <w:tcPr>
                  <w:tcW w:w="884" w:type="pct"/>
                  <w:tcBorders>
                    <w:tl2br w:val="nil"/>
                    <w:tr2bl w:val="nil"/>
                  </w:tcBorders>
                  <w:vAlign w:val="center"/>
                </w:tcPr>
                <w:p w14:paraId="55E61D2B">
                  <w:pPr>
                    <w:pStyle w:val="37"/>
                    <w:rPr>
                      <w:color w:val="auto"/>
                      <w:sz w:val="21"/>
                      <w:szCs w:val="21"/>
                    </w:rPr>
                  </w:pPr>
                  <w:r>
                    <w:rPr>
                      <w:color w:val="auto"/>
                      <w:sz w:val="21"/>
                      <w:szCs w:val="21"/>
                    </w:rPr>
                    <w:t>外购</w:t>
                  </w:r>
                </w:p>
              </w:tc>
            </w:tr>
            <w:tr w14:paraId="37CB09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vMerge w:val="restart"/>
                  <w:tcBorders>
                    <w:tl2br w:val="nil"/>
                    <w:tr2bl w:val="nil"/>
                  </w:tcBorders>
                  <w:vAlign w:val="center"/>
                </w:tcPr>
                <w:p w14:paraId="640686D5">
                  <w:pPr>
                    <w:pStyle w:val="37"/>
                    <w:rPr>
                      <w:color w:val="auto"/>
                      <w:sz w:val="21"/>
                      <w:szCs w:val="21"/>
                    </w:rPr>
                  </w:pPr>
                  <w:r>
                    <w:rPr>
                      <w:color w:val="auto"/>
                      <w:sz w:val="21"/>
                      <w:szCs w:val="21"/>
                    </w:rPr>
                    <w:t>4</w:t>
                  </w:r>
                </w:p>
              </w:tc>
              <w:tc>
                <w:tcPr>
                  <w:tcW w:w="764" w:type="pct"/>
                  <w:vMerge w:val="restart"/>
                  <w:tcBorders>
                    <w:tl2br w:val="nil"/>
                    <w:tr2bl w:val="nil"/>
                  </w:tcBorders>
                  <w:vAlign w:val="center"/>
                </w:tcPr>
                <w:p w14:paraId="66197C38">
                  <w:pPr>
                    <w:adjustRightInd w:val="0"/>
                    <w:snapToGrid w:val="0"/>
                    <w:spacing w:line="360" w:lineRule="exact"/>
                    <w:jc w:val="center"/>
                    <w:rPr>
                      <w:color w:val="auto"/>
                      <w:sz w:val="21"/>
                      <w:szCs w:val="21"/>
                    </w:rPr>
                  </w:pPr>
                  <w:r>
                    <w:rPr>
                      <w:color w:val="auto"/>
                      <w:sz w:val="21"/>
                      <w:szCs w:val="21"/>
                    </w:rPr>
                    <w:t>辅料</w:t>
                  </w:r>
                </w:p>
              </w:tc>
              <w:tc>
                <w:tcPr>
                  <w:tcW w:w="707" w:type="pct"/>
                  <w:tcBorders>
                    <w:tl2br w:val="nil"/>
                    <w:tr2bl w:val="nil"/>
                  </w:tcBorders>
                  <w:vAlign w:val="center"/>
                </w:tcPr>
                <w:p w14:paraId="26E45693">
                  <w:pPr>
                    <w:adjustRightInd w:val="0"/>
                    <w:snapToGrid w:val="0"/>
                    <w:spacing w:line="360" w:lineRule="exact"/>
                    <w:jc w:val="center"/>
                    <w:rPr>
                      <w:rFonts w:hint="eastAsia" w:eastAsia="宋体"/>
                      <w:color w:val="auto"/>
                      <w:sz w:val="21"/>
                      <w:szCs w:val="21"/>
                      <w:lang w:val="en-US" w:eastAsia="zh-CN"/>
                    </w:rPr>
                  </w:pPr>
                  <w:r>
                    <w:rPr>
                      <w:rFonts w:hint="eastAsia"/>
                      <w:color w:val="auto"/>
                      <w:sz w:val="21"/>
                      <w:szCs w:val="21"/>
                      <w:lang w:val="en-US" w:eastAsia="zh-CN"/>
                    </w:rPr>
                    <w:t>减水剂</w:t>
                  </w:r>
                </w:p>
              </w:tc>
              <w:tc>
                <w:tcPr>
                  <w:tcW w:w="985" w:type="pct"/>
                  <w:tcBorders>
                    <w:tl2br w:val="nil"/>
                    <w:tr2bl w:val="nil"/>
                  </w:tcBorders>
                  <w:vAlign w:val="center"/>
                </w:tcPr>
                <w:p w14:paraId="305A8588">
                  <w:pPr>
                    <w:adjustRightInd w:val="0"/>
                    <w:snapToGrid w:val="0"/>
                    <w:spacing w:line="360" w:lineRule="exact"/>
                    <w:jc w:val="center"/>
                    <w:rPr>
                      <w:rFonts w:hint="default" w:eastAsia="宋体"/>
                      <w:color w:val="auto"/>
                      <w:sz w:val="21"/>
                      <w:szCs w:val="21"/>
                      <w:lang w:val="en-US" w:eastAsia="zh-CN"/>
                    </w:rPr>
                  </w:pPr>
                  <w:r>
                    <w:rPr>
                      <w:rFonts w:hint="eastAsia"/>
                      <w:color w:val="auto"/>
                      <w:sz w:val="21"/>
                      <w:szCs w:val="21"/>
                      <w:lang w:val="en-US" w:eastAsia="zh-CN"/>
                    </w:rPr>
                    <w:t>7530</w:t>
                  </w:r>
                </w:p>
              </w:tc>
              <w:tc>
                <w:tcPr>
                  <w:tcW w:w="1020" w:type="pct"/>
                  <w:vMerge w:val="restart"/>
                  <w:tcBorders>
                    <w:tl2br w:val="nil"/>
                    <w:tr2bl w:val="nil"/>
                  </w:tcBorders>
                  <w:vAlign w:val="center"/>
                </w:tcPr>
                <w:p w14:paraId="30095157">
                  <w:pPr>
                    <w:jc w:val="center"/>
                    <w:rPr>
                      <w:color w:val="auto"/>
                      <w:sz w:val="21"/>
                      <w:szCs w:val="21"/>
                    </w:rPr>
                  </w:pPr>
                  <w:r>
                    <w:rPr>
                      <w:color w:val="auto"/>
                      <w:sz w:val="21"/>
                      <w:szCs w:val="21"/>
                    </w:rPr>
                    <w:t>塑料桶或铁桶</w:t>
                  </w:r>
                </w:p>
              </w:tc>
              <w:tc>
                <w:tcPr>
                  <w:tcW w:w="884" w:type="pct"/>
                  <w:vMerge w:val="restart"/>
                  <w:tcBorders>
                    <w:tl2br w:val="nil"/>
                    <w:tr2bl w:val="nil"/>
                  </w:tcBorders>
                  <w:vAlign w:val="center"/>
                </w:tcPr>
                <w:p w14:paraId="41FE2438">
                  <w:pPr>
                    <w:pStyle w:val="37"/>
                    <w:rPr>
                      <w:color w:val="auto"/>
                      <w:sz w:val="21"/>
                      <w:szCs w:val="21"/>
                    </w:rPr>
                  </w:pPr>
                  <w:r>
                    <w:rPr>
                      <w:color w:val="auto"/>
                      <w:sz w:val="21"/>
                      <w:szCs w:val="21"/>
                    </w:rPr>
                    <w:t>外购</w:t>
                  </w:r>
                </w:p>
              </w:tc>
            </w:tr>
            <w:tr w14:paraId="0BD26D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vMerge w:val="continue"/>
                  <w:tcBorders>
                    <w:tl2br w:val="nil"/>
                    <w:tr2bl w:val="nil"/>
                  </w:tcBorders>
                  <w:vAlign w:val="center"/>
                </w:tcPr>
                <w:p w14:paraId="5A914F6C">
                  <w:pPr>
                    <w:pStyle w:val="37"/>
                    <w:rPr>
                      <w:color w:val="auto"/>
                      <w:sz w:val="21"/>
                      <w:szCs w:val="21"/>
                    </w:rPr>
                  </w:pPr>
                </w:p>
              </w:tc>
              <w:tc>
                <w:tcPr>
                  <w:tcW w:w="764" w:type="pct"/>
                  <w:vMerge w:val="continue"/>
                  <w:tcBorders>
                    <w:tl2br w:val="nil"/>
                    <w:tr2bl w:val="nil"/>
                  </w:tcBorders>
                  <w:vAlign w:val="center"/>
                </w:tcPr>
                <w:p w14:paraId="504513B6">
                  <w:pPr>
                    <w:adjustRightInd w:val="0"/>
                    <w:snapToGrid w:val="0"/>
                    <w:spacing w:line="360" w:lineRule="exact"/>
                    <w:jc w:val="center"/>
                    <w:rPr>
                      <w:color w:val="auto"/>
                      <w:sz w:val="21"/>
                      <w:szCs w:val="21"/>
                    </w:rPr>
                  </w:pPr>
                </w:p>
              </w:tc>
              <w:tc>
                <w:tcPr>
                  <w:tcW w:w="707" w:type="pct"/>
                  <w:tcBorders>
                    <w:tl2br w:val="nil"/>
                    <w:tr2bl w:val="nil"/>
                  </w:tcBorders>
                  <w:vAlign w:val="center"/>
                </w:tcPr>
                <w:p w14:paraId="1218ECA9">
                  <w:pPr>
                    <w:adjustRightInd w:val="0"/>
                    <w:snapToGrid w:val="0"/>
                    <w:spacing w:line="360" w:lineRule="exact"/>
                    <w:jc w:val="center"/>
                    <w:rPr>
                      <w:rFonts w:hint="eastAsia" w:eastAsia="宋体"/>
                      <w:color w:val="auto"/>
                      <w:sz w:val="21"/>
                      <w:szCs w:val="21"/>
                      <w:lang w:val="en-US" w:eastAsia="zh-CN"/>
                    </w:rPr>
                  </w:pPr>
                  <w:r>
                    <w:rPr>
                      <w:rFonts w:hint="eastAsia"/>
                      <w:color w:val="auto"/>
                      <w:sz w:val="21"/>
                      <w:szCs w:val="21"/>
                      <w:lang w:val="en-US" w:eastAsia="zh-CN"/>
                    </w:rPr>
                    <w:t>混凝剂</w:t>
                  </w:r>
                </w:p>
              </w:tc>
              <w:tc>
                <w:tcPr>
                  <w:tcW w:w="985" w:type="pct"/>
                  <w:tcBorders>
                    <w:tl2br w:val="nil"/>
                    <w:tr2bl w:val="nil"/>
                  </w:tcBorders>
                  <w:vAlign w:val="center"/>
                </w:tcPr>
                <w:p w14:paraId="22CD72FB">
                  <w:pPr>
                    <w:adjustRightInd w:val="0"/>
                    <w:snapToGrid w:val="0"/>
                    <w:spacing w:line="360" w:lineRule="exact"/>
                    <w:jc w:val="center"/>
                    <w:rPr>
                      <w:rFonts w:hint="default"/>
                      <w:color w:val="auto"/>
                      <w:sz w:val="21"/>
                      <w:szCs w:val="21"/>
                      <w:lang w:val="en-US" w:eastAsia="zh-CN"/>
                    </w:rPr>
                  </w:pPr>
                  <w:r>
                    <w:rPr>
                      <w:rFonts w:hint="eastAsia"/>
                      <w:color w:val="auto"/>
                      <w:sz w:val="21"/>
                      <w:szCs w:val="21"/>
                      <w:lang w:val="en-US" w:eastAsia="zh-CN"/>
                    </w:rPr>
                    <w:t>7530</w:t>
                  </w:r>
                </w:p>
              </w:tc>
              <w:tc>
                <w:tcPr>
                  <w:tcW w:w="1020" w:type="pct"/>
                  <w:vMerge w:val="continue"/>
                  <w:tcBorders>
                    <w:tl2br w:val="nil"/>
                    <w:tr2bl w:val="nil"/>
                  </w:tcBorders>
                  <w:vAlign w:val="center"/>
                </w:tcPr>
                <w:p w14:paraId="254C1A2E">
                  <w:pPr>
                    <w:jc w:val="center"/>
                    <w:rPr>
                      <w:color w:val="auto"/>
                      <w:sz w:val="21"/>
                      <w:szCs w:val="21"/>
                    </w:rPr>
                  </w:pPr>
                </w:p>
              </w:tc>
              <w:tc>
                <w:tcPr>
                  <w:tcW w:w="884" w:type="pct"/>
                  <w:vMerge w:val="continue"/>
                  <w:tcBorders>
                    <w:tl2br w:val="nil"/>
                    <w:tr2bl w:val="nil"/>
                  </w:tcBorders>
                  <w:vAlign w:val="center"/>
                </w:tcPr>
                <w:p w14:paraId="2D72888D">
                  <w:pPr>
                    <w:pStyle w:val="37"/>
                    <w:rPr>
                      <w:color w:val="auto"/>
                      <w:sz w:val="21"/>
                      <w:szCs w:val="21"/>
                    </w:rPr>
                  </w:pPr>
                </w:p>
              </w:tc>
            </w:tr>
            <w:tr w14:paraId="6D8034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tcBorders>
                    <w:tl2br w:val="nil"/>
                    <w:tr2bl w:val="nil"/>
                  </w:tcBorders>
                  <w:vAlign w:val="center"/>
                </w:tcPr>
                <w:p w14:paraId="2B852E0B">
                  <w:pPr>
                    <w:pStyle w:val="37"/>
                    <w:rPr>
                      <w:color w:val="auto"/>
                      <w:sz w:val="21"/>
                      <w:szCs w:val="21"/>
                    </w:rPr>
                  </w:pPr>
                  <w:r>
                    <w:rPr>
                      <w:color w:val="auto"/>
                      <w:sz w:val="21"/>
                      <w:szCs w:val="21"/>
                    </w:rPr>
                    <w:t>5</w:t>
                  </w:r>
                </w:p>
              </w:tc>
              <w:tc>
                <w:tcPr>
                  <w:tcW w:w="764" w:type="pct"/>
                  <w:vMerge w:val="restart"/>
                  <w:tcBorders>
                    <w:tl2br w:val="nil"/>
                    <w:tr2bl w:val="nil"/>
                  </w:tcBorders>
                  <w:vAlign w:val="center"/>
                </w:tcPr>
                <w:p w14:paraId="1FF22B82">
                  <w:pPr>
                    <w:pStyle w:val="36"/>
                    <w:rPr>
                      <w:color w:val="auto"/>
                      <w:sz w:val="21"/>
                      <w:szCs w:val="21"/>
                    </w:rPr>
                  </w:pPr>
                  <w:r>
                    <w:rPr>
                      <w:color w:val="auto"/>
                      <w:sz w:val="21"/>
                      <w:szCs w:val="21"/>
                    </w:rPr>
                    <w:t>能源消耗</w:t>
                  </w:r>
                </w:p>
              </w:tc>
              <w:tc>
                <w:tcPr>
                  <w:tcW w:w="707" w:type="pct"/>
                  <w:tcBorders>
                    <w:tl2br w:val="nil"/>
                    <w:tr2bl w:val="nil"/>
                  </w:tcBorders>
                  <w:vAlign w:val="center"/>
                </w:tcPr>
                <w:p w14:paraId="69BF201C">
                  <w:pPr>
                    <w:pStyle w:val="36"/>
                    <w:rPr>
                      <w:color w:val="auto"/>
                      <w:sz w:val="21"/>
                      <w:szCs w:val="21"/>
                    </w:rPr>
                  </w:pPr>
                  <w:r>
                    <w:rPr>
                      <w:color w:val="auto"/>
                      <w:sz w:val="21"/>
                      <w:szCs w:val="21"/>
                    </w:rPr>
                    <w:t>水（生产）</w:t>
                  </w:r>
                </w:p>
              </w:tc>
              <w:tc>
                <w:tcPr>
                  <w:tcW w:w="985" w:type="pct"/>
                  <w:tcBorders>
                    <w:tl2br w:val="nil"/>
                    <w:tr2bl w:val="nil"/>
                  </w:tcBorders>
                  <w:vAlign w:val="center"/>
                </w:tcPr>
                <w:p w14:paraId="2AF884CE">
                  <w:pPr>
                    <w:pStyle w:val="36"/>
                    <w:rPr>
                      <w:rFonts w:hint="default" w:eastAsia="宋体"/>
                      <w:color w:val="auto"/>
                      <w:sz w:val="21"/>
                      <w:szCs w:val="21"/>
                      <w:lang w:val="en-US" w:eastAsia="zh-CN"/>
                    </w:rPr>
                  </w:pPr>
                  <w:r>
                    <w:rPr>
                      <w:rFonts w:hint="eastAsia"/>
                      <w:color w:val="auto"/>
                      <w:sz w:val="21"/>
                      <w:szCs w:val="21"/>
                      <w:lang w:val="en-US" w:eastAsia="zh-CN"/>
                    </w:rPr>
                    <w:t>36000</w:t>
                  </w:r>
                </w:p>
              </w:tc>
              <w:tc>
                <w:tcPr>
                  <w:tcW w:w="1020" w:type="pct"/>
                  <w:tcBorders>
                    <w:tl2br w:val="nil"/>
                    <w:tr2bl w:val="nil"/>
                  </w:tcBorders>
                  <w:vAlign w:val="center"/>
                </w:tcPr>
                <w:p w14:paraId="6894A0CB">
                  <w:pPr>
                    <w:jc w:val="center"/>
                    <w:rPr>
                      <w:color w:val="auto"/>
                      <w:sz w:val="21"/>
                      <w:szCs w:val="21"/>
                    </w:rPr>
                  </w:pPr>
                  <w:r>
                    <w:rPr>
                      <w:color w:val="auto"/>
                      <w:sz w:val="21"/>
                      <w:szCs w:val="21"/>
                    </w:rPr>
                    <w:t>/</w:t>
                  </w:r>
                </w:p>
              </w:tc>
              <w:tc>
                <w:tcPr>
                  <w:tcW w:w="884" w:type="pct"/>
                  <w:tcBorders>
                    <w:tl2br w:val="nil"/>
                    <w:tr2bl w:val="nil"/>
                  </w:tcBorders>
                  <w:vAlign w:val="center"/>
                </w:tcPr>
                <w:p w14:paraId="79A8C981">
                  <w:pPr>
                    <w:pStyle w:val="37"/>
                    <w:rPr>
                      <w:color w:val="auto"/>
                      <w:sz w:val="21"/>
                      <w:szCs w:val="21"/>
                    </w:rPr>
                  </w:pPr>
                  <w:r>
                    <w:rPr>
                      <w:color w:val="auto"/>
                      <w:sz w:val="21"/>
                      <w:szCs w:val="21"/>
                    </w:rPr>
                    <w:t>/</w:t>
                  </w:r>
                </w:p>
              </w:tc>
            </w:tr>
            <w:tr w14:paraId="6194AC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 w:type="pct"/>
                  <w:tcBorders>
                    <w:tl2br w:val="nil"/>
                    <w:tr2bl w:val="nil"/>
                  </w:tcBorders>
                  <w:vAlign w:val="center"/>
                </w:tcPr>
                <w:p w14:paraId="4CD8D82A">
                  <w:pPr>
                    <w:pStyle w:val="37"/>
                    <w:rPr>
                      <w:color w:val="auto"/>
                      <w:sz w:val="21"/>
                      <w:szCs w:val="21"/>
                    </w:rPr>
                  </w:pPr>
                  <w:r>
                    <w:rPr>
                      <w:color w:val="auto"/>
                      <w:sz w:val="21"/>
                      <w:szCs w:val="21"/>
                    </w:rPr>
                    <w:t>6</w:t>
                  </w:r>
                </w:p>
              </w:tc>
              <w:tc>
                <w:tcPr>
                  <w:tcW w:w="764" w:type="pct"/>
                  <w:vMerge w:val="continue"/>
                  <w:tcBorders>
                    <w:tl2br w:val="nil"/>
                    <w:tr2bl w:val="nil"/>
                  </w:tcBorders>
                  <w:vAlign w:val="center"/>
                </w:tcPr>
                <w:p w14:paraId="22B313F1">
                  <w:pPr>
                    <w:pStyle w:val="36"/>
                    <w:rPr>
                      <w:color w:val="auto"/>
                      <w:sz w:val="21"/>
                      <w:szCs w:val="21"/>
                    </w:rPr>
                  </w:pPr>
                </w:p>
              </w:tc>
              <w:tc>
                <w:tcPr>
                  <w:tcW w:w="707" w:type="pct"/>
                  <w:tcBorders>
                    <w:tl2br w:val="nil"/>
                    <w:tr2bl w:val="nil"/>
                  </w:tcBorders>
                  <w:vAlign w:val="center"/>
                </w:tcPr>
                <w:p w14:paraId="1F365F87">
                  <w:pPr>
                    <w:pStyle w:val="36"/>
                    <w:rPr>
                      <w:color w:val="auto"/>
                      <w:sz w:val="21"/>
                      <w:szCs w:val="21"/>
                    </w:rPr>
                  </w:pPr>
                  <w:r>
                    <w:rPr>
                      <w:color w:val="auto"/>
                      <w:sz w:val="21"/>
                      <w:szCs w:val="21"/>
                    </w:rPr>
                    <w:t>电耗</w:t>
                  </w:r>
                </w:p>
              </w:tc>
              <w:tc>
                <w:tcPr>
                  <w:tcW w:w="985" w:type="pct"/>
                  <w:tcBorders>
                    <w:tl2br w:val="nil"/>
                    <w:tr2bl w:val="nil"/>
                  </w:tcBorders>
                  <w:vAlign w:val="center"/>
                </w:tcPr>
                <w:p w14:paraId="6F24C69C">
                  <w:pPr>
                    <w:pStyle w:val="36"/>
                    <w:rPr>
                      <w:color w:val="auto"/>
                      <w:sz w:val="21"/>
                      <w:szCs w:val="21"/>
                    </w:rPr>
                  </w:pPr>
                  <w:r>
                    <w:rPr>
                      <w:rFonts w:hint="eastAsia"/>
                      <w:color w:val="auto"/>
                      <w:sz w:val="21"/>
                      <w:szCs w:val="21"/>
                      <w:lang w:val="en-US" w:eastAsia="zh-CN"/>
                    </w:rPr>
                    <w:t>480162</w:t>
                  </w:r>
                  <w:r>
                    <w:rPr>
                      <w:rFonts w:hint="eastAsia"/>
                      <w:color w:val="auto"/>
                      <w:sz w:val="21"/>
                      <w:szCs w:val="21"/>
                      <w:lang w:eastAsia="zh-CN"/>
                    </w:rPr>
                    <w:t>kW</w:t>
                  </w:r>
                  <w:r>
                    <w:rPr>
                      <w:rFonts w:hint="eastAsia"/>
                      <w:color w:val="auto"/>
                      <w:sz w:val="21"/>
                      <w:szCs w:val="21"/>
                      <w:lang w:val="en-US" w:eastAsia="zh-CN"/>
                    </w:rPr>
                    <w:t>/</w:t>
                  </w:r>
                  <w:r>
                    <w:rPr>
                      <w:color w:val="auto"/>
                      <w:sz w:val="21"/>
                      <w:szCs w:val="21"/>
                    </w:rPr>
                    <w:t>h</w:t>
                  </w:r>
                </w:p>
              </w:tc>
              <w:tc>
                <w:tcPr>
                  <w:tcW w:w="1020" w:type="pct"/>
                  <w:tcBorders>
                    <w:tl2br w:val="nil"/>
                    <w:tr2bl w:val="nil"/>
                  </w:tcBorders>
                  <w:vAlign w:val="center"/>
                </w:tcPr>
                <w:p w14:paraId="5FE495C0">
                  <w:pPr>
                    <w:jc w:val="center"/>
                    <w:rPr>
                      <w:color w:val="auto"/>
                      <w:sz w:val="21"/>
                      <w:szCs w:val="21"/>
                    </w:rPr>
                  </w:pPr>
                  <w:r>
                    <w:rPr>
                      <w:color w:val="auto"/>
                      <w:sz w:val="21"/>
                      <w:szCs w:val="21"/>
                    </w:rPr>
                    <w:t>/</w:t>
                  </w:r>
                </w:p>
              </w:tc>
              <w:tc>
                <w:tcPr>
                  <w:tcW w:w="884" w:type="pct"/>
                  <w:tcBorders>
                    <w:tl2br w:val="nil"/>
                    <w:tr2bl w:val="nil"/>
                  </w:tcBorders>
                  <w:vAlign w:val="center"/>
                </w:tcPr>
                <w:p w14:paraId="7A6E8193">
                  <w:pPr>
                    <w:pStyle w:val="37"/>
                    <w:rPr>
                      <w:color w:val="auto"/>
                      <w:sz w:val="21"/>
                      <w:szCs w:val="21"/>
                    </w:rPr>
                  </w:pPr>
                  <w:r>
                    <w:rPr>
                      <w:color w:val="auto"/>
                      <w:sz w:val="21"/>
                      <w:szCs w:val="21"/>
                    </w:rPr>
                    <w:t>/</w:t>
                  </w:r>
                </w:p>
              </w:tc>
            </w:tr>
          </w:tbl>
          <w:p w14:paraId="08789EF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项目中水泥、粉煤灰均放置在密闭筒仓中，砂子、石子储存于砂石堆料场中，减水剂设有专门的减水剂桶储存。</w:t>
            </w:r>
          </w:p>
          <w:p w14:paraId="6088971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原材料理化性质：</w:t>
            </w:r>
          </w:p>
          <w:p w14:paraId="041AA0C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1）水泥：水泥品种是以水泥的性能为依据划分的。我国常用的水泥都是硅酸盐系列水泥，普通硅酸盐水泥为灰白色，其它品种的水泥为与其所含矿物杂质有关的颜色。硅酸盐水泥熟料中主要矿物有硅酸三钙、硅酸二钙、铝酸三钙和铁铝酸四钙四种。</w:t>
            </w:r>
            <w:r>
              <w:rPr>
                <w:rFonts w:hint="eastAsia" w:ascii="Times New Roman" w:hAnsi="Times New Roman" w:eastAsia="宋体" w:cs="Times New Roman"/>
                <w:color w:val="auto"/>
                <w:kern w:val="0"/>
                <w:sz w:val="24"/>
                <w:lang w:eastAsia="zh-CN"/>
              </w:rPr>
              <w:t>水泥与水混合后，会发生水化反应，生成氢氧化钙和硅酸钙凝胶等产物。这些产物填充了颗粒间的空隙，使得水泥浆硬化并形成强度。</w:t>
            </w:r>
          </w:p>
          <w:p w14:paraId="2BA990B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粉煤灰：粉煤灰是由煤粉炉排出的烟气中收集到的细颗粒白色粉末，在微观下，粉煤灰主要由表面光滑的球状颗粒或微珠的聚集体组成，其中还含有较多的结构疏松的海绵状多孔玻璃体和少量的多孔碳粒。粉煤灰的主要化学成分为Si、Al、Fe的氧化物，其中三种成分占到70%以上。此外，还含有少量的CaO、MgO、K2O、NaO等金属氧化物。</w:t>
            </w:r>
            <w:r>
              <w:rPr>
                <w:rFonts w:hint="eastAsia" w:ascii="Times New Roman" w:hAnsi="Times New Roman" w:eastAsia="宋体" w:cs="Times New Roman"/>
                <w:color w:val="auto"/>
                <w:kern w:val="0"/>
                <w:sz w:val="24"/>
              </w:rPr>
              <w:t>粉煤灰在属性上属于硅铝型粉煤灰，具有较高的活性，这使得它适合用于道路基层建设等场合。</w:t>
            </w:r>
          </w:p>
          <w:p w14:paraId="5E4E1BE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3）减水剂：减水剂是一种在混凝土、水泥和砂浆等材料中使用的化学添加剂，主要成分为有机高分子化合物、无机酸盐、聚羧酸等。减水剂是一种在维持混凝土坍落度不变的条件下，能减少拌合用水量的混凝土外加剂。加入混凝土拌合物后对水泥颗粒有分散作用，能改善其工作性，减少单位用水量，改善混凝土拌合物的流动性；或减少单位水泥用量，节约水泥。减水剂的原理是通过吸附在水泥颗粒表面，形成覆盖层来分散颗粒，从而降低颗粒之间的粘性。这种覆盖层可以减少水泥颗粒之间的相互吸引力，阻止颗粒之间的聚集和凝结，从而提高材料的流动性。减水剂一般分为化学减水剂和物理减水剂两种，前者通过与水泥颗粒产生化学反应来改变水泥砂浆的流动性，后者则是通过改变水的表面张力来减少水泥颗粒之间的粘性。</w:t>
            </w:r>
          </w:p>
          <w:p w14:paraId="7EEE9D82">
            <w:pPr>
              <w:spacing w:line="360" w:lineRule="auto"/>
              <w:rPr>
                <w:b/>
                <w:bCs/>
                <w:color w:val="auto"/>
                <w:sz w:val="24"/>
                <w:highlight w:val="yellow"/>
              </w:rPr>
            </w:pPr>
            <w:r>
              <w:rPr>
                <w:rFonts w:hint="eastAsia"/>
                <w:b/>
                <w:bCs/>
                <w:color w:val="auto"/>
                <w:sz w:val="24"/>
                <w:lang w:val="en-US" w:eastAsia="zh-CN"/>
              </w:rPr>
              <w:t>5</w:t>
            </w:r>
            <w:r>
              <w:rPr>
                <w:b/>
                <w:bCs/>
                <w:color w:val="auto"/>
                <w:sz w:val="24"/>
              </w:rPr>
              <w:t>. 本项目产品方案</w:t>
            </w:r>
          </w:p>
          <w:p w14:paraId="6142239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最终产品为商品混凝土。按《混凝土结构设计规范》（GB50010-2010及其修订）的设计规定，混凝土强度分为C15、C20、C25、C30、C35、C40、C45、C50、C55、C60、C65、C70、C75、C80等十四个等级。本项目常规生产的混凝土等级主要有C20、C25、C30</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C40、C45</w:t>
            </w:r>
            <w:r>
              <w:rPr>
                <w:rFonts w:hint="eastAsia" w:ascii="Times New Roman" w:hAnsi="Times New Roman" w:eastAsia="宋体" w:cs="Times New Roman"/>
                <w:color w:val="auto"/>
                <w:kern w:val="0"/>
                <w:sz w:val="24"/>
              </w:rPr>
              <w:t>五</w:t>
            </w:r>
            <w:r>
              <w:rPr>
                <w:rFonts w:ascii="Times New Roman" w:hAnsi="Times New Roman" w:eastAsia="宋体" w:cs="Times New Roman"/>
                <w:color w:val="auto"/>
                <w:kern w:val="0"/>
                <w:sz w:val="24"/>
              </w:rPr>
              <w:t>种，产品方案见表2-4。</w:t>
            </w:r>
          </w:p>
          <w:p w14:paraId="4A180112">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表2-4    本项目产品方案一览表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1687"/>
              <w:gridCol w:w="3349"/>
              <w:gridCol w:w="844"/>
            </w:tblGrid>
            <w:tr w14:paraId="180F27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tcBorders>
                    <w:bottom w:val="single" w:color="auto" w:sz="12" w:space="0"/>
                  </w:tcBorders>
                  <w:vAlign w:val="center"/>
                </w:tcPr>
                <w:p w14:paraId="34061DD1">
                  <w:pPr>
                    <w:pStyle w:val="5"/>
                    <w:spacing w:before="0" w:after="0" w:line="240" w:lineRule="auto"/>
                    <w:ind w:right="0"/>
                    <w:jc w:val="center"/>
                    <w:rPr>
                      <w:b/>
                      <w:bCs/>
                      <w:color w:val="auto"/>
                      <w:kern w:val="2"/>
                      <w:sz w:val="21"/>
                      <w:szCs w:val="21"/>
                    </w:rPr>
                  </w:pPr>
                  <w:r>
                    <w:rPr>
                      <w:b/>
                      <w:bCs/>
                      <w:color w:val="auto"/>
                      <w:kern w:val="2"/>
                      <w:sz w:val="21"/>
                      <w:szCs w:val="21"/>
                    </w:rPr>
                    <w:t>产品名称</w:t>
                  </w:r>
                </w:p>
              </w:tc>
              <w:tc>
                <w:tcPr>
                  <w:tcW w:w="1076" w:type="pct"/>
                  <w:tcBorders>
                    <w:bottom w:val="single" w:color="auto" w:sz="12" w:space="0"/>
                  </w:tcBorders>
                  <w:vAlign w:val="center"/>
                </w:tcPr>
                <w:p w14:paraId="128310DD">
                  <w:pPr>
                    <w:pStyle w:val="5"/>
                    <w:spacing w:before="0" w:after="0" w:line="240" w:lineRule="auto"/>
                    <w:ind w:right="0"/>
                    <w:jc w:val="center"/>
                    <w:rPr>
                      <w:b/>
                      <w:bCs/>
                      <w:color w:val="auto"/>
                      <w:kern w:val="2"/>
                      <w:sz w:val="21"/>
                      <w:szCs w:val="21"/>
                    </w:rPr>
                  </w:pPr>
                  <w:r>
                    <w:rPr>
                      <w:b/>
                      <w:bCs/>
                      <w:color w:val="auto"/>
                      <w:kern w:val="2"/>
                      <w:sz w:val="21"/>
                      <w:szCs w:val="21"/>
                    </w:rPr>
                    <w:t>数量</w:t>
                  </w:r>
                </w:p>
              </w:tc>
              <w:tc>
                <w:tcPr>
                  <w:tcW w:w="2136" w:type="pct"/>
                  <w:tcBorders>
                    <w:bottom w:val="single" w:color="auto" w:sz="12" w:space="0"/>
                  </w:tcBorders>
                  <w:vAlign w:val="center"/>
                </w:tcPr>
                <w:p w14:paraId="28281DDF">
                  <w:pPr>
                    <w:pStyle w:val="5"/>
                    <w:spacing w:before="0" w:after="0" w:line="240" w:lineRule="auto"/>
                    <w:ind w:right="0"/>
                    <w:jc w:val="center"/>
                    <w:rPr>
                      <w:b/>
                      <w:bCs/>
                      <w:color w:val="auto"/>
                      <w:kern w:val="2"/>
                      <w:sz w:val="21"/>
                      <w:szCs w:val="21"/>
                    </w:rPr>
                  </w:pPr>
                  <w:r>
                    <w:rPr>
                      <w:b/>
                      <w:bCs/>
                      <w:color w:val="auto"/>
                      <w:kern w:val="2"/>
                      <w:sz w:val="21"/>
                      <w:szCs w:val="21"/>
                    </w:rPr>
                    <w:t>产品规格</w:t>
                  </w:r>
                </w:p>
              </w:tc>
              <w:tc>
                <w:tcPr>
                  <w:tcW w:w="538" w:type="pct"/>
                  <w:tcBorders>
                    <w:bottom w:val="single" w:color="auto" w:sz="12" w:space="0"/>
                  </w:tcBorders>
                  <w:vAlign w:val="center"/>
                </w:tcPr>
                <w:p w14:paraId="59C98D9D">
                  <w:pPr>
                    <w:pStyle w:val="5"/>
                    <w:spacing w:before="0" w:after="0" w:line="240" w:lineRule="auto"/>
                    <w:ind w:right="0"/>
                    <w:jc w:val="center"/>
                    <w:rPr>
                      <w:b/>
                      <w:bCs/>
                      <w:color w:val="auto"/>
                      <w:kern w:val="2"/>
                      <w:sz w:val="21"/>
                      <w:szCs w:val="21"/>
                    </w:rPr>
                  </w:pPr>
                  <w:r>
                    <w:rPr>
                      <w:b/>
                      <w:bCs/>
                      <w:color w:val="auto"/>
                      <w:kern w:val="2"/>
                      <w:sz w:val="21"/>
                      <w:szCs w:val="21"/>
                    </w:rPr>
                    <w:t>备注</w:t>
                  </w:r>
                </w:p>
              </w:tc>
            </w:tr>
            <w:tr w14:paraId="7DA030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7" w:type="dxa"/>
                  <w:tcBorders>
                    <w:top w:val="single" w:color="auto" w:sz="12" w:space="0"/>
                    <w:bottom w:val="single" w:color="auto" w:sz="12" w:space="0"/>
                  </w:tcBorders>
                  <w:vAlign w:val="center"/>
                </w:tcPr>
                <w:p w14:paraId="3D5AC3D8">
                  <w:pPr>
                    <w:pStyle w:val="5"/>
                    <w:spacing w:before="0" w:after="0" w:line="240" w:lineRule="auto"/>
                    <w:ind w:right="0" w:rightChars="0"/>
                    <w:jc w:val="center"/>
                    <w:rPr>
                      <w:color w:val="auto"/>
                      <w:kern w:val="2"/>
                      <w:sz w:val="21"/>
                      <w:szCs w:val="21"/>
                    </w:rPr>
                  </w:pPr>
                  <w:r>
                    <w:rPr>
                      <w:color w:val="auto"/>
                      <w:kern w:val="2"/>
                      <w:sz w:val="21"/>
                      <w:szCs w:val="21"/>
                    </w:rPr>
                    <w:t>商品混凝土</w:t>
                  </w:r>
                </w:p>
              </w:tc>
              <w:tc>
                <w:tcPr>
                  <w:tcW w:w="1687" w:type="dxa"/>
                  <w:tcBorders>
                    <w:top w:val="single" w:color="auto" w:sz="12" w:space="0"/>
                    <w:bottom w:val="single" w:color="auto" w:sz="12" w:space="0"/>
                  </w:tcBorders>
                  <w:vAlign w:val="center"/>
                </w:tcPr>
                <w:p w14:paraId="55369C5D">
                  <w:pPr>
                    <w:pStyle w:val="5"/>
                    <w:spacing w:before="0" w:after="0" w:line="240" w:lineRule="auto"/>
                    <w:ind w:right="0" w:rightChars="0"/>
                    <w:jc w:val="center"/>
                    <w:rPr>
                      <w:color w:val="auto"/>
                      <w:kern w:val="2"/>
                      <w:sz w:val="21"/>
                      <w:szCs w:val="21"/>
                    </w:rPr>
                  </w:pPr>
                  <w:r>
                    <w:rPr>
                      <w:rFonts w:hint="eastAsia"/>
                      <w:color w:val="auto"/>
                      <w:kern w:val="2"/>
                      <w:sz w:val="21"/>
                      <w:szCs w:val="21"/>
                      <w:lang w:val="en-US" w:eastAsia="zh-CN"/>
                    </w:rPr>
                    <w:t>2万m</w:t>
                  </w:r>
                  <w:r>
                    <w:rPr>
                      <w:rFonts w:hint="eastAsia"/>
                      <w:color w:val="auto"/>
                      <w:kern w:val="2"/>
                      <w:sz w:val="21"/>
                      <w:szCs w:val="21"/>
                      <w:vertAlign w:val="superscript"/>
                      <w:lang w:val="en-US" w:eastAsia="zh-CN"/>
                    </w:rPr>
                    <w:t>3</w:t>
                  </w:r>
                </w:p>
              </w:tc>
              <w:tc>
                <w:tcPr>
                  <w:tcW w:w="3349" w:type="dxa"/>
                  <w:tcBorders>
                    <w:top w:val="single" w:color="auto" w:sz="12" w:space="0"/>
                    <w:bottom w:val="single" w:color="auto" w:sz="12" w:space="0"/>
                  </w:tcBorders>
                  <w:vAlign w:val="center"/>
                </w:tcPr>
                <w:p w14:paraId="6C2A9F56">
                  <w:pPr>
                    <w:pStyle w:val="5"/>
                    <w:spacing w:before="0" w:after="0" w:line="240" w:lineRule="auto"/>
                    <w:ind w:right="0" w:rightChars="0"/>
                    <w:jc w:val="center"/>
                    <w:rPr>
                      <w:color w:val="auto"/>
                      <w:kern w:val="2"/>
                      <w:sz w:val="21"/>
                      <w:szCs w:val="21"/>
                    </w:rPr>
                  </w:pPr>
                  <w:r>
                    <w:rPr>
                      <w:color w:val="auto"/>
                      <w:kern w:val="2"/>
                      <w:sz w:val="21"/>
                      <w:szCs w:val="21"/>
                    </w:rPr>
                    <w:t>C20</w:t>
                  </w:r>
                </w:p>
              </w:tc>
              <w:tc>
                <w:tcPr>
                  <w:tcW w:w="844" w:type="dxa"/>
                  <w:tcBorders>
                    <w:top w:val="single" w:color="auto" w:sz="12" w:space="0"/>
                    <w:bottom w:val="single" w:color="auto" w:sz="12" w:space="0"/>
                  </w:tcBorders>
                  <w:vAlign w:val="center"/>
                </w:tcPr>
                <w:p w14:paraId="0B681878">
                  <w:pPr>
                    <w:pStyle w:val="5"/>
                    <w:spacing w:before="0" w:after="0" w:line="240" w:lineRule="auto"/>
                    <w:ind w:right="0" w:rightChars="0"/>
                    <w:jc w:val="center"/>
                    <w:rPr>
                      <w:color w:val="auto"/>
                      <w:kern w:val="2"/>
                      <w:sz w:val="21"/>
                      <w:szCs w:val="21"/>
                    </w:rPr>
                  </w:pPr>
                  <w:r>
                    <w:rPr>
                      <w:rFonts w:hint="eastAsia"/>
                      <w:color w:val="auto"/>
                      <w:kern w:val="2"/>
                      <w:sz w:val="21"/>
                      <w:szCs w:val="21"/>
                    </w:rPr>
                    <w:t>/</w:t>
                  </w:r>
                </w:p>
              </w:tc>
            </w:tr>
            <w:tr w14:paraId="6FBE50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7" w:type="dxa"/>
                  <w:tcBorders>
                    <w:top w:val="single" w:color="auto" w:sz="12" w:space="0"/>
                    <w:bottom w:val="single" w:color="auto" w:sz="12" w:space="0"/>
                  </w:tcBorders>
                  <w:vAlign w:val="center"/>
                </w:tcPr>
                <w:p w14:paraId="111F2730">
                  <w:pPr>
                    <w:pStyle w:val="5"/>
                    <w:spacing w:before="0" w:after="0" w:line="240" w:lineRule="auto"/>
                    <w:ind w:right="0" w:rightChars="0"/>
                    <w:jc w:val="center"/>
                    <w:rPr>
                      <w:color w:val="auto"/>
                      <w:kern w:val="2"/>
                      <w:sz w:val="21"/>
                      <w:szCs w:val="21"/>
                    </w:rPr>
                  </w:pPr>
                  <w:r>
                    <w:rPr>
                      <w:color w:val="auto"/>
                      <w:kern w:val="2"/>
                      <w:sz w:val="21"/>
                      <w:szCs w:val="21"/>
                    </w:rPr>
                    <w:t>商品混凝土</w:t>
                  </w:r>
                </w:p>
              </w:tc>
              <w:tc>
                <w:tcPr>
                  <w:tcW w:w="1687" w:type="dxa"/>
                  <w:tcBorders>
                    <w:top w:val="single" w:color="auto" w:sz="12" w:space="0"/>
                    <w:bottom w:val="single" w:color="auto" w:sz="12" w:space="0"/>
                  </w:tcBorders>
                  <w:vAlign w:val="center"/>
                </w:tcPr>
                <w:p w14:paraId="58057DF6">
                  <w:pPr>
                    <w:pStyle w:val="5"/>
                    <w:spacing w:before="0" w:after="0" w:line="240" w:lineRule="auto"/>
                    <w:ind w:right="0" w:rightChars="0"/>
                    <w:jc w:val="center"/>
                    <w:rPr>
                      <w:rFonts w:hint="eastAsia"/>
                      <w:color w:val="auto"/>
                      <w:kern w:val="2"/>
                      <w:sz w:val="21"/>
                      <w:szCs w:val="21"/>
                      <w:lang w:val="en-US" w:eastAsia="zh-CN"/>
                    </w:rPr>
                  </w:pPr>
                  <w:r>
                    <w:rPr>
                      <w:rFonts w:hint="eastAsia"/>
                      <w:color w:val="auto"/>
                      <w:kern w:val="2"/>
                      <w:sz w:val="21"/>
                      <w:szCs w:val="21"/>
                      <w:lang w:val="en-US" w:eastAsia="zh-CN"/>
                    </w:rPr>
                    <w:t>2万m</w:t>
                  </w:r>
                  <w:r>
                    <w:rPr>
                      <w:rFonts w:hint="eastAsia"/>
                      <w:color w:val="auto"/>
                      <w:kern w:val="2"/>
                      <w:sz w:val="21"/>
                      <w:szCs w:val="21"/>
                      <w:vertAlign w:val="superscript"/>
                      <w:lang w:val="en-US" w:eastAsia="zh-CN"/>
                    </w:rPr>
                    <w:t>3</w:t>
                  </w:r>
                </w:p>
              </w:tc>
              <w:tc>
                <w:tcPr>
                  <w:tcW w:w="3349" w:type="dxa"/>
                  <w:tcBorders>
                    <w:top w:val="single" w:color="auto" w:sz="12" w:space="0"/>
                    <w:bottom w:val="single" w:color="auto" w:sz="12" w:space="0"/>
                  </w:tcBorders>
                  <w:vAlign w:val="center"/>
                </w:tcPr>
                <w:p w14:paraId="350F925B">
                  <w:pPr>
                    <w:pStyle w:val="5"/>
                    <w:spacing w:before="0" w:after="0" w:line="240" w:lineRule="auto"/>
                    <w:ind w:right="0" w:rightChars="0"/>
                    <w:jc w:val="center"/>
                    <w:rPr>
                      <w:color w:val="auto"/>
                      <w:kern w:val="2"/>
                      <w:sz w:val="21"/>
                      <w:szCs w:val="21"/>
                    </w:rPr>
                  </w:pPr>
                  <w:r>
                    <w:rPr>
                      <w:color w:val="auto"/>
                      <w:kern w:val="2"/>
                      <w:sz w:val="21"/>
                      <w:szCs w:val="21"/>
                    </w:rPr>
                    <w:t>C25</w:t>
                  </w:r>
                </w:p>
              </w:tc>
              <w:tc>
                <w:tcPr>
                  <w:tcW w:w="844" w:type="dxa"/>
                  <w:tcBorders>
                    <w:top w:val="single" w:color="auto" w:sz="12" w:space="0"/>
                    <w:bottom w:val="single" w:color="auto" w:sz="12" w:space="0"/>
                  </w:tcBorders>
                  <w:vAlign w:val="center"/>
                </w:tcPr>
                <w:p w14:paraId="2E6891C2">
                  <w:pPr>
                    <w:pStyle w:val="5"/>
                    <w:spacing w:before="0" w:after="0" w:line="240" w:lineRule="auto"/>
                    <w:ind w:right="0" w:rightChars="0"/>
                    <w:jc w:val="center"/>
                    <w:rPr>
                      <w:rFonts w:hint="eastAsia"/>
                      <w:color w:val="auto"/>
                      <w:kern w:val="2"/>
                      <w:sz w:val="21"/>
                      <w:szCs w:val="21"/>
                    </w:rPr>
                  </w:pPr>
                  <w:r>
                    <w:rPr>
                      <w:rFonts w:hint="eastAsia"/>
                      <w:color w:val="auto"/>
                      <w:kern w:val="2"/>
                      <w:sz w:val="21"/>
                      <w:szCs w:val="21"/>
                      <w:lang w:val="en-US" w:eastAsia="zh-CN"/>
                    </w:rPr>
                    <w:t>/</w:t>
                  </w:r>
                </w:p>
              </w:tc>
            </w:tr>
            <w:tr w14:paraId="3BA438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7" w:type="dxa"/>
                  <w:tcBorders>
                    <w:top w:val="single" w:color="auto" w:sz="12" w:space="0"/>
                    <w:bottom w:val="single" w:color="auto" w:sz="12" w:space="0"/>
                  </w:tcBorders>
                  <w:vAlign w:val="center"/>
                </w:tcPr>
                <w:p w14:paraId="7958FFAB">
                  <w:pPr>
                    <w:pStyle w:val="5"/>
                    <w:spacing w:before="0" w:after="0" w:line="240" w:lineRule="auto"/>
                    <w:ind w:right="0" w:rightChars="0"/>
                    <w:jc w:val="center"/>
                    <w:rPr>
                      <w:color w:val="auto"/>
                      <w:kern w:val="2"/>
                      <w:sz w:val="21"/>
                      <w:szCs w:val="21"/>
                    </w:rPr>
                  </w:pPr>
                  <w:r>
                    <w:rPr>
                      <w:color w:val="auto"/>
                      <w:kern w:val="2"/>
                      <w:sz w:val="21"/>
                      <w:szCs w:val="21"/>
                    </w:rPr>
                    <w:t>商品混凝土</w:t>
                  </w:r>
                </w:p>
              </w:tc>
              <w:tc>
                <w:tcPr>
                  <w:tcW w:w="1687" w:type="dxa"/>
                  <w:tcBorders>
                    <w:top w:val="single" w:color="auto" w:sz="12" w:space="0"/>
                    <w:bottom w:val="single" w:color="auto" w:sz="12" w:space="0"/>
                  </w:tcBorders>
                  <w:vAlign w:val="center"/>
                </w:tcPr>
                <w:p w14:paraId="57CC881D">
                  <w:pPr>
                    <w:pStyle w:val="5"/>
                    <w:spacing w:before="0" w:after="0" w:line="240" w:lineRule="auto"/>
                    <w:ind w:right="0" w:rightChars="0"/>
                    <w:jc w:val="center"/>
                    <w:rPr>
                      <w:rFonts w:hint="eastAsia"/>
                      <w:color w:val="auto"/>
                      <w:kern w:val="2"/>
                      <w:sz w:val="21"/>
                      <w:szCs w:val="21"/>
                      <w:lang w:val="en-US" w:eastAsia="zh-CN"/>
                    </w:rPr>
                  </w:pPr>
                  <w:r>
                    <w:rPr>
                      <w:rFonts w:hint="eastAsia"/>
                      <w:color w:val="auto"/>
                      <w:kern w:val="2"/>
                      <w:sz w:val="21"/>
                      <w:szCs w:val="21"/>
                      <w:lang w:val="en-US" w:eastAsia="zh-CN"/>
                    </w:rPr>
                    <w:t>9万m</w:t>
                  </w:r>
                  <w:r>
                    <w:rPr>
                      <w:rFonts w:hint="eastAsia"/>
                      <w:color w:val="auto"/>
                      <w:kern w:val="2"/>
                      <w:sz w:val="21"/>
                      <w:szCs w:val="21"/>
                      <w:vertAlign w:val="superscript"/>
                      <w:lang w:val="en-US" w:eastAsia="zh-CN"/>
                    </w:rPr>
                    <w:t>3</w:t>
                  </w:r>
                </w:p>
              </w:tc>
              <w:tc>
                <w:tcPr>
                  <w:tcW w:w="3349" w:type="dxa"/>
                  <w:tcBorders>
                    <w:top w:val="single" w:color="auto" w:sz="12" w:space="0"/>
                    <w:bottom w:val="single" w:color="auto" w:sz="12" w:space="0"/>
                  </w:tcBorders>
                  <w:vAlign w:val="center"/>
                </w:tcPr>
                <w:p w14:paraId="38F09A6C">
                  <w:pPr>
                    <w:pStyle w:val="5"/>
                    <w:spacing w:before="0" w:after="0" w:line="240" w:lineRule="auto"/>
                    <w:ind w:right="0" w:rightChars="0"/>
                    <w:jc w:val="center"/>
                    <w:rPr>
                      <w:color w:val="auto"/>
                      <w:kern w:val="2"/>
                      <w:sz w:val="21"/>
                      <w:szCs w:val="21"/>
                    </w:rPr>
                  </w:pPr>
                  <w:r>
                    <w:rPr>
                      <w:color w:val="auto"/>
                      <w:kern w:val="2"/>
                      <w:sz w:val="21"/>
                      <w:szCs w:val="21"/>
                    </w:rPr>
                    <w:t>C30</w:t>
                  </w:r>
                </w:p>
              </w:tc>
              <w:tc>
                <w:tcPr>
                  <w:tcW w:w="844" w:type="dxa"/>
                  <w:tcBorders>
                    <w:top w:val="single" w:color="auto" w:sz="12" w:space="0"/>
                    <w:bottom w:val="single" w:color="auto" w:sz="12" w:space="0"/>
                  </w:tcBorders>
                  <w:vAlign w:val="center"/>
                </w:tcPr>
                <w:p w14:paraId="37CE9B72">
                  <w:pPr>
                    <w:pStyle w:val="5"/>
                    <w:spacing w:before="0" w:after="0" w:line="240" w:lineRule="auto"/>
                    <w:ind w:right="0" w:rightChars="0"/>
                    <w:jc w:val="center"/>
                    <w:rPr>
                      <w:rFonts w:hint="eastAsia"/>
                      <w:color w:val="auto"/>
                      <w:kern w:val="2"/>
                      <w:sz w:val="21"/>
                      <w:szCs w:val="21"/>
                    </w:rPr>
                  </w:pPr>
                  <w:r>
                    <w:rPr>
                      <w:rFonts w:hint="eastAsia"/>
                      <w:color w:val="auto"/>
                      <w:kern w:val="2"/>
                      <w:sz w:val="21"/>
                      <w:szCs w:val="21"/>
                      <w:lang w:val="en-US" w:eastAsia="zh-CN"/>
                    </w:rPr>
                    <w:t>/</w:t>
                  </w:r>
                </w:p>
              </w:tc>
            </w:tr>
            <w:tr w14:paraId="2D2FE0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7" w:type="dxa"/>
                  <w:tcBorders>
                    <w:top w:val="single" w:color="auto" w:sz="12" w:space="0"/>
                    <w:bottom w:val="single" w:color="auto" w:sz="12" w:space="0"/>
                  </w:tcBorders>
                  <w:vAlign w:val="center"/>
                </w:tcPr>
                <w:p w14:paraId="11EC60BE">
                  <w:pPr>
                    <w:pStyle w:val="5"/>
                    <w:spacing w:before="0" w:after="0" w:line="240" w:lineRule="auto"/>
                    <w:ind w:right="0" w:rightChars="0"/>
                    <w:jc w:val="center"/>
                    <w:rPr>
                      <w:color w:val="auto"/>
                      <w:kern w:val="2"/>
                      <w:sz w:val="21"/>
                      <w:szCs w:val="21"/>
                    </w:rPr>
                  </w:pPr>
                  <w:r>
                    <w:rPr>
                      <w:color w:val="auto"/>
                      <w:kern w:val="2"/>
                      <w:sz w:val="21"/>
                      <w:szCs w:val="21"/>
                    </w:rPr>
                    <w:t>商品混凝土</w:t>
                  </w:r>
                </w:p>
              </w:tc>
              <w:tc>
                <w:tcPr>
                  <w:tcW w:w="1687" w:type="dxa"/>
                  <w:tcBorders>
                    <w:top w:val="single" w:color="auto" w:sz="12" w:space="0"/>
                    <w:bottom w:val="single" w:color="auto" w:sz="12" w:space="0"/>
                  </w:tcBorders>
                  <w:vAlign w:val="center"/>
                </w:tcPr>
                <w:p w14:paraId="3A9CE8D2">
                  <w:pPr>
                    <w:pStyle w:val="5"/>
                    <w:spacing w:before="0" w:after="0" w:line="240" w:lineRule="auto"/>
                    <w:ind w:right="0" w:rightChars="0"/>
                    <w:jc w:val="center"/>
                    <w:rPr>
                      <w:rFonts w:hint="eastAsia"/>
                      <w:color w:val="auto"/>
                      <w:kern w:val="2"/>
                      <w:sz w:val="21"/>
                      <w:szCs w:val="21"/>
                      <w:lang w:val="en-US" w:eastAsia="zh-CN"/>
                    </w:rPr>
                  </w:pPr>
                  <w:r>
                    <w:rPr>
                      <w:rFonts w:hint="eastAsia"/>
                      <w:color w:val="auto"/>
                      <w:kern w:val="2"/>
                      <w:sz w:val="21"/>
                      <w:szCs w:val="21"/>
                      <w:lang w:val="en-US" w:eastAsia="zh-CN"/>
                    </w:rPr>
                    <w:t>3万m</w:t>
                  </w:r>
                  <w:r>
                    <w:rPr>
                      <w:rFonts w:hint="eastAsia"/>
                      <w:color w:val="auto"/>
                      <w:kern w:val="2"/>
                      <w:sz w:val="21"/>
                      <w:szCs w:val="21"/>
                      <w:vertAlign w:val="superscript"/>
                      <w:lang w:val="en-US" w:eastAsia="zh-CN"/>
                    </w:rPr>
                    <w:t>3</w:t>
                  </w:r>
                </w:p>
              </w:tc>
              <w:tc>
                <w:tcPr>
                  <w:tcW w:w="3349" w:type="dxa"/>
                  <w:tcBorders>
                    <w:top w:val="single" w:color="auto" w:sz="12" w:space="0"/>
                    <w:bottom w:val="single" w:color="auto" w:sz="12" w:space="0"/>
                  </w:tcBorders>
                  <w:vAlign w:val="center"/>
                </w:tcPr>
                <w:p w14:paraId="1186A6B2">
                  <w:pPr>
                    <w:pStyle w:val="5"/>
                    <w:spacing w:before="0" w:after="0" w:line="240" w:lineRule="auto"/>
                    <w:ind w:right="0" w:rightChars="0"/>
                    <w:jc w:val="center"/>
                    <w:rPr>
                      <w:color w:val="auto"/>
                      <w:kern w:val="2"/>
                      <w:sz w:val="21"/>
                      <w:szCs w:val="21"/>
                    </w:rPr>
                  </w:pPr>
                  <w:r>
                    <w:rPr>
                      <w:color w:val="auto"/>
                      <w:sz w:val="21"/>
                      <w:szCs w:val="21"/>
                    </w:rPr>
                    <w:t>C40</w:t>
                  </w:r>
                </w:p>
              </w:tc>
              <w:tc>
                <w:tcPr>
                  <w:tcW w:w="844" w:type="dxa"/>
                  <w:tcBorders>
                    <w:top w:val="single" w:color="auto" w:sz="12" w:space="0"/>
                    <w:bottom w:val="single" w:color="auto" w:sz="12" w:space="0"/>
                  </w:tcBorders>
                  <w:vAlign w:val="center"/>
                </w:tcPr>
                <w:p w14:paraId="7887DC52">
                  <w:pPr>
                    <w:pStyle w:val="5"/>
                    <w:spacing w:before="0" w:after="0" w:line="240" w:lineRule="auto"/>
                    <w:ind w:right="0" w:rightChars="0"/>
                    <w:jc w:val="center"/>
                    <w:rPr>
                      <w:rFonts w:hint="eastAsia"/>
                      <w:color w:val="auto"/>
                      <w:kern w:val="2"/>
                      <w:sz w:val="21"/>
                      <w:szCs w:val="21"/>
                    </w:rPr>
                  </w:pPr>
                  <w:r>
                    <w:rPr>
                      <w:rFonts w:hint="eastAsia"/>
                      <w:color w:val="auto"/>
                      <w:kern w:val="2"/>
                      <w:sz w:val="21"/>
                      <w:szCs w:val="21"/>
                      <w:lang w:val="en-US" w:eastAsia="zh-CN"/>
                    </w:rPr>
                    <w:t>/</w:t>
                  </w:r>
                </w:p>
              </w:tc>
            </w:tr>
            <w:tr w14:paraId="306B70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7" w:type="dxa"/>
                  <w:tcBorders>
                    <w:top w:val="single" w:color="auto" w:sz="12" w:space="0"/>
                    <w:bottom w:val="single" w:color="auto" w:sz="12" w:space="0"/>
                  </w:tcBorders>
                  <w:vAlign w:val="center"/>
                </w:tcPr>
                <w:p w14:paraId="68C45BBF">
                  <w:pPr>
                    <w:pStyle w:val="5"/>
                    <w:spacing w:before="0" w:after="0" w:line="240" w:lineRule="auto"/>
                    <w:ind w:right="0" w:rightChars="0"/>
                    <w:jc w:val="center"/>
                    <w:rPr>
                      <w:color w:val="auto"/>
                      <w:kern w:val="2"/>
                      <w:sz w:val="21"/>
                      <w:szCs w:val="21"/>
                    </w:rPr>
                  </w:pPr>
                  <w:r>
                    <w:rPr>
                      <w:color w:val="auto"/>
                      <w:kern w:val="2"/>
                      <w:sz w:val="21"/>
                      <w:szCs w:val="21"/>
                    </w:rPr>
                    <w:t>商品混凝土</w:t>
                  </w:r>
                </w:p>
              </w:tc>
              <w:tc>
                <w:tcPr>
                  <w:tcW w:w="1687" w:type="dxa"/>
                  <w:tcBorders>
                    <w:top w:val="single" w:color="auto" w:sz="12" w:space="0"/>
                    <w:bottom w:val="single" w:color="auto" w:sz="12" w:space="0"/>
                  </w:tcBorders>
                  <w:vAlign w:val="center"/>
                </w:tcPr>
                <w:p w14:paraId="7F738C04">
                  <w:pPr>
                    <w:pStyle w:val="5"/>
                    <w:spacing w:before="0" w:after="0" w:line="240" w:lineRule="auto"/>
                    <w:ind w:right="0" w:rightChars="0"/>
                    <w:jc w:val="center"/>
                    <w:rPr>
                      <w:rFonts w:hint="eastAsia"/>
                      <w:color w:val="auto"/>
                      <w:kern w:val="2"/>
                      <w:sz w:val="21"/>
                      <w:szCs w:val="21"/>
                      <w:lang w:val="en-US" w:eastAsia="zh-CN"/>
                    </w:rPr>
                  </w:pPr>
                  <w:r>
                    <w:rPr>
                      <w:rFonts w:hint="eastAsia"/>
                      <w:color w:val="auto"/>
                      <w:kern w:val="2"/>
                      <w:sz w:val="21"/>
                      <w:szCs w:val="21"/>
                      <w:lang w:val="en-US" w:eastAsia="zh-CN"/>
                    </w:rPr>
                    <w:t>4万m</w:t>
                  </w:r>
                  <w:r>
                    <w:rPr>
                      <w:rFonts w:hint="eastAsia"/>
                      <w:color w:val="auto"/>
                      <w:kern w:val="2"/>
                      <w:sz w:val="21"/>
                      <w:szCs w:val="21"/>
                      <w:vertAlign w:val="superscript"/>
                      <w:lang w:val="en-US" w:eastAsia="zh-CN"/>
                    </w:rPr>
                    <w:t>3</w:t>
                  </w:r>
                </w:p>
              </w:tc>
              <w:tc>
                <w:tcPr>
                  <w:tcW w:w="3349" w:type="dxa"/>
                  <w:tcBorders>
                    <w:top w:val="single" w:color="auto" w:sz="12" w:space="0"/>
                    <w:bottom w:val="single" w:color="auto" w:sz="12" w:space="0"/>
                  </w:tcBorders>
                  <w:vAlign w:val="center"/>
                </w:tcPr>
                <w:p w14:paraId="5883BF7E">
                  <w:pPr>
                    <w:pStyle w:val="5"/>
                    <w:spacing w:before="0" w:after="0" w:line="240" w:lineRule="auto"/>
                    <w:ind w:right="0" w:rightChars="0"/>
                    <w:jc w:val="center"/>
                    <w:rPr>
                      <w:color w:val="auto"/>
                      <w:kern w:val="2"/>
                      <w:sz w:val="21"/>
                      <w:szCs w:val="21"/>
                    </w:rPr>
                  </w:pPr>
                  <w:r>
                    <w:rPr>
                      <w:color w:val="auto"/>
                      <w:sz w:val="21"/>
                      <w:szCs w:val="21"/>
                    </w:rPr>
                    <w:t>C45</w:t>
                  </w:r>
                </w:p>
              </w:tc>
              <w:tc>
                <w:tcPr>
                  <w:tcW w:w="844" w:type="dxa"/>
                  <w:tcBorders>
                    <w:top w:val="single" w:color="auto" w:sz="12" w:space="0"/>
                    <w:bottom w:val="single" w:color="auto" w:sz="12" w:space="0"/>
                  </w:tcBorders>
                  <w:vAlign w:val="center"/>
                </w:tcPr>
                <w:p w14:paraId="020AFBC9">
                  <w:pPr>
                    <w:pStyle w:val="5"/>
                    <w:spacing w:before="0" w:after="0" w:line="240" w:lineRule="auto"/>
                    <w:ind w:right="0" w:rightChars="0"/>
                    <w:jc w:val="center"/>
                    <w:rPr>
                      <w:rFonts w:hint="eastAsia"/>
                      <w:color w:val="auto"/>
                      <w:kern w:val="2"/>
                      <w:sz w:val="21"/>
                      <w:szCs w:val="21"/>
                    </w:rPr>
                  </w:pPr>
                  <w:r>
                    <w:rPr>
                      <w:rFonts w:hint="eastAsia"/>
                      <w:color w:val="auto"/>
                      <w:kern w:val="2"/>
                      <w:sz w:val="21"/>
                      <w:szCs w:val="21"/>
                      <w:lang w:val="en-US" w:eastAsia="zh-CN"/>
                    </w:rPr>
                    <w:t>/</w:t>
                  </w:r>
                </w:p>
              </w:tc>
            </w:tr>
          </w:tbl>
          <w:p w14:paraId="1A501FA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本项目物料平衡见表2-5。</w:t>
            </w:r>
          </w:p>
          <w:p w14:paraId="5326E744">
            <w:pPr>
              <w:pStyle w:val="5"/>
              <w:adjustRightInd w:val="0"/>
              <w:spacing w:before="0" w:after="0" w:line="240" w:lineRule="auto"/>
              <w:ind w:right="0"/>
              <w:jc w:val="center"/>
              <w:rPr>
                <w:b/>
                <w:bCs/>
                <w:color w:val="auto"/>
                <w:sz w:val="21"/>
                <w:szCs w:val="21"/>
                <w:highlight w:val="none"/>
              </w:rPr>
            </w:pPr>
            <w:r>
              <w:rPr>
                <w:b/>
                <w:bCs/>
                <w:color w:val="auto"/>
                <w:sz w:val="21"/>
                <w:szCs w:val="21"/>
                <w:highlight w:val="none"/>
              </w:rPr>
              <w:t>表2-5    本项目物料平衡一览表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39"/>
              <w:gridCol w:w="1543"/>
              <w:gridCol w:w="1523"/>
              <w:gridCol w:w="1565"/>
              <w:gridCol w:w="764"/>
              <w:gridCol w:w="900"/>
            </w:tblGrid>
            <w:tr w14:paraId="67DC64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vMerge w:val="restart"/>
                  <w:vAlign w:val="center"/>
                </w:tcPr>
                <w:p w14:paraId="5282441C">
                  <w:pPr>
                    <w:pStyle w:val="38"/>
                    <w:spacing w:after="0" w:line="240" w:lineRule="auto"/>
                    <w:jc w:val="center"/>
                    <w:rPr>
                      <w:b/>
                      <w:bCs/>
                      <w:color w:val="auto"/>
                      <w:sz w:val="21"/>
                      <w:szCs w:val="21"/>
                    </w:rPr>
                  </w:pPr>
                  <w:r>
                    <w:rPr>
                      <w:b/>
                      <w:bCs/>
                      <w:color w:val="auto"/>
                      <w:sz w:val="21"/>
                      <w:szCs w:val="21"/>
                    </w:rPr>
                    <w:t>序号</w:t>
                  </w:r>
                </w:p>
              </w:tc>
              <w:tc>
                <w:tcPr>
                  <w:tcW w:w="998" w:type="pct"/>
                  <w:vAlign w:val="center"/>
                </w:tcPr>
                <w:p w14:paraId="6C2777A5">
                  <w:pPr>
                    <w:pStyle w:val="38"/>
                    <w:spacing w:after="0" w:line="240" w:lineRule="auto"/>
                    <w:jc w:val="center"/>
                    <w:rPr>
                      <w:b/>
                      <w:bCs/>
                      <w:color w:val="auto"/>
                      <w:sz w:val="21"/>
                      <w:szCs w:val="21"/>
                    </w:rPr>
                  </w:pPr>
                  <w:r>
                    <w:rPr>
                      <w:b/>
                      <w:bCs/>
                      <w:color w:val="auto"/>
                      <w:sz w:val="21"/>
                      <w:szCs w:val="21"/>
                    </w:rPr>
                    <w:t>原料名称</w:t>
                  </w:r>
                </w:p>
              </w:tc>
              <w:tc>
                <w:tcPr>
                  <w:tcW w:w="985" w:type="pct"/>
                  <w:vAlign w:val="center"/>
                </w:tcPr>
                <w:p w14:paraId="69642FD5">
                  <w:pPr>
                    <w:pStyle w:val="38"/>
                    <w:spacing w:after="0" w:line="240" w:lineRule="auto"/>
                    <w:jc w:val="center"/>
                    <w:rPr>
                      <w:b/>
                      <w:bCs/>
                      <w:color w:val="auto"/>
                      <w:sz w:val="21"/>
                      <w:szCs w:val="21"/>
                    </w:rPr>
                  </w:pPr>
                  <w:r>
                    <w:rPr>
                      <w:b/>
                      <w:bCs/>
                      <w:color w:val="auto"/>
                      <w:sz w:val="21"/>
                      <w:szCs w:val="21"/>
                    </w:rPr>
                    <w:t>数量t/a</w:t>
                  </w:r>
                </w:p>
              </w:tc>
              <w:tc>
                <w:tcPr>
                  <w:tcW w:w="1012" w:type="pct"/>
                  <w:vAlign w:val="center"/>
                </w:tcPr>
                <w:p w14:paraId="370F5244">
                  <w:pPr>
                    <w:pStyle w:val="38"/>
                    <w:spacing w:after="0" w:line="240" w:lineRule="auto"/>
                    <w:jc w:val="center"/>
                    <w:rPr>
                      <w:b/>
                      <w:bCs/>
                      <w:color w:val="auto"/>
                      <w:sz w:val="21"/>
                      <w:szCs w:val="21"/>
                    </w:rPr>
                  </w:pPr>
                  <w:r>
                    <w:rPr>
                      <w:b/>
                      <w:bCs/>
                      <w:color w:val="auto"/>
                      <w:sz w:val="21"/>
                      <w:szCs w:val="21"/>
                    </w:rPr>
                    <w:t>成品名称</w:t>
                  </w:r>
                </w:p>
              </w:tc>
              <w:tc>
                <w:tcPr>
                  <w:tcW w:w="1008" w:type="pct"/>
                  <w:gridSpan w:val="2"/>
                  <w:vAlign w:val="center"/>
                </w:tcPr>
                <w:p w14:paraId="2957FE9E">
                  <w:pPr>
                    <w:pStyle w:val="38"/>
                    <w:spacing w:after="0" w:line="240" w:lineRule="auto"/>
                    <w:jc w:val="center"/>
                    <w:rPr>
                      <w:b/>
                      <w:bCs/>
                      <w:color w:val="auto"/>
                      <w:sz w:val="21"/>
                      <w:szCs w:val="21"/>
                    </w:rPr>
                  </w:pPr>
                  <w:r>
                    <w:rPr>
                      <w:b/>
                      <w:bCs/>
                      <w:color w:val="auto"/>
                      <w:sz w:val="21"/>
                      <w:szCs w:val="21"/>
                    </w:rPr>
                    <w:t>数量t/a</w:t>
                  </w:r>
                </w:p>
              </w:tc>
            </w:tr>
            <w:tr w14:paraId="2D0AE0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vMerge w:val="continue"/>
                  <w:tcBorders>
                    <w:bottom w:val="single" w:color="auto" w:sz="12" w:space="0"/>
                  </w:tcBorders>
                  <w:vAlign w:val="center"/>
                </w:tcPr>
                <w:p w14:paraId="441310DB">
                  <w:pPr>
                    <w:pStyle w:val="38"/>
                    <w:spacing w:after="0" w:line="240" w:lineRule="auto"/>
                    <w:jc w:val="center"/>
                    <w:rPr>
                      <w:b/>
                      <w:bCs/>
                      <w:color w:val="auto"/>
                      <w:sz w:val="21"/>
                      <w:szCs w:val="21"/>
                    </w:rPr>
                  </w:pPr>
                </w:p>
              </w:tc>
              <w:tc>
                <w:tcPr>
                  <w:tcW w:w="1983" w:type="pct"/>
                  <w:gridSpan w:val="2"/>
                  <w:tcBorders>
                    <w:bottom w:val="single" w:color="auto" w:sz="12" w:space="0"/>
                  </w:tcBorders>
                  <w:vAlign w:val="center"/>
                </w:tcPr>
                <w:p w14:paraId="4B8B83B1">
                  <w:pPr>
                    <w:pStyle w:val="38"/>
                    <w:spacing w:after="0" w:line="240" w:lineRule="auto"/>
                    <w:jc w:val="center"/>
                    <w:rPr>
                      <w:b/>
                      <w:bCs/>
                      <w:color w:val="auto"/>
                      <w:sz w:val="21"/>
                      <w:szCs w:val="21"/>
                    </w:rPr>
                  </w:pPr>
                  <w:r>
                    <w:rPr>
                      <w:b/>
                      <w:bCs/>
                      <w:color w:val="auto"/>
                      <w:sz w:val="21"/>
                      <w:szCs w:val="21"/>
                    </w:rPr>
                    <w:t>投入</w:t>
                  </w:r>
                </w:p>
              </w:tc>
              <w:tc>
                <w:tcPr>
                  <w:tcW w:w="2020" w:type="pct"/>
                  <w:gridSpan w:val="3"/>
                  <w:tcBorders>
                    <w:bottom w:val="single" w:color="auto" w:sz="12" w:space="0"/>
                  </w:tcBorders>
                  <w:vAlign w:val="center"/>
                </w:tcPr>
                <w:p w14:paraId="6C3E19FC">
                  <w:pPr>
                    <w:pStyle w:val="38"/>
                    <w:spacing w:after="0" w:line="240" w:lineRule="auto"/>
                    <w:jc w:val="center"/>
                    <w:rPr>
                      <w:b/>
                      <w:bCs/>
                      <w:color w:val="auto"/>
                      <w:sz w:val="21"/>
                      <w:szCs w:val="21"/>
                    </w:rPr>
                  </w:pPr>
                  <w:r>
                    <w:rPr>
                      <w:rFonts w:hint="eastAsia" w:cs="Times New Roman"/>
                      <w:b/>
                      <w:bCs/>
                      <w:color w:val="auto"/>
                      <w:sz w:val="21"/>
                      <w:szCs w:val="21"/>
                      <w:lang w:val="en-US" w:eastAsia="zh-CN"/>
                    </w:rPr>
                    <w:t>产出</w:t>
                  </w:r>
                </w:p>
              </w:tc>
            </w:tr>
            <w:tr w14:paraId="4D218B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 w:type="pct"/>
                  <w:tcBorders>
                    <w:top w:val="single" w:color="auto" w:sz="12" w:space="0"/>
                    <w:tl2br w:val="nil"/>
                    <w:tr2bl w:val="nil"/>
                  </w:tcBorders>
                  <w:vAlign w:val="center"/>
                </w:tcPr>
                <w:p w14:paraId="1AD7C8F1">
                  <w:pPr>
                    <w:pStyle w:val="38"/>
                    <w:spacing w:after="0" w:line="240" w:lineRule="auto"/>
                    <w:jc w:val="center"/>
                    <w:rPr>
                      <w:color w:val="auto"/>
                      <w:sz w:val="21"/>
                      <w:szCs w:val="21"/>
                    </w:rPr>
                  </w:pPr>
                  <w:r>
                    <w:rPr>
                      <w:color w:val="auto"/>
                      <w:sz w:val="21"/>
                      <w:szCs w:val="21"/>
                    </w:rPr>
                    <w:t>1</w:t>
                  </w:r>
                </w:p>
              </w:tc>
              <w:tc>
                <w:tcPr>
                  <w:tcW w:w="998" w:type="pct"/>
                  <w:tcBorders>
                    <w:top w:val="single" w:color="auto" w:sz="12" w:space="0"/>
                    <w:tl2br w:val="nil"/>
                    <w:tr2bl w:val="nil"/>
                  </w:tcBorders>
                  <w:vAlign w:val="center"/>
                </w:tcPr>
                <w:p w14:paraId="0E855105">
                  <w:pPr>
                    <w:adjustRightInd w:val="0"/>
                    <w:snapToGrid w:val="0"/>
                    <w:jc w:val="center"/>
                    <w:rPr>
                      <w:color w:val="auto"/>
                      <w:sz w:val="21"/>
                      <w:szCs w:val="21"/>
                    </w:rPr>
                  </w:pPr>
                  <w:r>
                    <w:rPr>
                      <w:color w:val="auto"/>
                      <w:sz w:val="21"/>
                      <w:szCs w:val="21"/>
                    </w:rPr>
                    <w:t>水泥</w:t>
                  </w:r>
                </w:p>
              </w:tc>
              <w:tc>
                <w:tcPr>
                  <w:tcW w:w="985" w:type="pct"/>
                  <w:tcBorders>
                    <w:top w:val="single" w:color="auto" w:sz="12" w:space="0"/>
                    <w:tl2br w:val="nil"/>
                    <w:tr2bl w:val="nil"/>
                  </w:tcBorders>
                  <w:vAlign w:val="center"/>
                </w:tcPr>
                <w:p w14:paraId="2633754D">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85620</w:t>
                  </w:r>
                </w:p>
              </w:tc>
              <w:tc>
                <w:tcPr>
                  <w:tcW w:w="1012" w:type="pct"/>
                  <w:tcBorders>
                    <w:top w:val="single" w:color="auto" w:sz="12" w:space="0"/>
                    <w:tl2br w:val="nil"/>
                    <w:tr2bl w:val="nil"/>
                  </w:tcBorders>
                  <w:vAlign w:val="center"/>
                </w:tcPr>
                <w:p w14:paraId="33CA6592">
                  <w:pPr>
                    <w:pStyle w:val="38"/>
                    <w:spacing w:after="0" w:line="240" w:lineRule="auto"/>
                    <w:jc w:val="center"/>
                    <w:rPr>
                      <w:color w:val="auto"/>
                      <w:sz w:val="21"/>
                      <w:szCs w:val="21"/>
                    </w:rPr>
                  </w:pPr>
                  <w:r>
                    <w:rPr>
                      <w:color w:val="auto"/>
                      <w:sz w:val="21"/>
                      <w:szCs w:val="21"/>
                    </w:rPr>
                    <w:t>商品混凝土</w:t>
                  </w:r>
                </w:p>
              </w:tc>
              <w:tc>
                <w:tcPr>
                  <w:tcW w:w="1008" w:type="pct"/>
                  <w:gridSpan w:val="2"/>
                  <w:tcBorders>
                    <w:top w:val="single" w:color="auto" w:sz="12" w:space="0"/>
                    <w:tl2br w:val="nil"/>
                    <w:tr2bl w:val="nil"/>
                  </w:tcBorders>
                  <w:vAlign w:val="center"/>
                </w:tcPr>
                <w:p w14:paraId="730B3DD9">
                  <w:pPr>
                    <w:pStyle w:val="3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479811</w:t>
                  </w:r>
                </w:p>
              </w:tc>
            </w:tr>
            <w:tr w14:paraId="2957875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 w:hRule="atLeast"/>
              </w:trPr>
              <w:tc>
                <w:tcPr>
                  <w:tcW w:w="995" w:type="pct"/>
                  <w:vMerge w:val="restart"/>
                  <w:tcBorders>
                    <w:tl2br w:val="nil"/>
                    <w:tr2bl w:val="nil"/>
                  </w:tcBorders>
                  <w:vAlign w:val="center"/>
                </w:tcPr>
                <w:p w14:paraId="1DD720DA">
                  <w:pPr>
                    <w:jc w:val="center"/>
                    <w:rPr>
                      <w:color w:val="auto"/>
                      <w:sz w:val="21"/>
                      <w:szCs w:val="21"/>
                    </w:rPr>
                  </w:pPr>
                  <w:r>
                    <w:rPr>
                      <w:color w:val="auto"/>
                      <w:sz w:val="21"/>
                      <w:szCs w:val="21"/>
                    </w:rPr>
                    <w:t>2</w:t>
                  </w:r>
                </w:p>
              </w:tc>
              <w:tc>
                <w:tcPr>
                  <w:tcW w:w="998" w:type="pct"/>
                  <w:vMerge w:val="restart"/>
                  <w:tcBorders>
                    <w:tl2br w:val="nil"/>
                    <w:tr2bl w:val="nil"/>
                  </w:tcBorders>
                  <w:vAlign w:val="center"/>
                </w:tcPr>
                <w:p w14:paraId="42F5EF21">
                  <w:pPr>
                    <w:adjustRightInd w:val="0"/>
                    <w:snapToGrid w:val="0"/>
                    <w:jc w:val="center"/>
                    <w:rPr>
                      <w:color w:val="auto"/>
                      <w:sz w:val="21"/>
                      <w:szCs w:val="21"/>
                    </w:rPr>
                  </w:pPr>
                  <w:r>
                    <w:rPr>
                      <w:color w:val="auto"/>
                      <w:sz w:val="21"/>
                      <w:szCs w:val="21"/>
                    </w:rPr>
                    <w:t>粉煤灰</w:t>
                  </w:r>
                </w:p>
              </w:tc>
              <w:tc>
                <w:tcPr>
                  <w:tcW w:w="985" w:type="pct"/>
                  <w:vMerge w:val="restart"/>
                  <w:tcBorders>
                    <w:tl2br w:val="nil"/>
                    <w:tr2bl w:val="nil"/>
                  </w:tcBorders>
                  <w:vAlign w:val="center"/>
                </w:tcPr>
                <w:p w14:paraId="68EDBC7E">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43432</w:t>
                  </w:r>
                </w:p>
              </w:tc>
              <w:tc>
                <w:tcPr>
                  <w:tcW w:w="1012" w:type="pct"/>
                  <w:vMerge w:val="restart"/>
                  <w:tcBorders>
                    <w:tl2br w:val="nil"/>
                    <w:tr2bl w:val="nil"/>
                  </w:tcBorders>
                  <w:vAlign w:val="center"/>
                </w:tcPr>
                <w:p w14:paraId="68D685BA">
                  <w:pPr>
                    <w:pStyle w:val="38"/>
                    <w:spacing w:after="0" w:line="240" w:lineRule="auto"/>
                    <w:jc w:val="center"/>
                    <w:rPr>
                      <w:rFonts w:hint="eastAsia" w:eastAsia="宋体"/>
                      <w:color w:val="auto"/>
                      <w:sz w:val="21"/>
                      <w:szCs w:val="21"/>
                      <w:lang w:eastAsia="zh-CN"/>
                    </w:rPr>
                  </w:pPr>
                  <w:r>
                    <w:rPr>
                      <w:rFonts w:hint="eastAsia"/>
                      <w:color w:val="auto"/>
                      <w:sz w:val="21"/>
                      <w:szCs w:val="21"/>
                      <w:lang w:val="en-US" w:eastAsia="zh-CN"/>
                    </w:rPr>
                    <w:t>搅拌粉尘</w:t>
                  </w:r>
                </w:p>
              </w:tc>
              <w:tc>
                <w:tcPr>
                  <w:tcW w:w="500" w:type="pct"/>
                  <w:tcBorders>
                    <w:tl2br w:val="nil"/>
                    <w:tr2bl w:val="nil"/>
                  </w:tcBorders>
                  <w:vAlign w:val="center"/>
                </w:tcPr>
                <w:p w14:paraId="3FF0FBA0">
                  <w:pPr>
                    <w:pStyle w:val="3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收集粉尘</w:t>
                  </w:r>
                </w:p>
              </w:tc>
              <w:tc>
                <w:tcPr>
                  <w:tcW w:w="508" w:type="pct"/>
                  <w:tcBorders>
                    <w:tl2br w:val="nil"/>
                    <w:tr2bl w:val="nil"/>
                  </w:tcBorders>
                  <w:vAlign w:val="center"/>
                </w:tcPr>
                <w:p w14:paraId="5B1B5530">
                  <w:pPr>
                    <w:pStyle w:val="38"/>
                    <w:spacing w:after="0" w:line="240" w:lineRule="auto"/>
                    <w:jc w:val="center"/>
                    <w:rPr>
                      <w:rFonts w:hint="default"/>
                      <w:color w:val="auto"/>
                      <w:sz w:val="21"/>
                      <w:szCs w:val="21"/>
                      <w:lang w:val="en-US" w:eastAsia="zh-CN"/>
                    </w:rPr>
                  </w:pPr>
                  <w:r>
                    <w:rPr>
                      <w:rFonts w:hint="eastAsia"/>
                      <w:color w:val="auto"/>
                      <w:sz w:val="21"/>
                      <w:szCs w:val="21"/>
                      <w:lang w:val="en-US" w:eastAsia="zh-CN"/>
                    </w:rPr>
                    <w:t>250.287</w:t>
                  </w:r>
                </w:p>
              </w:tc>
            </w:tr>
            <w:tr w14:paraId="409713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 w:hRule="atLeast"/>
              </w:trPr>
              <w:tc>
                <w:tcPr>
                  <w:tcW w:w="995" w:type="pct"/>
                  <w:vMerge w:val="continue"/>
                  <w:tcBorders>
                    <w:tl2br w:val="nil"/>
                    <w:tr2bl w:val="nil"/>
                  </w:tcBorders>
                  <w:vAlign w:val="center"/>
                </w:tcPr>
                <w:p w14:paraId="20BE46AE">
                  <w:pPr>
                    <w:pStyle w:val="38"/>
                    <w:spacing w:after="0" w:line="240" w:lineRule="auto"/>
                    <w:jc w:val="center"/>
                    <w:rPr>
                      <w:color w:val="auto"/>
                    </w:rPr>
                  </w:pPr>
                </w:p>
              </w:tc>
              <w:tc>
                <w:tcPr>
                  <w:tcW w:w="998" w:type="pct"/>
                  <w:vMerge w:val="continue"/>
                  <w:tcBorders>
                    <w:tl2br w:val="nil"/>
                    <w:tr2bl w:val="nil"/>
                  </w:tcBorders>
                  <w:vAlign w:val="center"/>
                </w:tcPr>
                <w:p w14:paraId="6C6D4711">
                  <w:pPr>
                    <w:pStyle w:val="38"/>
                    <w:spacing w:after="0" w:line="240" w:lineRule="auto"/>
                    <w:jc w:val="center"/>
                    <w:rPr>
                      <w:color w:val="auto"/>
                    </w:rPr>
                  </w:pPr>
                </w:p>
              </w:tc>
              <w:tc>
                <w:tcPr>
                  <w:tcW w:w="985" w:type="pct"/>
                  <w:vMerge w:val="continue"/>
                  <w:tcBorders>
                    <w:tl2br w:val="nil"/>
                    <w:tr2bl w:val="nil"/>
                  </w:tcBorders>
                  <w:vAlign w:val="center"/>
                </w:tcPr>
                <w:p w14:paraId="6F4D4DD8">
                  <w:pPr>
                    <w:pStyle w:val="38"/>
                    <w:spacing w:after="0" w:line="240" w:lineRule="auto"/>
                    <w:jc w:val="center"/>
                    <w:rPr>
                      <w:color w:val="auto"/>
                    </w:rPr>
                  </w:pPr>
                </w:p>
              </w:tc>
              <w:tc>
                <w:tcPr>
                  <w:tcW w:w="1012" w:type="pct"/>
                  <w:vMerge w:val="continue"/>
                  <w:tcBorders>
                    <w:tl2br w:val="nil"/>
                    <w:tr2bl w:val="nil"/>
                  </w:tcBorders>
                  <w:vAlign w:val="center"/>
                </w:tcPr>
                <w:p w14:paraId="074AD481">
                  <w:pPr>
                    <w:pStyle w:val="38"/>
                    <w:spacing w:after="0" w:line="240" w:lineRule="auto"/>
                    <w:jc w:val="center"/>
                    <w:rPr>
                      <w:color w:val="auto"/>
                    </w:rPr>
                  </w:pPr>
                </w:p>
              </w:tc>
              <w:tc>
                <w:tcPr>
                  <w:tcW w:w="500" w:type="pct"/>
                  <w:tcBorders>
                    <w:tl2br w:val="nil"/>
                    <w:tr2bl w:val="nil"/>
                  </w:tcBorders>
                  <w:vAlign w:val="center"/>
                </w:tcPr>
                <w:p w14:paraId="1651CA9D">
                  <w:pPr>
                    <w:pStyle w:val="38"/>
                    <w:spacing w:after="0" w:line="240" w:lineRule="auto"/>
                    <w:jc w:val="center"/>
                    <w:rPr>
                      <w:rFonts w:hint="default"/>
                      <w:color w:val="auto"/>
                      <w:sz w:val="21"/>
                      <w:szCs w:val="21"/>
                      <w:lang w:val="en-US" w:eastAsia="zh-CN"/>
                    </w:rPr>
                  </w:pPr>
                  <w:r>
                    <w:rPr>
                      <w:rFonts w:hint="eastAsia"/>
                      <w:color w:val="auto"/>
                      <w:sz w:val="21"/>
                      <w:szCs w:val="21"/>
                      <w:lang w:val="en-US" w:eastAsia="zh-CN"/>
                    </w:rPr>
                    <w:t>排放粉尘</w:t>
                  </w:r>
                </w:p>
              </w:tc>
              <w:tc>
                <w:tcPr>
                  <w:tcW w:w="508" w:type="pct"/>
                  <w:tcBorders>
                    <w:tl2br w:val="nil"/>
                    <w:tr2bl w:val="nil"/>
                  </w:tcBorders>
                  <w:vAlign w:val="center"/>
                </w:tcPr>
                <w:p w14:paraId="0C6E285E">
                  <w:pPr>
                    <w:pStyle w:val="38"/>
                    <w:spacing w:after="0" w:line="240" w:lineRule="auto"/>
                    <w:jc w:val="center"/>
                    <w:rPr>
                      <w:rFonts w:hint="default"/>
                      <w:color w:val="auto"/>
                      <w:sz w:val="21"/>
                      <w:szCs w:val="21"/>
                      <w:lang w:val="en-US" w:eastAsia="zh-CN"/>
                    </w:rPr>
                  </w:pPr>
                  <w:r>
                    <w:rPr>
                      <w:rFonts w:hint="eastAsia"/>
                      <w:color w:val="auto"/>
                      <w:sz w:val="21"/>
                      <w:szCs w:val="21"/>
                      <w:lang w:val="en-US" w:eastAsia="zh-CN"/>
                    </w:rPr>
                    <w:t>0.753</w:t>
                  </w:r>
                </w:p>
              </w:tc>
            </w:tr>
            <w:tr w14:paraId="19F1305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vMerge w:val="restart"/>
                  <w:tcBorders>
                    <w:tl2br w:val="nil"/>
                    <w:tr2bl w:val="nil"/>
                  </w:tcBorders>
                  <w:vAlign w:val="center"/>
                </w:tcPr>
                <w:p w14:paraId="56F3EEB3">
                  <w:pPr>
                    <w:pStyle w:val="38"/>
                    <w:spacing w:after="0" w:line="240" w:lineRule="auto"/>
                    <w:jc w:val="center"/>
                    <w:rPr>
                      <w:color w:val="auto"/>
                      <w:sz w:val="21"/>
                      <w:szCs w:val="21"/>
                    </w:rPr>
                  </w:pPr>
                  <w:r>
                    <w:rPr>
                      <w:color w:val="auto"/>
                      <w:sz w:val="21"/>
                      <w:szCs w:val="21"/>
                    </w:rPr>
                    <w:t>3</w:t>
                  </w:r>
                </w:p>
              </w:tc>
              <w:tc>
                <w:tcPr>
                  <w:tcW w:w="998" w:type="pct"/>
                  <w:vMerge w:val="restart"/>
                  <w:tcBorders>
                    <w:tl2br w:val="nil"/>
                    <w:tr2bl w:val="nil"/>
                  </w:tcBorders>
                  <w:vAlign w:val="center"/>
                </w:tcPr>
                <w:p w14:paraId="5ACFF282">
                  <w:pPr>
                    <w:adjustRightInd w:val="0"/>
                    <w:snapToGrid w:val="0"/>
                    <w:jc w:val="center"/>
                    <w:rPr>
                      <w:color w:val="auto"/>
                      <w:sz w:val="21"/>
                      <w:szCs w:val="21"/>
                    </w:rPr>
                  </w:pPr>
                  <w:r>
                    <w:rPr>
                      <w:color w:val="auto"/>
                      <w:sz w:val="21"/>
                      <w:szCs w:val="21"/>
                    </w:rPr>
                    <w:t>砂子</w:t>
                  </w:r>
                </w:p>
              </w:tc>
              <w:tc>
                <w:tcPr>
                  <w:tcW w:w="985" w:type="pct"/>
                  <w:vMerge w:val="restart"/>
                  <w:tcBorders>
                    <w:tl2br w:val="nil"/>
                    <w:tr2bl w:val="nil"/>
                  </w:tcBorders>
                  <w:vAlign w:val="center"/>
                </w:tcPr>
                <w:p w14:paraId="730942A6">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125030</w:t>
                  </w:r>
                </w:p>
              </w:tc>
              <w:tc>
                <w:tcPr>
                  <w:tcW w:w="1012" w:type="pct"/>
                  <w:vMerge w:val="restart"/>
                  <w:tcBorders>
                    <w:tl2br w:val="nil"/>
                    <w:tr2bl w:val="nil"/>
                  </w:tcBorders>
                  <w:vAlign w:val="center"/>
                </w:tcPr>
                <w:p w14:paraId="4C5EFD96">
                  <w:pPr>
                    <w:pStyle w:val="38"/>
                    <w:spacing w:after="0" w:line="240" w:lineRule="auto"/>
                    <w:jc w:val="center"/>
                    <w:rPr>
                      <w:color w:val="auto"/>
                      <w:sz w:val="21"/>
                      <w:szCs w:val="21"/>
                    </w:rPr>
                  </w:pPr>
                  <w:r>
                    <w:rPr>
                      <w:rFonts w:hint="eastAsia"/>
                      <w:color w:val="auto"/>
                      <w:sz w:val="21"/>
                      <w:szCs w:val="21"/>
                      <w:lang w:val="en-US" w:eastAsia="zh-CN"/>
                    </w:rPr>
                    <w:t>筒仓</w:t>
                  </w:r>
                  <w:r>
                    <w:rPr>
                      <w:color w:val="auto"/>
                      <w:sz w:val="21"/>
                      <w:szCs w:val="21"/>
                    </w:rPr>
                    <w:t>粉尘</w:t>
                  </w:r>
                </w:p>
              </w:tc>
              <w:tc>
                <w:tcPr>
                  <w:tcW w:w="500" w:type="pct"/>
                  <w:tcBorders>
                    <w:tl2br w:val="nil"/>
                    <w:tr2bl w:val="nil"/>
                  </w:tcBorders>
                  <w:vAlign w:val="center"/>
                </w:tcPr>
                <w:p w14:paraId="203D8BE6">
                  <w:pPr>
                    <w:pStyle w:val="3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收集粉尘</w:t>
                  </w:r>
                </w:p>
              </w:tc>
              <w:tc>
                <w:tcPr>
                  <w:tcW w:w="508" w:type="pct"/>
                  <w:tcBorders>
                    <w:tl2br w:val="nil"/>
                    <w:tr2bl w:val="nil"/>
                  </w:tcBorders>
                  <w:vAlign w:val="center"/>
                </w:tcPr>
                <w:p w14:paraId="19A0FFF2">
                  <w:pPr>
                    <w:pStyle w:val="38"/>
                    <w:spacing w:after="0" w:line="240" w:lineRule="auto"/>
                    <w:jc w:val="center"/>
                    <w:rPr>
                      <w:rFonts w:hint="default"/>
                      <w:color w:val="auto"/>
                      <w:sz w:val="21"/>
                      <w:szCs w:val="21"/>
                      <w:lang w:val="en-US" w:eastAsia="zh-CN"/>
                    </w:rPr>
                  </w:pPr>
                  <w:r>
                    <w:rPr>
                      <w:rFonts w:hint="eastAsia"/>
                      <w:color w:val="auto"/>
                      <w:sz w:val="21"/>
                      <w:szCs w:val="21"/>
                      <w:lang w:val="en-US" w:eastAsia="zh-CN"/>
                    </w:rPr>
                    <w:t>57.01</w:t>
                  </w:r>
                </w:p>
              </w:tc>
            </w:tr>
            <w:tr w14:paraId="751BD0B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vMerge w:val="continue"/>
                  <w:tcBorders>
                    <w:tl2br w:val="nil"/>
                    <w:tr2bl w:val="nil"/>
                  </w:tcBorders>
                  <w:vAlign w:val="center"/>
                </w:tcPr>
                <w:p w14:paraId="206E3ED9">
                  <w:pPr>
                    <w:pStyle w:val="38"/>
                    <w:spacing w:after="0" w:line="240" w:lineRule="auto"/>
                    <w:jc w:val="center"/>
                    <w:rPr>
                      <w:color w:val="auto"/>
                      <w:sz w:val="21"/>
                      <w:szCs w:val="21"/>
                    </w:rPr>
                  </w:pPr>
                </w:p>
              </w:tc>
              <w:tc>
                <w:tcPr>
                  <w:tcW w:w="998" w:type="pct"/>
                  <w:vMerge w:val="continue"/>
                  <w:tcBorders>
                    <w:tl2br w:val="nil"/>
                    <w:tr2bl w:val="nil"/>
                  </w:tcBorders>
                  <w:vAlign w:val="center"/>
                </w:tcPr>
                <w:p w14:paraId="186DD8DF">
                  <w:pPr>
                    <w:adjustRightInd w:val="0"/>
                    <w:snapToGrid w:val="0"/>
                    <w:jc w:val="center"/>
                    <w:rPr>
                      <w:color w:val="auto"/>
                      <w:sz w:val="21"/>
                      <w:szCs w:val="21"/>
                    </w:rPr>
                  </w:pPr>
                </w:p>
              </w:tc>
              <w:tc>
                <w:tcPr>
                  <w:tcW w:w="985" w:type="pct"/>
                  <w:vMerge w:val="continue"/>
                  <w:tcBorders>
                    <w:tl2br w:val="nil"/>
                    <w:tr2bl w:val="nil"/>
                  </w:tcBorders>
                  <w:vAlign w:val="center"/>
                </w:tcPr>
                <w:p w14:paraId="25A1A45E">
                  <w:pPr>
                    <w:widowControl/>
                    <w:jc w:val="center"/>
                    <w:textAlignment w:val="center"/>
                    <w:rPr>
                      <w:rFonts w:hint="eastAsia"/>
                      <w:color w:val="auto"/>
                      <w:kern w:val="0"/>
                      <w:sz w:val="21"/>
                      <w:szCs w:val="21"/>
                      <w:lang w:val="en-US" w:eastAsia="zh-CN" w:bidi="ar"/>
                    </w:rPr>
                  </w:pPr>
                </w:p>
              </w:tc>
              <w:tc>
                <w:tcPr>
                  <w:tcW w:w="1012" w:type="pct"/>
                  <w:vMerge w:val="continue"/>
                  <w:tcBorders>
                    <w:tl2br w:val="nil"/>
                    <w:tr2bl w:val="nil"/>
                  </w:tcBorders>
                  <w:vAlign w:val="center"/>
                </w:tcPr>
                <w:p w14:paraId="48DE657E">
                  <w:pPr>
                    <w:pStyle w:val="38"/>
                    <w:spacing w:after="0" w:line="240" w:lineRule="auto"/>
                    <w:jc w:val="center"/>
                    <w:rPr>
                      <w:rFonts w:hint="eastAsia"/>
                      <w:color w:val="auto"/>
                      <w:sz w:val="21"/>
                      <w:szCs w:val="21"/>
                      <w:lang w:val="en-US" w:eastAsia="zh-CN"/>
                    </w:rPr>
                  </w:pPr>
                </w:p>
              </w:tc>
              <w:tc>
                <w:tcPr>
                  <w:tcW w:w="500" w:type="pct"/>
                  <w:tcBorders>
                    <w:tl2br w:val="nil"/>
                    <w:tr2bl w:val="nil"/>
                  </w:tcBorders>
                  <w:vAlign w:val="center"/>
                </w:tcPr>
                <w:p w14:paraId="4CAB1B7D">
                  <w:pPr>
                    <w:pStyle w:val="38"/>
                    <w:spacing w:after="0" w:line="240" w:lineRule="auto"/>
                    <w:jc w:val="center"/>
                    <w:rPr>
                      <w:rFonts w:hint="eastAsia"/>
                      <w:color w:val="auto"/>
                      <w:sz w:val="21"/>
                      <w:szCs w:val="21"/>
                      <w:lang w:val="en-US" w:eastAsia="zh-CN"/>
                    </w:rPr>
                  </w:pPr>
                  <w:r>
                    <w:rPr>
                      <w:rFonts w:hint="eastAsia"/>
                      <w:color w:val="auto"/>
                      <w:sz w:val="21"/>
                      <w:szCs w:val="21"/>
                      <w:lang w:val="en-US" w:eastAsia="zh-CN"/>
                    </w:rPr>
                    <w:t>排放粉尘</w:t>
                  </w:r>
                </w:p>
              </w:tc>
              <w:tc>
                <w:tcPr>
                  <w:tcW w:w="508" w:type="pct"/>
                  <w:tcBorders>
                    <w:tl2br w:val="nil"/>
                    <w:tr2bl w:val="nil"/>
                  </w:tcBorders>
                  <w:vAlign w:val="center"/>
                </w:tcPr>
                <w:p w14:paraId="32F377B1">
                  <w:pPr>
                    <w:pStyle w:val="38"/>
                    <w:spacing w:after="0" w:line="240" w:lineRule="auto"/>
                    <w:jc w:val="center"/>
                    <w:rPr>
                      <w:rFonts w:hint="default"/>
                      <w:color w:val="auto"/>
                      <w:sz w:val="21"/>
                      <w:szCs w:val="21"/>
                      <w:lang w:val="en-US" w:eastAsia="zh-CN"/>
                    </w:rPr>
                  </w:pPr>
                  <w:r>
                    <w:rPr>
                      <w:rFonts w:hint="eastAsia"/>
                      <w:color w:val="auto"/>
                      <w:sz w:val="21"/>
                      <w:szCs w:val="21"/>
                      <w:lang w:val="en-US" w:eastAsia="zh-CN"/>
                    </w:rPr>
                    <w:t>0.19</w:t>
                  </w:r>
                </w:p>
              </w:tc>
            </w:tr>
            <w:tr w14:paraId="634E54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tcBorders>
                    <w:tl2br w:val="nil"/>
                    <w:tr2bl w:val="nil"/>
                  </w:tcBorders>
                  <w:vAlign w:val="center"/>
                </w:tcPr>
                <w:p w14:paraId="0CB34F98">
                  <w:pPr>
                    <w:pStyle w:val="38"/>
                    <w:spacing w:after="0" w:line="240" w:lineRule="auto"/>
                    <w:jc w:val="center"/>
                    <w:rPr>
                      <w:color w:val="auto"/>
                      <w:sz w:val="21"/>
                      <w:szCs w:val="21"/>
                    </w:rPr>
                  </w:pPr>
                  <w:r>
                    <w:rPr>
                      <w:color w:val="auto"/>
                      <w:sz w:val="21"/>
                      <w:szCs w:val="21"/>
                    </w:rPr>
                    <w:t>4</w:t>
                  </w:r>
                </w:p>
              </w:tc>
              <w:tc>
                <w:tcPr>
                  <w:tcW w:w="998" w:type="pct"/>
                  <w:tcBorders>
                    <w:tl2br w:val="nil"/>
                    <w:tr2bl w:val="nil"/>
                  </w:tcBorders>
                  <w:vAlign w:val="center"/>
                </w:tcPr>
                <w:p w14:paraId="4C93AFDD">
                  <w:pPr>
                    <w:adjustRightInd w:val="0"/>
                    <w:snapToGrid w:val="0"/>
                    <w:jc w:val="center"/>
                    <w:rPr>
                      <w:color w:val="auto"/>
                      <w:sz w:val="21"/>
                      <w:szCs w:val="21"/>
                    </w:rPr>
                  </w:pPr>
                  <w:r>
                    <w:rPr>
                      <w:color w:val="auto"/>
                      <w:sz w:val="21"/>
                      <w:szCs w:val="21"/>
                    </w:rPr>
                    <w:t>碎石</w:t>
                  </w:r>
                </w:p>
              </w:tc>
              <w:tc>
                <w:tcPr>
                  <w:tcW w:w="985" w:type="pct"/>
                  <w:tcBorders>
                    <w:tl2br w:val="nil"/>
                    <w:tr2bl w:val="nil"/>
                  </w:tcBorders>
                  <w:vAlign w:val="center"/>
                </w:tcPr>
                <w:p w14:paraId="289E87EB">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175020</w:t>
                  </w:r>
                </w:p>
              </w:tc>
              <w:tc>
                <w:tcPr>
                  <w:tcW w:w="1012" w:type="pct"/>
                  <w:tcBorders>
                    <w:tl2br w:val="nil"/>
                    <w:tr2bl w:val="nil"/>
                  </w:tcBorders>
                  <w:vAlign w:val="center"/>
                </w:tcPr>
                <w:p w14:paraId="53FE5682">
                  <w:pPr>
                    <w:pStyle w:val="38"/>
                    <w:spacing w:after="0" w:line="240" w:lineRule="auto"/>
                    <w:jc w:val="center"/>
                    <w:rPr>
                      <w:color w:val="auto"/>
                      <w:sz w:val="21"/>
                      <w:szCs w:val="21"/>
                    </w:rPr>
                  </w:pPr>
                  <w:r>
                    <w:rPr>
                      <w:rFonts w:hint="eastAsia"/>
                      <w:color w:val="auto"/>
                      <w:sz w:val="21"/>
                      <w:szCs w:val="21"/>
                    </w:rPr>
                    <w:t>沉淀物</w:t>
                  </w:r>
                </w:p>
              </w:tc>
              <w:tc>
                <w:tcPr>
                  <w:tcW w:w="1008" w:type="pct"/>
                  <w:gridSpan w:val="2"/>
                  <w:tcBorders>
                    <w:tl2br w:val="nil"/>
                    <w:tr2bl w:val="nil"/>
                  </w:tcBorders>
                  <w:vAlign w:val="center"/>
                </w:tcPr>
                <w:p w14:paraId="548EFA1A">
                  <w:pPr>
                    <w:pStyle w:val="3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7.47</w:t>
                  </w:r>
                </w:p>
              </w:tc>
            </w:tr>
            <w:tr w14:paraId="5E08C3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 w:type="pct"/>
                  <w:tcBorders>
                    <w:tl2br w:val="nil"/>
                    <w:tr2bl w:val="nil"/>
                  </w:tcBorders>
                  <w:vAlign w:val="center"/>
                </w:tcPr>
                <w:p w14:paraId="725C0102">
                  <w:pPr>
                    <w:pStyle w:val="38"/>
                    <w:spacing w:after="0" w:line="240" w:lineRule="auto"/>
                    <w:jc w:val="center"/>
                    <w:rPr>
                      <w:color w:val="auto"/>
                      <w:sz w:val="21"/>
                      <w:szCs w:val="21"/>
                    </w:rPr>
                  </w:pPr>
                  <w:r>
                    <w:rPr>
                      <w:color w:val="auto"/>
                      <w:sz w:val="21"/>
                      <w:szCs w:val="21"/>
                    </w:rPr>
                    <w:t>5</w:t>
                  </w:r>
                </w:p>
              </w:tc>
              <w:tc>
                <w:tcPr>
                  <w:tcW w:w="998" w:type="pct"/>
                  <w:tcBorders>
                    <w:tl2br w:val="nil"/>
                    <w:tr2bl w:val="nil"/>
                  </w:tcBorders>
                  <w:vAlign w:val="center"/>
                </w:tcPr>
                <w:p w14:paraId="171FC665">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减水剂</w:t>
                  </w:r>
                </w:p>
              </w:tc>
              <w:tc>
                <w:tcPr>
                  <w:tcW w:w="985" w:type="pct"/>
                  <w:tcBorders>
                    <w:tl2br w:val="nil"/>
                    <w:tr2bl w:val="nil"/>
                  </w:tcBorders>
                  <w:vAlign w:val="center"/>
                </w:tcPr>
                <w:p w14:paraId="60503087">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7530</w:t>
                  </w:r>
                </w:p>
              </w:tc>
              <w:tc>
                <w:tcPr>
                  <w:tcW w:w="1012" w:type="pct"/>
                  <w:tcBorders>
                    <w:tl2br w:val="nil"/>
                    <w:tr2bl w:val="nil"/>
                  </w:tcBorders>
                  <w:vAlign w:val="center"/>
                </w:tcPr>
                <w:p w14:paraId="4E713556">
                  <w:pPr>
                    <w:pStyle w:val="38"/>
                    <w:spacing w:after="0" w:line="240" w:lineRule="auto"/>
                    <w:jc w:val="center"/>
                    <w:rPr>
                      <w:color w:val="auto"/>
                      <w:sz w:val="21"/>
                      <w:szCs w:val="21"/>
                    </w:rPr>
                  </w:pPr>
                  <w:r>
                    <w:rPr>
                      <w:rFonts w:hint="eastAsia"/>
                      <w:color w:val="auto"/>
                      <w:sz w:val="21"/>
                      <w:szCs w:val="21"/>
                    </w:rPr>
                    <w:t>不合格混凝土</w:t>
                  </w:r>
                </w:p>
              </w:tc>
              <w:tc>
                <w:tcPr>
                  <w:tcW w:w="1008" w:type="pct"/>
                  <w:gridSpan w:val="2"/>
                  <w:tcBorders>
                    <w:tl2br w:val="nil"/>
                    <w:tr2bl w:val="nil"/>
                  </w:tcBorders>
                  <w:vAlign w:val="center"/>
                </w:tcPr>
                <w:p w14:paraId="70477359">
                  <w:pPr>
                    <w:pStyle w:val="3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33.46</w:t>
                  </w:r>
                </w:p>
              </w:tc>
            </w:tr>
            <w:tr w14:paraId="72BBB79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6" w:hRule="atLeast"/>
              </w:trPr>
              <w:tc>
                <w:tcPr>
                  <w:tcW w:w="995" w:type="pct"/>
                  <w:tcBorders>
                    <w:tl2br w:val="nil"/>
                    <w:tr2bl w:val="nil"/>
                  </w:tcBorders>
                  <w:vAlign w:val="center"/>
                </w:tcPr>
                <w:p w14:paraId="449BD606">
                  <w:pPr>
                    <w:pStyle w:val="38"/>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6</w:t>
                  </w:r>
                </w:p>
              </w:tc>
              <w:tc>
                <w:tcPr>
                  <w:tcW w:w="998" w:type="pct"/>
                  <w:tcBorders>
                    <w:tl2br w:val="nil"/>
                    <w:tr2bl w:val="nil"/>
                  </w:tcBorders>
                  <w:vAlign w:val="center"/>
                </w:tcPr>
                <w:p w14:paraId="6BF85A21">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缓凝剂</w:t>
                  </w:r>
                </w:p>
              </w:tc>
              <w:tc>
                <w:tcPr>
                  <w:tcW w:w="985" w:type="pct"/>
                  <w:tcBorders>
                    <w:tl2br w:val="nil"/>
                    <w:tr2bl w:val="nil"/>
                  </w:tcBorders>
                  <w:vAlign w:val="center"/>
                </w:tcPr>
                <w:p w14:paraId="21317783">
                  <w:pPr>
                    <w:widowControl/>
                    <w:jc w:val="center"/>
                    <w:textAlignment w:val="center"/>
                    <w:rPr>
                      <w:rFonts w:hint="default"/>
                      <w:color w:val="auto"/>
                      <w:sz w:val="21"/>
                      <w:szCs w:val="21"/>
                      <w:lang w:val="en-US" w:eastAsia="zh-CN"/>
                    </w:rPr>
                  </w:pPr>
                  <w:r>
                    <w:rPr>
                      <w:rFonts w:hint="eastAsia"/>
                      <w:color w:val="auto"/>
                      <w:sz w:val="21"/>
                      <w:szCs w:val="21"/>
                      <w:lang w:val="en-US" w:eastAsia="zh-CN"/>
                    </w:rPr>
                    <w:t>7530</w:t>
                  </w:r>
                </w:p>
              </w:tc>
              <w:tc>
                <w:tcPr>
                  <w:tcW w:w="1012" w:type="pct"/>
                  <w:tcBorders>
                    <w:tl2br w:val="nil"/>
                    <w:tr2bl w:val="nil"/>
                  </w:tcBorders>
                  <w:vAlign w:val="center"/>
                </w:tcPr>
                <w:p w14:paraId="599A5EA7">
                  <w:pPr>
                    <w:pStyle w:val="38"/>
                    <w:spacing w:after="0" w:line="240" w:lineRule="auto"/>
                    <w:jc w:val="center"/>
                    <w:rPr>
                      <w:rFonts w:hint="eastAsia"/>
                      <w:color w:val="auto"/>
                      <w:sz w:val="21"/>
                      <w:szCs w:val="21"/>
                    </w:rPr>
                  </w:pPr>
                  <w:r>
                    <w:rPr>
                      <w:rFonts w:hint="eastAsia"/>
                      <w:color w:val="auto"/>
                      <w:sz w:val="21"/>
                      <w:szCs w:val="21"/>
                      <w:lang w:val="en-US" w:eastAsia="zh-CN"/>
                    </w:rPr>
                    <w:t>装卸扬尘</w:t>
                  </w:r>
                </w:p>
              </w:tc>
              <w:tc>
                <w:tcPr>
                  <w:tcW w:w="1008" w:type="pct"/>
                  <w:gridSpan w:val="2"/>
                  <w:tcBorders>
                    <w:tl2br w:val="nil"/>
                    <w:tr2bl w:val="nil"/>
                  </w:tcBorders>
                  <w:vAlign w:val="center"/>
                </w:tcPr>
                <w:p w14:paraId="6FE6B03F">
                  <w:pPr>
                    <w:pStyle w:val="38"/>
                    <w:spacing w:after="0" w:line="240" w:lineRule="auto"/>
                    <w:jc w:val="center"/>
                    <w:rPr>
                      <w:rFonts w:hint="default"/>
                      <w:color w:val="auto"/>
                      <w:sz w:val="21"/>
                      <w:szCs w:val="21"/>
                      <w:lang w:val="en-US" w:eastAsia="zh-CN"/>
                    </w:rPr>
                  </w:pPr>
                  <w:r>
                    <w:rPr>
                      <w:rFonts w:hint="eastAsia"/>
                      <w:color w:val="auto"/>
                      <w:sz w:val="21"/>
                      <w:szCs w:val="21"/>
                      <w:lang w:val="en-US" w:eastAsia="zh-CN"/>
                    </w:rPr>
                    <w:t>1.83</w:t>
                  </w:r>
                </w:p>
              </w:tc>
            </w:tr>
            <w:tr w14:paraId="040D80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tcBorders>
                    <w:tl2br w:val="nil"/>
                    <w:tr2bl w:val="nil"/>
                  </w:tcBorders>
                  <w:vAlign w:val="center"/>
                </w:tcPr>
                <w:p w14:paraId="487290EB">
                  <w:pPr>
                    <w:pStyle w:val="38"/>
                    <w:spacing w:after="0" w:line="240" w:lineRule="auto"/>
                    <w:jc w:val="center"/>
                    <w:rPr>
                      <w:rFonts w:hint="eastAsia" w:eastAsia="宋体"/>
                      <w:color w:val="auto"/>
                      <w:sz w:val="21"/>
                      <w:szCs w:val="21"/>
                      <w:lang w:eastAsia="zh-CN"/>
                    </w:rPr>
                  </w:pPr>
                  <w:r>
                    <w:rPr>
                      <w:rFonts w:hint="eastAsia"/>
                      <w:color w:val="auto"/>
                      <w:sz w:val="21"/>
                      <w:szCs w:val="21"/>
                      <w:lang w:val="en-US" w:eastAsia="zh-CN"/>
                    </w:rPr>
                    <w:t>7</w:t>
                  </w:r>
                </w:p>
              </w:tc>
              <w:tc>
                <w:tcPr>
                  <w:tcW w:w="998" w:type="pct"/>
                  <w:tcBorders>
                    <w:tl2br w:val="nil"/>
                    <w:tr2bl w:val="nil"/>
                  </w:tcBorders>
                  <w:vAlign w:val="center"/>
                </w:tcPr>
                <w:p w14:paraId="696A7176">
                  <w:pPr>
                    <w:pStyle w:val="36"/>
                    <w:rPr>
                      <w:color w:val="auto"/>
                      <w:sz w:val="21"/>
                      <w:szCs w:val="21"/>
                    </w:rPr>
                  </w:pPr>
                  <w:r>
                    <w:rPr>
                      <w:color w:val="auto"/>
                      <w:sz w:val="21"/>
                      <w:szCs w:val="21"/>
                    </w:rPr>
                    <w:t>水（生产）</w:t>
                  </w:r>
                </w:p>
              </w:tc>
              <w:tc>
                <w:tcPr>
                  <w:tcW w:w="985" w:type="pct"/>
                  <w:tcBorders>
                    <w:tl2br w:val="nil"/>
                    <w:tr2bl w:val="nil"/>
                  </w:tcBorders>
                  <w:vAlign w:val="center"/>
                </w:tcPr>
                <w:p w14:paraId="302F57CF">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36000</w:t>
                  </w:r>
                </w:p>
              </w:tc>
              <w:tc>
                <w:tcPr>
                  <w:tcW w:w="1012" w:type="pct"/>
                  <w:tcBorders>
                    <w:tl2br w:val="nil"/>
                    <w:tr2bl w:val="nil"/>
                  </w:tcBorders>
                  <w:vAlign w:val="center"/>
                </w:tcPr>
                <w:p w14:paraId="0FCD95C7">
                  <w:pPr>
                    <w:pStyle w:val="38"/>
                    <w:spacing w:after="0" w:line="240" w:lineRule="auto"/>
                    <w:jc w:val="center"/>
                    <w:rPr>
                      <w:rFonts w:hint="eastAsia" w:eastAsia="宋体"/>
                      <w:color w:val="auto"/>
                      <w:sz w:val="21"/>
                      <w:szCs w:val="21"/>
                      <w:lang w:val="en-US" w:eastAsia="zh-CN"/>
                    </w:rPr>
                  </w:pPr>
                </w:p>
              </w:tc>
              <w:tc>
                <w:tcPr>
                  <w:tcW w:w="1008" w:type="pct"/>
                  <w:gridSpan w:val="2"/>
                  <w:tcBorders>
                    <w:tl2br w:val="nil"/>
                    <w:tr2bl w:val="nil"/>
                  </w:tcBorders>
                  <w:vAlign w:val="center"/>
                </w:tcPr>
                <w:p w14:paraId="53FDA08C">
                  <w:pPr>
                    <w:pStyle w:val="38"/>
                    <w:spacing w:after="0" w:line="240" w:lineRule="auto"/>
                    <w:jc w:val="center"/>
                    <w:rPr>
                      <w:color w:val="auto"/>
                      <w:sz w:val="21"/>
                      <w:szCs w:val="21"/>
                    </w:rPr>
                  </w:pPr>
                </w:p>
              </w:tc>
            </w:tr>
            <w:tr w14:paraId="097DBB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95" w:type="pct"/>
                  <w:tcBorders>
                    <w:tl2br w:val="nil"/>
                    <w:tr2bl w:val="nil"/>
                  </w:tcBorders>
                  <w:vAlign w:val="center"/>
                </w:tcPr>
                <w:p w14:paraId="0A8237F3">
                  <w:pPr>
                    <w:pStyle w:val="38"/>
                    <w:spacing w:after="0" w:line="240" w:lineRule="auto"/>
                    <w:jc w:val="center"/>
                    <w:rPr>
                      <w:color w:val="auto"/>
                      <w:sz w:val="21"/>
                      <w:szCs w:val="21"/>
                    </w:rPr>
                  </w:pPr>
                  <w:r>
                    <w:rPr>
                      <w:color w:val="auto"/>
                      <w:sz w:val="21"/>
                      <w:szCs w:val="21"/>
                    </w:rPr>
                    <w:t>合计</w:t>
                  </w:r>
                </w:p>
              </w:tc>
              <w:tc>
                <w:tcPr>
                  <w:tcW w:w="998" w:type="pct"/>
                  <w:tcBorders>
                    <w:tl2br w:val="nil"/>
                    <w:tr2bl w:val="nil"/>
                  </w:tcBorders>
                  <w:vAlign w:val="center"/>
                </w:tcPr>
                <w:p w14:paraId="3E09DA33">
                  <w:pPr>
                    <w:pStyle w:val="38"/>
                    <w:spacing w:after="0" w:line="240" w:lineRule="auto"/>
                    <w:jc w:val="center"/>
                    <w:rPr>
                      <w:color w:val="auto"/>
                      <w:sz w:val="21"/>
                      <w:szCs w:val="21"/>
                    </w:rPr>
                  </w:pPr>
                </w:p>
              </w:tc>
              <w:tc>
                <w:tcPr>
                  <w:tcW w:w="985" w:type="pct"/>
                  <w:tcBorders>
                    <w:tl2br w:val="nil"/>
                    <w:tr2bl w:val="nil"/>
                  </w:tcBorders>
                  <w:vAlign w:val="center"/>
                </w:tcPr>
                <w:p w14:paraId="7C0A5B32">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480162</w:t>
                  </w:r>
                </w:p>
              </w:tc>
              <w:tc>
                <w:tcPr>
                  <w:tcW w:w="1012" w:type="pct"/>
                  <w:tcBorders>
                    <w:tl2br w:val="nil"/>
                    <w:tr2bl w:val="nil"/>
                  </w:tcBorders>
                  <w:vAlign w:val="center"/>
                </w:tcPr>
                <w:p w14:paraId="181E2BE5">
                  <w:pPr>
                    <w:pStyle w:val="38"/>
                    <w:spacing w:after="0" w:line="240" w:lineRule="auto"/>
                    <w:jc w:val="center"/>
                    <w:rPr>
                      <w:color w:val="auto"/>
                      <w:sz w:val="21"/>
                      <w:szCs w:val="21"/>
                    </w:rPr>
                  </w:pPr>
                </w:p>
              </w:tc>
              <w:tc>
                <w:tcPr>
                  <w:tcW w:w="1008" w:type="pct"/>
                  <w:gridSpan w:val="2"/>
                  <w:tcBorders>
                    <w:tl2br w:val="nil"/>
                    <w:tr2bl w:val="nil"/>
                  </w:tcBorders>
                  <w:vAlign w:val="center"/>
                </w:tcPr>
                <w:p w14:paraId="789831BC">
                  <w:pPr>
                    <w:pStyle w:val="38"/>
                    <w:spacing w:after="0" w:line="240" w:lineRule="auto"/>
                    <w:jc w:val="center"/>
                    <w:rPr>
                      <w:rFonts w:hint="default" w:eastAsia="宋体"/>
                      <w:color w:val="auto"/>
                      <w:sz w:val="21"/>
                      <w:szCs w:val="21"/>
                      <w:lang w:val="en-US" w:eastAsia="zh-CN"/>
                    </w:rPr>
                  </w:pPr>
                  <w:r>
                    <w:rPr>
                      <w:rFonts w:hint="eastAsia"/>
                      <w:color w:val="auto"/>
                      <w:kern w:val="0"/>
                      <w:sz w:val="21"/>
                      <w:szCs w:val="21"/>
                      <w:lang w:val="en-US" w:eastAsia="zh-CN" w:bidi="ar"/>
                    </w:rPr>
                    <w:t>480162</w:t>
                  </w:r>
                </w:p>
              </w:tc>
            </w:tr>
          </w:tbl>
          <w:p w14:paraId="5BAF6775">
            <w:pPr>
              <w:numPr>
                <w:ilvl w:val="0"/>
                <w:numId w:val="4"/>
              </w:numPr>
              <w:spacing w:line="360" w:lineRule="auto"/>
              <w:ind w:left="0" w:leftChars="0" w:firstLine="0" w:firstLineChars="0"/>
              <w:rPr>
                <w:b/>
                <w:bCs/>
                <w:color w:val="auto"/>
                <w:sz w:val="24"/>
              </w:rPr>
            </w:pPr>
            <w:r>
              <w:rPr>
                <w:b/>
                <w:bCs/>
                <w:color w:val="auto"/>
                <w:sz w:val="24"/>
              </w:rPr>
              <w:t>公用工程</w:t>
            </w:r>
          </w:p>
          <w:p w14:paraId="5CDC3FDA">
            <w:pPr>
              <w:spacing w:line="360" w:lineRule="auto"/>
              <w:rPr>
                <w:b/>
                <w:bCs/>
                <w:color w:val="auto"/>
                <w:sz w:val="24"/>
              </w:rPr>
            </w:pPr>
            <w:r>
              <w:rPr>
                <w:b/>
                <w:bCs/>
                <w:color w:val="auto"/>
                <w:sz w:val="24"/>
              </w:rPr>
              <w:t>5.1给排水</w:t>
            </w:r>
          </w:p>
          <w:p w14:paraId="5E949DA2">
            <w:pPr>
              <w:spacing w:line="360" w:lineRule="auto"/>
              <w:rPr>
                <w:b/>
                <w:bCs/>
                <w:color w:val="auto"/>
                <w:sz w:val="24"/>
              </w:rPr>
            </w:pPr>
            <w:r>
              <w:rPr>
                <w:b/>
                <w:bCs/>
                <w:color w:val="auto"/>
                <w:sz w:val="24"/>
              </w:rPr>
              <w:t>5.1.1给水</w:t>
            </w:r>
          </w:p>
          <w:p w14:paraId="26E3B14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本项目用水主要</w:t>
            </w:r>
            <w:r>
              <w:rPr>
                <w:rFonts w:hint="eastAsia" w:cs="Times New Roman"/>
                <w:color w:val="auto"/>
                <w:kern w:val="0"/>
                <w:sz w:val="24"/>
                <w:lang w:val="en-US" w:eastAsia="zh-CN"/>
              </w:rPr>
              <w:t>分为</w:t>
            </w:r>
            <w:r>
              <w:rPr>
                <w:rFonts w:ascii="Times New Roman" w:hAnsi="Times New Roman" w:eastAsia="宋体" w:cs="Times New Roman"/>
                <w:color w:val="auto"/>
                <w:kern w:val="0"/>
                <w:sz w:val="24"/>
              </w:rPr>
              <w:t>生产用水与职工生活用水，</w:t>
            </w:r>
            <w:r>
              <w:rPr>
                <w:rFonts w:hint="eastAsia" w:cs="Times New Roman"/>
                <w:color w:val="auto"/>
                <w:kern w:val="0"/>
                <w:sz w:val="24"/>
                <w:lang w:val="en-US" w:eastAsia="zh-CN"/>
              </w:rPr>
              <w:t>项目用水由罐车拉运，采用20m</w:t>
            </w:r>
            <w:r>
              <w:rPr>
                <w:rFonts w:hint="eastAsia" w:cs="Times New Roman"/>
                <w:color w:val="auto"/>
                <w:kern w:val="0"/>
                <w:sz w:val="24"/>
                <w:vertAlign w:val="superscript"/>
                <w:lang w:val="en-US" w:eastAsia="zh-CN"/>
              </w:rPr>
              <w:t>3</w:t>
            </w:r>
            <w:r>
              <w:rPr>
                <w:rFonts w:hint="eastAsia" w:cs="Times New Roman"/>
                <w:color w:val="auto"/>
                <w:kern w:val="0"/>
                <w:sz w:val="24"/>
                <w:vertAlign w:val="baseline"/>
                <w:lang w:val="en-US" w:eastAsia="zh-CN"/>
              </w:rPr>
              <w:t>罐车拉运，每3天拉运一次，每次拉运600m³储存于厂区内蓄水罐中</w:t>
            </w:r>
            <w:r>
              <w:rPr>
                <w:rFonts w:ascii="Times New Roman" w:hAnsi="Times New Roman" w:eastAsia="宋体" w:cs="Times New Roman"/>
                <w:color w:val="auto"/>
                <w:kern w:val="0"/>
                <w:sz w:val="24"/>
              </w:rPr>
              <w:t>。</w:t>
            </w:r>
          </w:p>
          <w:p w14:paraId="24B058AA">
            <w:pPr>
              <w:autoSpaceDE w:val="0"/>
              <w:autoSpaceDN w:val="0"/>
              <w:adjustRightInd w:val="0"/>
              <w:snapToGrid w:val="0"/>
              <w:spacing w:line="360" w:lineRule="auto"/>
              <w:ind w:firstLine="480" w:firstLineChars="200"/>
              <w:rPr>
                <w:rFonts w:ascii="Times New Roman" w:hAnsi="Times New Roman" w:eastAsia="宋体" w:cs="Times New Roman"/>
                <w:color w:val="FF0000"/>
                <w:kern w:val="0"/>
                <w:sz w:val="24"/>
              </w:rPr>
            </w:pPr>
            <w:r>
              <w:rPr>
                <w:rFonts w:ascii="Times New Roman" w:hAnsi="Times New Roman" w:eastAsia="宋体" w:cs="Times New Roman"/>
                <w:color w:val="auto"/>
                <w:kern w:val="0"/>
                <w:sz w:val="24"/>
              </w:rPr>
              <w:t>（1）</w:t>
            </w:r>
            <w:r>
              <w:rPr>
                <w:rFonts w:hint="eastAsia" w:cs="Times New Roman"/>
                <w:color w:val="auto"/>
                <w:kern w:val="0"/>
                <w:sz w:val="24"/>
                <w:lang w:val="en-US" w:eastAsia="zh-CN"/>
              </w:rPr>
              <w:t>产品</w:t>
            </w:r>
            <w:r>
              <w:rPr>
                <w:rFonts w:ascii="Times New Roman" w:hAnsi="Times New Roman" w:eastAsia="宋体" w:cs="Times New Roman"/>
                <w:color w:val="auto"/>
                <w:kern w:val="0"/>
                <w:sz w:val="24"/>
              </w:rPr>
              <w:t>用水</w:t>
            </w:r>
          </w:p>
          <w:p w14:paraId="017D881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本项目年生产能力为</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0</w:t>
            </w:r>
            <w:r>
              <w:rPr>
                <w:rFonts w:ascii="Times New Roman" w:hAnsi="Times New Roman" w:eastAsia="宋体" w:cs="Times New Roman"/>
                <w:color w:val="auto"/>
                <w:kern w:val="0"/>
                <w:sz w:val="24"/>
              </w:rPr>
              <w:t>万m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，每立方米商品混凝土用水量按0.</w:t>
            </w:r>
            <w:r>
              <w:rPr>
                <w:rFonts w:hint="eastAsia" w:cs="Times New Roman"/>
                <w:color w:val="auto"/>
                <w:kern w:val="0"/>
                <w:sz w:val="24"/>
                <w:lang w:val="en-US" w:eastAsia="zh-CN"/>
              </w:rPr>
              <w:t>18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计算，则生产用水量为</w:t>
            </w:r>
            <w:r>
              <w:rPr>
                <w:rFonts w:hint="eastAsia" w:cs="Times New Roman"/>
                <w:color w:val="auto"/>
                <w:kern w:val="0"/>
                <w:sz w:val="24"/>
                <w:lang w:val="en-US" w:eastAsia="zh-CN"/>
              </w:rPr>
              <w:t>36000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p>
          <w:p w14:paraId="7E6C518B">
            <w:pPr>
              <w:numPr>
                <w:ilvl w:val="0"/>
                <w:numId w:val="5"/>
              </w:num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hint="eastAsia" w:cs="Times New Roman"/>
                <w:color w:val="auto"/>
                <w:kern w:val="0"/>
                <w:sz w:val="24"/>
                <w:lang w:val="en-US" w:eastAsia="zh-CN"/>
              </w:rPr>
              <w:t>搅拌设备清洗用水</w:t>
            </w:r>
          </w:p>
          <w:p w14:paraId="65CD8AF4">
            <w:pPr>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在厂区内设置洗车平台，用于清洗进出场车辆。</w:t>
            </w:r>
            <w:r>
              <w:rPr>
                <w:rFonts w:hint="eastAsia" w:ascii="Times New Roman" w:hAnsi="Times New Roman" w:eastAsia="宋体" w:cs="Times New Roman"/>
                <w:color w:val="auto"/>
                <w:kern w:val="0"/>
                <w:sz w:val="24"/>
              </w:rPr>
              <w:t>搅拌系统在停止使用或改换不同型号混凝土时，对盛装混凝土的罐体进行清洗，搅拌机每次清洗用水1m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，每天清洗2次，2台搅拌机用水</w:t>
            </w:r>
            <w:r>
              <w:rPr>
                <w:rFonts w:hint="eastAsia" w:cs="Times New Roman"/>
                <w:color w:val="auto"/>
                <w:kern w:val="0"/>
                <w:sz w:val="24"/>
                <w:lang w:val="en-US" w:eastAsia="zh-CN"/>
              </w:rPr>
              <w:t>720m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/a（</w:t>
            </w:r>
            <w:r>
              <w:rPr>
                <w:rFonts w:hint="eastAsia" w:ascii="Times New Roman" w:hAnsi="Times New Roman" w:eastAsia="宋体" w:cs="Times New Roman"/>
                <w:color w:val="auto"/>
                <w:kern w:val="0"/>
                <w:sz w:val="24"/>
              </w:rPr>
              <w:t>4m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hint="eastAsia" w:cs="Times New Roman"/>
                <w:color w:val="auto"/>
                <w:kern w:val="0"/>
                <w:sz w:val="24"/>
                <w:lang w:eastAsia="zh-CN"/>
              </w:rPr>
              <w:t>）。其中新鲜水补水量144m3/a（0.8m</w:t>
            </w:r>
            <w:r>
              <w:rPr>
                <w:rFonts w:hint="eastAsia" w:cs="Times New Roman"/>
                <w:color w:val="auto"/>
                <w:kern w:val="0"/>
                <w:sz w:val="24"/>
                <w:vertAlign w:val="superscript"/>
                <w:lang w:eastAsia="zh-CN"/>
              </w:rPr>
              <w:t>3</w:t>
            </w:r>
            <w:r>
              <w:rPr>
                <w:rFonts w:hint="eastAsia" w:cs="Times New Roman"/>
                <w:color w:val="auto"/>
                <w:kern w:val="0"/>
                <w:sz w:val="24"/>
                <w:lang w:eastAsia="zh-CN"/>
              </w:rPr>
              <w:t>/d），循环用水量576m3/a（3.2m</w:t>
            </w:r>
            <w:r>
              <w:rPr>
                <w:rFonts w:hint="eastAsia" w:cs="Times New Roman"/>
                <w:color w:val="auto"/>
                <w:kern w:val="0"/>
                <w:sz w:val="24"/>
                <w:vertAlign w:val="superscript"/>
                <w:lang w:eastAsia="zh-CN"/>
              </w:rPr>
              <w:t>3</w:t>
            </w:r>
            <w:r>
              <w:rPr>
                <w:rFonts w:hint="eastAsia" w:cs="Times New Roman"/>
                <w:color w:val="auto"/>
                <w:kern w:val="0"/>
                <w:sz w:val="24"/>
                <w:lang w:eastAsia="zh-CN"/>
              </w:rPr>
              <w:t>/d）。</w:t>
            </w:r>
          </w:p>
          <w:p w14:paraId="29A640FE">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w:t>
            </w:r>
            <w:r>
              <w:rPr>
                <w:rFonts w:hint="eastAsia" w:cs="Times New Roman"/>
                <w:color w:val="auto"/>
                <w:kern w:val="0"/>
                <w:sz w:val="24"/>
                <w:lang w:val="en-US" w:eastAsia="zh-CN"/>
              </w:rPr>
              <w:t>3</w:t>
            </w:r>
            <w:r>
              <w:rPr>
                <w:rFonts w:ascii="Times New Roman" w:hAnsi="Times New Roman" w:eastAsia="宋体" w:cs="Times New Roman"/>
                <w:color w:val="auto"/>
                <w:kern w:val="0"/>
                <w:sz w:val="24"/>
              </w:rPr>
              <w:t>）</w:t>
            </w:r>
            <w:r>
              <w:rPr>
                <w:rFonts w:hint="eastAsia" w:cs="Times New Roman"/>
                <w:color w:val="auto"/>
                <w:kern w:val="0"/>
                <w:sz w:val="24"/>
                <w:lang w:val="en-US" w:eastAsia="zh-CN"/>
              </w:rPr>
              <w:t>车辆清洗</w:t>
            </w:r>
            <w:r>
              <w:rPr>
                <w:rFonts w:ascii="Times New Roman" w:hAnsi="Times New Roman" w:eastAsia="宋体" w:cs="Times New Roman"/>
                <w:color w:val="auto"/>
                <w:kern w:val="0"/>
                <w:sz w:val="24"/>
              </w:rPr>
              <w:t>用水</w:t>
            </w:r>
          </w:p>
          <w:p w14:paraId="407A7294">
            <w:pPr>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rPr>
              <w:t>防止将泥沙带到外环境中造成粉尘二次污染，本项目在搅拌站内废水沉淀池旁设置洗车平台，对出站的混凝土运输罐车、水泥及粉煤灰运输罐车、砂石料运输车辆车轮、车厢外部进行冲洗，冲洗后的废水直接流入</w:t>
            </w:r>
            <w:r>
              <w:rPr>
                <w:rFonts w:hint="eastAsia" w:cs="Times New Roman"/>
                <w:color w:val="auto"/>
                <w:kern w:val="0"/>
                <w:sz w:val="24"/>
                <w:lang w:val="en-US" w:eastAsia="zh-CN"/>
              </w:rPr>
              <w:t>日处理30m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的</w:t>
            </w:r>
            <w:r>
              <w:rPr>
                <w:rFonts w:hint="eastAsia" w:ascii="Times New Roman" w:hAnsi="Times New Roman" w:eastAsia="宋体" w:cs="Times New Roman"/>
                <w:color w:val="auto"/>
                <w:kern w:val="0"/>
                <w:sz w:val="24"/>
              </w:rPr>
              <w:t>沉淀池。混凝土运输罐车</w:t>
            </w:r>
            <w:r>
              <w:rPr>
                <w:rFonts w:hint="eastAsia" w:cs="Times New Roman"/>
                <w:color w:val="auto"/>
                <w:kern w:val="0"/>
                <w:sz w:val="24"/>
                <w:lang w:eastAsia="zh-CN"/>
              </w:rPr>
              <w:t>、</w:t>
            </w:r>
            <w:r>
              <w:rPr>
                <w:rFonts w:hint="eastAsia" w:cs="Times New Roman"/>
                <w:color w:val="auto"/>
                <w:kern w:val="0"/>
                <w:sz w:val="24"/>
                <w:lang w:val="en-US" w:eastAsia="zh-CN"/>
              </w:rPr>
              <w:t>混凝土罐车</w:t>
            </w:r>
            <w:r>
              <w:rPr>
                <w:rFonts w:hint="eastAsia" w:ascii="Times New Roman" w:hAnsi="Times New Roman" w:eastAsia="宋体" w:cs="Times New Roman"/>
                <w:color w:val="auto"/>
                <w:kern w:val="0"/>
                <w:sz w:val="24"/>
              </w:rPr>
              <w:t>每次清洗用水1m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，每天清洗2</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次，共用水</w:t>
            </w:r>
            <w:r>
              <w:rPr>
                <w:rFonts w:hint="eastAsia" w:cs="Times New Roman"/>
                <w:color w:val="auto"/>
                <w:kern w:val="0"/>
                <w:sz w:val="24"/>
                <w:lang w:val="en-US" w:eastAsia="zh-CN"/>
              </w:rPr>
              <w:t>4320m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/a（</w:t>
            </w:r>
            <w:r>
              <w:rPr>
                <w:rFonts w:hint="eastAsia" w:ascii="Times New Roman" w:hAnsi="Times New Roman" w:eastAsia="宋体" w:cs="Times New Roman"/>
                <w:color w:val="auto"/>
                <w:kern w:val="0"/>
                <w:sz w:val="24"/>
              </w:rPr>
              <w:t>2</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hint="eastAsia" w:cs="Times New Roman"/>
                <w:color w:val="auto"/>
                <w:kern w:val="0"/>
                <w:sz w:val="24"/>
                <w:lang w:eastAsia="zh-CN"/>
              </w:rPr>
              <w:t>）。其中新鲜水补水量864m</w:t>
            </w:r>
            <w:r>
              <w:rPr>
                <w:rFonts w:hint="eastAsia" w:cs="Times New Roman"/>
                <w:color w:val="auto"/>
                <w:kern w:val="0"/>
                <w:sz w:val="24"/>
                <w:vertAlign w:val="superscript"/>
                <w:lang w:eastAsia="zh-CN"/>
              </w:rPr>
              <w:t>3</w:t>
            </w:r>
            <w:r>
              <w:rPr>
                <w:rFonts w:hint="eastAsia" w:cs="Times New Roman"/>
                <w:color w:val="auto"/>
                <w:kern w:val="0"/>
                <w:sz w:val="24"/>
                <w:lang w:eastAsia="zh-CN"/>
              </w:rPr>
              <w:t>/a（4.8m</w:t>
            </w:r>
            <w:r>
              <w:rPr>
                <w:rFonts w:hint="eastAsia" w:cs="Times New Roman"/>
                <w:color w:val="auto"/>
                <w:kern w:val="0"/>
                <w:sz w:val="24"/>
                <w:vertAlign w:val="superscript"/>
                <w:lang w:eastAsia="zh-CN"/>
              </w:rPr>
              <w:t>3</w:t>
            </w:r>
            <w:r>
              <w:rPr>
                <w:rFonts w:hint="eastAsia" w:cs="Times New Roman"/>
                <w:color w:val="auto"/>
                <w:kern w:val="0"/>
                <w:sz w:val="24"/>
                <w:lang w:eastAsia="zh-CN"/>
              </w:rPr>
              <w:t>/d），循环用水量3456m</w:t>
            </w:r>
            <w:r>
              <w:rPr>
                <w:rFonts w:hint="eastAsia" w:cs="Times New Roman"/>
                <w:color w:val="auto"/>
                <w:kern w:val="0"/>
                <w:sz w:val="24"/>
                <w:vertAlign w:val="superscript"/>
                <w:lang w:eastAsia="zh-CN"/>
              </w:rPr>
              <w:t>3</w:t>
            </w:r>
            <w:r>
              <w:rPr>
                <w:rFonts w:hint="eastAsia" w:cs="Times New Roman"/>
                <w:color w:val="auto"/>
                <w:kern w:val="0"/>
                <w:sz w:val="24"/>
                <w:lang w:eastAsia="zh-CN"/>
              </w:rPr>
              <w:t>/a（19.2m</w:t>
            </w:r>
            <w:r>
              <w:rPr>
                <w:rFonts w:hint="eastAsia" w:cs="Times New Roman"/>
                <w:color w:val="auto"/>
                <w:kern w:val="0"/>
                <w:sz w:val="24"/>
                <w:vertAlign w:val="superscript"/>
                <w:lang w:eastAsia="zh-CN"/>
              </w:rPr>
              <w:t>3</w:t>
            </w:r>
            <w:r>
              <w:rPr>
                <w:rFonts w:hint="eastAsia" w:cs="Times New Roman"/>
                <w:color w:val="auto"/>
                <w:kern w:val="0"/>
                <w:sz w:val="24"/>
                <w:lang w:eastAsia="zh-CN"/>
              </w:rPr>
              <w:t>/d）。</w:t>
            </w:r>
          </w:p>
          <w:p w14:paraId="2B9A1D3E">
            <w:pPr>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eastAsia="zh-CN"/>
              </w:rPr>
              <w:t>（</w:t>
            </w:r>
            <w:r>
              <w:rPr>
                <w:rFonts w:hint="eastAsia" w:cs="Times New Roman"/>
                <w:color w:val="auto"/>
                <w:kern w:val="0"/>
                <w:sz w:val="24"/>
                <w:lang w:val="en-US" w:eastAsia="zh-CN"/>
              </w:rPr>
              <w:t>4）地面清洗用水</w:t>
            </w:r>
          </w:p>
          <w:p w14:paraId="4600D81D">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场区清洗面积为6000m</w:t>
            </w:r>
            <w:r>
              <w:rPr>
                <w:rFonts w:hint="eastAsia" w:cs="Times New Roman"/>
                <w:color w:val="auto"/>
                <w:kern w:val="0"/>
                <w:sz w:val="24"/>
                <w:vertAlign w:val="superscript"/>
                <w:lang w:val="en-US" w:eastAsia="zh-CN"/>
              </w:rPr>
              <w:t>2</w:t>
            </w:r>
            <w:r>
              <w:rPr>
                <w:rFonts w:hint="eastAsia" w:cs="Times New Roman"/>
                <w:color w:val="auto"/>
                <w:kern w:val="0"/>
                <w:sz w:val="24"/>
                <w:vertAlign w:val="baseline"/>
                <w:lang w:val="en-US" w:eastAsia="zh-CN"/>
              </w:rPr>
              <w:t>，</w:t>
            </w:r>
            <w:r>
              <w:rPr>
                <w:rFonts w:hint="eastAsia" w:ascii="Times New Roman" w:hAnsi="Times New Roman" w:eastAsia="宋体" w:cs="Times New Roman"/>
                <w:color w:val="auto"/>
                <w:kern w:val="0"/>
                <w:sz w:val="24"/>
              </w:rPr>
              <w:t>厂区地面清洁每</w:t>
            </w:r>
            <w:r>
              <w:rPr>
                <w:rFonts w:hint="eastAsia" w:cs="Times New Roman"/>
                <w:color w:val="auto"/>
                <w:kern w:val="0"/>
                <w:sz w:val="24"/>
                <w:lang w:val="en-US" w:eastAsia="zh-CN"/>
              </w:rPr>
              <w:t>两</w:t>
            </w:r>
            <w:r>
              <w:rPr>
                <w:rFonts w:hint="eastAsia" w:ascii="Times New Roman" w:hAnsi="Times New Roman" w:eastAsia="宋体" w:cs="Times New Roman"/>
                <w:color w:val="auto"/>
                <w:kern w:val="0"/>
                <w:sz w:val="24"/>
              </w:rPr>
              <w:t>日进行1次，每次用水</w:t>
            </w:r>
            <w:r>
              <w:rPr>
                <w:rFonts w:hint="eastAsia" w:cs="Times New Roman"/>
                <w:color w:val="auto"/>
                <w:kern w:val="0"/>
                <w:sz w:val="24"/>
                <w:lang w:val="en-US" w:eastAsia="zh-CN"/>
              </w:rPr>
              <w:t>13</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，厂区地面清洁总用水量约为</w:t>
            </w:r>
            <w:r>
              <w:rPr>
                <w:rFonts w:hint="eastAsia" w:cs="Times New Roman"/>
                <w:color w:val="auto"/>
                <w:kern w:val="0"/>
                <w:sz w:val="24"/>
                <w:lang w:val="en-US" w:eastAsia="zh-CN"/>
              </w:rPr>
              <w:t>1170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6.5</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/d）。由于站区地面清洗水无法回用，均蒸发消耗</w:t>
            </w:r>
            <w:r>
              <w:rPr>
                <w:rFonts w:hint="eastAsia" w:cs="Times New Roman"/>
                <w:color w:val="auto"/>
                <w:kern w:val="0"/>
                <w:sz w:val="24"/>
                <w:lang w:val="en-US" w:eastAsia="zh-CN"/>
              </w:rPr>
              <w:t>。</w:t>
            </w:r>
          </w:p>
          <w:p w14:paraId="3EE82429">
            <w:pPr>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5）料场降尘用水</w:t>
            </w:r>
          </w:p>
          <w:p w14:paraId="38B475E1">
            <w:pPr>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本项目砂石料堆场</w:t>
            </w:r>
            <w:r>
              <w:rPr>
                <w:rFonts w:hint="eastAsia" w:cs="Times New Roman"/>
                <w:color w:val="auto"/>
                <w:kern w:val="0"/>
                <w:sz w:val="24"/>
                <w:lang w:val="en-US" w:eastAsia="zh-CN"/>
              </w:rPr>
              <w:t>周围</w:t>
            </w:r>
            <w:r>
              <w:rPr>
                <w:rFonts w:hint="eastAsia" w:ascii="Times New Roman" w:hAnsi="Times New Roman" w:eastAsia="宋体" w:cs="Times New Roman"/>
                <w:color w:val="auto"/>
                <w:kern w:val="0"/>
                <w:sz w:val="24"/>
              </w:rPr>
              <w:t>设置雾炮机，</w:t>
            </w:r>
            <w:r>
              <w:rPr>
                <w:rFonts w:hint="eastAsia" w:cs="Times New Roman"/>
                <w:color w:val="auto"/>
                <w:kern w:val="0"/>
                <w:sz w:val="24"/>
                <w:lang w:val="en-US" w:eastAsia="zh-CN"/>
              </w:rPr>
              <w:t>定时开放，</w:t>
            </w:r>
            <w:r>
              <w:rPr>
                <w:rFonts w:hint="eastAsia" w:ascii="Times New Roman" w:hAnsi="Times New Roman" w:eastAsia="宋体" w:cs="Times New Roman"/>
                <w:color w:val="auto"/>
                <w:kern w:val="0"/>
                <w:sz w:val="24"/>
              </w:rPr>
              <w:t>抑制料场扬尘，砂石料料场每天洒水降尘3次，每次洒水持续1小时，每次用水量约2m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，料场降尘用水量约为1080m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/a（6m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p>
          <w:p w14:paraId="3C1829EE">
            <w:pPr>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6）绿化用水</w:t>
            </w:r>
          </w:p>
          <w:p w14:paraId="70AFEEED">
            <w:pPr>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本项目绿化面积约为</w:t>
            </w:r>
            <w:r>
              <w:rPr>
                <w:rFonts w:hint="eastAsia" w:cs="Times New Roman"/>
                <w:color w:val="auto"/>
                <w:kern w:val="0"/>
                <w:sz w:val="24"/>
                <w:lang w:val="en-US" w:eastAsia="zh-CN"/>
              </w:rPr>
              <w:t>1</w:t>
            </w:r>
            <w:r>
              <w:rPr>
                <w:rFonts w:hint="eastAsia" w:ascii="Times New Roman" w:hAnsi="Times New Roman" w:eastAsia="宋体" w:cs="Times New Roman"/>
                <w:color w:val="auto"/>
                <w:kern w:val="0"/>
                <w:sz w:val="24"/>
              </w:rPr>
              <w:t>000m</w:t>
            </w:r>
            <w:r>
              <w:rPr>
                <w:rFonts w:hint="eastAsia"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，根据《绿化管理用水定额》，新疆大部绿化管理用水定额通用值为4.8m</w:t>
            </w:r>
            <w:r>
              <w:rPr>
                <w:rFonts w:hint="eastAsia"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/d，则绿化用水量为864m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p>
          <w:p w14:paraId="0E049ED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w:t>
            </w:r>
            <w:r>
              <w:rPr>
                <w:rFonts w:hint="eastAsia" w:cs="Times New Roman"/>
                <w:color w:val="auto"/>
                <w:kern w:val="0"/>
                <w:sz w:val="24"/>
                <w:lang w:val="en-US" w:eastAsia="zh-CN"/>
              </w:rPr>
              <w:t>7</w:t>
            </w:r>
            <w:r>
              <w:rPr>
                <w:rFonts w:ascii="Times New Roman" w:hAnsi="Times New Roman" w:eastAsia="宋体" w:cs="Times New Roman"/>
                <w:color w:val="auto"/>
                <w:kern w:val="0"/>
                <w:sz w:val="24"/>
              </w:rPr>
              <w:t>）生活用水</w:t>
            </w:r>
          </w:p>
          <w:p w14:paraId="2D868CC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本项目建成后，劳动定员</w:t>
            </w:r>
            <w:r>
              <w:rPr>
                <w:rFonts w:hint="eastAsia" w:cs="Times New Roman"/>
                <w:color w:val="auto"/>
                <w:kern w:val="0"/>
                <w:sz w:val="24"/>
                <w:lang w:val="en-US" w:eastAsia="zh-CN"/>
              </w:rPr>
              <w:t>42</w:t>
            </w:r>
            <w:r>
              <w:rPr>
                <w:rFonts w:ascii="Times New Roman" w:hAnsi="Times New Roman" w:eastAsia="宋体" w:cs="Times New Roman"/>
                <w:color w:val="auto"/>
                <w:kern w:val="0"/>
                <w:sz w:val="24"/>
              </w:rPr>
              <w:t>人，每人每天的用水量按</w:t>
            </w:r>
            <w:r>
              <w:rPr>
                <w:rFonts w:hint="eastAsia" w:cs="Times New Roman"/>
                <w:color w:val="auto"/>
                <w:kern w:val="0"/>
                <w:sz w:val="24"/>
                <w:lang w:val="en-US" w:eastAsia="zh-CN"/>
              </w:rPr>
              <w:t>60</w:t>
            </w:r>
            <w:r>
              <w:rPr>
                <w:rFonts w:ascii="Times New Roman" w:hAnsi="Times New Roman" w:eastAsia="宋体" w:cs="Times New Roman"/>
                <w:color w:val="auto"/>
                <w:kern w:val="0"/>
                <w:sz w:val="24"/>
              </w:rPr>
              <w:t>L计，年工作天数</w:t>
            </w:r>
            <w:r>
              <w:rPr>
                <w:rFonts w:hint="eastAsia" w:cs="Times New Roman"/>
                <w:color w:val="auto"/>
                <w:kern w:val="0"/>
                <w:sz w:val="24"/>
                <w:lang w:val="en-US" w:eastAsia="zh-CN"/>
              </w:rPr>
              <w:t>180</w:t>
            </w:r>
            <w:r>
              <w:rPr>
                <w:rFonts w:ascii="Times New Roman" w:hAnsi="Times New Roman" w:eastAsia="宋体" w:cs="Times New Roman"/>
                <w:color w:val="auto"/>
                <w:kern w:val="0"/>
                <w:sz w:val="24"/>
              </w:rPr>
              <w:t>d，则生活用水量为</w:t>
            </w:r>
            <w:r>
              <w:rPr>
                <w:rFonts w:hint="eastAsia" w:cs="Times New Roman"/>
                <w:color w:val="auto"/>
                <w:kern w:val="0"/>
                <w:sz w:val="24"/>
                <w:lang w:val="en-US" w:eastAsia="zh-CN"/>
              </w:rPr>
              <w:t>453.6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2.52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p>
          <w:p w14:paraId="15EA8835">
            <w:pPr>
              <w:spacing w:line="360" w:lineRule="auto"/>
              <w:rPr>
                <w:b/>
                <w:bCs/>
                <w:color w:val="auto"/>
                <w:sz w:val="24"/>
              </w:rPr>
            </w:pPr>
            <w:r>
              <w:rPr>
                <w:b/>
                <w:bCs/>
                <w:color w:val="auto"/>
                <w:sz w:val="24"/>
              </w:rPr>
              <w:t>5.1.2排水</w:t>
            </w:r>
          </w:p>
          <w:p w14:paraId="06D2F10A">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ascii="Times New Roman" w:hAnsi="Times New Roman" w:eastAsia="宋体" w:cs="Times New Roman"/>
                <w:color w:val="auto"/>
                <w:kern w:val="0"/>
                <w:sz w:val="24"/>
              </w:rPr>
              <w:t>本项目产生的生产废水</w:t>
            </w:r>
            <w:r>
              <w:rPr>
                <w:rFonts w:hint="eastAsia" w:cs="Times New Roman"/>
                <w:color w:val="auto"/>
                <w:kern w:val="0"/>
                <w:sz w:val="24"/>
                <w:lang w:val="en-US" w:eastAsia="zh-CN"/>
              </w:rPr>
              <w:t>经30m</w:t>
            </w:r>
            <w:r>
              <w:rPr>
                <w:rFonts w:hint="eastAsia" w:cs="Times New Roman"/>
                <w:color w:val="auto"/>
                <w:kern w:val="0"/>
                <w:sz w:val="24"/>
                <w:vertAlign w:val="superscript"/>
                <w:lang w:val="en-US" w:eastAsia="zh-CN"/>
              </w:rPr>
              <w:t>3</w:t>
            </w:r>
            <w:r>
              <w:rPr>
                <w:rFonts w:hint="eastAsia" w:cs="Times New Roman"/>
                <w:color w:val="auto"/>
                <w:kern w:val="0"/>
                <w:sz w:val="24"/>
                <w:vertAlign w:val="baseline"/>
                <w:lang w:val="en-US" w:eastAsia="zh-CN"/>
              </w:rPr>
              <w:t>的沉淀池进行</w:t>
            </w:r>
            <w:r>
              <w:rPr>
                <w:rFonts w:ascii="Times New Roman" w:hAnsi="Times New Roman" w:eastAsia="宋体" w:cs="Times New Roman"/>
                <w:color w:val="auto"/>
                <w:kern w:val="0"/>
                <w:sz w:val="24"/>
              </w:rPr>
              <w:t>循环利用，</w:t>
            </w:r>
            <w:r>
              <w:rPr>
                <w:rFonts w:hint="eastAsia" w:cs="Times New Roman"/>
                <w:color w:val="auto"/>
                <w:kern w:val="0"/>
                <w:sz w:val="24"/>
                <w:lang w:val="en-US" w:eastAsia="zh-CN"/>
              </w:rPr>
              <w:t>本项目中流入沉淀池的水为搅拌设备清洗用水（3.2m</w:t>
            </w:r>
            <w:r>
              <w:rPr>
                <w:rFonts w:hint="eastAsia" w:cs="Times New Roman"/>
                <w:color w:val="auto"/>
                <w:kern w:val="0"/>
                <w:sz w:val="24"/>
                <w:vertAlign w:val="superscript"/>
                <w:lang w:val="en-US" w:eastAsia="zh-CN"/>
              </w:rPr>
              <w:t>3</w:t>
            </w:r>
            <w:r>
              <w:rPr>
                <w:rFonts w:hint="eastAsia" w:cs="Times New Roman"/>
                <w:color w:val="auto"/>
                <w:kern w:val="0"/>
                <w:sz w:val="24"/>
                <w:vertAlign w:val="baseline"/>
                <w:lang w:val="en-US" w:eastAsia="zh-CN"/>
              </w:rPr>
              <w:t>/d</w:t>
            </w:r>
            <w:r>
              <w:rPr>
                <w:rFonts w:hint="eastAsia" w:cs="Times New Roman"/>
                <w:color w:val="auto"/>
                <w:kern w:val="0"/>
                <w:sz w:val="24"/>
                <w:lang w:val="en-US" w:eastAsia="zh-CN"/>
              </w:rPr>
              <w:t>）和车辆清洗用水（19.2m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/d），沉淀池的最大日处理量为22.4m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/d，故本项目设置的30m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混凝土可以满足生产废水的处理要求。对沉淀池底部进行防渗处理，使用混凝土对底部进行土地硬化，涂抹防渗油漆。</w:t>
            </w:r>
          </w:p>
          <w:p w14:paraId="78C699E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项目产生的生活污水经</w:t>
            </w:r>
            <w:r>
              <w:rPr>
                <w:rFonts w:hint="eastAsia" w:cs="Times New Roman"/>
                <w:color w:val="auto"/>
                <w:kern w:val="0"/>
                <w:sz w:val="24"/>
                <w:lang w:val="en-US" w:eastAsia="zh-CN"/>
              </w:rPr>
              <w:t>地埋式</w:t>
            </w:r>
            <w:r>
              <w:rPr>
                <w:rFonts w:ascii="Times New Roman" w:hAnsi="Times New Roman" w:eastAsia="宋体" w:cs="Times New Roman"/>
                <w:color w:val="auto"/>
                <w:kern w:val="0"/>
                <w:sz w:val="24"/>
              </w:rPr>
              <w:t>一体化污水处理系统处理达标后用于</w:t>
            </w:r>
            <w:r>
              <w:rPr>
                <w:rFonts w:hint="eastAsia" w:cs="Times New Roman"/>
                <w:color w:val="auto"/>
                <w:kern w:val="0"/>
                <w:sz w:val="24"/>
                <w:lang w:val="en-US" w:eastAsia="zh-CN"/>
              </w:rPr>
              <w:t>厂区绿化</w:t>
            </w:r>
            <w:r>
              <w:rPr>
                <w:rFonts w:ascii="Times New Roman" w:hAnsi="Times New Roman" w:eastAsia="宋体" w:cs="Times New Roman"/>
                <w:color w:val="auto"/>
                <w:kern w:val="0"/>
                <w:sz w:val="24"/>
              </w:rPr>
              <w:t>，本项目生活污水的排放量按用水量80%计算，排水总量为</w:t>
            </w:r>
            <w:r>
              <w:rPr>
                <w:rFonts w:hint="eastAsia" w:cs="Times New Roman"/>
                <w:color w:val="auto"/>
                <w:kern w:val="0"/>
                <w:sz w:val="24"/>
                <w:lang w:val="en-US" w:eastAsia="zh-CN"/>
              </w:rPr>
              <w:t>362.88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2.02</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p>
          <w:p w14:paraId="7755E651">
            <w:pPr>
              <w:spacing w:line="360" w:lineRule="auto"/>
              <w:rPr>
                <w:b/>
                <w:bCs/>
                <w:color w:val="auto"/>
                <w:sz w:val="24"/>
              </w:rPr>
            </w:pPr>
            <w:r>
              <w:rPr>
                <w:b/>
                <w:bCs/>
                <w:color w:val="auto"/>
                <w:sz w:val="24"/>
              </w:rPr>
              <w:t>5.1.3本项目水平衡图</w:t>
            </w:r>
          </w:p>
          <w:p w14:paraId="13294C0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本项目水平衡图见图</w:t>
            </w:r>
            <w:r>
              <w:rPr>
                <w:rFonts w:hint="eastAsia" w:cs="Times New Roman"/>
                <w:color w:val="auto"/>
                <w:kern w:val="0"/>
                <w:sz w:val="24"/>
                <w:lang w:val="en-US" w:eastAsia="zh-CN"/>
              </w:rPr>
              <w:t>1</w:t>
            </w:r>
            <w:r>
              <w:rPr>
                <w:rFonts w:ascii="Times New Roman" w:hAnsi="Times New Roman" w:eastAsia="宋体" w:cs="Times New Roman"/>
                <w:color w:val="auto"/>
                <w:kern w:val="0"/>
                <w:sz w:val="24"/>
              </w:rPr>
              <w:t>。</w:t>
            </w:r>
          </w:p>
          <w:p w14:paraId="0CBED380">
            <w:pPr>
              <w:pStyle w:val="20"/>
              <w:ind w:left="0" w:leftChars="0" w:firstLine="0" w:firstLineChars="0"/>
              <w:rPr>
                <w:b/>
                <w:bCs/>
                <w:color w:val="auto"/>
                <w:sz w:val="21"/>
                <w:szCs w:val="21"/>
              </w:rPr>
            </w:pPr>
            <w:r>
              <w:rPr>
                <w:rFonts w:hint="eastAsia" w:eastAsia="宋体"/>
                <w:color w:val="auto"/>
                <w:lang w:eastAsia="zh-CN"/>
              </w:rPr>
              <w:drawing>
                <wp:inline distT="0" distB="0" distL="114300" distR="114300">
                  <wp:extent cx="3984625" cy="4011295"/>
                  <wp:effectExtent l="0" t="0" r="0" b="0"/>
                  <wp:docPr id="29" name="ECB019B1-382A-4266-B25C-5B523AA43C14-1" descr="C:/Users/a's/AppData/Local/Temp/wps.sAxnD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CB019B1-382A-4266-B25C-5B523AA43C14-1" descr="C:/Users/a's/AppData/Local/Temp/wps.sAxnDgwps"/>
                          <pic:cNvPicPr>
                            <a:picLocks noChangeAspect="1"/>
                          </pic:cNvPicPr>
                        </pic:nvPicPr>
                        <pic:blipFill>
                          <a:blip r:embed="rId7"/>
                          <a:stretch>
                            <a:fillRect/>
                          </a:stretch>
                        </pic:blipFill>
                        <pic:spPr>
                          <a:xfrm>
                            <a:off x="0" y="0"/>
                            <a:ext cx="3984625" cy="4011295"/>
                          </a:xfrm>
                          <a:prstGeom prst="rect">
                            <a:avLst/>
                          </a:prstGeom>
                        </pic:spPr>
                      </pic:pic>
                    </a:graphicData>
                  </a:graphic>
                </wp:inline>
              </w:drawing>
            </w:r>
          </w:p>
          <w:p w14:paraId="6D6CAD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1"/>
                <w:szCs w:val="21"/>
              </w:rPr>
            </w:pPr>
            <w:r>
              <w:rPr>
                <w:b/>
                <w:bCs/>
                <w:color w:val="auto"/>
                <w:sz w:val="21"/>
                <w:szCs w:val="21"/>
              </w:rPr>
              <w:t>图</w:t>
            </w:r>
            <w:r>
              <w:rPr>
                <w:rFonts w:hint="eastAsia"/>
                <w:b/>
                <w:bCs/>
                <w:color w:val="auto"/>
                <w:sz w:val="21"/>
                <w:szCs w:val="21"/>
                <w:lang w:val="en-US" w:eastAsia="zh-CN"/>
              </w:rPr>
              <w:t>1</w:t>
            </w:r>
            <w:r>
              <w:rPr>
                <w:b/>
                <w:bCs/>
                <w:color w:val="auto"/>
                <w:sz w:val="21"/>
                <w:szCs w:val="21"/>
              </w:rPr>
              <w:t xml:space="preserve">    本项目</w:t>
            </w:r>
            <w:r>
              <w:rPr>
                <w:rFonts w:hint="eastAsia"/>
                <w:b/>
                <w:bCs/>
                <w:color w:val="auto"/>
                <w:sz w:val="21"/>
                <w:szCs w:val="21"/>
                <w:lang w:val="en-US" w:eastAsia="zh-CN"/>
              </w:rPr>
              <w:t xml:space="preserve">水平衡图  </w:t>
            </w:r>
            <w:r>
              <w:rPr>
                <w:rFonts w:hint="eastAsia"/>
                <w:b/>
                <w:bCs/>
                <w:sz w:val="21"/>
                <w:szCs w:val="21"/>
              </w:rPr>
              <w:t>单位m</w:t>
            </w:r>
            <w:r>
              <w:rPr>
                <w:rFonts w:hint="eastAsia"/>
                <w:b/>
                <w:bCs/>
                <w:sz w:val="21"/>
                <w:szCs w:val="21"/>
                <w:vertAlign w:val="superscript"/>
              </w:rPr>
              <w:t>3</w:t>
            </w:r>
            <w:r>
              <w:rPr>
                <w:rFonts w:hint="eastAsia"/>
                <w:b/>
                <w:bCs/>
                <w:sz w:val="21"/>
                <w:szCs w:val="21"/>
              </w:rPr>
              <w:t>/a</w:t>
            </w:r>
          </w:p>
          <w:p w14:paraId="0978A39E">
            <w:pPr>
              <w:spacing w:line="360" w:lineRule="auto"/>
              <w:rPr>
                <w:b/>
                <w:bCs/>
                <w:color w:val="auto"/>
                <w:sz w:val="24"/>
              </w:rPr>
            </w:pPr>
            <w:r>
              <w:rPr>
                <w:b/>
                <w:bCs/>
                <w:color w:val="auto"/>
                <w:sz w:val="24"/>
              </w:rPr>
              <w:t>5.2供电</w:t>
            </w:r>
          </w:p>
          <w:p w14:paraId="4761D9CE">
            <w:pPr>
              <w:spacing w:line="360" w:lineRule="auto"/>
              <w:ind w:firstLine="480" w:firstLineChars="200"/>
              <w:rPr>
                <w:color w:val="auto"/>
                <w:sz w:val="24"/>
              </w:rPr>
            </w:pPr>
            <w:r>
              <w:rPr>
                <w:rFonts w:ascii="Times New Roman" w:hAnsi="Times New Roman" w:eastAsia="宋体" w:cs="Times New Roman"/>
                <w:color w:val="auto"/>
                <w:kern w:val="0"/>
                <w:sz w:val="24"/>
              </w:rPr>
              <w:t>项目用电由项目区</w:t>
            </w:r>
            <w:r>
              <w:rPr>
                <w:rFonts w:hint="eastAsia" w:cs="Times New Roman"/>
                <w:color w:val="auto"/>
                <w:kern w:val="0"/>
                <w:sz w:val="24"/>
                <w:lang w:val="en-US" w:eastAsia="zh-CN"/>
              </w:rPr>
              <w:t>由电网接入</w:t>
            </w:r>
            <w:r>
              <w:rPr>
                <w:rFonts w:ascii="Times New Roman" w:hAnsi="Times New Roman" w:eastAsia="宋体" w:cs="Times New Roman"/>
                <w:color w:val="auto"/>
                <w:kern w:val="0"/>
                <w:sz w:val="24"/>
              </w:rPr>
              <w:t>，能够满足项目区生产、办公、生活需求。</w:t>
            </w:r>
          </w:p>
          <w:p w14:paraId="011D916B">
            <w:pPr>
              <w:spacing w:line="360" w:lineRule="auto"/>
              <w:rPr>
                <w:b/>
                <w:bCs/>
                <w:color w:val="auto"/>
                <w:sz w:val="24"/>
              </w:rPr>
            </w:pPr>
            <w:r>
              <w:rPr>
                <w:b/>
                <w:bCs/>
                <w:color w:val="auto"/>
                <w:sz w:val="24"/>
              </w:rPr>
              <w:t>5.3供热</w:t>
            </w:r>
          </w:p>
          <w:p w14:paraId="7080F88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本项目冬季不生产，值班人员采用电采暖。</w:t>
            </w:r>
          </w:p>
          <w:p w14:paraId="141DE69F">
            <w:pPr>
              <w:spacing w:line="360" w:lineRule="auto"/>
              <w:rPr>
                <w:b/>
                <w:bCs/>
                <w:color w:val="auto"/>
                <w:sz w:val="24"/>
              </w:rPr>
            </w:pPr>
            <w:r>
              <w:rPr>
                <w:b/>
                <w:bCs/>
                <w:color w:val="auto"/>
                <w:sz w:val="24"/>
              </w:rPr>
              <w:t>6.劳动定员及工作制度</w:t>
            </w:r>
          </w:p>
          <w:p w14:paraId="305E0AF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42</w:t>
            </w:r>
            <w:r>
              <w:rPr>
                <w:rFonts w:ascii="Times New Roman" w:hAnsi="Times New Roman" w:eastAsia="宋体" w:cs="Times New Roman"/>
                <w:color w:val="auto"/>
                <w:kern w:val="0"/>
                <w:sz w:val="24"/>
              </w:rPr>
              <w:t>人，根据生产流程的要求，工作时间采用单班制（白班）工作制，每班有效工作时间8小时，每年4月-10月生产，工作时间</w:t>
            </w:r>
            <w:r>
              <w:rPr>
                <w:rFonts w:hint="eastAsia" w:cs="Times New Roman"/>
                <w:color w:val="auto"/>
                <w:kern w:val="0"/>
                <w:sz w:val="24"/>
                <w:lang w:val="en-US" w:eastAsia="zh-CN"/>
              </w:rPr>
              <w:t>180</w:t>
            </w:r>
            <w:r>
              <w:rPr>
                <w:rFonts w:ascii="Times New Roman" w:hAnsi="Times New Roman" w:eastAsia="宋体" w:cs="Times New Roman"/>
                <w:color w:val="auto"/>
                <w:kern w:val="0"/>
                <w:sz w:val="24"/>
              </w:rPr>
              <w:t>天</w:t>
            </w:r>
            <w:r>
              <w:rPr>
                <w:rFonts w:hint="eastAsia" w:cs="Times New Roman"/>
                <w:color w:val="auto"/>
                <w:kern w:val="0"/>
                <w:sz w:val="24"/>
                <w:lang w:eastAsia="zh-CN"/>
              </w:rPr>
              <w:t>，</w:t>
            </w:r>
            <w:r>
              <w:rPr>
                <w:rFonts w:hint="eastAsia" w:cs="Times New Roman"/>
                <w:color w:val="auto"/>
                <w:kern w:val="0"/>
                <w:sz w:val="24"/>
                <w:lang w:val="en-US" w:eastAsia="zh-CN"/>
              </w:rPr>
              <w:t>冬季不生产</w:t>
            </w:r>
            <w:r>
              <w:rPr>
                <w:rFonts w:ascii="Times New Roman" w:hAnsi="Times New Roman" w:eastAsia="宋体" w:cs="Times New Roman"/>
                <w:color w:val="auto"/>
                <w:kern w:val="0"/>
                <w:sz w:val="24"/>
              </w:rPr>
              <w:t>。</w:t>
            </w:r>
          </w:p>
          <w:p w14:paraId="79521C5D">
            <w:pPr>
              <w:spacing w:line="360" w:lineRule="auto"/>
              <w:rPr>
                <w:b/>
                <w:bCs/>
                <w:color w:val="auto"/>
                <w:sz w:val="24"/>
              </w:rPr>
            </w:pPr>
            <w:r>
              <w:rPr>
                <w:b/>
                <w:bCs/>
                <w:color w:val="auto"/>
                <w:sz w:val="24"/>
              </w:rPr>
              <w:t>7.本项目平面布置</w:t>
            </w:r>
          </w:p>
          <w:p w14:paraId="5FC1E26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项目区位于</w:t>
            </w:r>
            <w:r>
              <w:rPr>
                <w:rFonts w:hint="eastAsia"/>
                <w:color w:val="auto"/>
                <w:sz w:val="24"/>
                <w:u w:val="none"/>
              </w:rPr>
              <w:t>昌吉回族自治州木垒哈萨克自治县博斯塘乡境内</w:t>
            </w:r>
            <w:r>
              <w:rPr>
                <w:rFonts w:hint="eastAsia" w:ascii="Times New Roman" w:hAnsi="Times New Roman" w:eastAsia="宋体" w:cs="Times New Roman"/>
                <w:color w:val="auto"/>
                <w:kern w:val="0"/>
                <w:sz w:val="24"/>
                <w:lang w:eastAsia="zh-CN"/>
              </w:rPr>
              <w:t>，</w:t>
            </w:r>
            <w:r>
              <w:rPr>
                <w:rFonts w:hint="default" w:ascii="Times New Roman" w:hAnsi="Times New Roman" w:eastAsia="宋体" w:cs="Times New Roman"/>
                <w:sz w:val="24"/>
                <w:szCs w:val="24"/>
                <w:lang w:val="en-US" w:eastAsia="zh-CN"/>
              </w:rPr>
              <w:t>东经：9</w:t>
            </w:r>
            <w:r>
              <w:rPr>
                <w:rFonts w:hint="eastAsia" w:ascii="Times New Roman" w:hAnsi="Times New Roman" w:eastAsia="宋体" w:cs="Times New Roman"/>
                <w:sz w:val="24"/>
                <w:szCs w:val="24"/>
                <w:lang w:val="en-US" w:eastAsia="zh-CN"/>
              </w:rPr>
              <w:t>0°34′42.12″</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北纬：</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4°18′27.88″</w:t>
            </w:r>
            <w:r>
              <w:rPr>
                <w:rFonts w:hint="default" w:ascii="Times New Roman" w:hAnsi="Times New Roman" w:eastAsia="宋体" w:cs="Times New Roman"/>
                <w:color w:val="auto"/>
                <w:kern w:val="0"/>
                <w:sz w:val="24"/>
              </w:rPr>
              <w:t>。项目区东侧、南侧、</w:t>
            </w:r>
            <w:r>
              <w:rPr>
                <w:rFonts w:hint="eastAsia" w:ascii="Times New Roman" w:hAnsi="Times New Roman" w:eastAsia="宋体" w:cs="Times New Roman"/>
                <w:color w:val="auto"/>
                <w:kern w:val="0"/>
                <w:sz w:val="24"/>
                <w:lang w:val="en-US" w:eastAsia="zh-CN"/>
              </w:rPr>
              <w:t>西侧、</w:t>
            </w:r>
            <w:r>
              <w:rPr>
                <w:rFonts w:hint="default" w:ascii="Times New Roman" w:hAnsi="Times New Roman" w:eastAsia="宋体" w:cs="Times New Roman"/>
                <w:color w:val="auto"/>
                <w:kern w:val="0"/>
                <w:sz w:val="24"/>
              </w:rPr>
              <w:t>北侧均为空地，</w:t>
            </w:r>
            <w:r>
              <w:rPr>
                <w:rFonts w:ascii="Times New Roman" w:hAnsi="Times New Roman" w:eastAsia="宋体" w:cs="Times New Roman"/>
                <w:color w:val="auto"/>
                <w:kern w:val="0"/>
                <w:sz w:val="24"/>
              </w:rPr>
              <w:t>根据厂区形状，工艺流程，周围环境进行总平面布置。</w:t>
            </w:r>
            <w:bookmarkStart w:id="3" w:name="_Toc27729"/>
            <w:r>
              <w:rPr>
                <w:rFonts w:ascii="Times New Roman" w:hAnsi="Times New Roman" w:eastAsia="宋体" w:cs="Times New Roman"/>
                <w:color w:val="auto"/>
                <w:kern w:val="0"/>
                <w:sz w:val="24"/>
              </w:rPr>
              <w:t>出入口设置在厂区</w:t>
            </w:r>
            <w:r>
              <w:rPr>
                <w:rFonts w:hint="eastAsia" w:cs="Times New Roman"/>
                <w:color w:val="auto"/>
                <w:kern w:val="0"/>
                <w:sz w:val="24"/>
                <w:lang w:val="en-US" w:eastAsia="zh-CN"/>
              </w:rPr>
              <w:t>南</w:t>
            </w:r>
            <w:r>
              <w:rPr>
                <w:rFonts w:ascii="Times New Roman" w:hAnsi="Times New Roman" w:eastAsia="宋体" w:cs="Times New Roman"/>
                <w:color w:val="auto"/>
                <w:kern w:val="0"/>
                <w:sz w:val="24"/>
              </w:rPr>
              <w:t>侧，磅房设置在</w:t>
            </w:r>
            <w:r>
              <w:rPr>
                <w:rFonts w:hint="eastAsia" w:cs="Times New Roman"/>
                <w:color w:val="auto"/>
                <w:kern w:val="0"/>
                <w:sz w:val="24"/>
                <w:lang w:val="en-US" w:eastAsia="zh-CN"/>
              </w:rPr>
              <w:t>出入口旁</w:t>
            </w:r>
            <w:r>
              <w:rPr>
                <w:rFonts w:ascii="Times New Roman" w:hAnsi="Times New Roman" w:eastAsia="宋体" w:cs="Times New Roman"/>
                <w:color w:val="auto"/>
                <w:kern w:val="0"/>
                <w:sz w:val="24"/>
              </w:rPr>
              <w:t>，厂区</w:t>
            </w:r>
            <w:r>
              <w:rPr>
                <w:rFonts w:hint="eastAsia" w:cs="Times New Roman"/>
                <w:color w:val="auto"/>
                <w:kern w:val="0"/>
                <w:sz w:val="24"/>
                <w:lang w:val="en-US" w:eastAsia="zh-CN"/>
              </w:rPr>
              <w:t>东</w:t>
            </w:r>
            <w:r>
              <w:rPr>
                <w:rFonts w:ascii="Times New Roman" w:hAnsi="Times New Roman" w:eastAsia="宋体" w:cs="Times New Roman"/>
                <w:color w:val="auto"/>
                <w:kern w:val="0"/>
                <w:sz w:val="24"/>
              </w:rPr>
              <w:t>侧为员工休息区</w:t>
            </w:r>
            <w:r>
              <w:rPr>
                <w:rFonts w:hint="eastAsia" w:cs="Times New Roman"/>
                <w:color w:val="auto"/>
                <w:kern w:val="0"/>
                <w:sz w:val="24"/>
                <w:lang w:val="en-US" w:eastAsia="zh-CN"/>
              </w:rPr>
              <w:t>及办公室，北</w:t>
            </w:r>
            <w:r>
              <w:rPr>
                <w:rFonts w:ascii="Times New Roman" w:hAnsi="Times New Roman" w:eastAsia="宋体" w:cs="Times New Roman"/>
                <w:color w:val="auto"/>
                <w:kern w:val="0"/>
                <w:sz w:val="24"/>
              </w:rPr>
              <w:t>侧为料场</w:t>
            </w:r>
            <w:r>
              <w:rPr>
                <w:rFonts w:hint="eastAsia" w:cs="Times New Roman"/>
                <w:color w:val="auto"/>
                <w:kern w:val="0"/>
                <w:sz w:val="24"/>
                <w:lang w:eastAsia="zh-CN"/>
              </w:rPr>
              <w:t>，</w:t>
            </w:r>
            <w:r>
              <w:rPr>
                <w:rFonts w:hint="eastAsia" w:cs="Times New Roman"/>
                <w:color w:val="auto"/>
                <w:kern w:val="0"/>
                <w:sz w:val="24"/>
                <w:lang w:val="en-US" w:eastAsia="zh-CN"/>
              </w:rPr>
              <w:t>搅拌楼</w:t>
            </w:r>
            <w:r>
              <w:rPr>
                <w:rFonts w:ascii="Times New Roman" w:hAnsi="Times New Roman" w:eastAsia="宋体" w:cs="Times New Roman"/>
                <w:color w:val="auto"/>
                <w:kern w:val="0"/>
                <w:sz w:val="24"/>
              </w:rPr>
              <w:t>及筒仓</w:t>
            </w:r>
            <w:r>
              <w:rPr>
                <w:rFonts w:hint="eastAsia" w:cs="Times New Roman"/>
                <w:color w:val="auto"/>
                <w:kern w:val="0"/>
                <w:sz w:val="24"/>
                <w:lang w:val="en-US" w:eastAsia="zh-CN"/>
              </w:rPr>
              <w:t>在中间</w:t>
            </w:r>
            <w:r>
              <w:rPr>
                <w:rFonts w:ascii="Times New Roman" w:hAnsi="Times New Roman" w:eastAsia="宋体" w:cs="Times New Roman"/>
                <w:color w:val="auto"/>
                <w:kern w:val="0"/>
                <w:sz w:val="24"/>
              </w:rPr>
              <w:t>，厂区内适当布置停车位。</w:t>
            </w:r>
            <w:bookmarkEnd w:id="3"/>
          </w:p>
          <w:p w14:paraId="72F17F9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厂区建筑布置均满足防火、安全、环保、卫生等有关规范要求。项目总平面布置遵循功能分区合理、人流物流分开、环境安全卫生、生活管理方便；在满足生产工艺、消防安全、环境卫生的前提下，尽量合并建筑，坚决贯彻执行珍惜土地资源和合理利用土地的方针。</w:t>
            </w:r>
            <w:r>
              <w:rPr>
                <w:rFonts w:hint="eastAsia" w:ascii="Times New Roman" w:hAnsi="Times New Roman" w:eastAsia="宋体" w:cs="Times New Roman"/>
                <w:color w:val="auto"/>
                <w:kern w:val="0"/>
                <w:sz w:val="24"/>
                <w:lang w:eastAsia="zh-CN"/>
              </w:rPr>
              <w:t>因地制宜</w:t>
            </w:r>
            <w:r>
              <w:rPr>
                <w:rFonts w:ascii="Times New Roman" w:hAnsi="Times New Roman" w:eastAsia="宋体" w:cs="Times New Roman"/>
                <w:color w:val="auto"/>
                <w:kern w:val="0"/>
                <w:sz w:val="24"/>
              </w:rPr>
              <w:t>，合理布置，提高土地利用率，符合国家方针、政策、法令、法规和地方政府的相关规定；建筑物布置尽量结合地形、地质、气象、工艺生产和施工条件，节省投资，同时为生产、运输和生活创造有利条件。</w:t>
            </w:r>
          </w:p>
          <w:p w14:paraId="2695E73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综上所述，拟建项目总平面布置相对合理。本项目平面布置图见附图</w:t>
            </w:r>
            <w:r>
              <w:rPr>
                <w:rFonts w:hint="eastAsia" w:cs="Times New Roman"/>
                <w:color w:val="auto"/>
                <w:kern w:val="0"/>
                <w:sz w:val="24"/>
                <w:lang w:val="en-US" w:eastAsia="zh-CN"/>
              </w:rPr>
              <w:t>3</w:t>
            </w:r>
            <w:r>
              <w:rPr>
                <w:rFonts w:ascii="Times New Roman" w:hAnsi="Times New Roman" w:eastAsia="宋体" w:cs="Times New Roman"/>
                <w:color w:val="auto"/>
                <w:kern w:val="0"/>
                <w:sz w:val="24"/>
              </w:rPr>
              <w:t>。</w:t>
            </w:r>
          </w:p>
          <w:p w14:paraId="1DF55F7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3B32923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0A4FA62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p>
          <w:p w14:paraId="7A860F89">
            <w:pPr>
              <w:autoSpaceDE w:val="0"/>
              <w:autoSpaceDN w:val="0"/>
              <w:adjustRightInd w:val="0"/>
              <w:snapToGrid w:val="0"/>
              <w:spacing w:line="360" w:lineRule="auto"/>
              <w:rPr>
                <w:rFonts w:hint="eastAsia" w:cs="Times New Roman"/>
                <w:color w:val="auto"/>
                <w:kern w:val="0"/>
                <w:sz w:val="24"/>
                <w:lang w:val="en-US" w:eastAsia="zh-CN"/>
              </w:rPr>
            </w:pPr>
          </w:p>
          <w:p w14:paraId="5E924ECD">
            <w:pPr>
              <w:autoSpaceDE w:val="0"/>
              <w:autoSpaceDN w:val="0"/>
              <w:adjustRightInd w:val="0"/>
              <w:snapToGrid w:val="0"/>
              <w:spacing w:line="360" w:lineRule="auto"/>
              <w:rPr>
                <w:rFonts w:hint="eastAsia" w:cs="Times New Roman"/>
                <w:color w:val="auto"/>
                <w:kern w:val="0"/>
                <w:sz w:val="24"/>
                <w:lang w:val="en-US" w:eastAsia="zh-CN"/>
              </w:rPr>
            </w:pPr>
          </w:p>
          <w:p w14:paraId="05210BD4">
            <w:pPr>
              <w:autoSpaceDE w:val="0"/>
              <w:autoSpaceDN w:val="0"/>
              <w:adjustRightInd w:val="0"/>
              <w:snapToGrid w:val="0"/>
              <w:spacing w:line="360" w:lineRule="auto"/>
              <w:rPr>
                <w:rFonts w:hint="eastAsia" w:cs="Times New Roman"/>
                <w:color w:val="auto"/>
                <w:kern w:val="0"/>
                <w:sz w:val="24"/>
                <w:lang w:val="en-US" w:eastAsia="zh-CN"/>
              </w:rPr>
            </w:pPr>
          </w:p>
          <w:p w14:paraId="5B69DD35">
            <w:pPr>
              <w:autoSpaceDE w:val="0"/>
              <w:autoSpaceDN w:val="0"/>
              <w:adjustRightInd w:val="0"/>
              <w:snapToGrid w:val="0"/>
              <w:spacing w:line="360" w:lineRule="auto"/>
              <w:rPr>
                <w:rFonts w:hint="eastAsia" w:cs="Times New Roman"/>
                <w:color w:val="auto"/>
                <w:kern w:val="0"/>
                <w:sz w:val="24"/>
                <w:lang w:val="en-US" w:eastAsia="zh-CN"/>
              </w:rPr>
            </w:pPr>
          </w:p>
        </w:tc>
      </w:tr>
      <w:tr w14:paraId="6BCA0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5" w:hRule="atLeast"/>
          <w:jc w:val="center"/>
        </w:trPr>
        <w:tc>
          <w:tcPr>
            <w:tcW w:w="763" w:type="dxa"/>
            <w:vAlign w:val="center"/>
          </w:tcPr>
          <w:p w14:paraId="283C2748">
            <w:pPr>
              <w:pStyle w:val="19"/>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8056" w:type="dxa"/>
          </w:tcPr>
          <w:p w14:paraId="341B1243">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1.工艺流程</w:t>
            </w:r>
          </w:p>
          <w:p w14:paraId="773D50D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本项目生产工艺流程见图2。</w:t>
            </w:r>
          </w:p>
          <w:p w14:paraId="0F35584C">
            <w:pPr>
              <w:adjustRightInd w:val="0"/>
              <w:snapToGrid w:val="0"/>
              <w:spacing w:line="360" w:lineRule="auto"/>
              <w:jc w:val="center"/>
              <w:rPr>
                <w:rFonts w:hint="eastAsia" w:eastAsia="宋体"/>
                <w:color w:val="auto"/>
                <w:sz w:val="24"/>
                <w:lang w:eastAsia="zh-CN"/>
              </w:rPr>
            </w:pPr>
            <w:r>
              <w:rPr>
                <w:rFonts w:hint="eastAsia" w:eastAsia="宋体"/>
                <w:color w:val="auto"/>
                <w:sz w:val="24"/>
                <w:lang w:eastAsia="zh-CN"/>
              </w:rPr>
              <w:drawing>
                <wp:inline distT="0" distB="0" distL="114300" distR="114300">
                  <wp:extent cx="4077335" cy="4109720"/>
                  <wp:effectExtent l="0" t="0" r="0" b="0"/>
                  <wp:docPr id="1" name="ECB019B1-382A-4266-B25C-5B523AA43C14-2" descr="C:/Users/a's/AppData/Local/Temp/wps.giKZZ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a's/AppData/Local/Temp/wps.giKZZAwps"/>
                          <pic:cNvPicPr>
                            <a:picLocks noChangeAspect="1"/>
                          </pic:cNvPicPr>
                        </pic:nvPicPr>
                        <pic:blipFill>
                          <a:blip r:embed="rId8"/>
                          <a:stretch>
                            <a:fillRect/>
                          </a:stretch>
                        </pic:blipFill>
                        <pic:spPr>
                          <a:xfrm>
                            <a:off x="0" y="0"/>
                            <a:ext cx="4077335" cy="4109720"/>
                          </a:xfrm>
                          <a:prstGeom prst="rect">
                            <a:avLst/>
                          </a:prstGeom>
                        </pic:spPr>
                      </pic:pic>
                    </a:graphicData>
                  </a:graphic>
                </wp:inline>
              </w:drawing>
            </w:r>
          </w:p>
          <w:p w14:paraId="0CC845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bCs/>
                <w:color w:val="auto"/>
                <w:sz w:val="21"/>
                <w:szCs w:val="21"/>
              </w:rPr>
            </w:pPr>
            <w:r>
              <w:rPr>
                <w:b/>
                <w:bCs/>
                <w:color w:val="auto"/>
                <w:sz w:val="21"/>
                <w:szCs w:val="21"/>
              </w:rPr>
              <w:t>图2    本项目生产工艺流程图</w:t>
            </w:r>
          </w:p>
          <w:p w14:paraId="0FF912E2">
            <w:pPr>
              <w:spacing w:line="360" w:lineRule="auto"/>
              <w:rPr>
                <w:color w:val="auto"/>
                <w:sz w:val="24"/>
              </w:rPr>
            </w:pPr>
            <w:r>
              <w:rPr>
                <w:color w:val="auto"/>
                <w:sz w:val="24"/>
              </w:rPr>
              <w:t>主要工艺说明：</w:t>
            </w:r>
          </w:p>
          <w:p w14:paraId="0068ECE7">
            <w:pPr>
              <w:pStyle w:val="38"/>
              <w:spacing w:after="0" w:line="360" w:lineRule="auto"/>
              <w:ind w:firstLine="480" w:firstLineChars="200"/>
              <w:rPr>
                <w:color w:val="auto"/>
                <w:sz w:val="24"/>
              </w:rPr>
            </w:pPr>
            <w:r>
              <w:rPr>
                <w:rFonts w:ascii="Times New Roman" w:hAnsi="Times New Roman" w:eastAsia="宋体" w:cs="Times New Roman"/>
                <w:color w:val="auto"/>
                <w:kern w:val="0"/>
                <w:sz w:val="24"/>
                <w:szCs w:val="24"/>
                <w:lang w:val="en-US" w:eastAsia="zh-CN" w:bidi="ar-SA"/>
              </w:rPr>
              <w:t>项目区建设采用</w:t>
            </w:r>
            <w:r>
              <w:rPr>
                <w:rFonts w:hint="eastAsia" w:cs="Times New Roman"/>
                <w:color w:val="auto"/>
                <w:kern w:val="0"/>
                <w:sz w:val="24"/>
                <w:szCs w:val="24"/>
                <w:lang w:val="en-US" w:eastAsia="zh-CN" w:bidi="ar-SA"/>
              </w:rPr>
              <w:t>半</w:t>
            </w:r>
            <w:r>
              <w:rPr>
                <w:rFonts w:ascii="Times New Roman" w:hAnsi="Times New Roman" w:eastAsia="宋体" w:cs="Times New Roman"/>
                <w:color w:val="auto"/>
                <w:kern w:val="0"/>
                <w:sz w:val="24"/>
                <w:szCs w:val="24"/>
                <w:lang w:val="en-US" w:eastAsia="zh-CN" w:bidi="ar-SA"/>
              </w:rPr>
              <w:t>封闭式料场、廊道封闭的方式，本项目生产工序主要由物料储存、物料称量输送、搅拌工序、外运等几部分组成，生产工艺如下：</w:t>
            </w:r>
            <w:r>
              <w:rPr>
                <w:color w:val="auto"/>
                <w:sz w:val="24"/>
              </w:rPr>
              <w:t xml:space="preserve"> </w:t>
            </w:r>
          </w:p>
          <w:p w14:paraId="31A6F6C8">
            <w:pPr>
              <w:pStyle w:val="38"/>
              <w:numPr>
                <w:ilvl w:val="0"/>
                <w:numId w:val="6"/>
              </w:numPr>
              <w:spacing w:after="0" w:line="360" w:lineRule="auto"/>
              <w:ind w:firstLine="480" w:firstLineChars="200"/>
              <w:rPr>
                <w:color w:val="auto"/>
                <w:sz w:val="24"/>
              </w:rPr>
            </w:pPr>
            <w:r>
              <w:rPr>
                <w:color w:val="auto"/>
                <w:sz w:val="24"/>
              </w:rPr>
              <w:t>物料储存</w:t>
            </w:r>
          </w:p>
          <w:p w14:paraId="4A51BFC1">
            <w:pPr>
              <w:pStyle w:val="38"/>
              <w:spacing w:after="0" w:line="360" w:lineRule="auto"/>
              <w:ind w:firstLine="480" w:firstLineChars="200"/>
              <w:rPr>
                <w:color w:val="auto"/>
                <w:sz w:val="24"/>
              </w:rPr>
            </w:pPr>
            <w:r>
              <w:rPr>
                <w:color w:val="auto"/>
                <w:sz w:val="24"/>
              </w:rPr>
              <w:t>原料砂子、石料等由密闭篷布货车运输到厂区料场储存，装卸采用自卸方式，料场全覆盖洒水降尘；水泥、粉煤灰等粉料分别由专用罐车运输进厂，通过罐车自带的管道以负压吸入料斗，再以压缩空气（正压）通过管道吸入散装粉料仓，整个输送过程在密闭的管道中完成，各粉料仓安装脉冲布袋除尘器，含尘废气经过除尘后排放，粉尘过滤在仓内；添加剂由专用罐车运输至厂区储存至添加剂储罐。</w:t>
            </w:r>
          </w:p>
          <w:p w14:paraId="2CE8803C">
            <w:pPr>
              <w:pStyle w:val="38"/>
              <w:spacing w:after="0" w:line="360" w:lineRule="auto"/>
              <w:ind w:firstLine="480" w:firstLineChars="200"/>
              <w:rPr>
                <w:color w:val="auto"/>
                <w:sz w:val="24"/>
              </w:rPr>
            </w:pPr>
            <w:r>
              <w:rPr>
                <w:color w:val="auto"/>
                <w:sz w:val="24"/>
              </w:rPr>
              <w:t>（2）物料称量输送</w:t>
            </w:r>
          </w:p>
          <w:p w14:paraId="765FA53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各物料按照一定比例进行加料，砂子、石料在料场原料堆区，由车辆装载至斗式料仓，料仓安装自动计量系统，物料经过计量后由密闭的输送机输送至斜皮带，由密闭斜皮带送入混凝土搅拌机；水泥、粉煤灰等粉料由密闭输送机输送到粉料秤斗进行计量，利用重力从秤斗进入搅拌机；添加剂由泵从储罐泵至搅拌机；生产搅拌用水采用压力供水，搅拌用水由水秤斗计量后送入搅拌机。</w:t>
            </w:r>
          </w:p>
          <w:p w14:paraId="49F19065">
            <w:pPr>
              <w:pStyle w:val="38"/>
              <w:spacing w:after="0" w:line="360" w:lineRule="auto"/>
              <w:ind w:firstLine="480" w:firstLineChars="200"/>
              <w:rPr>
                <w:color w:val="auto"/>
                <w:sz w:val="24"/>
              </w:rPr>
            </w:pPr>
            <w:r>
              <w:rPr>
                <w:color w:val="auto"/>
                <w:sz w:val="24"/>
              </w:rPr>
              <w:t xml:space="preserve">（3）搅拌工序 </w:t>
            </w:r>
          </w:p>
          <w:p w14:paraId="37FC1CB2">
            <w:pPr>
              <w:pStyle w:val="38"/>
              <w:spacing w:after="0" w:line="360" w:lineRule="auto"/>
              <w:ind w:firstLine="480" w:firstLineChars="200"/>
              <w:rPr>
                <w:color w:val="auto"/>
                <w:sz w:val="24"/>
              </w:rPr>
            </w:pPr>
            <w:r>
              <w:rPr>
                <w:rFonts w:ascii="Times New Roman" w:hAnsi="Times New Roman" w:eastAsia="宋体" w:cs="Times New Roman"/>
                <w:color w:val="auto"/>
                <w:kern w:val="0"/>
                <w:sz w:val="24"/>
                <w:szCs w:val="24"/>
                <w:lang w:val="en-US" w:eastAsia="zh-CN" w:bidi="ar-SA"/>
              </w:rPr>
              <w:t>经过计量后各种原料进入搅拌机进行机械式强制搅拌。本项目搅拌楼为密闭作业，搅拌机自带脉冲布袋除尘器，除尘灰经收集后回用于本工序，本工序严格控制各原料配料量，以保证混凝土的质量。</w:t>
            </w:r>
          </w:p>
          <w:p w14:paraId="3B2F2BBF">
            <w:pPr>
              <w:pStyle w:val="38"/>
              <w:spacing w:after="0" w:line="360" w:lineRule="auto"/>
              <w:ind w:firstLine="480" w:firstLineChars="200"/>
              <w:rPr>
                <w:color w:val="auto"/>
                <w:sz w:val="24"/>
              </w:rPr>
            </w:pPr>
            <w:r>
              <w:rPr>
                <w:color w:val="auto"/>
                <w:sz w:val="24"/>
              </w:rPr>
              <w:t>（4）外运</w:t>
            </w:r>
          </w:p>
          <w:p w14:paraId="7CA0FFC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搅拌均匀后的混凝土由搅拌机出料口卸入罐车直接运至施工现场。</w:t>
            </w:r>
          </w:p>
          <w:p w14:paraId="7A8FFF4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（5）</w:t>
            </w:r>
            <w:r>
              <w:rPr>
                <w:rFonts w:hint="eastAsia" w:ascii="Times New Roman" w:hAnsi="Times New Roman" w:eastAsia="宋体" w:cs="Times New Roman"/>
                <w:color w:val="auto"/>
                <w:kern w:val="0"/>
                <w:sz w:val="24"/>
                <w:lang w:val="en-US" w:eastAsia="zh-CN"/>
              </w:rPr>
              <w:t>车辆、设备</w:t>
            </w:r>
            <w:r>
              <w:rPr>
                <w:rFonts w:ascii="Times New Roman" w:hAnsi="Times New Roman" w:eastAsia="宋体" w:cs="Times New Roman"/>
                <w:color w:val="auto"/>
                <w:kern w:val="0"/>
                <w:sz w:val="24"/>
              </w:rPr>
              <w:t xml:space="preserve">清洁 </w:t>
            </w:r>
          </w:p>
          <w:p w14:paraId="6F9C4E4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生产结束后，职工利用水枪等冲洗设施对搅拌设备、罐车等进行冲洗，冲洗后的废水排入砂石分离机，经分离机分离后进入厂区沉淀池。从分离机分离出的砂石以及沉淀池内的沉淀物全部回用于生产工序。</w:t>
            </w:r>
          </w:p>
          <w:p w14:paraId="044B945A">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2.产排污情况</w:t>
            </w:r>
          </w:p>
          <w:p w14:paraId="7C2D963B">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2.1废气</w:t>
            </w:r>
          </w:p>
          <w:p w14:paraId="157EE7E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本项目营运期产生的污染物包括搅拌机产生的粉尘，筒仓粉尘，料场扬尘及装卸扬尘与场内运输扬尘</w:t>
            </w:r>
            <w:r>
              <w:rPr>
                <w:rFonts w:hint="eastAsia" w:cs="Times New Roman"/>
                <w:color w:val="auto"/>
                <w:kern w:val="0"/>
                <w:sz w:val="24"/>
                <w:lang w:eastAsia="zh-CN"/>
              </w:rPr>
              <w:t>，</w:t>
            </w:r>
            <w:r>
              <w:rPr>
                <w:rFonts w:hint="eastAsia" w:ascii="Times New Roman" w:hAnsi="Times New Roman" w:eastAsia="宋体" w:cs="Times New Roman"/>
                <w:color w:val="auto"/>
                <w:kern w:val="0"/>
                <w:sz w:val="24"/>
                <w:lang w:val="en-US" w:eastAsia="zh-CN"/>
              </w:rPr>
              <w:t>项目中在搅拌机进行运作时</w:t>
            </w:r>
            <w:r>
              <w:rPr>
                <w:rFonts w:ascii="Times New Roman" w:hAnsi="Times New Roman" w:eastAsia="宋体" w:cs="Times New Roman"/>
                <w:color w:val="auto"/>
                <w:kern w:val="0"/>
                <w:sz w:val="24"/>
              </w:rPr>
              <w:t>搅拌设备自带脉冲布袋除尘器，形成一个全封闭的除尘系统进行过滤除尘</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可以有效减少粉尘的影响</w:t>
            </w:r>
            <w:r>
              <w:rPr>
                <w:rFonts w:ascii="Times New Roman" w:hAnsi="Times New Roman" w:eastAsia="宋体" w:cs="Times New Roman"/>
                <w:color w:val="auto"/>
                <w:kern w:val="0"/>
                <w:sz w:val="24"/>
              </w:rPr>
              <w:t>。</w:t>
            </w:r>
          </w:p>
          <w:p w14:paraId="3E00D245">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2.2废水</w:t>
            </w:r>
          </w:p>
          <w:p w14:paraId="2592D9D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本项目产生的生产废水循环利用，不外排；项目产生的生活污水经一体化污水处理系统处理达标后用于</w:t>
            </w:r>
            <w:r>
              <w:rPr>
                <w:rFonts w:hint="eastAsia" w:cs="Times New Roman"/>
                <w:color w:val="auto"/>
                <w:kern w:val="0"/>
                <w:sz w:val="24"/>
                <w:lang w:val="en-US" w:eastAsia="zh-CN"/>
              </w:rPr>
              <w:t>厂区绿化</w:t>
            </w:r>
            <w:r>
              <w:rPr>
                <w:rFonts w:ascii="Times New Roman" w:hAnsi="Times New Roman" w:eastAsia="宋体" w:cs="Times New Roman"/>
                <w:color w:val="auto"/>
                <w:kern w:val="0"/>
                <w:sz w:val="24"/>
              </w:rPr>
              <w:t>。</w:t>
            </w:r>
          </w:p>
          <w:p w14:paraId="1506F937">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2.3噪声</w:t>
            </w:r>
          </w:p>
          <w:p w14:paraId="00A566B0">
            <w:pPr>
              <w:pStyle w:val="30"/>
              <w:spacing w:line="360" w:lineRule="auto"/>
              <w:ind w:firstLine="480" w:firstLineChars="200"/>
              <w:rPr>
                <w:rFonts w:ascii="Times New Roman" w:hAnsi="Times New Roman" w:eastAsia="宋体" w:cs="Times New Roman"/>
                <w:color w:val="auto"/>
                <w:kern w:val="0"/>
                <w:sz w:val="24"/>
                <w:szCs w:val="24"/>
                <w:lang w:val="en-US" w:eastAsia="zh-CN" w:bidi="ar-SA"/>
              </w:rPr>
            </w:pPr>
            <w:r>
              <w:rPr>
                <w:color w:val="auto"/>
                <w:szCs w:val="24"/>
              </w:rPr>
              <w:t>本项目噪声主要为搅拌机</w:t>
            </w:r>
            <w:r>
              <w:rPr>
                <w:rFonts w:ascii="Times New Roman" w:hAnsi="Times New Roman" w:eastAsia="宋体" w:cs="Times New Roman"/>
                <w:color w:val="auto"/>
                <w:kern w:val="0"/>
                <w:sz w:val="24"/>
                <w:szCs w:val="24"/>
                <w:lang w:val="en-US" w:eastAsia="zh-CN" w:bidi="ar-SA"/>
              </w:rPr>
              <w:t>、装载机等机械设备运行时产生的噪声。</w:t>
            </w:r>
            <w:r>
              <w:rPr>
                <w:rFonts w:hint="eastAsia" w:ascii="Times New Roman" w:hAnsi="Times New Roman" w:eastAsia="宋体" w:cs="Times New Roman"/>
                <w:color w:val="auto"/>
                <w:kern w:val="0"/>
                <w:sz w:val="24"/>
                <w:szCs w:val="24"/>
                <w:lang w:val="en-US" w:eastAsia="zh-CN" w:bidi="ar-SA"/>
              </w:rPr>
              <w:t>对机械进行简单的减震并建造厂房可以有效地减少噪声的影响。</w:t>
            </w:r>
          </w:p>
          <w:p w14:paraId="62C59796">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2.4固废</w:t>
            </w:r>
          </w:p>
          <w:p w14:paraId="2FE94B5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本项目固废主要为生产车间产生的固体废弃物、职工日常生活产生的生活垃圾及设备保养维护产生的废机油。</w:t>
            </w:r>
            <w:r>
              <w:rPr>
                <w:rFonts w:hint="eastAsia" w:ascii="Times New Roman" w:hAnsi="Times New Roman" w:eastAsia="宋体" w:cs="Times New Roman"/>
                <w:color w:val="auto"/>
                <w:kern w:val="0"/>
                <w:sz w:val="24"/>
                <w:lang w:val="en-US" w:eastAsia="zh-CN"/>
              </w:rPr>
              <w:t>生活垃圾会有专门的环保人士来清理，</w:t>
            </w:r>
            <w:r>
              <w:rPr>
                <w:rFonts w:ascii="Times New Roman" w:hAnsi="Times New Roman" w:eastAsia="宋体" w:cs="Times New Roman"/>
                <w:color w:val="auto"/>
                <w:kern w:val="0"/>
                <w:sz w:val="24"/>
              </w:rPr>
              <w:t>废机油</w:t>
            </w:r>
            <w:r>
              <w:rPr>
                <w:rFonts w:hint="eastAsia" w:ascii="Times New Roman" w:hAnsi="Times New Roman" w:eastAsia="宋体" w:cs="Times New Roman"/>
                <w:color w:val="auto"/>
                <w:kern w:val="0"/>
                <w:sz w:val="24"/>
                <w:lang w:val="en-US" w:eastAsia="zh-CN"/>
              </w:rPr>
              <w:t>等</w:t>
            </w:r>
            <w:r>
              <w:rPr>
                <w:rFonts w:hint="eastAsia" w:cs="Times New Roman"/>
                <w:color w:val="auto"/>
                <w:kern w:val="0"/>
                <w:sz w:val="24"/>
                <w:lang w:val="en-US" w:eastAsia="zh-CN"/>
              </w:rPr>
              <w:t>危险废物</w:t>
            </w:r>
            <w:r>
              <w:rPr>
                <w:rFonts w:hint="eastAsia" w:ascii="Times New Roman" w:hAnsi="Times New Roman" w:eastAsia="宋体" w:cs="Times New Roman"/>
                <w:color w:val="auto"/>
                <w:kern w:val="0"/>
                <w:sz w:val="24"/>
                <w:lang w:val="en-US" w:eastAsia="zh-CN"/>
              </w:rPr>
              <w:t>存放于暂定有害区域</w:t>
            </w:r>
            <w:r>
              <w:rPr>
                <w:rFonts w:ascii="Times New Roman" w:hAnsi="Times New Roman" w:eastAsia="宋体" w:cs="Times New Roman"/>
                <w:color w:val="auto"/>
                <w:kern w:val="0"/>
                <w:sz w:val="24"/>
              </w:rPr>
              <w:t>，不会</w:t>
            </w:r>
            <w:r>
              <w:rPr>
                <w:rFonts w:hint="eastAsia" w:ascii="Times New Roman" w:hAnsi="Times New Roman" w:eastAsia="宋体" w:cs="Times New Roman"/>
                <w:color w:val="auto"/>
                <w:kern w:val="0"/>
                <w:sz w:val="24"/>
                <w:lang w:val="en-US" w:eastAsia="zh-CN"/>
              </w:rPr>
              <w:t>对周边环境造成影响</w:t>
            </w:r>
            <w:r>
              <w:rPr>
                <w:rFonts w:ascii="Times New Roman" w:hAnsi="Times New Roman" w:eastAsia="宋体" w:cs="Times New Roman"/>
                <w:color w:val="auto"/>
                <w:kern w:val="0"/>
                <w:sz w:val="24"/>
              </w:rPr>
              <w:t>。</w:t>
            </w:r>
          </w:p>
          <w:p w14:paraId="72EAEC6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本项目产排污情况见表2-6。</w:t>
            </w:r>
          </w:p>
          <w:p w14:paraId="4472EC17">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表2-6    产排污环节一览表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432"/>
              <w:gridCol w:w="1703"/>
              <w:gridCol w:w="1568"/>
              <w:gridCol w:w="1569"/>
            </w:tblGrid>
            <w:tr w14:paraId="135BD2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bottom w:val="single" w:color="auto" w:sz="12" w:space="0"/>
                  </w:tcBorders>
                  <w:vAlign w:val="center"/>
                </w:tcPr>
                <w:p w14:paraId="49961675">
                  <w:pPr>
                    <w:pStyle w:val="30"/>
                    <w:jc w:val="center"/>
                    <w:rPr>
                      <w:b/>
                      <w:color w:val="auto"/>
                      <w:sz w:val="21"/>
                      <w:szCs w:val="21"/>
                    </w:rPr>
                  </w:pPr>
                  <w:r>
                    <w:rPr>
                      <w:b/>
                      <w:color w:val="auto"/>
                      <w:sz w:val="21"/>
                      <w:szCs w:val="21"/>
                    </w:rPr>
                    <w:t>序号</w:t>
                  </w:r>
                </w:p>
              </w:tc>
              <w:tc>
                <w:tcPr>
                  <w:tcW w:w="913" w:type="pct"/>
                  <w:tcBorders>
                    <w:bottom w:val="single" w:color="auto" w:sz="12" w:space="0"/>
                  </w:tcBorders>
                  <w:vAlign w:val="center"/>
                </w:tcPr>
                <w:p w14:paraId="127009CA">
                  <w:pPr>
                    <w:pStyle w:val="30"/>
                    <w:jc w:val="center"/>
                    <w:rPr>
                      <w:b/>
                      <w:color w:val="auto"/>
                      <w:sz w:val="21"/>
                      <w:szCs w:val="21"/>
                    </w:rPr>
                  </w:pPr>
                  <w:r>
                    <w:rPr>
                      <w:b/>
                      <w:color w:val="auto"/>
                      <w:sz w:val="21"/>
                      <w:szCs w:val="21"/>
                    </w:rPr>
                    <w:t>污染物类别</w:t>
                  </w:r>
                </w:p>
              </w:tc>
              <w:tc>
                <w:tcPr>
                  <w:tcW w:w="1086" w:type="pct"/>
                  <w:tcBorders>
                    <w:bottom w:val="single" w:color="auto" w:sz="12" w:space="0"/>
                  </w:tcBorders>
                  <w:vAlign w:val="center"/>
                </w:tcPr>
                <w:p w14:paraId="7C5240FF">
                  <w:pPr>
                    <w:pStyle w:val="30"/>
                    <w:jc w:val="center"/>
                    <w:rPr>
                      <w:b/>
                      <w:color w:val="auto"/>
                      <w:sz w:val="21"/>
                      <w:szCs w:val="21"/>
                    </w:rPr>
                  </w:pPr>
                  <w:r>
                    <w:rPr>
                      <w:b/>
                      <w:color w:val="auto"/>
                      <w:sz w:val="21"/>
                      <w:szCs w:val="21"/>
                    </w:rPr>
                    <w:t>产排污环节</w:t>
                  </w:r>
                </w:p>
              </w:tc>
              <w:tc>
                <w:tcPr>
                  <w:tcW w:w="1000" w:type="pct"/>
                  <w:tcBorders>
                    <w:bottom w:val="single" w:color="auto" w:sz="12" w:space="0"/>
                  </w:tcBorders>
                  <w:vAlign w:val="center"/>
                </w:tcPr>
                <w:p w14:paraId="64219D8E">
                  <w:pPr>
                    <w:pStyle w:val="30"/>
                    <w:jc w:val="center"/>
                    <w:rPr>
                      <w:b/>
                      <w:color w:val="auto"/>
                      <w:sz w:val="21"/>
                      <w:szCs w:val="21"/>
                    </w:rPr>
                  </w:pPr>
                  <w:r>
                    <w:rPr>
                      <w:b/>
                      <w:color w:val="auto"/>
                      <w:sz w:val="21"/>
                      <w:szCs w:val="21"/>
                    </w:rPr>
                    <w:t>污染物名称</w:t>
                  </w:r>
                </w:p>
              </w:tc>
              <w:tc>
                <w:tcPr>
                  <w:tcW w:w="1000" w:type="pct"/>
                  <w:tcBorders>
                    <w:bottom w:val="single" w:color="auto" w:sz="12" w:space="0"/>
                  </w:tcBorders>
                  <w:vAlign w:val="center"/>
                </w:tcPr>
                <w:p w14:paraId="04085FDA">
                  <w:pPr>
                    <w:pStyle w:val="30"/>
                    <w:jc w:val="center"/>
                    <w:rPr>
                      <w:b/>
                      <w:color w:val="auto"/>
                      <w:sz w:val="21"/>
                      <w:szCs w:val="21"/>
                    </w:rPr>
                  </w:pPr>
                  <w:r>
                    <w:rPr>
                      <w:b/>
                      <w:color w:val="auto"/>
                      <w:sz w:val="21"/>
                      <w:szCs w:val="21"/>
                    </w:rPr>
                    <w:t>污染因子</w:t>
                  </w:r>
                </w:p>
              </w:tc>
            </w:tr>
            <w:tr w14:paraId="43016E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op w:val="single" w:color="auto" w:sz="12" w:space="0"/>
                    <w:tl2br w:val="nil"/>
                    <w:tr2bl w:val="nil"/>
                  </w:tcBorders>
                  <w:vAlign w:val="center"/>
                </w:tcPr>
                <w:p w14:paraId="71EBB648">
                  <w:pPr>
                    <w:pStyle w:val="30"/>
                    <w:jc w:val="center"/>
                    <w:rPr>
                      <w:bCs/>
                      <w:color w:val="auto"/>
                      <w:sz w:val="21"/>
                      <w:szCs w:val="21"/>
                    </w:rPr>
                  </w:pPr>
                  <w:r>
                    <w:rPr>
                      <w:bCs/>
                      <w:color w:val="auto"/>
                      <w:sz w:val="21"/>
                      <w:szCs w:val="21"/>
                    </w:rPr>
                    <w:t>1</w:t>
                  </w:r>
                </w:p>
              </w:tc>
              <w:tc>
                <w:tcPr>
                  <w:tcW w:w="913" w:type="pct"/>
                  <w:vMerge w:val="restart"/>
                  <w:tcBorders>
                    <w:top w:val="single" w:color="auto" w:sz="12" w:space="0"/>
                    <w:tl2br w:val="nil"/>
                    <w:tr2bl w:val="nil"/>
                  </w:tcBorders>
                  <w:vAlign w:val="center"/>
                </w:tcPr>
                <w:p w14:paraId="49E60D8B">
                  <w:pPr>
                    <w:pStyle w:val="30"/>
                    <w:jc w:val="center"/>
                    <w:rPr>
                      <w:bCs/>
                      <w:color w:val="auto"/>
                      <w:sz w:val="21"/>
                      <w:szCs w:val="21"/>
                    </w:rPr>
                  </w:pPr>
                  <w:r>
                    <w:rPr>
                      <w:bCs/>
                      <w:color w:val="auto"/>
                      <w:sz w:val="21"/>
                      <w:szCs w:val="21"/>
                    </w:rPr>
                    <w:t>废气污染物</w:t>
                  </w:r>
                </w:p>
              </w:tc>
              <w:tc>
                <w:tcPr>
                  <w:tcW w:w="1086" w:type="pct"/>
                  <w:tcBorders>
                    <w:top w:val="single" w:color="auto" w:sz="12" w:space="0"/>
                    <w:tl2br w:val="nil"/>
                    <w:tr2bl w:val="nil"/>
                  </w:tcBorders>
                  <w:vAlign w:val="center"/>
                </w:tcPr>
                <w:p w14:paraId="16175417">
                  <w:pPr>
                    <w:jc w:val="center"/>
                    <w:rPr>
                      <w:bCs/>
                      <w:color w:val="auto"/>
                      <w:sz w:val="21"/>
                      <w:szCs w:val="21"/>
                    </w:rPr>
                  </w:pPr>
                  <w:r>
                    <w:rPr>
                      <w:color w:val="auto"/>
                      <w:sz w:val="21"/>
                      <w:szCs w:val="21"/>
                    </w:rPr>
                    <w:t>筒仓储存</w:t>
                  </w:r>
                </w:p>
              </w:tc>
              <w:tc>
                <w:tcPr>
                  <w:tcW w:w="1000" w:type="pct"/>
                  <w:vMerge w:val="restart"/>
                  <w:tcBorders>
                    <w:top w:val="single" w:color="auto" w:sz="12" w:space="0"/>
                    <w:tl2br w:val="nil"/>
                    <w:tr2bl w:val="nil"/>
                  </w:tcBorders>
                  <w:vAlign w:val="center"/>
                </w:tcPr>
                <w:p w14:paraId="01DFD70D">
                  <w:pPr>
                    <w:pStyle w:val="30"/>
                    <w:jc w:val="center"/>
                    <w:rPr>
                      <w:bCs/>
                      <w:color w:val="auto"/>
                      <w:sz w:val="21"/>
                      <w:szCs w:val="21"/>
                    </w:rPr>
                  </w:pPr>
                  <w:r>
                    <w:rPr>
                      <w:bCs/>
                      <w:color w:val="auto"/>
                      <w:sz w:val="21"/>
                      <w:szCs w:val="21"/>
                    </w:rPr>
                    <w:t>粉尘</w:t>
                  </w:r>
                </w:p>
                <w:p w14:paraId="78FBFA9B">
                  <w:pPr>
                    <w:pStyle w:val="30"/>
                    <w:jc w:val="center"/>
                    <w:rPr>
                      <w:bCs/>
                      <w:color w:val="auto"/>
                      <w:sz w:val="21"/>
                      <w:szCs w:val="21"/>
                    </w:rPr>
                  </w:pPr>
                </w:p>
              </w:tc>
              <w:tc>
                <w:tcPr>
                  <w:tcW w:w="1000" w:type="pct"/>
                  <w:vMerge w:val="restart"/>
                  <w:tcBorders>
                    <w:top w:val="single" w:color="auto" w:sz="12" w:space="0"/>
                    <w:tl2br w:val="nil"/>
                    <w:tr2bl w:val="nil"/>
                  </w:tcBorders>
                  <w:vAlign w:val="center"/>
                </w:tcPr>
                <w:p w14:paraId="20E69F6C">
                  <w:pPr>
                    <w:pStyle w:val="30"/>
                    <w:jc w:val="center"/>
                    <w:rPr>
                      <w:bCs/>
                      <w:color w:val="auto"/>
                      <w:sz w:val="21"/>
                      <w:szCs w:val="21"/>
                    </w:rPr>
                  </w:pPr>
                  <w:r>
                    <w:rPr>
                      <w:bCs/>
                      <w:color w:val="auto"/>
                      <w:sz w:val="21"/>
                      <w:szCs w:val="21"/>
                    </w:rPr>
                    <w:t>颗粒物</w:t>
                  </w:r>
                </w:p>
              </w:tc>
            </w:tr>
            <w:tr w14:paraId="34034A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000" w:type="pct"/>
                  <w:tcBorders>
                    <w:tl2br w:val="nil"/>
                    <w:tr2bl w:val="nil"/>
                  </w:tcBorders>
                  <w:vAlign w:val="center"/>
                </w:tcPr>
                <w:p w14:paraId="477263D0">
                  <w:pPr>
                    <w:pStyle w:val="30"/>
                    <w:jc w:val="center"/>
                    <w:rPr>
                      <w:bCs/>
                      <w:color w:val="auto"/>
                      <w:sz w:val="21"/>
                      <w:szCs w:val="21"/>
                    </w:rPr>
                  </w:pPr>
                  <w:r>
                    <w:rPr>
                      <w:bCs/>
                      <w:color w:val="auto"/>
                      <w:sz w:val="21"/>
                      <w:szCs w:val="21"/>
                    </w:rPr>
                    <w:t>2</w:t>
                  </w:r>
                </w:p>
              </w:tc>
              <w:tc>
                <w:tcPr>
                  <w:tcW w:w="913" w:type="pct"/>
                  <w:vMerge w:val="continue"/>
                  <w:tcBorders>
                    <w:tl2br w:val="nil"/>
                    <w:tr2bl w:val="nil"/>
                  </w:tcBorders>
                  <w:vAlign w:val="center"/>
                </w:tcPr>
                <w:p w14:paraId="13A6C3DD">
                  <w:pPr>
                    <w:pStyle w:val="30"/>
                    <w:jc w:val="center"/>
                    <w:rPr>
                      <w:bCs/>
                      <w:color w:val="auto"/>
                      <w:sz w:val="21"/>
                      <w:szCs w:val="21"/>
                    </w:rPr>
                  </w:pPr>
                </w:p>
              </w:tc>
              <w:tc>
                <w:tcPr>
                  <w:tcW w:w="1086" w:type="pct"/>
                  <w:tcBorders>
                    <w:tl2br w:val="nil"/>
                    <w:tr2bl w:val="nil"/>
                  </w:tcBorders>
                  <w:vAlign w:val="center"/>
                </w:tcPr>
                <w:p w14:paraId="15E0717D">
                  <w:pPr>
                    <w:jc w:val="center"/>
                    <w:rPr>
                      <w:bCs/>
                      <w:color w:val="auto"/>
                      <w:sz w:val="21"/>
                      <w:szCs w:val="21"/>
                    </w:rPr>
                  </w:pPr>
                  <w:r>
                    <w:rPr>
                      <w:color w:val="auto"/>
                      <w:sz w:val="21"/>
                      <w:szCs w:val="21"/>
                    </w:rPr>
                    <w:t>卸料</w:t>
                  </w:r>
                </w:p>
              </w:tc>
              <w:tc>
                <w:tcPr>
                  <w:tcW w:w="1000" w:type="pct"/>
                  <w:vMerge w:val="continue"/>
                  <w:tcBorders>
                    <w:tl2br w:val="nil"/>
                    <w:tr2bl w:val="nil"/>
                  </w:tcBorders>
                  <w:vAlign w:val="center"/>
                </w:tcPr>
                <w:p w14:paraId="1FA16226">
                  <w:pPr>
                    <w:pStyle w:val="30"/>
                    <w:jc w:val="center"/>
                    <w:rPr>
                      <w:bCs/>
                      <w:color w:val="auto"/>
                      <w:sz w:val="21"/>
                      <w:szCs w:val="21"/>
                    </w:rPr>
                  </w:pPr>
                </w:p>
              </w:tc>
              <w:tc>
                <w:tcPr>
                  <w:tcW w:w="1000" w:type="pct"/>
                  <w:vMerge w:val="continue"/>
                  <w:tcBorders>
                    <w:tl2br w:val="nil"/>
                    <w:tr2bl w:val="nil"/>
                  </w:tcBorders>
                  <w:vAlign w:val="center"/>
                </w:tcPr>
                <w:p w14:paraId="297B92CD">
                  <w:pPr>
                    <w:pStyle w:val="30"/>
                    <w:jc w:val="center"/>
                    <w:rPr>
                      <w:bCs/>
                      <w:color w:val="auto"/>
                      <w:sz w:val="21"/>
                      <w:szCs w:val="21"/>
                    </w:rPr>
                  </w:pPr>
                </w:p>
              </w:tc>
            </w:tr>
            <w:tr w14:paraId="26B71A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6C2C3D7A">
                  <w:pPr>
                    <w:pStyle w:val="30"/>
                    <w:jc w:val="center"/>
                    <w:rPr>
                      <w:bCs/>
                      <w:color w:val="auto"/>
                      <w:sz w:val="21"/>
                      <w:szCs w:val="21"/>
                    </w:rPr>
                  </w:pPr>
                  <w:r>
                    <w:rPr>
                      <w:bCs/>
                      <w:color w:val="auto"/>
                      <w:sz w:val="21"/>
                      <w:szCs w:val="21"/>
                    </w:rPr>
                    <w:t>3</w:t>
                  </w:r>
                </w:p>
              </w:tc>
              <w:tc>
                <w:tcPr>
                  <w:tcW w:w="913" w:type="pct"/>
                  <w:vMerge w:val="continue"/>
                  <w:tcBorders>
                    <w:tl2br w:val="nil"/>
                    <w:tr2bl w:val="nil"/>
                  </w:tcBorders>
                  <w:vAlign w:val="center"/>
                </w:tcPr>
                <w:p w14:paraId="5F02D5AD">
                  <w:pPr>
                    <w:pStyle w:val="30"/>
                    <w:jc w:val="center"/>
                    <w:rPr>
                      <w:bCs/>
                      <w:color w:val="auto"/>
                      <w:sz w:val="21"/>
                      <w:szCs w:val="21"/>
                    </w:rPr>
                  </w:pPr>
                </w:p>
              </w:tc>
              <w:tc>
                <w:tcPr>
                  <w:tcW w:w="1086" w:type="pct"/>
                  <w:tcBorders>
                    <w:tl2br w:val="nil"/>
                    <w:tr2bl w:val="nil"/>
                  </w:tcBorders>
                  <w:vAlign w:val="center"/>
                </w:tcPr>
                <w:p w14:paraId="1422B5EF">
                  <w:pPr>
                    <w:adjustRightInd w:val="0"/>
                    <w:snapToGrid w:val="0"/>
                    <w:jc w:val="center"/>
                    <w:rPr>
                      <w:bCs/>
                      <w:color w:val="auto"/>
                      <w:sz w:val="21"/>
                      <w:szCs w:val="21"/>
                    </w:rPr>
                  </w:pPr>
                  <w:r>
                    <w:rPr>
                      <w:color w:val="auto"/>
                      <w:sz w:val="21"/>
                      <w:szCs w:val="21"/>
                    </w:rPr>
                    <w:t>廊道运输</w:t>
                  </w:r>
                </w:p>
              </w:tc>
              <w:tc>
                <w:tcPr>
                  <w:tcW w:w="1000" w:type="pct"/>
                  <w:vMerge w:val="continue"/>
                  <w:tcBorders>
                    <w:tl2br w:val="nil"/>
                    <w:tr2bl w:val="nil"/>
                  </w:tcBorders>
                  <w:vAlign w:val="center"/>
                </w:tcPr>
                <w:p w14:paraId="0E57743B">
                  <w:pPr>
                    <w:pStyle w:val="30"/>
                    <w:jc w:val="center"/>
                    <w:rPr>
                      <w:bCs/>
                      <w:color w:val="auto"/>
                      <w:sz w:val="21"/>
                      <w:szCs w:val="21"/>
                    </w:rPr>
                  </w:pPr>
                </w:p>
              </w:tc>
              <w:tc>
                <w:tcPr>
                  <w:tcW w:w="1000" w:type="pct"/>
                  <w:vMerge w:val="continue"/>
                  <w:tcBorders>
                    <w:tl2br w:val="nil"/>
                    <w:tr2bl w:val="nil"/>
                  </w:tcBorders>
                  <w:vAlign w:val="center"/>
                </w:tcPr>
                <w:p w14:paraId="58966196">
                  <w:pPr>
                    <w:pStyle w:val="30"/>
                    <w:jc w:val="center"/>
                    <w:rPr>
                      <w:bCs/>
                      <w:color w:val="auto"/>
                      <w:sz w:val="21"/>
                      <w:szCs w:val="21"/>
                    </w:rPr>
                  </w:pPr>
                </w:p>
              </w:tc>
            </w:tr>
            <w:tr w14:paraId="156E27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5B11E8B9">
                  <w:pPr>
                    <w:pStyle w:val="30"/>
                    <w:jc w:val="center"/>
                    <w:rPr>
                      <w:bCs/>
                      <w:color w:val="auto"/>
                      <w:sz w:val="21"/>
                      <w:szCs w:val="21"/>
                    </w:rPr>
                  </w:pPr>
                  <w:r>
                    <w:rPr>
                      <w:bCs/>
                      <w:color w:val="auto"/>
                      <w:sz w:val="21"/>
                      <w:szCs w:val="21"/>
                    </w:rPr>
                    <w:t>4</w:t>
                  </w:r>
                </w:p>
              </w:tc>
              <w:tc>
                <w:tcPr>
                  <w:tcW w:w="913" w:type="pct"/>
                  <w:vMerge w:val="continue"/>
                  <w:tcBorders>
                    <w:tl2br w:val="nil"/>
                    <w:tr2bl w:val="nil"/>
                  </w:tcBorders>
                  <w:vAlign w:val="center"/>
                </w:tcPr>
                <w:p w14:paraId="219FD75E">
                  <w:pPr>
                    <w:pStyle w:val="30"/>
                    <w:jc w:val="center"/>
                    <w:rPr>
                      <w:bCs/>
                      <w:color w:val="auto"/>
                      <w:sz w:val="21"/>
                      <w:szCs w:val="21"/>
                    </w:rPr>
                  </w:pPr>
                </w:p>
              </w:tc>
              <w:tc>
                <w:tcPr>
                  <w:tcW w:w="1086" w:type="pct"/>
                  <w:tcBorders>
                    <w:tl2br w:val="nil"/>
                    <w:tr2bl w:val="nil"/>
                  </w:tcBorders>
                  <w:vAlign w:val="center"/>
                </w:tcPr>
                <w:p w14:paraId="114A4543">
                  <w:pPr>
                    <w:adjustRightInd w:val="0"/>
                    <w:snapToGrid w:val="0"/>
                    <w:jc w:val="center"/>
                    <w:rPr>
                      <w:bCs/>
                      <w:color w:val="auto"/>
                      <w:sz w:val="21"/>
                      <w:szCs w:val="21"/>
                    </w:rPr>
                  </w:pPr>
                  <w:r>
                    <w:rPr>
                      <w:color w:val="auto"/>
                      <w:sz w:val="21"/>
                      <w:szCs w:val="21"/>
                    </w:rPr>
                    <w:t>搅拌工序</w:t>
                  </w:r>
                </w:p>
              </w:tc>
              <w:tc>
                <w:tcPr>
                  <w:tcW w:w="1000" w:type="pct"/>
                  <w:vMerge w:val="continue"/>
                  <w:tcBorders>
                    <w:tl2br w:val="nil"/>
                    <w:tr2bl w:val="nil"/>
                  </w:tcBorders>
                  <w:vAlign w:val="center"/>
                </w:tcPr>
                <w:p w14:paraId="036AFC01">
                  <w:pPr>
                    <w:pStyle w:val="30"/>
                    <w:jc w:val="center"/>
                    <w:rPr>
                      <w:bCs/>
                      <w:color w:val="auto"/>
                      <w:sz w:val="21"/>
                      <w:szCs w:val="21"/>
                    </w:rPr>
                  </w:pPr>
                </w:p>
              </w:tc>
              <w:tc>
                <w:tcPr>
                  <w:tcW w:w="1000" w:type="pct"/>
                  <w:vMerge w:val="continue"/>
                  <w:tcBorders>
                    <w:tl2br w:val="nil"/>
                    <w:tr2bl w:val="nil"/>
                  </w:tcBorders>
                  <w:vAlign w:val="center"/>
                </w:tcPr>
                <w:p w14:paraId="69B45487">
                  <w:pPr>
                    <w:pStyle w:val="30"/>
                    <w:jc w:val="center"/>
                    <w:rPr>
                      <w:bCs/>
                      <w:color w:val="auto"/>
                      <w:sz w:val="21"/>
                      <w:szCs w:val="21"/>
                    </w:rPr>
                  </w:pPr>
                </w:p>
              </w:tc>
            </w:tr>
            <w:tr w14:paraId="2BCC0E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548465BC">
                  <w:pPr>
                    <w:pStyle w:val="30"/>
                    <w:jc w:val="center"/>
                    <w:rPr>
                      <w:bCs/>
                      <w:color w:val="auto"/>
                      <w:sz w:val="21"/>
                      <w:szCs w:val="21"/>
                    </w:rPr>
                  </w:pPr>
                  <w:r>
                    <w:rPr>
                      <w:bCs/>
                      <w:color w:val="auto"/>
                      <w:sz w:val="21"/>
                      <w:szCs w:val="21"/>
                    </w:rPr>
                    <w:t>5</w:t>
                  </w:r>
                </w:p>
              </w:tc>
              <w:tc>
                <w:tcPr>
                  <w:tcW w:w="913" w:type="pct"/>
                  <w:vMerge w:val="continue"/>
                  <w:tcBorders>
                    <w:tl2br w:val="nil"/>
                    <w:tr2bl w:val="nil"/>
                  </w:tcBorders>
                  <w:vAlign w:val="center"/>
                </w:tcPr>
                <w:p w14:paraId="40540392">
                  <w:pPr>
                    <w:pStyle w:val="30"/>
                    <w:jc w:val="center"/>
                    <w:rPr>
                      <w:bCs/>
                      <w:color w:val="auto"/>
                      <w:sz w:val="21"/>
                      <w:szCs w:val="21"/>
                    </w:rPr>
                  </w:pPr>
                </w:p>
              </w:tc>
              <w:tc>
                <w:tcPr>
                  <w:tcW w:w="1086" w:type="pct"/>
                  <w:tcBorders>
                    <w:tl2br w:val="nil"/>
                    <w:tr2bl w:val="nil"/>
                  </w:tcBorders>
                  <w:vAlign w:val="center"/>
                </w:tcPr>
                <w:p w14:paraId="4A781ED2">
                  <w:pPr>
                    <w:adjustRightInd w:val="0"/>
                    <w:snapToGrid w:val="0"/>
                    <w:jc w:val="center"/>
                    <w:rPr>
                      <w:bCs/>
                      <w:color w:val="auto"/>
                      <w:sz w:val="21"/>
                      <w:szCs w:val="21"/>
                    </w:rPr>
                  </w:pPr>
                  <w:r>
                    <w:rPr>
                      <w:color w:val="auto"/>
                      <w:sz w:val="21"/>
                      <w:szCs w:val="21"/>
                    </w:rPr>
                    <w:t>运输</w:t>
                  </w:r>
                </w:p>
              </w:tc>
              <w:tc>
                <w:tcPr>
                  <w:tcW w:w="1000" w:type="pct"/>
                  <w:vMerge w:val="continue"/>
                  <w:tcBorders>
                    <w:tl2br w:val="nil"/>
                    <w:tr2bl w:val="nil"/>
                  </w:tcBorders>
                  <w:vAlign w:val="center"/>
                </w:tcPr>
                <w:p w14:paraId="3BE2ECEB">
                  <w:pPr>
                    <w:pStyle w:val="30"/>
                    <w:jc w:val="center"/>
                    <w:rPr>
                      <w:bCs/>
                      <w:color w:val="auto"/>
                      <w:sz w:val="21"/>
                      <w:szCs w:val="21"/>
                    </w:rPr>
                  </w:pPr>
                </w:p>
              </w:tc>
              <w:tc>
                <w:tcPr>
                  <w:tcW w:w="1000" w:type="pct"/>
                  <w:vMerge w:val="continue"/>
                  <w:tcBorders>
                    <w:tl2br w:val="nil"/>
                    <w:tr2bl w:val="nil"/>
                  </w:tcBorders>
                  <w:vAlign w:val="center"/>
                </w:tcPr>
                <w:p w14:paraId="78819FA4">
                  <w:pPr>
                    <w:pStyle w:val="30"/>
                    <w:jc w:val="center"/>
                    <w:rPr>
                      <w:bCs/>
                      <w:color w:val="auto"/>
                      <w:sz w:val="21"/>
                      <w:szCs w:val="21"/>
                    </w:rPr>
                  </w:pPr>
                </w:p>
              </w:tc>
            </w:tr>
            <w:tr w14:paraId="20CFC9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000" w:type="pct"/>
                  <w:tcBorders>
                    <w:tl2br w:val="nil"/>
                    <w:tr2bl w:val="nil"/>
                  </w:tcBorders>
                  <w:vAlign w:val="center"/>
                </w:tcPr>
                <w:p w14:paraId="52C458A6">
                  <w:pPr>
                    <w:pStyle w:val="30"/>
                    <w:jc w:val="center"/>
                    <w:rPr>
                      <w:bCs/>
                      <w:color w:val="auto"/>
                      <w:sz w:val="21"/>
                      <w:szCs w:val="21"/>
                    </w:rPr>
                  </w:pPr>
                  <w:r>
                    <w:rPr>
                      <w:bCs/>
                      <w:color w:val="auto"/>
                      <w:sz w:val="21"/>
                      <w:szCs w:val="21"/>
                    </w:rPr>
                    <w:t>6</w:t>
                  </w:r>
                </w:p>
              </w:tc>
              <w:tc>
                <w:tcPr>
                  <w:tcW w:w="913" w:type="pct"/>
                  <w:vMerge w:val="continue"/>
                  <w:tcBorders>
                    <w:tl2br w:val="nil"/>
                    <w:tr2bl w:val="nil"/>
                  </w:tcBorders>
                  <w:vAlign w:val="center"/>
                </w:tcPr>
                <w:p w14:paraId="411C9D44">
                  <w:pPr>
                    <w:pStyle w:val="30"/>
                    <w:jc w:val="center"/>
                    <w:rPr>
                      <w:bCs/>
                      <w:color w:val="auto"/>
                      <w:sz w:val="21"/>
                      <w:szCs w:val="21"/>
                    </w:rPr>
                  </w:pPr>
                </w:p>
              </w:tc>
              <w:tc>
                <w:tcPr>
                  <w:tcW w:w="1086" w:type="pct"/>
                  <w:tcBorders>
                    <w:tl2br w:val="nil"/>
                    <w:tr2bl w:val="nil"/>
                  </w:tcBorders>
                  <w:vAlign w:val="center"/>
                </w:tcPr>
                <w:p w14:paraId="1818C0A3">
                  <w:pPr>
                    <w:adjustRightInd w:val="0"/>
                    <w:snapToGrid w:val="0"/>
                    <w:jc w:val="center"/>
                    <w:rPr>
                      <w:bCs/>
                      <w:color w:val="auto"/>
                      <w:sz w:val="21"/>
                      <w:szCs w:val="21"/>
                    </w:rPr>
                  </w:pPr>
                  <w:r>
                    <w:rPr>
                      <w:color w:val="auto"/>
                      <w:sz w:val="21"/>
                      <w:szCs w:val="21"/>
                    </w:rPr>
                    <w:t>食堂</w:t>
                  </w:r>
                </w:p>
              </w:tc>
              <w:tc>
                <w:tcPr>
                  <w:tcW w:w="1000" w:type="pct"/>
                  <w:tcBorders>
                    <w:tl2br w:val="nil"/>
                    <w:tr2bl w:val="nil"/>
                  </w:tcBorders>
                  <w:vAlign w:val="center"/>
                </w:tcPr>
                <w:p w14:paraId="603223B9">
                  <w:pPr>
                    <w:pStyle w:val="30"/>
                    <w:jc w:val="center"/>
                    <w:rPr>
                      <w:bCs/>
                      <w:color w:val="auto"/>
                      <w:sz w:val="21"/>
                      <w:szCs w:val="21"/>
                    </w:rPr>
                  </w:pPr>
                  <w:r>
                    <w:rPr>
                      <w:bCs/>
                      <w:color w:val="auto"/>
                      <w:sz w:val="21"/>
                      <w:szCs w:val="21"/>
                    </w:rPr>
                    <w:t>油烟</w:t>
                  </w:r>
                </w:p>
              </w:tc>
              <w:tc>
                <w:tcPr>
                  <w:tcW w:w="1000" w:type="pct"/>
                  <w:tcBorders>
                    <w:tl2br w:val="nil"/>
                    <w:tr2bl w:val="nil"/>
                  </w:tcBorders>
                  <w:vAlign w:val="center"/>
                </w:tcPr>
                <w:p w14:paraId="42E54C21">
                  <w:pPr>
                    <w:pStyle w:val="30"/>
                    <w:jc w:val="center"/>
                    <w:rPr>
                      <w:bCs/>
                      <w:color w:val="auto"/>
                      <w:sz w:val="21"/>
                      <w:szCs w:val="21"/>
                    </w:rPr>
                  </w:pPr>
                  <w:r>
                    <w:rPr>
                      <w:bCs/>
                      <w:color w:val="auto"/>
                      <w:sz w:val="21"/>
                      <w:szCs w:val="21"/>
                    </w:rPr>
                    <w:t>油烟</w:t>
                  </w:r>
                </w:p>
              </w:tc>
            </w:tr>
            <w:tr w14:paraId="3CF512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75F06594">
                  <w:pPr>
                    <w:pStyle w:val="30"/>
                    <w:jc w:val="center"/>
                    <w:rPr>
                      <w:rFonts w:hint="default" w:eastAsia="宋体"/>
                      <w:bCs/>
                      <w:color w:val="auto"/>
                      <w:sz w:val="21"/>
                      <w:szCs w:val="21"/>
                      <w:lang w:val="en-US" w:eastAsia="zh-CN"/>
                    </w:rPr>
                  </w:pPr>
                  <w:r>
                    <w:rPr>
                      <w:rFonts w:hint="eastAsia"/>
                      <w:bCs/>
                      <w:color w:val="auto"/>
                      <w:sz w:val="21"/>
                      <w:szCs w:val="21"/>
                      <w:lang w:val="en-US" w:eastAsia="zh-CN"/>
                    </w:rPr>
                    <w:t>7</w:t>
                  </w:r>
                </w:p>
              </w:tc>
              <w:tc>
                <w:tcPr>
                  <w:tcW w:w="913" w:type="pct"/>
                  <w:tcBorders>
                    <w:tl2br w:val="nil"/>
                    <w:tr2bl w:val="nil"/>
                  </w:tcBorders>
                  <w:vAlign w:val="center"/>
                </w:tcPr>
                <w:p w14:paraId="72B9C704">
                  <w:pPr>
                    <w:pStyle w:val="30"/>
                    <w:jc w:val="center"/>
                    <w:rPr>
                      <w:bCs/>
                      <w:color w:val="auto"/>
                      <w:sz w:val="21"/>
                      <w:szCs w:val="21"/>
                    </w:rPr>
                  </w:pPr>
                  <w:r>
                    <w:rPr>
                      <w:bCs/>
                      <w:color w:val="auto"/>
                      <w:sz w:val="21"/>
                      <w:szCs w:val="21"/>
                    </w:rPr>
                    <w:t>废水污染物</w:t>
                  </w:r>
                </w:p>
              </w:tc>
              <w:tc>
                <w:tcPr>
                  <w:tcW w:w="1086" w:type="pct"/>
                  <w:tcBorders>
                    <w:tl2br w:val="nil"/>
                    <w:tr2bl w:val="nil"/>
                  </w:tcBorders>
                  <w:vAlign w:val="center"/>
                </w:tcPr>
                <w:p w14:paraId="42B8591B">
                  <w:pPr>
                    <w:pStyle w:val="30"/>
                    <w:jc w:val="center"/>
                    <w:rPr>
                      <w:bCs/>
                      <w:color w:val="auto"/>
                      <w:sz w:val="21"/>
                      <w:szCs w:val="21"/>
                    </w:rPr>
                  </w:pPr>
                  <w:r>
                    <w:rPr>
                      <w:bCs/>
                      <w:color w:val="auto"/>
                      <w:sz w:val="21"/>
                      <w:szCs w:val="21"/>
                    </w:rPr>
                    <w:t>生活污水</w:t>
                  </w:r>
                </w:p>
              </w:tc>
              <w:tc>
                <w:tcPr>
                  <w:tcW w:w="1000" w:type="pct"/>
                  <w:tcBorders>
                    <w:tl2br w:val="nil"/>
                    <w:tr2bl w:val="nil"/>
                  </w:tcBorders>
                  <w:vAlign w:val="center"/>
                </w:tcPr>
                <w:p w14:paraId="023B5BCD">
                  <w:pPr>
                    <w:pStyle w:val="30"/>
                    <w:jc w:val="center"/>
                    <w:rPr>
                      <w:bCs/>
                      <w:color w:val="auto"/>
                      <w:sz w:val="21"/>
                      <w:szCs w:val="21"/>
                    </w:rPr>
                  </w:pPr>
                  <w:r>
                    <w:rPr>
                      <w:bCs/>
                      <w:color w:val="auto"/>
                      <w:sz w:val="21"/>
                      <w:szCs w:val="21"/>
                    </w:rPr>
                    <w:t>生活污水</w:t>
                  </w:r>
                </w:p>
              </w:tc>
              <w:tc>
                <w:tcPr>
                  <w:tcW w:w="1000" w:type="pct"/>
                  <w:tcBorders>
                    <w:tl2br w:val="nil"/>
                    <w:tr2bl w:val="nil"/>
                  </w:tcBorders>
                  <w:vAlign w:val="center"/>
                </w:tcPr>
                <w:p w14:paraId="7E7417CC">
                  <w:pPr>
                    <w:pStyle w:val="5"/>
                    <w:spacing w:before="0" w:after="0" w:line="240" w:lineRule="auto"/>
                    <w:ind w:right="0"/>
                    <w:jc w:val="center"/>
                    <w:rPr>
                      <w:color w:val="auto"/>
                      <w:sz w:val="21"/>
                      <w:szCs w:val="21"/>
                    </w:rPr>
                  </w:pPr>
                  <w:r>
                    <w:rPr>
                      <w:color w:val="auto"/>
                      <w:sz w:val="21"/>
                      <w:szCs w:val="21"/>
                    </w:rPr>
                    <w:t>COD、BOD</w:t>
                  </w:r>
                  <w:r>
                    <w:rPr>
                      <w:color w:val="auto"/>
                      <w:sz w:val="21"/>
                      <w:szCs w:val="21"/>
                      <w:vertAlign w:val="subscript"/>
                    </w:rPr>
                    <w:t>5</w:t>
                  </w:r>
                  <w:r>
                    <w:rPr>
                      <w:color w:val="auto"/>
                      <w:sz w:val="21"/>
                      <w:szCs w:val="21"/>
                    </w:rPr>
                    <w:t>、NH</w:t>
                  </w:r>
                  <w:r>
                    <w:rPr>
                      <w:color w:val="auto"/>
                      <w:sz w:val="21"/>
                      <w:szCs w:val="21"/>
                      <w:vertAlign w:val="subscript"/>
                    </w:rPr>
                    <w:t>3</w:t>
                  </w:r>
                  <w:r>
                    <w:rPr>
                      <w:color w:val="auto"/>
                      <w:sz w:val="21"/>
                      <w:szCs w:val="21"/>
                    </w:rPr>
                    <w:t>-N、SS</w:t>
                  </w:r>
                </w:p>
              </w:tc>
            </w:tr>
            <w:tr w14:paraId="7059FD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pct"/>
                  <w:tcBorders>
                    <w:tl2br w:val="nil"/>
                    <w:tr2bl w:val="nil"/>
                  </w:tcBorders>
                  <w:vAlign w:val="center"/>
                </w:tcPr>
                <w:p w14:paraId="6B310276">
                  <w:pPr>
                    <w:pStyle w:val="30"/>
                    <w:jc w:val="center"/>
                    <w:rPr>
                      <w:rFonts w:hint="default"/>
                      <w:bCs/>
                      <w:color w:val="auto"/>
                      <w:sz w:val="21"/>
                      <w:szCs w:val="21"/>
                      <w:lang w:val="en-US" w:eastAsia="zh-CN"/>
                    </w:rPr>
                  </w:pPr>
                  <w:r>
                    <w:rPr>
                      <w:rFonts w:hint="eastAsia"/>
                      <w:bCs/>
                      <w:color w:val="auto"/>
                      <w:sz w:val="21"/>
                      <w:szCs w:val="21"/>
                      <w:lang w:val="en-US" w:eastAsia="zh-CN"/>
                    </w:rPr>
                    <w:t>8</w:t>
                  </w:r>
                </w:p>
              </w:tc>
              <w:tc>
                <w:tcPr>
                  <w:tcW w:w="913" w:type="pct"/>
                  <w:tcBorders>
                    <w:tl2br w:val="nil"/>
                    <w:tr2bl w:val="nil"/>
                  </w:tcBorders>
                  <w:vAlign w:val="center"/>
                </w:tcPr>
                <w:p w14:paraId="36FC5A30">
                  <w:pPr>
                    <w:pStyle w:val="30"/>
                    <w:jc w:val="center"/>
                    <w:rPr>
                      <w:rFonts w:hint="eastAsia" w:eastAsia="宋体"/>
                      <w:bCs/>
                      <w:color w:val="auto"/>
                      <w:sz w:val="21"/>
                      <w:szCs w:val="21"/>
                      <w:lang w:val="en-US" w:eastAsia="zh-CN"/>
                    </w:rPr>
                  </w:pPr>
                  <w:r>
                    <w:rPr>
                      <w:rFonts w:hint="eastAsia"/>
                      <w:bCs/>
                      <w:color w:val="auto"/>
                      <w:sz w:val="21"/>
                      <w:szCs w:val="21"/>
                      <w:lang w:val="en-US" w:eastAsia="zh-CN"/>
                    </w:rPr>
                    <w:t>生产废水</w:t>
                  </w:r>
                </w:p>
              </w:tc>
              <w:tc>
                <w:tcPr>
                  <w:tcW w:w="1086" w:type="pct"/>
                  <w:tcBorders>
                    <w:tl2br w:val="nil"/>
                    <w:tr2bl w:val="nil"/>
                  </w:tcBorders>
                  <w:vAlign w:val="center"/>
                </w:tcPr>
                <w:p w14:paraId="2D18B045">
                  <w:pPr>
                    <w:pStyle w:val="30"/>
                    <w:jc w:val="center"/>
                    <w:rPr>
                      <w:rFonts w:hint="default"/>
                      <w:bCs/>
                      <w:color w:val="auto"/>
                      <w:sz w:val="21"/>
                      <w:szCs w:val="21"/>
                      <w:lang w:val="en-US" w:eastAsia="zh-CN"/>
                    </w:rPr>
                  </w:pPr>
                  <w:r>
                    <w:rPr>
                      <w:rFonts w:hint="eastAsia"/>
                      <w:bCs/>
                      <w:color w:val="auto"/>
                      <w:sz w:val="21"/>
                      <w:szCs w:val="21"/>
                      <w:lang w:val="en-US" w:eastAsia="zh-CN"/>
                    </w:rPr>
                    <w:t>生产废水</w:t>
                  </w:r>
                </w:p>
              </w:tc>
              <w:tc>
                <w:tcPr>
                  <w:tcW w:w="1000" w:type="pct"/>
                  <w:tcBorders>
                    <w:tl2br w:val="nil"/>
                    <w:tr2bl w:val="nil"/>
                  </w:tcBorders>
                  <w:vAlign w:val="center"/>
                </w:tcPr>
                <w:p w14:paraId="1CCBE9A8">
                  <w:pPr>
                    <w:pStyle w:val="30"/>
                    <w:jc w:val="center"/>
                    <w:rPr>
                      <w:rFonts w:hint="eastAsia" w:eastAsia="宋体"/>
                      <w:bCs/>
                      <w:color w:val="auto"/>
                      <w:sz w:val="21"/>
                      <w:szCs w:val="21"/>
                      <w:lang w:val="en-US" w:eastAsia="zh-CN"/>
                    </w:rPr>
                  </w:pPr>
                  <w:r>
                    <w:rPr>
                      <w:rFonts w:hint="eastAsia"/>
                      <w:bCs/>
                      <w:color w:val="auto"/>
                      <w:sz w:val="21"/>
                      <w:szCs w:val="21"/>
                      <w:lang w:val="en-US" w:eastAsia="zh-CN"/>
                    </w:rPr>
                    <w:t>生产废水</w:t>
                  </w:r>
                </w:p>
              </w:tc>
              <w:tc>
                <w:tcPr>
                  <w:tcW w:w="1000" w:type="pct"/>
                  <w:tcBorders>
                    <w:tl2br w:val="nil"/>
                    <w:tr2bl w:val="nil"/>
                  </w:tcBorders>
                  <w:vAlign w:val="center"/>
                </w:tcPr>
                <w:p w14:paraId="4EAD5981">
                  <w:pPr>
                    <w:pStyle w:val="5"/>
                    <w:spacing w:before="0" w:after="0" w:line="240" w:lineRule="auto"/>
                    <w:ind w:right="0"/>
                    <w:jc w:val="center"/>
                    <w:rPr>
                      <w:rFonts w:hint="eastAsia" w:eastAsia="宋体"/>
                      <w:color w:val="auto"/>
                      <w:sz w:val="21"/>
                      <w:szCs w:val="21"/>
                      <w:lang w:val="en-US" w:eastAsia="zh-CN"/>
                    </w:rPr>
                  </w:pPr>
                  <w:r>
                    <w:rPr>
                      <w:rFonts w:hint="eastAsia"/>
                      <w:color w:val="auto"/>
                      <w:sz w:val="21"/>
                      <w:szCs w:val="21"/>
                      <w:lang w:val="en-US" w:eastAsia="zh-CN"/>
                    </w:rPr>
                    <w:t>悬浮物</w:t>
                  </w:r>
                </w:p>
              </w:tc>
            </w:tr>
            <w:tr w14:paraId="6DBB14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70311FE5">
                  <w:pPr>
                    <w:pStyle w:val="30"/>
                    <w:jc w:val="center"/>
                    <w:rPr>
                      <w:rFonts w:hint="eastAsia" w:eastAsia="宋体"/>
                      <w:bCs/>
                      <w:color w:val="auto"/>
                      <w:sz w:val="21"/>
                      <w:szCs w:val="21"/>
                      <w:lang w:val="en-US" w:eastAsia="zh-CN"/>
                    </w:rPr>
                  </w:pPr>
                  <w:r>
                    <w:rPr>
                      <w:rFonts w:hint="eastAsia"/>
                      <w:bCs/>
                      <w:color w:val="auto"/>
                      <w:sz w:val="21"/>
                      <w:szCs w:val="21"/>
                      <w:lang w:val="en-US" w:eastAsia="zh-CN"/>
                    </w:rPr>
                    <w:t>9</w:t>
                  </w:r>
                </w:p>
              </w:tc>
              <w:tc>
                <w:tcPr>
                  <w:tcW w:w="913" w:type="pct"/>
                  <w:vMerge w:val="restart"/>
                  <w:tcBorders>
                    <w:tl2br w:val="nil"/>
                    <w:tr2bl w:val="nil"/>
                  </w:tcBorders>
                  <w:vAlign w:val="center"/>
                </w:tcPr>
                <w:p w14:paraId="378227C8">
                  <w:pPr>
                    <w:pStyle w:val="30"/>
                    <w:jc w:val="center"/>
                    <w:rPr>
                      <w:bCs/>
                      <w:color w:val="auto"/>
                      <w:sz w:val="21"/>
                      <w:szCs w:val="21"/>
                    </w:rPr>
                  </w:pPr>
                  <w:r>
                    <w:rPr>
                      <w:bCs/>
                      <w:color w:val="auto"/>
                      <w:sz w:val="21"/>
                      <w:szCs w:val="21"/>
                    </w:rPr>
                    <w:t>固废</w:t>
                  </w:r>
                </w:p>
              </w:tc>
              <w:tc>
                <w:tcPr>
                  <w:tcW w:w="1086" w:type="pct"/>
                  <w:tcBorders>
                    <w:tl2br w:val="nil"/>
                    <w:tr2bl w:val="nil"/>
                  </w:tcBorders>
                  <w:vAlign w:val="center"/>
                </w:tcPr>
                <w:p w14:paraId="3FCE0760">
                  <w:pPr>
                    <w:pStyle w:val="30"/>
                    <w:jc w:val="center"/>
                    <w:rPr>
                      <w:bCs/>
                      <w:color w:val="auto"/>
                      <w:sz w:val="21"/>
                      <w:szCs w:val="21"/>
                    </w:rPr>
                  </w:pPr>
                  <w:r>
                    <w:rPr>
                      <w:bCs/>
                      <w:color w:val="auto"/>
                      <w:sz w:val="21"/>
                      <w:szCs w:val="21"/>
                    </w:rPr>
                    <w:t>不合格混凝土</w:t>
                  </w:r>
                </w:p>
              </w:tc>
              <w:tc>
                <w:tcPr>
                  <w:tcW w:w="1000" w:type="pct"/>
                  <w:tcBorders>
                    <w:tl2br w:val="nil"/>
                    <w:tr2bl w:val="nil"/>
                  </w:tcBorders>
                  <w:vAlign w:val="center"/>
                </w:tcPr>
                <w:p w14:paraId="5EBC8F27">
                  <w:pPr>
                    <w:pStyle w:val="30"/>
                    <w:jc w:val="center"/>
                    <w:rPr>
                      <w:bCs/>
                      <w:color w:val="auto"/>
                      <w:sz w:val="21"/>
                      <w:szCs w:val="21"/>
                    </w:rPr>
                  </w:pPr>
                  <w:r>
                    <w:rPr>
                      <w:bCs/>
                      <w:color w:val="auto"/>
                      <w:sz w:val="21"/>
                      <w:szCs w:val="21"/>
                    </w:rPr>
                    <w:t>不合格混凝土</w:t>
                  </w:r>
                </w:p>
              </w:tc>
              <w:tc>
                <w:tcPr>
                  <w:tcW w:w="1000" w:type="pct"/>
                  <w:tcBorders>
                    <w:tl2br w:val="nil"/>
                    <w:tr2bl w:val="nil"/>
                  </w:tcBorders>
                  <w:vAlign w:val="center"/>
                </w:tcPr>
                <w:p w14:paraId="49A4EF3F">
                  <w:pPr>
                    <w:pStyle w:val="5"/>
                    <w:spacing w:before="0" w:after="0" w:line="240" w:lineRule="auto"/>
                    <w:ind w:right="0"/>
                    <w:jc w:val="center"/>
                    <w:rPr>
                      <w:color w:val="auto"/>
                      <w:sz w:val="21"/>
                      <w:szCs w:val="21"/>
                    </w:rPr>
                  </w:pPr>
                  <w:r>
                    <w:rPr>
                      <w:color w:val="auto"/>
                      <w:sz w:val="21"/>
                      <w:szCs w:val="21"/>
                    </w:rPr>
                    <w:t>/</w:t>
                  </w:r>
                </w:p>
              </w:tc>
            </w:tr>
            <w:tr w14:paraId="15781B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2BA37541">
                  <w:pPr>
                    <w:pStyle w:val="30"/>
                    <w:jc w:val="center"/>
                    <w:rPr>
                      <w:rFonts w:hint="default" w:eastAsia="宋体"/>
                      <w:bCs/>
                      <w:color w:val="auto"/>
                      <w:sz w:val="21"/>
                      <w:szCs w:val="21"/>
                      <w:lang w:val="en-US" w:eastAsia="zh-CN"/>
                    </w:rPr>
                  </w:pPr>
                  <w:r>
                    <w:rPr>
                      <w:rFonts w:hint="eastAsia"/>
                      <w:bCs/>
                      <w:color w:val="auto"/>
                      <w:sz w:val="21"/>
                      <w:szCs w:val="21"/>
                      <w:lang w:val="en-US" w:eastAsia="zh-CN"/>
                    </w:rPr>
                    <w:t>10</w:t>
                  </w:r>
                </w:p>
              </w:tc>
              <w:tc>
                <w:tcPr>
                  <w:tcW w:w="913" w:type="pct"/>
                  <w:vMerge w:val="continue"/>
                  <w:tcBorders>
                    <w:tl2br w:val="nil"/>
                    <w:tr2bl w:val="nil"/>
                  </w:tcBorders>
                  <w:vAlign w:val="center"/>
                </w:tcPr>
                <w:p w14:paraId="14E1A123">
                  <w:pPr>
                    <w:pStyle w:val="30"/>
                    <w:jc w:val="center"/>
                    <w:rPr>
                      <w:bCs/>
                      <w:color w:val="auto"/>
                      <w:sz w:val="21"/>
                      <w:szCs w:val="21"/>
                    </w:rPr>
                  </w:pPr>
                </w:p>
              </w:tc>
              <w:tc>
                <w:tcPr>
                  <w:tcW w:w="1086" w:type="pct"/>
                  <w:tcBorders>
                    <w:tl2br w:val="nil"/>
                    <w:tr2bl w:val="nil"/>
                  </w:tcBorders>
                  <w:vAlign w:val="center"/>
                </w:tcPr>
                <w:p w14:paraId="46E38EA1">
                  <w:pPr>
                    <w:pStyle w:val="30"/>
                    <w:jc w:val="center"/>
                    <w:rPr>
                      <w:bCs/>
                      <w:color w:val="auto"/>
                      <w:sz w:val="21"/>
                      <w:szCs w:val="21"/>
                    </w:rPr>
                  </w:pPr>
                  <w:r>
                    <w:rPr>
                      <w:bCs/>
                      <w:color w:val="auto"/>
                      <w:sz w:val="21"/>
                      <w:szCs w:val="21"/>
                    </w:rPr>
                    <w:t>除尘灰</w:t>
                  </w:r>
                </w:p>
              </w:tc>
              <w:tc>
                <w:tcPr>
                  <w:tcW w:w="1000" w:type="pct"/>
                  <w:tcBorders>
                    <w:tl2br w:val="nil"/>
                    <w:tr2bl w:val="nil"/>
                  </w:tcBorders>
                  <w:vAlign w:val="center"/>
                </w:tcPr>
                <w:p w14:paraId="4CD6D934">
                  <w:pPr>
                    <w:pStyle w:val="30"/>
                    <w:jc w:val="center"/>
                    <w:rPr>
                      <w:bCs/>
                      <w:color w:val="auto"/>
                      <w:sz w:val="21"/>
                      <w:szCs w:val="21"/>
                    </w:rPr>
                  </w:pPr>
                  <w:r>
                    <w:rPr>
                      <w:bCs/>
                      <w:color w:val="auto"/>
                      <w:sz w:val="21"/>
                      <w:szCs w:val="21"/>
                    </w:rPr>
                    <w:t>除尘灰</w:t>
                  </w:r>
                </w:p>
              </w:tc>
              <w:tc>
                <w:tcPr>
                  <w:tcW w:w="1000" w:type="pct"/>
                  <w:tcBorders>
                    <w:tl2br w:val="nil"/>
                    <w:tr2bl w:val="nil"/>
                  </w:tcBorders>
                  <w:vAlign w:val="center"/>
                </w:tcPr>
                <w:p w14:paraId="2C046CE5">
                  <w:pPr>
                    <w:pStyle w:val="5"/>
                    <w:spacing w:before="0" w:after="0" w:line="240" w:lineRule="auto"/>
                    <w:ind w:right="0"/>
                    <w:jc w:val="center"/>
                    <w:rPr>
                      <w:rFonts w:hint="eastAsia" w:eastAsia="宋体"/>
                      <w:color w:val="auto"/>
                      <w:sz w:val="21"/>
                      <w:szCs w:val="21"/>
                      <w:lang w:val="en-US" w:eastAsia="zh-CN"/>
                    </w:rPr>
                  </w:pPr>
                  <w:r>
                    <w:rPr>
                      <w:rFonts w:hint="eastAsia"/>
                      <w:color w:val="auto"/>
                      <w:sz w:val="21"/>
                      <w:szCs w:val="21"/>
                      <w:lang w:val="en-US" w:eastAsia="zh-CN"/>
                    </w:rPr>
                    <w:t>/</w:t>
                  </w:r>
                </w:p>
              </w:tc>
            </w:tr>
            <w:tr w14:paraId="1ECA85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14:paraId="0A752884">
                  <w:pPr>
                    <w:pStyle w:val="30"/>
                    <w:jc w:val="center"/>
                    <w:rPr>
                      <w:rFonts w:hint="default" w:eastAsia="宋体"/>
                      <w:bCs/>
                      <w:color w:val="auto"/>
                      <w:sz w:val="21"/>
                      <w:szCs w:val="21"/>
                      <w:lang w:val="en-US" w:eastAsia="zh-CN"/>
                    </w:rPr>
                  </w:pPr>
                  <w:r>
                    <w:rPr>
                      <w:rFonts w:hint="eastAsia"/>
                      <w:bCs/>
                      <w:color w:val="auto"/>
                      <w:sz w:val="21"/>
                      <w:szCs w:val="21"/>
                      <w:lang w:val="en-US" w:eastAsia="zh-CN"/>
                    </w:rPr>
                    <w:t>11</w:t>
                  </w:r>
                </w:p>
              </w:tc>
              <w:tc>
                <w:tcPr>
                  <w:tcW w:w="913" w:type="pct"/>
                  <w:vMerge w:val="continue"/>
                  <w:tcBorders>
                    <w:tl2br w:val="nil"/>
                    <w:tr2bl w:val="nil"/>
                  </w:tcBorders>
                  <w:vAlign w:val="center"/>
                </w:tcPr>
                <w:p w14:paraId="408C65BF">
                  <w:pPr>
                    <w:pStyle w:val="30"/>
                    <w:jc w:val="center"/>
                    <w:rPr>
                      <w:bCs/>
                      <w:color w:val="auto"/>
                      <w:sz w:val="21"/>
                      <w:szCs w:val="21"/>
                    </w:rPr>
                  </w:pPr>
                </w:p>
              </w:tc>
              <w:tc>
                <w:tcPr>
                  <w:tcW w:w="1086" w:type="pct"/>
                  <w:tcBorders>
                    <w:tl2br w:val="nil"/>
                    <w:tr2bl w:val="nil"/>
                  </w:tcBorders>
                  <w:vAlign w:val="center"/>
                </w:tcPr>
                <w:p w14:paraId="1E7E9909">
                  <w:pPr>
                    <w:pStyle w:val="30"/>
                    <w:jc w:val="center"/>
                    <w:rPr>
                      <w:bCs/>
                      <w:color w:val="auto"/>
                      <w:sz w:val="21"/>
                      <w:szCs w:val="21"/>
                    </w:rPr>
                  </w:pPr>
                  <w:r>
                    <w:rPr>
                      <w:bCs/>
                      <w:color w:val="auto"/>
                      <w:sz w:val="21"/>
                      <w:szCs w:val="21"/>
                    </w:rPr>
                    <w:t>沉淀池沉渣</w:t>
                  </w:r>
                </w:p>
              </w:tc>
              <w:tc>
                <w:tcPr>
                  <w:tcW w:w="1000" w:type="pct"/>
                  <w:tcBorders>
                    <w:tl2br w:val="nil"/>
                    <w:tr2bl w:val="nil"/>
                  </w:tcBorders>
                  <w:vAlign w:val="center"/>
                </w:tcPr>
                <w:p w14:paraId="5A427111">
                  <w:pPr>
                    <w:pStyle w:val="30"/>
                    <w:jc w:val="center"/>
                    <w:rPr>
                      <w:bCs/>
                      <w:color w:val="auto"/>
                      <w:sz w:val="21"/>
                      <w:szCs w:val="21"/>
                    </w:rPr>
                  </w:pPr>
                  <w:r>
                    <w:rPr>
                      <w:bCs/>
                      <w:color w:val="auto"/>
                      <w:sz w:val="21"/>
                      <w:szCs w:val="21"/>
                    </w:rPr>
                    <w:t>沉淀池沉渣</w:t>
                  </w:r>
                </w:p>
              </w:tc>
              <w:tc>
                <w:tcPr>
                  <w:tcW w:w="1000" w:type="pct"/>
                  <w:tcBorders>
                    <w:tl2br w:val="nil"/>
                    <w:tr2bl w:val="nil"/>
                  </w:tcBorders>
                  <w:vAlign w:val="center"/>
                </w:tcPr>
                <w:p w14:paraId="2599C1A8">
                  <w:pPr>
                    <w:pStyle w:val="5"/>
                    <w:spacing w:before="0" w:after="0" w:line="240" w:lineRule="auto"/>
                    <w:ind w:right="0"/>
                    <w:jc w:val="center"/>
                    <w:rPr>
                      <w:color w:val="auto"/>
                      <w:sz w:val="21"/>
                      <w:szCs w:val="21"/>
                    </w:rPr>
                  </w:pPr>
                  <w:r>
                    <w:rPr>
                      <w:color w:val="auto"/>
                      <w:sz w:val="21"/>
                      <w:szCs w:val="21"/>
                    </w:rPr>
                    <w:t>/</w:t>
                  </w:r>
                </w:p>
              </w:tc>
            </w:tr>
            <w:tr w14:paraId="35DD7A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000" w:type="pct"/>
                  <w:tcBorders>
                    <w:tl2br w:val="nil"/>
                    <w:tr2bl w:val="nil"/>
                  </w:tcBorders>
                  <w:vAlign w:val="center"/>
                </w:tcPr>
                <w:p w14:paraId="708D4D72">
                  <w:pPr>
                    <w:pStyle w:val="30"/>
                    <w:jc w:val="center"/>
                    <w:rPr>
                      <w:rFonts w:hint="eastAsia" w:eastAsia="宋体"/>
                      <w:bCs/>
                      <w:color w:val="auto"/>
                      <w:sz w:val="21"/>
                      <w:szCs w:val="21"/>
                      <w:lang w:val="en-US" w:eastAsia="zh-CN"/>
                    </w:rPr>
                  </w:pPr>
                  <w:r>
                    <w:rPr>
                      <w:bCs/>
                      <w:color w:val="auto"/>
                      <w:sz w:val="21"/>
                      <w:szCs w:val="21"/>
                    </w:rPr>
                    <w:t>1</w:t>
                  </w:r>
                  <w:r>
                    <w:rPr>
                      <w:rFonts w:hint="eastAsia"/>
                      <w:bCs/>
                      <w:color w:val="auto"/>
                      <w:sz w:val="21"/>
                      <w:szCs w:val="21"/>
                      <w:lang w:val="en-US" w:eastAsia="zh-CN"/>
                    </w:rPr>
                    <w:t>2</w:t>
                  </w:r>
                </w:p>
              </w:tc>
              <w:tc>
                <w:tcPr>
                  <w:tcW w:w="913" w:type="pct"/>
                  <w:vMerge w:val="continue"/>
                  <w:tcBorders>
                    <w:tl2br w:val="nil"/>
                    <w:tr2bl w:val="nil"/>
                  </w:tcBorders>
                  <w:vAlign w:val="center"/>
                </w:tcPr>
                <w:p w14:paraId="6D3E8C66">
                  <w:pPr>
                    <w:pStyle w:val="30"/>
                    <w:jc w:val="center"/>
                    <w:rPr>
                      <w:bCs/>
                      <w:color w:val="auto"/>
                      <w:sz w:val="21"/>
                      <w:szCs w:val="21"/>
                    </w:rPr>
                  </w:pPr>
                </w:p>
              </w:tc>
              <w:tc>
                <w:tcPr>
                  <w:tcW w:w="1086" w:type="pct"/>
                  <w:tcBorders>
                    <w:tl2br w:val="nil"/>
                    <w:tr2bl w:val="nil"/>
                  </w:tcBorders>
                  <w:vAlign w:val="center"/>
                </w:tcPr>
                <w:p w14:paraId="555543C6">
                  <w:pPr>
                    <w:pStyle w:val="30"/>
                    <w:jc w:val="center"/>
                    <w:rPr>
                      <w:bCs/>
                      <w:color w:val="auto"/>
                      <w:sz w:val="21"/>
                      <w:szCs w:val="21"/>
                    </w:rPr>
                  </w:pPr>
                  <w:r>
                    <w:rPr>
                      <w:bCs/>
                      <w:color w:val="auto"/>
                      <w:sz w:val="21"/>
                      <w:szCs w:val="21"/>
                    </w:rPr>
                    <w:t>生活垃圾</w:t>
                  </w:r>
                </w:p>
              </w:tc>
              <w:tc>
                <w:tcPr>
                  <w:tcW w:w="1000" w:type="pct"/>
                  <w:tcBorders>
                    <w:tl2br w:val="nil"/>
                    <w:tr2bl w:val="nil"/>
                  </w:tcBorders>
                  <w:vAlign w:val="center"/>
                </w:tcPr>
                <w:p w14:paraId="12B67C44">
                  <w:pPr>
                    <w:pStyle w:val="30"/>
                    <w:jc w:val="center"/>
                    <w:rPr>
                      <w:bCs/>
                      <w:color w:val="auto"/>
                      <w:sz w:val="21"/>
                      <w:szCs w:val="21"/>
                    </w:rPr>
                  </w:pPr>
                  <w:r>
                    <w:rPr>
                      <w:bCs/>
                      <w:color w:val="auto"/>
                      <w:sz w:val="21"/>
                      <w:szCs w:val="21"/>
                    </w:rPr>
                    <w:t>生活垃圾</w:t>
                  </w:r>
                </w:p>
              </w:tc>
              <w:tc>
                <w:tcPr>
                  <w:tcW w:w="1000" w:type="pct"/>
                  <w:tcBorders>
                    <w:tl2br w:val="nil"/>
                    <w:tr2bl w:val="nil"/>
                  </w:tcBorders>
                  <w:vAlign w:val="center"/>
                </w:tcPr>
                <w:p w14:paraId="62262C56">
                  <w:pPr>
                    <w:pStyle w:val="5"/>
                    <w:spacing w:before="0" w:after="0" w:line="240" w:lineRule="auto"/>
                    <w:ind w:right="0"/>
                    <w:jc w:val="center"/>
                    <w:rPr>
                      <w:color w:val="auto"/>
                      <w:sz w:val="21"/>
                      <w:szCs w:val="21"/>
                    </w:rPr>
                  </w:pPr>
                  <w:r>
                    <w:rPr>
                      <w:color w:val="auto"/>
                      <w:sz w:val="21"/>
                      <w:szCs w:val="21"/>
                    </w:rPr>
                    <w:t>/</w:t>
                  </w:r>
                </w:p>
              </w:tc>
            </w:tr>
            <w:tr w14:paraId="1C22E7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000" w:type="pct"/>
                  <w:tcBorders>
                    <w:tl2br w:val="nil"/>
                    <w:tr2bl w:val="nil"/>
                  </w:tcBorders>
                  <w:vAlign w:val="center"/>
                </w:tcPr>
                <w:p w14:paraId="5A19D1E5">
                  <w:pPr>
                    <w:pStyle w:val="30"/>
                    <w:jc w:val="center"/>
                    <w:rPr>
                      <w:rFonts w:hint="eastAsia" w:eastAsia="宋体"/>
                      <w:bCs/>
                      <w:color w:val="auto"/>
                      <w:sz w:val="21"/>
                      <w:szCs w:val="21"/>
                      <w:lang w:val="en-US" w:eastAsia="zh-CN"/>
                    </w:rPr>
                  </w:pPr>
                  <w:r>
                    <w:rPr>
                      <w:bCs/>
                      <w:color w:val="auto"/>
                      <w:sz w:val="21"/>
                      <w:szCs w:val="21"/>
                    </w:rPr>
                    <w:t>1</w:t>
                  </w:r>
                  <w:r>
                    <w:rPr>
                      <w:rFonts w:hint="eastAsia"/>
                      <w:bCs/>
                      <w:color w:val="auto"/>
                      <w:sz w:val="21"/>
                      <w:szCs w:val="21"/>
                      <w:lang w:val="en-US" w:eastAsia="zh-CN"/>
                    </w:rPr>
                    <w:t>3</w:t>
                  </w:r>
                </w:p>
              </w:tc>
              <w:tc>
                <w:tcPr>
                  <w:tcW w:w="913" w:type="pct"/>
                  <w:vMerge w:val="continue"/>
                  <w:tcBorders>
                    <w:tl2br w:val="nil"/>
                    <w:tr2bl w:val="nil"/>
                  </w:tcBorders>
                  <w:vAlign w:val="center"/>
                </w:tcPr>
                <w:p w14:paraId="3C3BD05F">
                  <w:pPr>
                    <w:pStyle w:val="30"/>
                    <w:jc w:val="center"/>
                    <w:rPr>
                      <w:bCs/>
                      <w:color w:val="auto"/>
                      <w:sz w:val="21"/>
                      <w:szCs w:val="21"/>
                    </w:rPr>
                  </w:pPr>
                </w:p>
              </w:tc>
              <w:tc>
                <w:tcPr>
                  <w:tcW w:w="1086" w:type="pct"/>
                  <w:tcBorders>
                    <w:tl2br w:val="nil"/>
                    <w:tr2bl w:val="nil"/>
                  </w:tcBorders>
                  <w:vAlign w:val="center"/>
                </w:tcPr>
                <w:p w14:paraId="34861D7E">
                  <w:pPr>
                    <w:pStyle w:val="30"/>
                    <w:jc w:val="center"/>
                    <w:rPr>
                      <w:bCs/>
                      <w:color w:val="auto"/>
                      <w:sz w:val="21"/>
                      <w:szCs w:val="21"/>
                    </w:rPr>
                  </w:pPr>
                  <w:r>
                    <w:rPr>
                      <w:bCs/>
                      <w:color w:val="auto"/>
                      <w:sz w:val="21"/>
                      <w:szCs w:val="21"/>
                    </w:rPr>
                    <w:t>废机油</w:t>
                  </w:r>
                </w:p>
              </w:tc>
              <w:tc>
                <w:tcPr>
                  <w:tcW w:w="1000" w:type="pct"/>
                  <w:tcBorders>
                    <w:tl2br w:val="nil"/>
                    <w:tr2bl w:val="nil"/>
                  </w:tcBorders>
                  <w:vAlign w:val="center"/>
                </w:tcPr>
                <w:p w14:paraId="3A32DC44">
                  <w:pPr>
                    <w:pStyle w:val="30"/>
                    <w:jc w:val="center"/>
                    <w:rPr>
                      <w:bCs/>
                      <w:color w:val="auto"/>
                      <w:sz w:val="21"/>
                      <w:szCs w:val="21"/>
                    </w:rPr>
                  </w:pPr>
                  <w:r>
                    <w:rPr>
                      <w:bCs/>
                      <w:color w:val="auto"/>
                      <w:sz w:val="21"/>
                      <w:szCs w:val="21"/>
                    </w:rPr>
                    <w:t>废机油</w:t>
                  </w:r>
                </w:p>
              </w:tc>
              <w:tc>
                <w:tcPr>
                  <w:tcW w:w="1000" w:type="pct"/>
                  <w:tcBorders>
                    <w:tl2br w:val="nil"/>
                    <w:tr2bl w:val="nil"/>
                  </w:tcBorders>
                  <w:vAlign w:val="center"/>
                </w:tcPr>
                <w:p w14:paraId="76A1C97C">
                  <w:pPr>
                    <w:pStyle w:val="5"/>
                    <w:spacing w:before="0" w:after="0" w:line="240" w:lineRule="auto"/>
                    <w:ind w:right="0"/>
                    <w:jc w:val="center"/>
                    <w:rPr>
                      <w:color w:val="auto"/>
                      <w:sz w:val="21"/>
                      <w:szCs w:val="21"/>
                    </w:rPr>
                  </w:pPr>
                  <w:r>
                    <w:rPr>
                      <w:color w:val="auto"/>
                      <w:sz w:val="21"/>
                      <w:szCs w:val="21"/>
                    </w:rPr>
                    <w:t>/</w:t>
                  </w:r>
                </w:p>
              </w:tc>
            </w:tr>
          </w:tbl>
          <w:p w14:paraId="5431915C">
            <w:pPr>
              <w:pStyle w:val="38"/>
              <w:keepNext w:val="0"/>
              <w:keepLines w:val="0"/>
              <w:pageBreakBefore w:val="0"/>
              <w:widowControl w:val="0"/>
              <w:kinsoku/>
              <w:wordWrap/>
              <w:overflowPunct/>
              <w:topLinePunct w:val="0"/>
              <w:autoSpaceDE/>
              <w:autoSpaceDN/>
              <w:bidi w:val="0"/>
              <w:adjustRightInd w:val="0"/>
              <w:snapToGrid w:val="0"/>
              <w:spacing w:after="0" w:line="440" w:lineRule="exact"/>
              <w:jc w:val="both"/>
              <w:textAlignment w:val="auto"/>
              <w:rPr>
                <w:rFonts w:hint="eastAsia" w:ascii="Times New Roman" w:hAnsi="Times New Roman" w:eastAsia="宋体" w:cs="Times New Roman"/>
                <w:color w:val="auto"/>
                <w:kern w:val="0"/>
                <w:sz w:val="24"/>
                <w:szCs w:val="24"/>
                <w:highlight w:val="none"/>
                <w:lang w:val="en-US" w:eastAsia="zh-CN" w:bidi="ar-SA"/>
              </w:rPr>
            </w:pPr>
          </w:p>
        </w:tc>
      </w:tr>
      <w:tr w14:paraId="0978A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763" w:type="dxa"/>
            <w:vAlign w:val="center"/>
          </w:tcPr>
          <w:p w14:paraId="7BFA3498">
            <w:pPr>
              <w:pStyle w:val="19"/>
              <w:adjustRightInd w:val="0"/>
              <w:snapToGrid w:val="0"/>
              <w:spacing w:before="0" w:beforeAutospacing="0" w:after="0" w:afterAutospacing="0"/>
              <w:jc w:val="center"/>
              <w:rPr>
                <w:rFonts w:ascii="Times New Roman" w:hAnsi="Times New Roman"/>
                <w:color w:val="auto"/>
                <w:szCs w:val="24"/>
              </w:rPr>
            </w:pPr>
            <w:r>
              <w:rPr>
                <w:rFonts w:ascii="Times New Roman" w:hAnsi="Times New Roman"/>
                <w:bCs/>
                <w:color w:val="auto"/>
                <w:kern w:val="2"/>
                <w:szCs w:val="24"/>
              </w:rPr>
              <w:t>与项目有关的原有环境污染问题</w:t>
            </w:r>
          </w:p>
        </w:tc>
        <w:tc>
          <w:tcPr>
            <w:tcW w:w="8056" w:type="dxa"/>
            <w:vAlign w:val="center"/>
          </w:tcPr>
          <w:p w14:paraId="766451ED">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w:t>
            </w:r>
          </w:p>
          <w:p w14:paraId="4C872D7C">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cs="Times New Roman"/>
                <w:color w:val="auto"/>
                <w:kern w:val="0"/>
                <w:sz w:val="24"/>
                <w:szCs w:val="24"/>
                <w:highlight w:val="none"/>
                <w:lang w:val="en-US" w:eastAsia="zh-CN" w:bidi="ar-SA"/>
              </w:rPr>
            </w:pPr>
          </w:p>
          <w:p w14:paraId="01DE119D">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hint="eastAsia" w:cs="Times New Roman"/>
                <w:color w:val="auto"/>
                <w:kern w:val="0"/>
                <w:sz w:val="24"/>
                <w:szCs w:val="24"/>
                <w:highlight w:val="none"/>
                <w:lang w:val="en-US" w:eastAsia="zh-CN" w:bidi="ar-SA"/>
              </w:rPr>
            </w:pPr>
          </w:p>
          <w:p w14:paraId="659D1BFE">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center"/>
              <w:textAlignment w:val="auto"/>
              <w:rPr>
                <w:rFonts w:ascii="Times New Roman" w:hAnsi="Times New Roman"/>
                <w:bCs/>
                <w:color w:val="auto"/>
                <w:kern w:val="2"/>
                <w:szCs w:val="24"/>
              </w:rPr>
            </w:pPr>
            <w:r>
              <w:rPr>
                <w:rFonts w:ascii="Times New Roman" w:hAnsi="Times New Roman" w:eastAsia="宋体" w:cs="Times New Roman"/>
                <w:color w:val="auto"/>
                <w:kern w:val="0"/>
                <w:sz w:val="24"/>
                <w:szCs w:val="24"/>
                <w:highlight w:val="none"/>
                <w:lang w:val="en-US" w:eastAsia="zh-CN" w:bidi="ar-SA"/>
              </w:rPr>
              <w:t>本项目为新建项目，</w:t>
            </w:r>
            <w:r>
              <w:rPr>
                <w:rFonts w:hint="eastAsia" w:ascii="Times New Roman" w:hAnsi="Times New Roman" w:eastAsia="宋体" w:cs="Times New Roman"/>
                <w:color w:val="auto"/>
                <w:kern w:val="0"/>
                <w:sz w:val="24"/>
                <w:szCs w:val="24"/>
                <w:highlight w:val="none"/>
                <w:lang w:val="en-US" w:eastAsia="zh-CN" w:bidi="ar-SA"/>
              </w:rPr>
              <w:t>不存在原有环境污染问题。</w:t>
            </w:r>
          </w:p>
          <w:p w14:paraId="30016253">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20" w:firstLineChars="200"/>
              <w:jc w:val="center"/>
              <w:textAlignment w:val="auto"/>
              <w:rPr>
                <w:rFonts w:ascii="Times New Roman" w:hAnsi="Times New Roman"/>
                <w:bCs/>
                <w:color w:val="auto"/>
                <w:kern w:val="2"/>
                <w:szCs w:val="24"/>
              </w:rPr>
            </w:pPr>
          </w:p>
          <w:p w14:paraId="7D77269A">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20" w:firstLineChars="200"/>
              <w:jc w:val="center"/>
              <w:textAlignment w:val="auto"/>
              <w:rPr>
                <w:rFonts w:ascii="Times New Roman" w:hAnsi="Times New Roman"/>
                <w:bCs/>
                <w:color w:val="auto"/>
                <w:kern w:val="2"/>
                <w:szCs w:val="24"/>
              </w:rPr>
            </w:pPr>
          </w:p>
          <w:p w14:paraId="714A7143">
            <w:pPr>
              <w:pStyle w:val="38"/>
              <w:keepNext w:val="0"/>
              <w:keepLines w:val="0"/>
              <w:pageBreakBefore w:val="0"/>
              <w:widowControl w:val="0"/>
              <w:kinsoku/>
              <w:wordWrap/>
              <w:overflowPunct/>
              <w:topLinePunct w:val="0"/>
              <w:autoSpaceDE/>
              <w:autoSpaceDN/>
              <w:bidi w:val="0"/>
              <w:adjustRightInd w:val="0"/>
              <w:snapToGrid w:val="0"/>
              <w:spacing w:after="0" w:line="440" w:lineRule="exact"/>
              <w:ind w:firstLine="420" w:firstLineChars="200"/>
              <w:jc w:val="center"/>
              <w:textAlignment w:val="auto"/>
              <w:rPr>
                <w:rFonts w:ascii="Times New Roman" w:hAnsi="Times New Roman"/>
                <w:bCs/>
                <w:color w:val="auto"/>
                <w:kern w:val="2"/>
                <w:szCs w:val="24"/>
              </w:rPr>
            </w:pPr>
          </w:p>
          <w:p w14:paraId="177F9610">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p w14:paraId="75285D07">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p w14:paraId="5C13B5A8">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p w14:paraId="71AD5D00">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p w14:paraId="1B7C6C33">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p w14:paraId="0716D527">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p w14:paraId="360FED67">
            <w:pPr>
              <w:pStyle w:val="38"/>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ascii="Times New Roman" w:hAnsi="Times New Roman"/>
                <w:bCs/>
                <w:color w:val="auto"/>
                <w:kern w:val="2"/>
                <w:szCs w:val="24"/>
              </w:rPr>
            </w:pPr>
          </w:p>
        </w:tc>
      </w:tr>
    </w:tbl>
    <w:p w14:paraId="7A9119C2">
      <w:pPr>
        <w:pStyle w:val="19"/>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1B61E1A">
      <w:pPr>
        <w:pStyle w:val="19"/>
        <w:adjustRightInd w:val="0"/>
        <w:snapToGrid w:val="0"/>
        <w:spacing w:before="0" w:beforeAutospacing="0" w:after="0" w:afterAutospacing="0" w:line="14" w:lineRule="auto"/>
        <w:jc w:val="center"/>
        <w:outlineLvl w:val="0"/>
        <w:rPr>
          <w:rFonts w:ascii="黑体" w:hAnsi="黑体" w:eastAsia="黑体"/>
          <w:snapToGrid w:val="0"/>
          <w:color w:val="auto"/>
          <w:sz w:val="30"/>
          <w:szCs w:val="30"/>
        </w:rPr>
      </w:pPr>
    </w:p>
    <w:p w14:paraId="0A76E1D5">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266"/>
      </w:tblGrid>
      <w:tr w14:paraId="44F82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00" w:type="dxa"/>
            <w:vAlign w:val="center"/>
          </w:tcPr>
          <w:p w14:paraId="76C7C5A3">
            <w:pPr>
              <w:adjustRightInd w:val="0"/>
              <w:snapToGrid w:val="0"/>
              <w:jc w:val="center"/>
              <w:rPr>
                <w:rFonts w:ascii="宋体" w:hAnsi="宋体" w:cs="宋体"/>
                <w:color w:val="auto"/>
                <w:kern w:val="0"/>
                <w:szCs w:val="21"/>
              </w:rPr>
            </w:pPr>
            <w:r>
              <w:rPr>
                <w:rFonts w:hint="eastAsia" w:ascii="宋体" w:hAnsi="宋体" w:cs="宋体"/>
                <w:color w:val="auto"/>
                <w:kern w:val="0"/>
                <w:szCs w:val="21"/>
              </w:rPr>
              <w:t>区域</w:t>
            </w:r>
          </w:p>
          <w:p w14:paraId="7D0C633C">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14:paraId="1060E2A5">
            <w:pPr>
              <w:adjustRightInd w:val="0"/>
              <w:snapToGrid w:val="0"/>
              <w:jc w:val="center"/>
              <w:rPr>
                <w:rFonts w:ascii="宋体" w:hAnsi="宋体" w:cs="宋体"/>
                <w:color w:val="auto"/>
                <w:kern w:val="0"/>
                <w:szCs w:val="21"/>
              </w:rPr>
            </w:pPr>
            <w:r>
              <w:rPr>
                <w:rFonts w:hint="eastAsia" w:ascii="宋体" w:hAnsi="宋体" w:cs="宋体"/>
                <w:color w:val="auto"/>
                <w:kern w:val="0"/>
                <w:szCs w:val="21"/>
              </w:rPr>
              <w:t>质量</w:t>
            </w:r>
          </w:p>
          <w:p w14:paraId="6C3A37B0">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vAlign w:val="center"/>
          </w:tcPr>
          <w:p w14:paraId="029286EB">
            <w:pPr>
              <w:pStyle w:val="39"/>
              <w:spacing w:line="360" w:lineRule="auto"/>
              <w:rPr>
                <w:color w:val="auto"/>
              </w:rPr>
            </w:pPr>
            <w:r>
              <w:rPr>
                <w:rFonts w:hint="eastAsia"/>
                <w:color w:val="auto"/>
              </w:rPr>
              <w:t>1</w:t>
            </w:r>
            <w:r>
              <w:rPr>
                <w:color w:val="auto"/>
              </w:rPr>
              <w:t>.</w:t>
            </w:r>
            <w:r>
              <w:rPr>
                <w:rFonts w:hint="eastAsia" w:ascii="Times New Roman" w:hAnsi="Times New Roman" w:eastAsia="宋体" w:cs="Times New Roman"/>
                <w:b/>
                <w:bCs/>
                <w:color w:val="auto"/>
                <w:kern w:val="2"/>
                <w:sz w:val="24"/>
                <w:szCs w:val="24"/>
                <w:lang w:val="en-US" w:eastAsia="zh-CN" w:bidi="ar-SA"/>
              </w:rPr>
              <w:t>大气环境</w:t>
            </w:r>
          </w:p>
          <w:p w14:paraId="2D21C673">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.1</w:t>
            </w:r>
            <w:r>
              <w:rPr>
                <w:rFonts w:hint="eastAsia" w:ascii="Times New Roman" w:hAnsi="Times New Roman" w:eastAsia="宋体" w:cs="Times New Roman"/>
                <w:b/>
                <w:bCs/>
                <w:color w:val="auto"/>
                <w:sz w:val="24"/>
              </w:rPr>
              <w:t>环境空气质量功能区划</w:t>
            </w:r>
          </w:p>
          <w:p w14:paraId="42115D7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本项目位于昌吉回族自治州木垒县博斯塘乡直属，参照《环境空气质量功能区划分原则与技术方法》（HJ14-1996），项目所在地环境空气质量功能区属二类区，执行《环境空气质量标准》（GB3095-2012）二级标准。</w:t>
            </w:r>
          </w:p>
          <w:p w14:paraId="0C8CAA9A">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.2</w:t>
            </w:r>
            <w:r>
              <w:rPr>
                <w:rFonts w:hint="eastAsia" w:ascii="Times New Roman" w:hAnsi="Times New Roman" w:eastAsia="宋体" w:cs="Times New Roman"/>
                <w:b/>
                <w:bCs/>
                <w:color w:val="auto"/>
                <w:sz w:val="24"/>
              </w:rPr>
              <w:t>评价标准</w:t>
            </w:r>
          </w:p>
          <w:p w14:paraId="7D3107D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根据本项目所在区域的环境功能区划，基本污染物SO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、NO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、PM</w:t>
            </w:r>
            <w:r>
              <w:rPr>
                <w:rFonts w:ascii="Times New Roman" w:hAnsi="Times New Roman" w:eastAsia="宋体" w:cs="Times New Roman"/>
                <w:color w:val="auto"/>
                <w:kern w:val="0"/>
                <w:sz w:val="24"/>
                <w:vertAlign w:val="subscript"/>
              </w:rPr>
              <w:t>10</w:t>
            </w:r>
            <w:r>
              <w:rPr>
                <w:rFonts w:ascii="Times New Roman" w:hAnsi="Times New Roman" w:eastAsia="宋体" w:cs="Times New Roman"/>
                <w:color w:val="auto"/>
                <w:kern w:val="0"/>
                <w:sz w:val="24"/>
              </w:rPr>
              <w:t>、PM</w:t>
            </w:r>
            <w:r>
              <w:rPr>
                <w:rFonts w:ascii="Times New Roman" w:hAnsi="Times New Roman" w:eastAsia="宋体" w:cs="Times New Roman"/>
                <w:color w:val="auto"/>
                <w:kern w:val="0"/>
                <w:sz w:val="24"/>
                <w:vertAlign w:val="subscript"/>
              </w:rPr>
              <w:t>2.5</w:t>
            </w:r>
            <w:r>
              <w:rPr>
                <w:rFonts w:ascii="Times New Roman" w:hAnsi="Times New Roman" w:eastAsia="宋体" w:cs="Times New Roman"/>
                <w:color w:val="auto"/>
                <w:kern w:val="0"/>
                <w:sz w:val="24"/>
              </w:rPr>
              <w:t>、CO、O</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执行《环境空气质量标准》（GB3095</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2012）中的二级标准。</w:t>
            </w:r>
          </w:p>
          <w:p w14:paraId="632B2191">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.3</w:t>
            </w:r>
            <w:r>
              <w:rPr>
                <w:rFonts w:hint="eastAsia" w:ascii="Times New Roman" w:hAnsi="Times New Roman" w:eastAsia="宋体" w:cs="Times New Roman"/>
                <w:b/>
                <w:bCs/>
                <w:color w:val="auto"/>
                <w:sz w:val="24"/>
              </w:rPr>
              <w:t>评价方法</w:t>
            </w:r>
          </w:p>
          <w:p w14:paraId="77DEB35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640B261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计算公式</w:t>
            </w:r>
            <w:r>
              <w:rPr>
                <w:rFonts w:ascii="Times New Roman" w:hAnsi="Times New Roman" w:eastAsia="宋体" w:cs="Times New Roman"/>
                <w:color w:val="auto"/>
                <w:kern w:val="0"/>
                <w:sz w:val="24"/>
              </w:rPr>
              <w:t>：</w:t>
            </w:r>
          </w:p>
          <w:p w14:paraId="7049278F">
            <w:pPr>
              <w:pStyle w:val="40"/>
              <w:ind w:firstLine="480"/>
              <w:jc w:val="center"/>
              <w:rPr>
                <w:rFonts w:cs="Times New Roman"/>
                <w:color w:val="auto"/>
                <w:kern w:val="0"/>
              </w:rPr>
            </w:pPr>
            <w:r>
              <w:rPr>
                <w:rFonts w:cs="Times New Roman"/>
                <w:color w:val="auto"/>
                <w:kern w:val="0"/>
              </w:rPr>
              <w:t>P</w:t>
            </w:r>
            <w:r>
              <w:rPr>
                <w:rFonts w:cs="Times New Roman"/>
                <w:color w:val="auto"/>
                <w:kern w:val="0"/>
                <w:vertAlign w:val="subscript"/>
              </w:rPr>
              <w:t>i</w:t>
            </w:r>
            <w:r>
              <w:rPr>
                <w:rFonts w:cs="Times New Roman"/>
                <w:color w:val="auto"/>
                <w:kern w:val="0"/>
              </w:rPr>
              <w:t>=C</w:t>
            </w:r>
            <w:r>
              <w:rPr>
                <w:rFonts w:cs="Times New Roman"/>
                <w:color w:val="auto"/>
                <w:kern w:val="0"/>
                <w:vertAlign w:val="subscript"/>
              </w:rPr>
              <w:t>i</w:t>
            </w:r>
            <w:r>
              <w:rPr>
                <w:rFonts w:cs="Times New Roman"/>
                <w:color w:val="auto"/>
                <w:kern w:val="0"/>
              </w:rPr>
              <w:t>/C</w:t>
            </w:r>
            <w:r>
              <w:rPr>
                <w:rFonts w:cs="Times New Roman"/>
                <w:color w:val="auto"/>
                <w:kern w:val="0"/>
                <w:vertAlign w:val="subscript"/>
              </w:rPr>
              <w:t>oi</w:t>
            </w:r>
            <w:r>
              <w:rPr>
                <w:rFonts w:cs="Times New Roman"/>
                <w:color w:val="auto"/>
                <w:kern w:val="0"/>
              </w:rPr>
              <w:t>×100%</w:t>
            </w:r>
          </w:p>
          <w:p w14:paraId="525D3F44">
            <w:pPr>
              <w:pStyle w:val="40"/>
              <w:ind w:firstLine="720" w:firstLineChars="300"/>
              <w:rPr>
                <w:rFonts w:cs="Times New Roman"/>
                <w:color w:val="auto"/>
                <w:kern w:val="0"/>
              </w:rPr>
            </w:pPr>
            <w:r>
              <w:rPr>
                <w:rFonts w:ascii="Times New Roman" w:hAnsi="Times New Roman" w:eastAsia="宋体" w:cs="Times New Roman"/>
                <w:color w:val="auto"/>
                <w:kern w:val="0"/>
                <w:sz w:val="24"/>
                <w:szCs w:val="24"/>
                <w:lang w:val="en-US" w:eastAsia="zh-CN" w:bidi="ar-SA"/>
              </w:rPr>
              <w:t>其中：</w:t>
            </w:r>
            <w:r>
              <w:rPr>
                <w:rFonts w:cs="Times New Roman"/>
                <w:color w:val="auto"/>
                <w:kern w:val="0"/>
              </w:rPr>
              <w:t>P</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污染物i的地面空气质量浓度占标率，%；</w:t>
            </w:r>
          </w:p>
          <w:p w14:paraId="3EC9B197">
            <w:pPr>
              <w:pStyle w:val="40"/>
              <w:ind w:firstLine="1440" w:firstLineChars="600"/>
              <w:rPr>
                <w:rFonts w:cs="Times New Roman"/>
                <w:color w:val="auto"/>
                <w:kern w:val="0"/>
              </w:rPr>
            </w:pPr>
            <w:r>
              <w:rPr>
                <w:rFonts w:cs="Times New Roman"/>
                <w:color w:val="auto"/>
                <w:kern w:val="0"/>
              </w:rPr>
              <w:t>C</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基本污染物i的地面空气质量浓度，μg/m</w:t>
            </w:r>
            <w:r>
              <w:rPr>
                <w:rFonts w:cs="Times New Roman"/>
                <w:color w:val="auto"/>
                <w:kern w:val="0"/>
                <w:vertAlign w:val="superscript"/>
              </w:rPr>
              <w:t>3</w:t>
            </w:r>
            <w:r>
              <w:rPr>
                <w:rFonts w:cs="Times New Roman"/>
                <w:color w:val="auto"/>
                <w:kern w:val="0"/>
              </w:rPr>
              <w:t xml:space="preserve">； </w:t>
            </w:r>
          </w:p>
          <w:p w14:paraId="25C416C4">
            <w:pPr>
              <w:pStyle w:val="40"/>
              <w:ind w:firstLine="1440" w:firstLineChars="600"/>
              <w:rPr>
                <w:color w:val="auto"/>
                <w:szCs w:val="32"/>
              </w:rPr>
            </w:pPr>
            <w:r>
              <w:rPr>
                <w:rFonts w:cs="Times New Roman"/>
                <w:color w:val="auto"/>
                <w:kern w:val="0"/>
              </w:rPr>
              <w:t>C</w:t>
            </w:r>
            <w:r>
              <w:rPr>
                <w:rFonts w:hint="eastAsia" w:cs="Times New Roman"/>
                <w:color w:val="auto"/>
                <w:kern w:val="0"/>
                <w:vertAlign w:val="subscript"/>
              </w:rPr>
              <w:t>o</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基本污染物i的环境空气质量浓度标准，μg/m</w:t>
            </w:r>
            <w:r>
              <w:rPr>
                <w:rFonts w:cs="Times New Roman"/>
                <w:color w:val="auto"/>
                <w:kern w:val="0"/>
                <w:vertAlign w:val="superscript"/>
              </w:rPr>
              <w:t>3</w:t>
            </w:r>
            <w:r>
              <w:rPr>
                <w:rFonts w:cs="Times New Roman"/>
                <w:color w:val="auto"/>
                <w:kern w:val="0"/>
              </w:rPr>
              <w:t>。</w:t>
            </w:r>
          </w:p>
          <w:p w14:paraId="75A39DB7">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.4</w:t>
            </w:r>
            <w:r>
              <w:rPr>
                <w:rFonts w:hint="eastAsia" w:ascii="Times New Roman" w:hAnsi="Times New Roman" w:eastAsia="宋体" w:cs="Times New Roman"/>
                <w:b/>
                <w:bCs/>
                <w:color w:val="auto"/>
                <w:sz w:val="24"/>
              </w:rPr>
              <w:t>区域大气环境质量现状</w:t>
            </w:r>
          </w:p>
          <w:p w14:paraId="06EB852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根据《环境影响评价技术导则大气环境》（HJ2.2-2018）要求，基本污染物按照木垒县监测站202</w:t>
            </w:r>
            <w:r>
              <w:rPr>
                <w:rFonts w:hint="eastAsia" w:cs="Times New Roman"/>
                <w:color w:val="auto"/>
                <w:kern w:val="0"/>
                <w:sz w:val="24"/>
                <w:lang w:val="en-US" w:eastAsia="zh-CN"/>
              </w:rPr>
              <w:t>3</w:t>
            </w:r>
            <w:r>
              <w:rPr>
                <w:rFonts w:hint="eastAsia" w:ascii="Times New Roman" w:hAnsi="Times New Roman" w:eastAsia="宋体" w:cs="Times New Roman"/>
                <w:color w:val="auto"/>
                <w:kern w:val="0"/>
                <w:sz w:val="24"/>
              </w:rPr>
              <w:t>年基准年连续1年的监测数据进行判定，基本污染物包括SO</w:t>
            </w:r>
            <w:r>
              <w:rPr>
                <w:rFonts w:hint="eastAsia" w:ascii="Times New Roman" w:hAnsi="Times New Roman" w:eastAsia="宋体" w:cs="Times New Roman"/>
                <w:color w:val="auto"/>
                <w:kern w:val="0"/>
                <w:sz w:val="24"/>
                <w:vertAlign w:val="subscript"/>
              </w:rPr>
              <w:t>2</w:t>
            </w:r>
            <w:r>
              <w:rPr>
                <w:rFonts w:hint="eastAsia" w:ascii="Times New Roman" w:hAnsi="Times New Roman" w:eastAsia="宋体" w:cs="Times New Roman"/>
                <w:color w:val="auto"/>
                <w:kern w:val="0"/>
                <w:sz w:val="24"/>
              </w:rPr>
              <w:t>、NO</w:t>
            </w:r>
            <w:r>
              <w:rPr>
                <w:rFonts w:hint="eastAsia" w:ascii="Times New Roman" w:hAnsi="Times New Roman" w:eastAsia="宋体" w:cs="Times New Roman"/>
                <w:color w:val="auto"/>
                <w:kern w:val="0"/>
                <w:sz w:val="24"/>
                <w:vertAlign w:val="subscript"/>
              </w:rPr>
              <w:t>2</w:t>
            </w:r>
            <w:r>
              <w:rPr>
                <w:rFonts w:hint="eastAsia" w:ascii="Times New Roman" w:hAnsi="Times New Roman" w:eastAsia="宋体" w:cs="Times New Roman"/>
                <w:color w:val="auto"/>
                <w:kern w:val="0"/>
                <w:sz w:val="24"/>
              </w:rPr>
              <w:t>、PM</w:t>
            </w:r>
            <w:r>
              <w:rPr>
                <w:rFonts w:hint="eastAsia" w:ascii="Times New Roman" w:hAnsi="Times New Roman" w:eastAsia="宋体" w:cs="Times New Roman"/>
                <w:color w:val="auto"/>
                <w:kern w:val="0"/>
                <w:sz w:val="24"/>
                <w:vertAlign w:val="subscript"/>
              </w:rPr>
              <w:t>10</w:t>
            </w:r>
            <w:r>
              <w:rPr>
                <w:rFonts w:hint="eastAsia" w:ascii="Times New Roman" w:hAnsi="Times New Roman" w:eastAsia="宋体" w:cs="Times New Roman"/>
                <w:color w:val="auto"/>
                <w:kern w:val="0"/>
                <w:sz w:val="24"/>
              </w:rPr>
              <w:t>、PM</w:t>
            </w:r>
            <w:r>
              <w:rPr>
                <w:rFonts w:hint="eastAsia" w:ascii="Times New Roman" w:hAnsi="Times New Roman" w:eastAsia="宋体" w:cs="Times New Roman"/>
                <w:i/>
                <w:iCs/>
                <w:color w:val="auto"/>
                <w:kern w:val="0"/>
                <w:sz w:val="24"/>
                <w:vertAlign w:val="subscript"/>
              </w:rPr>
              <w:t>2.5</w:t>
            </w:r>
            <w:r>
              <w:rPr>
                <w:rFonts w:hint="eastAsia" w:ascii="Times New Roman" w:hAnsi="Times New Roman" w:eastAsia="宋体" w:cs="Times New Roman"/>
                <w:color w:val="auto"/>
                <w:kern w:val="0"/>
                <w:sz w:val="24"/>
              </w:rPr>
              <w:t>、CO和O</w:t>
            </w:r>
            <w:r>
              <w:rPr>
                <w:rFonts w:hint="eastAsia" w:ascii="Times New Roman" w:hAnsi="Times New Roman" w:eastAsia="宋体" w:cs="Times New Roman"/>
                <w:color w:val="auto"/>
                <w:kern w:val="0"/>
                <w:sz w:val="24"/>
                <w:vertAlign w:val="subscript"/>
              </w:rPr>
              <w:t>3</w:t>
            </w:r>
            <w:r>
              <w:rPr>
                <w:rFonts w:hint="eastAsia" w:ascii="Times New Roman" w:hAnsi="Times New Roman" w:eastAsia="宋体" w:cs="Times New Roman"/>
                <w:color w:val="auto"/>
                <w:kern w:val="0"/>
                <w:sz w:val="24"/>
              </w:rPr>
              <w:t>，进行项目所在区域环境空气达标判定和区域各污染物的环境质量现状评价。</w:t>
            </w:r>
          </w:p>
          <w:p w14:paraId="5154850E">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表3-1    区域空气质量现状评价表  单位：</w:t>
            </w:r>
            <w:r>
              <w:rPr>
                <w:rFonts w:hint="default" w:ascii="Times New Roman" w:hAnsi="Times New Roman" w:eastAsia="宋体" w:cs="Times New Roman"/>
                <w:color w:val="auto"/>
              </w:rPr>
              <w:t>μg/m</w:t>
            </w:r>
            <w:r>
              <w:rPr>
                <w:rFonts w:hint="default" w:ascii="Times New Roman" w:hAnsi="Times New Roman" w:eastAsia="宋体" w:cs="Times New Roman"/>
                <w:color w:val="auto"/>
                <w:vertAlign w:val="superscript"/>
              </w:rPr>
              <w:t>3</w:t>
            </w:r>
            <w:r>
              <w:rPr>
                <w:rFonts w:hint="eastAsia" w:ascii="Times New Roman" w:hAnsi="Times New Roman" w:eastAsia="宋体" w:cs="Times New Roman"/>
                <w:color w:val="auto"/>
              </w:rPr>
              <w:t>（CO：</w:t>
            </w:r>
            <w:r>
              <w:rPr>
                <w:rFonts w:hint="default" w:ascii="Times New Roman" w:hAnsi="Times New Roman" w:eastAsia="宋体" w:cs="Times New Roman"/>
                <w:color w:val="auto"/>
              </w:rPr>
              <w:t>mg/m</w:t>
            </w:r>
            <w:r>
              <w:rPr>
                <w:rFonts w:hint="default" w:ascii="Times New Roman" w:hAnsi="Times New Roman" w:eastAsia="宋体" w:cs="Times New Roman"/>
                <w:color w:val="auto"/>
                <w:vertAlign w:val="superscript"/>
              </w:rPr>
              <w:t>3</w:t>
            </w:r>
            <w:r>
              <w:rPr>
                <w:rFonts w:hint="eastAsia" w:ascii="Times New Roman" w:hAnsi="Times New Roman" w:eastAsia="宋体" w:cs="Times New Roman"/>
                <w:color w:val="auto"/>
              </w:rPr>
              <w:t>）</w:t>
            </w:r>
          </w:p>
          <w:tbl>
            <w:tblPr>
              <w:tblStyle w:val="21"/>
              <w:tblW w:w="80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831"/>
              <w:gridCol w:w="3311"/>
              <w:gridCol w:w="914"/>
              <w:gridCol w:w="992"/>
              <w:gridCol w:w="1128"/>
              <w:gridCol w:w="874"/>
            </w:tblGrid>
            <w:tr w14:paraId="3BC2F1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831" w:type="dxa"/>
                  <w:tcBorders>
                    <w:bottom w:val="single" w:color="auto" w:sz="12" w:space="0"/>
                  </w:tcBorders>
                  <w:vAlign w:val="center"/>
                </w:tcPr>
                <w:p w14:paraId="78C18DC1">
                  <w:pPr>
                    <w:pStyle w:val="32"/>
                    <w:rPr>
                      <w:b/>
                      <w:bCs w:val="0"/>
                      <w:color w:val="auto"/>
                      <w:sz w:val="21"/>
                      <w:szCs w:val="21"/>
                    </w:rPr>
                  </w:pPr>
                  <w:r>
                    <w:rPr>
                      <w:b/>
                      <w:bCs w:val="0"/>
                      <w:color w:val="auto"/>
                      <w:sz w:val="21"/>
                      <w:szCs w:val="21"/>
                    </w:rPr>
                    <w:t>污染物</w:t>
                  </w:r>
                </w:p>
              </w:tc>
              <w:tc>
                <w:tcPr>
                  <w:tcW w:w="3311" w:type="dxa"/>
                  <w:tcBorders>
                    <w:bottom w:val="single" w:color="auto" w:sz="12" w:space="0"/>
                  </w:tcBorders>
                  <w:vAlign w:val="center"/>
                </w:tcPr>
                <w:p w14:paraId="21248535">
                  <w:pPr>
                    <w:pStyle w:val="32"/>
                    <w:rPr>
                      <w:rFonts w:hint="eastAsia" w:eastAsia="宋体"/>
                      <w:b/>
                      <w:bCs w:val="0"/>
                      <w:color w:val="auto"/>
                      <w:sz w:val="21"/>
                      <w:szCs w:val="21"/>
                      <w:lang w:eastAsia="zh-CN"/>
                    </w:rPr>
                  </w:pPr>
                  <w:r>
                    <w:rPr>
                      <w:rFonts w:hint="eastAsia"/>
                      <w:b/>
                      <w:bCs w:val="0"/>
                      <w:color w:val="auto"/>
                      <w:sz w:val="21"/>
                      <w:szCs w:val="21"/>
                      <w:lang w:val="en-US" w:eastAsia="zh-CN"/>
                    </w:rPr>
                    <w:t>平均时段</w:t>
                  </w:r>
                </w:p>
              </w:tc>
              <w:tc>
                <w:tcPr>
                  <w:tcW w:w="914" w:type="dxa"/>
                  <w:tcBorders>
                    <w:bottom w:val="single" w:color="auto" w:sz="12" w:space="0"/>
                  </w:tcBorders>
                  <w:vAlign w:val="center"/>
                </w:tcPr>
                <w:p w14:paraId="68FE9F32">
                  <w:pPr>
                    <w:pStyle w:val="32"/>
                    <w:rPr>
                      <w:b/>
                      <w:bCs w:val="0"/>
                      <w:color w:val="auto"/>
                      <w:sz w:val="21"/>
                      <w:szCs w:val="21"/>
                    </w:rPr>
                  </w:pPr>
                  <w:r>
                    <w:rPr>
                      <w:b/>
                      <w:bCs w:val="0"/>
                      <w:color w:val="auto"/>
                      <w:sz w:val="21"/>
                      <w:szCs w:val="21"/>
                    </w:rPr>
                    <w:t>现状浓度</w:t>
                  </w:r>
                </w:p>
              </w:tc>
              <w:tc>
                <w:tcPr>
                  <w:tcW w:w="992" w:type="dxa"/>
                  <w:tcBorders>
                    <w:bottom w:val="single" w:color="auto" w:sz="12" w:space="0"/>
                  </w:tcBorders>
                  <w:vAlign w:val="center"/>
                </w:tcPr>
                <w:p w14:paraId="2E1C8F9B">
                  <w:pPr>
                    <w:pStyle w:val="32"/>
                    <w:rPr>
                      <w:b/>
                      <w:bCs w:val="0"/>
                      <w:color w:val="auto"/>
                      <w:sz w:val="21"/>
                      <w:szCs w:val="21"/>
                    </w:rPr>
                  </w:pPr>
                  <w:r>
                    <w:rPr>
                      <w:b/>
                      <w:bCs w:val="0"/>
                      <w:color w:val="auto"/>
                      <w:sz w:val="21"/>
                      <w:szCs w:val="21"/>
                    </w:rPr>
                    <w:t>标准值</w:t>
                  </w:r>
                </w:p>
              </w:tc>
              <w:tc>
                <w:tcPr>
                  <w:tcW w:w="1128" w:type="dxa"/>
                  <w:tcBorders>
                    <w:bottom w:val="single" w:color="auto" w:sz="12" w:space="0"/>
                  </w:tcBorders>
                  <w:vAlign w:val="center"/>
                </w:tcPr>
                <w:p w14:paraId="3DBEEC97">
                  <w:pPr>
                    <w:pStyle w:val="32"/>
                    <w:rPr>
                      <w:b/>
                      <w:bCs w:val="0"/>
                      <w:color w:val="auto"/>
                      <w:sz w:val="21"/>
                      <w:szCs w:val="21"/>
                    </w:rPr>
                  </w:pPr>
                  <w:r>
                    <w:rPr>
                      <w:b/>
                      <w:bCs w:val="0"/>
                      <w:color w:val="auto"/>
                      <w:sz w:val="21"/>
                      <w:szCs w:val="21"/>
                    </w:rPr>
                    <w:t>占标率%</w:t>
                  </w:r>
                </w:p>
              </w:tc>
              <w:tc>
                <w:tcPr>
                  <w:tcW w:w="874" w:type="dxa"/>
                  <w:tcBorders>
                    <w:bottom w:val="single" w:color="auto" w:sz="12" w:space="0"/>
                  </w:tcBorders>
                  <w:vAlign w:val="center"/>
                </w:tcPr>
                <w:p w14:paraId="45E07038">
                  <w:pPr>
                    <w:pStyle w:val="32"/>
                    <w:rPr>
                      <w:b/>
                      <w:bCs w:val="0"/>
                      <w:color w:val="auto"/>
                      <w:sz w:val="21"/>
                      <w:szCs w:val="21"/>
                    </w:rPr>
                  </w:pPr>
                  <w:r>
                    <w:rPr>
                      <w:b/>
                      <w:bCs w:val="0"/>
                      <w:color w:val="auto"/>
                      <w:sz w:val="21"/>
                      <w:szCs w:val="21"/>
                    </w:rPr>
                    <w:t>达标情况</w:t>
                  </w:r>
                </w:p>
              </w:tc>
            </w:tr>
            <w:tr w14:paraId="2E83D0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1" w:hRule="atLeast"/>
                <w:jc w:val="center"/>
              </w:trPr>
              <w:tc>
                <w:tcPr>
                  <w:tcW w:w="831" w:type="dxa"/>
                  <w:tcBorders>
                    <w:top w:val="single" w:color="auto" w:sz="12" w:space="0"/>
                    <w:tl2br w:val="nil"/>
                    <w:tr2bl w:val="nil"/>
                  </w:tcBorders>
                  <w:vAlign w:val="center"/>
                </w:tcPr>
                <w:p w14:paraId="6E2F006F">
                  <w:pPr>
                    <w:pStyle w:val="32"/>
                    <w:rPr>
                      <w:color w:val="auto"/>
                      <w:sz w:val="21"/>
                      <w:szCs w:val="21"/>
                    </w:rPr>
                  </w:pPr>
                  <w:r>
                    <w:rPr>
                      <w:color w:val="auto"/>
                      <w:sz w:val="21"/>
                      <w:szCs w:val="21"/>
                    </w:rPr>
                    <w:t>SO</w:t>
                  </w:r>
                  <w:r>
                    <w:rPr>
                      <w:color w:val="auto"/>
                      <w:sz w:val="21"/>
                      <w:szCs w:val="21"/>
                      <w:vertAlign w:val="subscript"/>
                    </w:rPr>
                    <w:t>2</w:t>
                  </w:r>
                </w:p>
              </w:tc>
              <w:tc>
                <w:tcPr>
                  <w:tcW w:w="3311" w:type="dxa"/>
                  <w:tcBorders>
                    <w:top w:val="single" w:color="auto" w:sz="12" w:space="0"/>
                    <w:tl2br w:val="nil"/>
                    <w:tr2bl w:val="nil"/>
                  </w:tcBorders>
                  <w:vAlign w:val="center"/>
                </w:tcPr>
                <w:p w14:paraId="5F4C2A93">
                  <w:pPr>
                    <w:pStyle w:val="32"/>
                    <w:rPr>
                      <w:color w:val="auto"/>
                      <w:sz w:val="21"/>
                      <w:szCs w:val="21"/>
                    </w:rPr>
                  </w:pPr>
                  <w:r>
                    <w:rPr>
                      <w:color w:val="auto"/>
                      <w:sz w:val="21"/>
                      <w:szCs w:val="21"/>
                    </w:rPr>
                    <w:t>年平均</w:t>
                  </w:r>
                  <w:r>
                    <w:rPr>
                      <w:rFonts w:hint="eastAsia"/>
                      <w:color w:val="auto"/>
                      <w:sz w:val="21"/>
                      <w:szCs w:val="21"/>
                    </w:rPr>
                    <w:t>(μg/m)</w:t>
                  </w:r>
                </w:p>
              </w:tc>
              <w:tc>
                <w:tcPr>
                  <w:tcW w:w="914" w:type="dxa"/>
                  <w:tcBorders>
                    <w:top w:val="single" w:color="auto" w:sz="12" w:space="0"/>
                    <w:tl2br w:val="nil"/>
                    <w:tr2bl w:val="nil"/>
                  </w:tcBorders>
                  <w:vAlign w:val="center"/>
                </w:tcPr>
                <w:p w14:paraId="585134B2">
                  <w:pPr>
                    <w:pStyle w:val="32"/>
                    <w:rPr>
                      <w:rFonts w:hint="eastAsia" w:eastAsia="宋体"/>
                      <w:color w:val="auto"/>
                      <w:sz w:val="21"/>
                      <w:szCs w:val="21"/>
                      <w:lang w:eastAsia="zh-CN"/>
                    </w:rPr>
                  </w:pPr>
                  <w:r>
                    <w:rPr>
                      <w:rFonts w:hint="eastAsia"/>
                      <w:color w:val="auto"/>
                      <w:sz w:val="21"/>
                      <w:szCs w:val="21"/>
                      <w:lang w:val="en-US" w:eastAsia="zh-CN"/>
                    </w:rPr>
                    <w:t>7</w:t>
                  </w:r>
                </w:p>
              </w:tc>
              <w:tc>
                <w:tcPr>
                  <w:tcW w:w="992" w:type="dxa"/>
                  <w:tcBorders>
                    <w:top w:val="single" w:color="auto" w:sz="12" w:space="0"/>
                    <w:tl2br w:val="nil"/>
                    <w:tr2bl w:val="nil"/>
                  </w:tcBorders>
                  <w:vAlign w:val="center"/>
                </w:tcPr>
                <w:p w14:paraId="014183A2">
                  <w:pPr>
                    <w:pStyle w:val="32"/>
                    <w:rPr>
                      <w:color w:val="auto"/>
                      <w:sz w:val="21"/>
                      <w:szCs w:val="21"/>
                    </w:rPr>
                  </w:pPr>
                  <w:r>
                    <w:rPr>
                      <w:color w:val="auto"/>
                      <w:sz w:val="21"/>
                      <w:szCs w:val="21"/>
                    </w:rPr>
                    <w:t>60</w:t>
                  </w:r>
                </w:p>
              </w:tc>
              <w:tc>
                <w:tcPr>
                  <w:tcW w:w="1128" w:type="dxa"/>
                  <w:tcBorders>
                    <w:top w:val="single" w:color="auto" w:sz="12" w:space="0"/>
                    <w:tl2br w:val="nil"/>
                    <w:tr2bl w:val="nil"/>
                  </w:tcBorders>
                  <w:vAlign w:val="center"/>
                </w:tcPr>
                <w:p w14:paraId="383EAA19">
                  <w:pPr>
                    <w:pStyle w:val="32"/>
                    <w:rPr>
                      <w:rFonts w:hint="default" w:eastAsia="宋体"/>
                      <w:color w:val="auto"/>
                      <w:sz w:val="21"/>
                      <w:szCs w:val="21"/>
                      <w:lang w:val="en-US" w:eastAsia="zh-CN"/>
                    </w:rPr>
                  </w:pPr>
                  <w:r>
                    <w:rPr>
                      <w:rFonts w:hint="eastAsia"/>
                      <w:color w:val="auto"/>
                      <w:sz w:val="21"/>
                      <w:szCs w:val="21"/>
                      <w:lang w:val="en-US" w:eastAsia="zh-CN"/>
                    </w:rPr>
                    <w:t>11.67</w:t>
                  </w:r>
                </w:p>
              </w:tc>
              <w:tc>
                <w:tcPr>
                  <w:tcW w:w="874" w:type="dxa"/>
                  <w:tcBorders>
                    <w:top w:val="single" w:color="auto" w:sz="12" w:space="0"/>
                    <w:tl2br w:val="nil"/>
                    <w:tr2bl w:val="nil"/>
                  </w:tcBorders>
                  <w:vAlign w:val="center"/>
                </w:tcPr>
                <w:p w14:paraId="094A24B3">
                  <w:pPr>
                    <w:pStyle w:val="32"/>
                    <w:rPr>
                      <w:color w:val="auto"/>
                      <w:sz w:val="21"/>
                      <w:szCs w:val="21"/>
                    </w:rPr>
                  </w:pPr>
                  <w:r>
                    <w:rPr>
                      <w:color w:val="auto"/>
                      <w:sz w:val="21"/>
                      <w:szCs w:val="21"/>
                    </w:rPr>
                    <w:t>达标</w:t>
                  </w:r>
                </w:p>
              </w:tc>
            </w:tr>
            <w:tr w14:paraId="748C527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61F9BB48">
                  <w:pPr>
                    <w:pStyle w:val="32"/>
                    <w:rPr>
                      <w:color w:val="auto"/>
                      <w:sz w:val="21"/>
                      <w:szCs w:val="21"/>
                    </w:rPr>
                  </w:pPr>
                  <w:r>
                    <w:rPr>
                      <w:color w:val="auto"/>
                      <w:sz w:val="21"/>
                      <w:szCs w:val="21"/>
                    </w:rPr>
                    <w:t>NO</w:t>
                  </w:r>
                  <w:r>
                    <w:rPr>
                      <w:color w:val="auto"/>
                      <w:sz w:val="21"/>
                      <w:szCs w:val="21"/>
                      <w:vertAlign w:val="subscript"/>
                    </w:rPr>
                    <w:t>2</w:t>
                  </w:r>
                </w:p>
              </w:tc>
              <w:tc>
                <w:tcPr>
                  <w:tcW w:w="3311" w:type="dxa"/>
                  <w:tcBorders>
                    <w:tl2br w:val="nil"/>
                    <w:tr2bl w:val="nil"/>
                  </w:tcBorders>
                  <w:vAlign w:val="center"/>
                </w:tcPr>
                <w:p w14:paraId="299F2D61">
                  <w:pPr>
                    <w:pStyle w:val="32"/>
                    <w:rPr>
                      <w:color w:val="auto"/>
                      <w:sz w:val="21"/>
                      <w:szCs w:val="21"/>
                    </w:rPr>
                  </w:pPr>
                  <w:r>
                    <w:rPr>
                      <w:color w:val="auto"/>
                      <w:sz w:val="21"/>
                      <w:szCs w:val="21"/>
                    </w:rPr>
                    <w:t>年平均</w:t>
                  </w:r>
                  <w:r>
                    <w:rPr>
                      <w:rFonts w:hint="eastAsia"/>
                      <w:color w:val="auto"/>
                      <w:sz w:val="21"/>
                      <w:szCs w:val="21"/>
                    </w:rPr>
                    <w:t>(μg/m)</w:t>
                  </w:r>
                </w:p>
              </w:tc>
              <w:tc>
                <w:tcPr>
                  <w:tcW w:w="914" w:type="dxa"/>
                  <w:tcBorders>
                    <w:tl2br w:val="nil"/>
                    <w:tr2bl w:val="nil"/>
                  </w:tcBorders>
                  <w:vAlign w:val="center"/>
                </w:tcPr>
                <w:p w14:paraId="33512012">
                  <w:pPr>
                    <w:pStyle w:val="32"/>
                    <w:rPr>
                      <w:rFonts w:hint="default" w:eastAsia="宋体"/>
                      <w:color w:val="auto"/>
                      <w:sz w:val="21"/>
                      <w:szCs w:val="21"/>
                      <w:lang w:val="en-US" w:eastAsia="zh-CN"/>
                    </w:rPr>
                  </w:pPr>
                  <w:r>
                    <w:rPr>
                      <w:rFonts w:hint="eastAsia"/>
                      <w:color w:val="auto"/>
                      <w:sz w:val="21"/>
                      <w:szCs w:val="21"/>
                      <w:lang w:val="en-US" w:eastAsia="zh-CN"/>
                    </w:rPr>
                    <w:t>10</w:t>
                  </w:r>
                </w:p>
              </w:tc>
              <w:tc>
                <w:tcPr>
                  <w:tcW w:w="992" w:type="dxa"/>
                  <w:tcBorders>
                    <w:tl2br w:val="nil"/>
                    <w:tr2bl w:val="nil"/>
                  </w:tcBorders>
                  <w:vAlign w:val="center"/>
                </w:tcPr>
                <w:p w14:paraId="6EA3B5E4">
                  <w:pPr>
                    <w:pStyle w:val="32"/>
                    <w:rPr>
                      <w:color w:val="auto"/>
                      <w:sz w:val="21"/>
                      <w:szCs w:val="21"/>
                    </w:rPr>
                  </w:pPr>
                  <w:r>
                    <w:rPr>
                      <w:color w:val="auto"/>
                      <w:sz w:val="21"/>
                      <w:szCs w:val="21"/>
                    </w:rPr>
                    <w:t>40</w:t>
                  </w:r>
                </w:p>
              </w:tc>
              <w:tc>
                <w:tcPr>
                  <w:tcW w:w="1128" w:type="dxa"/>
                  <w:tcBorders>
                    <w:tl2br w:val="nil"/>
                    <w:tr2bl w:val="nil"/>
                  </w:tcBorders>
                  <w:vAlign w:val="center"/>
                </w:tcPr>
                <w:p w14:paraId="63FE49EE">
                  <w:pPr>
                    <w:pStyle w:val="32"/>
                    <w:rPr>
                      <w:color w:val="auto"/>
                      <w:sz w:val="21"/>
                      <w:szCs w:val="21"/>
                    </w:rPr>
                  </w:pPr>
                  <w:r>
                    <w:rPr>
                      <w:rFonts w:hint="eastAsia"/>
                      <w:color w:val="auto"/>
                      <w:sz w:val="21"/>
                      <w:szCs w:val="21"/>
                      <w:lang w:val="en-US" w:eastAsia="zh-CN"/>
                    </w:rPr>
                    <w:t>2</w:t>
                  </w:r>
                  <w:r>
                    <w:rPr>
                      <w:rFonts w:hint="eastAsia"/>
                      <w:color w:val="auto"/>
                      <w:sz w:val="21"/>
                      <w:szCs w:val="21"/>
                    </w:rPr>
                    <w:t>5</w:t>
                  </w:r>
                </w:p>
              </w:tc>
              <w:tc>
                <w:tcPr>
                  <w:tcW w:w="874" w:type="dxa"/>
                  <w:tcBorders>
                    <w:tl2br w:val="nil"/>
                    <w:tr2bl w:val="nil"/>
                  </w:tcBorders>
                  <w:vAlign w:val="center"/>
                </w:tcPr>
                <w:p w14:paraId="69DD64FC">
                  <w:pPr>
                    <w:pStyle w:val="32"/>
                    <w:rPr>
                      <w:color w:val="auto"/>
                      <w:sz w:val="21"/>
                      <w:szCs w:val="21"/>
                    </w:rPr>
                  </w:pPr>
                  <w:r>
                    <w:rPr>
                      <w:color w:val="auto"/>
                      <w:sz w:val="21"/>
                      <w:szCs w:val="21"/>
                    </w:rPr>
                    <w:t>达标</w:t>
                  </w:r>
                </w:p>
              </w:tc>
            </w:tr>
            <w:tr w14:paraId="2CB7CF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56E32F58">
                  <w:pPr>
                    <w:pStyle w:val="32"/>
                    <w:rPr>
                      <w:color w:val="auto"/>
                      <w:sz w:val="21"/>
                      <w:szCs w:val="21"/>
                    </w:rPr>
                  </w:pPr>
                  <w:r>
                    <w:rPr>
                      <w:color w:val="auto"/>
                      <w:sz w:val="21"/>
                      <w:szCs w:val="21"/>
                    </w:rPr>
                    <w:t>PM</w:t>
                  </w:r>
                  <w:r>
                    <w:rPr>
                      <w:color w:val="auto"/>
                      <w:sz w:val="21"/>
                      <w:szCs w:val="21"/>
                      <w:vertAlign w:val="subscript"/>
                    </w:rPr>
                    <w:t>10</w:t>
                  </w:r>
                </w:p>
              </w:tc>
              <w:tc>
                <w:tcPr>
                  <w:tcW w:w="3311" w:type="dxa"/>
                  <w:tcBorders>
                    <w:tl2br w:val="nil"/>
                    <w:tr2bl w:val="nil"/>
                  </w:tcBorders>
                  <w:vAlign w:val="center"/>
                </w:tcPr>
                <w:p w14:paraId="7C51F6D0">
                  <w:pPr>
                    <w:pStyle w:val="32"/>
                    <w:rPr>
                      <w:color w:val="auto"/>
                      <w:sz w:val="21"/>
                      <w:szCs w:val="21"/>
                    </w:rPr>
                  </w:pPr>
                  <w:r>
                    <w:rPr>
                      <w:color w:val="auto"/>
                      <w:sz w:val="21"/>
                      <w:szCs w:val="21"/>
                    </w:rPr>
                    <w:t>年平均</w:t>
                  </w:r>
                  <w:r>
                    <w:rPr>
                      <w:rFonts w:hint="eastAsia"/>
                      <w:color w:val="auto"/>
                      <w:sz w:val="21"/>
                      <w:szCs w:val="21"/>
                    </w:rPr>
                    <w:t>(μg/m)</w:t>
                  </w:r>
                </w:p>
              </w:tc>
              <w:tc>
                <w:tcPr>
                  <w:tcW w:w="914" w:type="dxa"/>
                  <w:tcBorders>
                    <w:tl2br w:val="nil"/>
                    <w:tr2bl w:val="nil"/>
                  </w:tcBorders>
                  <w:vAlign w:val="center"/>
                </w:tcPr>
                <w:p w14:paraId="66D003FF">
                  <w:pPr>
                    <w:pStyle w:val="32"/>
                    <w:rPr>
                      <w:rFonts w:hint="default" w:eastAsia="宋体"/>
                      <w:color w:val="auto"/>
                      <w:sz w:val="21"/>
                      <w:szCs w:val="21"/>
                      <w:lang w:val="en-US" w:eastAsia="zh-CN"/>
                    </w:rPr>
                  </w:pPr>
                  <w:r>
                    <w:rPr>
                      <w:rFonts w:hint="eastAsia"/>
                      <w:color w:val="auto"/>
                      <w:sz w:val="21"/>
                      <w:szCs w:val="21"/>
                      <w:lang w:val="en-US" w:eastAsia="zh-CN"/>
                    </w:rPr>
                    <w:t>29</w:t>
                  </w:r>
                </w:p>
              </w:tc>
              <w:tc>
                <w:tcPr>
                  <w:tcW w:w="992" w:type="dxa"/>
                  <w:tcBorders>
                    <w:tl2br w:val="nil"/>
                    <w:tr2bl w:val="nil"/>
                  </w:tcBorders>
                  <w:vAlign w:val="center"/>
                </w:tcPr>
                <w:p w14:paraId="62E09E2C">
                  <w:pPr>
                    <w:pStyle w:val="32"/>
                    <w:rPr>
                      <w:color w:val="auto"/>
                      <w:sz w:val="21"/>
                      <w:szCs w:val="21"/>
                    </w:rPr>
                  </w:pPr>
                  <w:r>
                    <w:rPr>
                      <w:rFonts w:hint="eastAsia"/>
                      <w:color w:val="auto"/>
                      <w:sz w:val="21"/>
                      <w:szCs w:val="21"/>
                    </w:rPr>
                    <w:t>70</w:t>
                  </w:r>
                </w:p>
              </w:tc>
              <w:tc>
                <w:tcPr>
                  <w:tcW w:w="1128" w:type="dxa"/>
                  <w:tcBorders>
                    <w:tl2br w:val="nil"/>
                    <w:tr2bl w:val="nil"/>
                  </w:tcBorders>
                  <w:vAlign w:val="center"/>
                </w:tcPr>
                <w:p w14:paraId="0EBBF723">
                  <w:pPr>
                    <w:pStyle w:val="32"/>
                    <w:rPr>
                      <w:rFonts w:hint="default" w:eastAsia="宋体"/>
                      <w:color w:val="auto"/>
                      <w:sz w:val="21"/>
                      <w:szCs w:val="21"/>
                      <w:lang w:val="en-US" w:eastAsia="zh-CN"/>
                    </w:rPr>
                  </w:pPr>
                  <w:r>
                    <w:rPr>
                      <w:rFonts w:hint="eastAsia"/>
                      <w:color w:val="auto"/>
                      <w:sz w:val="21"/>
                      <w:szCs w:val="21"/>
                      <w:lang w:val="en-US" w:eastAsia="zh-CN"/>
                    </w:rPr>
                    <w:t>41.43</w:t>
                  </w:r>
                </w:p>
              </w:tc>
              <w:tc>
                <w:tcPr>
                  <w:tcW w:w="874" w:type="dxa"/>
                  <w:tcBorders>
                    <w:tl2br w:val="nil"/>
                    <w:tr2bl w:val="nil"/>
                  </w:tcBorders>
                  <w:vAlign w:val="center"/>
                </w:tcPr>
                <w:p w14:paraId="4B9D18A5">
                  <w:pPr>
                    <w:pStyle w:val="32"/>
                    <w:rPr>
                      <w:color w:val="auto"/>
                      <w:sz w:val="21"/>
                      <w:szCs w:val="21"/>
                    </w:rPr>
                  </w:pPr>
                  <w:r>
                    <w:rPr>
                      <w:color w:val="auto"/>
                      <w:sz w:val="21"/>
                      <w:szCs w:val="21"/>
                    </w:rPr>
                    <w:t>达标</w:t>
                  </w:r>
                </w:p>
              </w:tc>
            </w:tr>
            <w:tr w14:paraId="5A794A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07BE2562">
                  <w:pPr>
                    <w:pStyle w:val="32"/>
                    <w:rPr>
                      <w:color w:val="auto"/>
                      <w:sz w:val="21"/>
                      <w:szCs w:val="21"/>
                    </w:rPr>
                  </w:pPr>
                  <w:r>
                    <w:rPr>
                      <w:color w:val="auto"/>
                      <w:sz w:val="21"/>
                      <w:szCs w:val="21"/>
                    </w:rPr>
                    <w:t>PM</w:t>
                  </w:r>
                  <w:r>
                    <w:rPr>
                      <w:color w:val="auto"/>
                      <w:sz w:val="21"/>
                      <w:szCs w:val="21"/>
                      <w:vertAlign w:val="subscript"/>
                    </w:rPr>
                    <w:t>2.5</w:t>
                  </w:r>
                </w:p>
              </w:tc>
              <w:tc>
                <w:tcPr>
                  <w:tcW w:w="3311" w:type="dxa"/>
                  <w:tcBorders>
                    <w:tl2br w:val="nil"/>
                    <w:tr2bl w:val="nil"/>
                  </w:tcBorders>
                  <w:vAlign w:val="center"/>
                </w:tcPr>
                <w:p w14:paraId="194C67F7">
                  <w:pPr>
                    <w:pStyle w:val="32"/>
                    <w:rPr>
                      <w:color w:val="auto"/>
                      <w:sz w:val="21"/>
                      <w:szCs w:val="21"/>
                    </w:rPr>
                  </w:pPr>
                  <w:r>
                    <w:rPr>
                      <w:color w:val="auto"/>
                      <w:sz w:val="21"/>
                      <w:szCs w:val="21"/>
                    </w:rPr>
                    <w:t>年平均</w:t>
                  </w:r>
                  <w:r>
                    <w:rPr>
                      <w:rFonts w:hint="eastAsia"/>
                      <w:color w:val="auto"/>
                      <w:sz w:val="21"/>
                      <w:szCs w:val="21"/>
                    </w:rPr>
                    <w:t>(μg/m)</w:t>
                  </w:r>
                </w:p>
              </w:tc>
              <w:tc>
                <w:tcPr>
                  <w:tcW w:w="914" w:type="dxa"/>
                  <w:tcBorders>
                    <w:tl2br w:val="nil"/>
                    <w:tr2bl w:val="nil"/>
                  </w:tcBorders>
                  <w:vAlign w:val="center"/>
                </w:tcPr>
                <w:p w14:paraId="5F2F0E62">
                  <w:pPr>
                    <w:pStyle w:val="32"/>
                    <w:rPr>
                      <w:rFonts w:hint="eastAsia" w:eastAsia="宋体"/>
                      <w:color w:val="auto"/>
                      <w:sz w:val="21"/>
                      <w:szCs w:val="21"/>
                      <w:lang w:eastAsia="zh-CN"/>
                    </w:rPr>
                  </w:pPr>
                  <w:r>
                    <w:rPr>
                      <w:rFonts w:hint="eastAsia"/>
                      <w:color w:val="auto"/>
                      <w:sz w:val="21"/>
                      <w:szCs w:val="21"/>
                      <w:lang w:val="en-US" w:eastAsia="zh-CN"/>
                    </w:rPr>
                    <w:t>9</w:t>
                  </w:r>
                </w:p>
              </w:tc>
              <w:tc>
                <w:tcPr>
                  <w:tcW w:w="992" w:type="dxa"/>
                  <w:tcBorders>
                    <w:tl2br w:val="nil"/>
                    <w:tr2bl w:val="nil"/>
                  </w:tcBorders>
                  <w:vAlign w:val="center"/>
                </w:tcPr>
                <w:p w14:paraId="65F9D5BA">
                  <w:pPr>
                    <w:pStyle w:val="32"/>
                    <w:rPr>
                      <w:color w:val="auto"/>
                      <w:sz w:val="21"/>
                      <w:szCs w:val="21"/>
                    </w:rPr>
                  </w:pPr>
                  <w:r>
                    <w:rPr>
                      <w:color w:val="auto"/>
                      <w:sz w:val="21"/>
                      <w:szCs w:val="21"/>
                    </w:rPr>
                    <w:t>35</w:t>
                  </w:r>
                </w:p>
              </w:tc>
              <w:tc>
                <w:tcPr>
                  <w:tcW w:w="1128" w:type="dxa"/>
                  <w:tcBorders>
                    <w:tl2br w:val="nil"/>
                    <w:tr2bl w:val="nil"/>
                  </w:tcBorders>
                  <w:vAlign w:val="center"/>
                </w:tcPr>
                <w:p w14:paraId="6595CE58">
                  <w:pPr>
                    <w:pStyle w:val="32"/>
                    <w:rPr>
                      <w:rFonts w:hint="default" w:eastAsia="宋体"/>
                      <w:color w:val="auto"/>
                      <w:sz w:val="21"/>
                      <w:szCs w:val="21"/>
                      <w:lang w:val="en-US" w:eastAsia="zh-CN"/>
                    </w:rPr>
                  </w:pPr>
                  <w:r>
                    <w:rPr>
                      <w:rFonts w:hint="eastAsia"/>
                      <w:color w:val="auto"/>
                      <w:sz w:val="21"/>
                      <w:szCs w:val="21"/>
                      <w:lang w:val="en-US" w:eastAsia="zh-CN"/>
                    </w:rPr>
                    <w:t>25.71</w:t>
                  </w:r>
                </w:p>
              </w:tc>
              <w:tc>
                <w:tcPr>
                  <w:tcW w:w="874" w:type="dxa"/>
                  <w:tcBorders>
                    <w:tl2br w:val="nil"/>
                    <w:tr2bl w:val="nil"/>
                  </w:tcBorders>
                  <w:vAlign w:val="center"/>
                </w:tcPr>
                <w:p w14:paraId="1594B687">
                  <w:pPr>
                    <w:pStyle w:val="32"/>
                    <w:rPr>
                      <w:color w:val="auto"/>
                      <w:sz w:val="21"/>
                      <w:szCs w:val="21"/>
                    </w:rPr>
                  </w:pPr>
                  <w:r>
                    <w:rPr>
                      <w:color w:val="auto"/>
                      <w:sz w:val="21"/>
                      <w:szCs w:val="21"/>
                    </w:rPr>
                    <w:t>达标</w:t>
                  </w:r>
                </w:p>
              </w:tc>
            </w:tr>
            <w:tr w14:paraId="7FF323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1F64493F">
                  <w:pPr>
                    <w:pStyle w:val="32"/>
                    <w:rPr>
                      <w:color w:val="auto"/>
                      <w:sz w:val="21"/>
                      <w:szCs w:val="21"/>
                    </w:rPr>
                  </w:pPr>
                  <w:r>
                    <w:rPr>
                      <w:rFonts w:hint="eastAsia"/>
                      <w:color w:val="auto"/>
                      <w:sz w:val="21"/>
                      <w:szCs w:val="21"/>
                    </w:rPr>
                    <w:t>CO</w:t>
                  </w:r>
                </w:p>
              </w:tc>
              <w:tc>
                <w:tcPr>
                  <w:tcW w:w="3311" w:type="dxa"/>
                  <w:tcBorders>
                    <w:tl2br w:val="nil"/>
                    <w:tr2bl w:val="nil"/>
                  </w:tcBorders>
                  <w:vAlign w:val="center"/>
                </w:tcPr>
                <w:p w14:paraId="4CC8B6D8">
                  <w:pPr>
                    <w:pStyle w:val="32"/>
                    <w:rPr>
                      <w:color w:val="auto"/>
                      <w:sz w:val="21"/>
                      <w:szCs w:val="21"/>
                    </w:rPr>
                  </w:pPr>
                  <w:r>
                    <w:rPr>
                      <w:rFonts w:hint="eastAsia"/>
                      <w:color w:val="auto"/>
                      <w:sz w:val="21"/>
                      <w:szCs w:val="21"/>
                    </w:rPr>
                    <w:t>24小时平均第95百分位数(mg/m')</w:t>
                  </w:r>
                </w:p>
              </w:tc>
              <w:tc>
                <w:tcPr>
                  <w:tcW w:w="914" w:type="dxa"/>
                  <w:tcBorders>
                    <w:tl2br w:val="nil"/>
                    <w:tr2bl w:val="nil"/>
                  </w:tcBorders>
                  <w:vAlign w:val="center"/>
                </w:tcPr>
                <w:p w14:paraId="7FD13339">
                  <w:pPr>
                    <w:pStyle w:val="32"/>
                    <w:rPr>
                      <w:rFonts w:hint="default" w:eastAsia="宋体"/>
                      <w:color w:val="auto"/>
                      <w:sz w:val="21"/>
                      <w:szCs w:val="21"/>
                      <w:lang w:val="en-US" w:eastAsia="zh-CN"/>
                    </w:rPr>
                  </w:pPr>
                  <w:r>
                    <w:rPr>
                      <w:rFonts w:hint="eastAsia"/>
                      <w:color w:val="auto"/>
                      <w:sz w:val="21"/>
                      <w:szCs w:val="21"/>
                      <w:lang w:val="en-US" w:eastAsia="zh-CN"/>
                    </w:rPr>
                    <w:t>0.6</w:t>
                  </w:r>
                </w:p>
              </w:tc>
              <w:tc>
                <w:tcPr>
                  <w:tcW w:w="992" w:type="dxa"/>
                  <w:tcBorders>
                    <w:tl2br w:val="nil"/>
                    <w:tr2bl w:val="nil"/>
                  </w:tcBorders>
                  <w:vAlign w:val="center"/>
                </w:tcPr>
                <w:p w14:paraId="2F88CE60">
                  <w:pPr>
                    <w:pStyle w:val="32"/>
                    <w:rPr>
                      <w:color w:val="auto"/>
                      <w:sz w:val="21"/>
                      <w:szCs w:val="21"/>
                    </w:rPr>
                  </w:pPr>
                  <w:r>
                    <w:rPr>
                      <w:rFonts w:hint="eastAsia"/>
                      <w:color w:val="auto"/>
                      <w:sz w:val="21"/>
                      <w:szCs w:val="21"/>
                    </w:rPr>
                    <w:t>4</w:t>
                  </w:r>
                </w:p>
              </w:tc>
              <w:tc>
                <w:tcPr>
                  <w:tcW w:w="1128" w:type="dxa"/>
                  <w:tcBorders>
                    <w:tl2br w:val="nil"/>
                    <w:tr2bl w:val="nil"/>
                  </w:tcBorders>
                  <w:vAlign w:val="center"/>
                </w:tcPr>
                <w:p w14:paraId="7063187A">
                  <w:pPr>
                    <w:pStyle w:val="32"/>
                    <w:rPr>
                      <w:rFonts w:hint="default" w:eastAsia="宋体"/>
                      <w:color w:val="auto"/>
                      <w:sz w:val="21"/>
                      <w:szCs w:val="21"/>
                      <w:lang w:val="en-US" w:eastAsia="zh-CN"/>
                    </w:rPr>
                  </w:pPr>
                  <w:r>
                    <w:rPr>
                      <w:rFonts w:hint="eastAsia"/>
                      <w:color w:val="auto"/>
                      <w:sz w:val="21"/>
                      <w:szCs w:val="21"/>
                      <w:lang w:val="en-US" w:eastAsia="zh-CN"/>
                    </w:rPr>
                    <w:t>15</w:t>
                  </w:r>
                </w:p>
              </w:tc>
              <w:tc>
                <w:tcPr>
                  <w:tcW w:w="874" w:type="dxa"/>
                  <w:tcBorders>
                    <w:tl2br w:val="nil"/>
                    <w:tr2bl w:val="nil"/>
                  </w:tcBorders>
                  <w:vAlign w:val="center"/>
                </w:tcPr>
                <w:p w14:paraId="2B820D6A">
                  <w:pPr>
                    <w:pStyle w:val="32"/>
                    <w:rPr>
                      <w:color w:val="auto"/>
                      <w:sz w:val="21"/>
                      <w:szCs w:val="21"/>
                    </w:rPr>
                  </w:pPr>
                  <w:r>
                    <w:rPr>
                      <w:color w:val="auto"/>
                      <w:sz w:val="21"/>
                      <w:szCs w:val="21"/>
                    </w:rPr>
                    <w:t>达标</w:t>
                  </w:r>
                </w:p>
              </w:tc>
            </w:tr>
            <w:tr w14:paraId="55F11C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1" w:hRule="atLeast"/>
                <w:jc w:val="center"/>
              </w:trPr>
              <w:tc>
                <w:tcPr>
                  <w:tcW w:w="831" w:type="dxa"/>
                  <w:tcBorders>
                    <w:tl2br w:val="nil"/>
                    <w:tr2bl w:val="nil"/>
                  </w:tcBorders>
                  <w:vAlign w:val="center"/>
                </w:tcPr>
                <w:p w14:paraId="0B904F6C">
                  <w:pPr>
                    <w:pStyle w:val="32"/>
                    <w:rPr>
                      <w:color w:val="auto"/>
                      <w:sz w:val="21"/>
                      <w:szCs w:val="21"/>
                    </w:rPr>
                  </w:pPr>
                  <w:r>
                    <w:rPr>
                      <w:color w:val="auto"/>
                      <w:sz w:val="21"/>
                      <w:szCs w:val="21"/>
                    </w:rPr>
                    <w:t>O3</w:t>
                  </w:r>
                </w:p>
              </w:tc>
              <w:tc>
                <w:tcPr>
                  <w:tcW w:w="3311" w:type="dxa"/>
                  <w:tcBorders>
                    <w:tl2br w:val="nil"/>
                    <w:tr2bl w:val="nil"/>
                  </w:tcBorders>
                  <w:vAlign w:val="center"/>
                </w:tcPr>
                <w:p w14:paraId="0D0A1628">
                  <w:pPr>
                    <w:pStyle w:val="32"/>
                    <w:rPr>
                      <w:color w:val="auto"/>
                      <w:sz w:val="21"/>
                      <w:szCs w:val="21"/>
                    </w:rPr>
                  </w:pPr>
                  <w:r>
                    <w:rPr>
                      <w:rFonts w:hint="eastAsia"/>
                      <w:color w:val="auto"/>
                      <w:sz w:val="21"/>
                      <w:szCs w:val="21"/>
                    </w:rPr>
                    <w:t>8小时平均第90百分位数(μg/m)。</w:t>
                  </w:r>
                </w:p>
              </w:tc>
              <w:tc>
                <w:tcPr>
                  <w:tcW w:w="914" w:type="dxa"/>
                  <w:tcBorders>
                    <w:tl2br w:val="nil"/>
                    <w:tr2bl w:val="nil"/>
                  </w:tcBorders>
                  <w:vAlign w:val="center"/>
                </w:tcPr>
                <w:p w14:paraId="6676C169">
                  <w:pPr>
                    <w:pStyle w:val="32"/>
                    <w:rPr>
                      <w:rFonts w:hint="default" w:eastAsia="宋体"/>
                      <w:color w:val="auto"/>
                      <w:sz w:val="21"/>
                      <w:szCs w:val="21"/>
                      <w:lang w:val="en-US" w:eastAsia="zh-CN"/>
                    </w:rPr>
                  </w:pPr>
                  <w:r>
                    <w:rPr>
                      <w:rFonts w:hint="eastAsia"/>
                      <w:color w:val="auto"/>
                      <w:sz w:val="21"/>
                      <w:szCs w:val="21"/>
                      <w:lang w:val="en-US" w:eastAsia="zh-CN"/>
                    </w:rPr>
                    <w:t>88</w:t>
                  </w:r>
                </w:p>
              </w:tc>
              <w:tc>
                <w:tcPr>
                  <w:tcW w:w="992" w:type="dxa"/>
                  <w:tcBorders>
                    <w:tl2br w:val="nil"/>
                    <w:tr2bl w:val="nil"/>
                  </w:tcBorders>
                  <w:vAlign w:val="center"/>
                </w:tcPr>
                <w:p w14:paraId="78F79936">
                  <w:pPr>
                    <w:pStyle w:val="32"/>
                    <w:rPr>
                      <w:color w:val="auto"/>
                      <w:sz w:val="21"/>
                      <w:szCs w:val="21"/>
                    </w:rPr>
                  </w:pPr>
                  <w:r>
                    <w:rPr>
                      <w:color w:val="auto"/>
                      <w:sz w:val="21"/>
                      <w:szCs w:val="21"/>
                    </w:rPr>
                    <w:t>160</w:t>
                  </w:r>
                </w:p>
              </w:tc>
              <w:tc>
                <w:tcPr>
                  <w:tcW w:w="1128" w:type="dxa"/>
                  <w:tcBorders>
                    <w:tl2br w:val="nil"/>
                    <w:tr2bl w:val="nil"/>
                  </w:tcBorders>
                  <w:vAlign w:val="center"/>
                </w:tcPr>
                <w:p w14:paraId="08702F22">
                  <w:pPr>
                    <w:pStyle w:val="32"/>
                    <w:rPr>
                      <w:rFonts w:hint="default" w:eastAsia="宋体"/>
                      <w:color w:val="auto"/>
                      <w:sz w:val="21"/>
                      <w:szCs w:val="21"/>
                      <w:lang w:val="en-US" w:eastAsia="zh-CN"/>
                    </w:rPr>
                  </w:pPr>
                  <w:r>
                    <w:rPr>
                      <w:rFonts w:hint="eastAsia"/>
                      <w:color w:val="auto"/>
                      <w:sz w:val="21"/>
                      <w:szCs w:val="21"/>
                      <w:lang w:val="en-US" w:eastAsia="zh-CN"/>
                    </w:rPr>
                    <w:t>55</w:t>
                  </w:r>
                </w:p>
              </w:tc>
              <w:tc>
                <w:tcPr>
                  <w:tcW w:w="874" w:type="dxa"/>
                  <w:tcBorders>
                    <w:tl2br w:val="nil"/>
                    <w:tr2bl w:val="nil"/>
                  </w:tcBorders>
                  <w:vAlign w:val="center"/>
                </w:tcPr>
                <w:p w14:paraId="26DA456B">
                  <w:pPr>
                    <w:pStyle w:val="32"/>
                    <w:rPr>
                      <w:color w:val="auto"/>
                      <w:sz w:val="21"/>
                      <w:szCs w:val="21"/>
                    </w:rPr>
                  </w:pPr>
                  <w:r>
                    <w:rPr>
                      <w:color w:val="auto"/>
                      <w:sz w:val="21"/>
                      <w:szCs w:val="21"/>
                    </w:rPr>
                    <w:t>达标</w:t>
                  </w:r>
                </w:p>
              </w:tc>
            </w:tr>
          </w:tbl>
          <w:p w14:paraId="269C617F">
            <w:pPr>
              <w:pStyle w:val="30"/>
              <w:spacing w:line="360" w:lineRule="auto"/>
              <w:ind w:firstLine="48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项目所在区域木垒县202</w:t>
            </w:r>
            <w:r>
              <w:rPr>
                <w:rFonts w:hint="eastAsia"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年SO</w:t>
            </w:r>
            <w:r>
              <w:rPr>
                <w:rFonts w:hint="eastAsia" w:ascii="Times New Roman" w:hAnsi="Times New Roman" w:eastAsia="宋体" w:cs="Times New Roman"/>
                <w:color w:val="auto"/>
                <w:kern w:val="0"/>
                <w:sz w:val="24"/>
                <w:szCs w:val="24"/>
                <w:vertAlign w:val="subscript"/>
                <w:lang w:val="en-US" w:eastAsia="zh-CN" w:bidi="ar-SA"/>
              </w:rPr>
              <w:t>2</w:t>
            </w:r>
            <w:r>
              <w:rPr>
                <w:rFonts w:hint="eastAsia" w:ascii="Times New Roman" w:hAnsi="Times New Roman" w:eastAsia="宋体" w:cs="Times New Roman"/>
                <w:color w:val="auto"/>
                <w:kern w:val="0"/>
                <w:sz w:val="24"/>
                <w:szCs w:val="24"/>
                <w:lang w:val="en-US" w:eastAsia="zh-CN" w:bidi="ar-SA"/>
              </w:rPr>
              <w:t>、NO</w:t>
            </w:r>
            <w:r>
              <w:rPr>
                <w:rFonts w:hint="eastAsia" w:ascii="Times New Roman" w:hAnsi="Times New Roman" w:eastAsia="宋体" w:cs="Times New Roman"/>
                <w:color w:val="auto"/>
                <w:kern w:val="0"/>
                <w:sz w:val="24"/>
                <w:szCs w:val="24"/>
                <w:vertAlign w:val="subscript"/>
                <w:lang w:val="en-US" w:eastAsia="zh-CN" w:bidi="ar-SA"/>
              </w:rPr>
              <w:t>2</w:t>
            </w:r>
            <w:r>
              <w:rPr>
                <w:rFonts w:hint="eastAsia" w:ascii="Times New Roman" w:hAnsi="Times New Roman" w:eastAsia="宋体" w:cs="Times New Roman"/>
                <w:color w:val="auto"/>
                <w:kern w:val="0"/>
                <w:sz w:val="24"/>
                <w:szCs w:val="24"/>
                <w:lang w:val="en-US" w:eastAsia="zh-CN" w:bidi="ar-SA"/>
              </w:rPr>
              <w:t>、PM</w:t>
            </w:r>
            <w:r>
              <w:rPr>
                <w:rFonts w:hint="eastAsia" w:ascii="Times New Roman" w:hAnsi="Times New Roman" w:eastAsia="宋体" w:cs="Times New Roman"/>
                <w:color w:val="auto"/>
                <w:kern w:val="0"/>
                <w:sz w:val="24"/>
                <w:szCs w:val="24"/>
                <w:vertAlign w:val="subscript"/>
                <w:lang w:val="en-US" w:eastAsia="zh-CN" w:bidi="ar-SA"/>
              </w:rPr>
              <w:t>2.5</w:t>
            </w:r>
            <w:r>
              <w:rPr>
                <w:rFonts w:hint="eastAsia" w:ascii="Times New Roman" w:hAnsi="Times New Roman" w:eastAsia="宋体" w:cs="Times New Roman"/>
                <w:color w:val="auto"/>
                <w:kern w:val="0"/>
                <w:sz w:val="24"/>
                <w:szCs w:val="24"/>
                <w:lang w:val="en-US" w:eastAsia="zh-CN" w:bidi="ar-SA"/>
              </w:rPr>
              <w:t>、PM</w:t>
            </w:r>
            <w:r>
              <w:rPr>
                <w:rFonts w:hint="eastAsia" w:ascii="Times New Roman" w:hAnsi="Times New Roman" w:eastAsia="宋体" w:cs="Times New Roman"/>
                <w:color w:val="auto"/>
                <w:kern w:val="0"/>
                <w:sz w:val="24"/>
                <w:szCs w:val="24"/>
                <w:vertAlign w:val="subscript"/>
                <w:lang w:val="en-US" w:eastAsia="zh-CN" w:bidi="ar-SA"/>
              </w:rPr>
              <w:t>10</w:t>
            </w:r>
            <w:r>
              <w:rPr>
                <w:rFonts w:hint="eastAsia" w:ascii="Times New Roman" w:hAnsi="Times New Roman" w:eastAsia="宋体" w:cs="Times New Roman"/>
                <w:color w:val="auto"/>
                <w:kern w:val="0"/>
                <w:sz w:val="24"/>
                <w:szCs w:val="24"/>
                <w:lang w:val="en-US" w:eastAsia="zh-CN" w:bidi="ar-SA"/>
              </w:rPr>
              <w:t>年均浓度分别为</w:t>
            </w:r>
            <w:r>
              <w:rPr>
                <w:rFonts w:hint="eastAsia" w:cs="Times New Roman"/>
                <w:color w:val="auto"/>
                <w:kern w:val="0"/>
                <w:sz w:val="24"/>
                <w:szCs w:val="24"/>
                <w:lang w:val="en-US" w:eastAsia="zh-CN" w:bidi="ar-SA"/>
              </w:rPr>
              <w:t>7</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10</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9</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29</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；CO24小时平均第95百分位数为</w:t>
            </w:r>
            <w:r>
              <w:rPr>
                <w:rFonts w:hint="eastAsia" w:cs="Times New Roman"/>
                <w:color w:val="auto"/>
                <w:kern w:val="0"/>
                <w:sz w:val="24"/>
                <w:szCs w:val="24"/>
                <w:lang w:val="en-US" w:eastAsia="zh-CN" w:bidi="ar-SA"/>
              </w:rPr>
              <w:t>0.6</w:t>
            </w:r>
            <w:r>
              <w:rPr>
                <w:rFonts w:hint="eastAsia" w:ascii="Times New Roman" w:hAnsi="Times New Roman" w:eastAsia="宋体" w:cs="Times New Roman"/>
                <w:color w:val="auto"/>
                <w:kern w:val="0"/>
                <w:sz w:val="24"/>
                <w:szCs w:val="24"/>
                <w:lang w:val="en-US" w:eastAsia="zh-CN" w:bidi="ar-SA"/>
              </w:rPr>
              <w:t>mg/m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，O</w:t>
            </w:r>
            <w:r>
              <w:rPr>
                <w:rFonts w:hint="eastAsia" w:ascii="Times New Roman" w:hAnsi="Times New Roman" w:eastAsia="宋体" w:cs="Times New Roman"/>
                <w:color w:val="auto"/>
                <w:kern w:val="0"/>
                <w:sz w:val="24"/>
                <w:szCs w:val="24"/>
                <w:vertAlign w:val="subscript"/>
                <w:lang w:val="en-US" w:eastAsia="zh-CN" w:bidi="ar-SA"/>
              </w:rPr>
              <w:t>3</w:t>
            </w:r>
            <w:r>
              <w:rPr>
                <w:rFonts w:hint="eastAsia" w:ascii="Times New Roman" w:hAnsi="Times New Roman" w:eastAsia="宋体" w:cs="Times New Roman"/>
                <w:color w:val="auto"/>
                <w:kern w:val="0"/>
                <w:sz w:val="24"/>
                <w:szCs w:val="24"/>
                <w:lang w:val="en-US" w:eastAsia="zh-CN" w:bidi="ar-SA"/>
              </w:rPr>
              <w:t>日最大8小时平均第90百分位数为</w:t>
            </w:r>
            <w:r>
              <w:rPr>
                <w:rFonts w:hint="eastAsia" w:cs="Times New Roman"/>
                <w:color w:val="auto"/>
                <w:kern w:val="0"/>
                <w:sz w:val="24"/>
                <w:szCs w:val="24"/>
                <w:lang w:val="en-US" w:eastAsia="zh-CN" w:bidi="ar-SA"/>
              </w:rPr>
              <w:t>88</w:t>
            </w:r>
            <w:r>
              <w:rPr>
                <w:rFonts w:hint="eastAsia" w:ascii="Times New Roman" w:hAnsi="Times New Roman" w:eastAsia="宋体" w:cs="Times New Roman"/>
                <w:color w:val="auto"/>
                <w:kern w:val="0"/>
                <w:sz w:val="24"/>
                <w:szCs w:val="24"/>
                <w:lang w:val="en-US" w:eastAsia="zh-CN" w:bidi="ar-SA"/>
              </w:rPr>
              <w:t>µg/m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，各污染物平均浓度均满足《环境空气质量标准》(GB3095-2012</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及修改单中的二级标准。综上，本项目所在区域为达标区，区域环境空气质量良好。</w:t>
            </w:r>
          </w:p>
          <w:p w14:paraId="455E9C76">
            <w:pPr>
              <w:pStyle w:val="30"/>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b/>
                <w:bCs/>
                <w:color w:val="auto"/>
                <w:kern w:val="0"/>
                <w:sz w:val="24"/>
                <w:szCs w:val="24"/>
                <w:lang w:val="en-US" w:eastAsia="zh-CN" w:bidi="ar-SA"/>
              </w:rPr>
            </w:pPr>
            <w:r>
              <w:rPr>
                <w:rFonts w:hint="eastAsia" w:cs="Times New Roman"/>
                <w:b/>
                <w:bCs/>
                <w:color w:val="000000" w:themeColor="text1"/>
                <w:kern w:val="0"/>
                <w:sz w:val="24"/>
                <w:szCs w:val="24"/>
                <w:lang w:val="en-US" w:eastAsia="zh-CN" w:bidi="ar-SA"/>
                <w14:textFill>
                  <w14:solidFill>
                    <w14:schemeClr w14:val="tx1"/>
                  </w14:solidFill>
                </w14:textFill>
              </w:rPr>
              <w:t xml:space="preserve">1.5 </w:t>
            </w:r>
            <w:r>
              <w:rPr>
                <w:rFonts w:hint="eastAsia" w:cs="Times New Roman"/>
                <w:b/>
                <w:bCs/>
                <w:color w:val="auto"/>
                <w:kern w:val="0"/>
                <w:sz w:val="24"/>
                <w:szCs w:val="24"/>
                <w:lang w:val="en-US" w:eastAsia="zh-CN" w:bidi="ar-SA"/>
              </w:rPr>
              <w:t>其他污染物环境质量现状</w:t>
            </w:r>
          </w:p>
          <w:p w14:paraId="05A31A0D">
            <w:pPr>
              <w:pStyle w:val="3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rPr>
              <w:t>根据《建设项目环境影响报告表编制技术指南（污染影响类）》（试行），本项目环境空气污染物其他项目选取《环境空气质量标准》（GB3095-2012）表2中的TSP作为特征污染物来评价项目区域环境空气质量现状，</w:t>
            </w:r>
            <w:r>
              <w:rPr>
                <w:rFonts w:hint="default" w:ascii="Times New Roman" w:hAnsi="Times New Roman" w:eastAsia="宋体" w:cs="Times New Roman"/>
                <w:color w:val="auto"/>
                <w:kern w:val="2"/>
                <w:sz w:val="24"/>
                <w:szCs w:val="24"/>
                <w:lang w:val="en-US" w:eastAsia="zh-CN"/>
              </w:rPr>
              <w:t>本次评价委托</w:t>
            </w:r>
            <w:r>
              <w:rPr>
                <w:rFonts w:hint="eastAsia" w:ascii="Times New Roman" w:hAnsi="Times New Roman" w:eastAsia="宋体" w:cs="Times New Roman"/>
                <w:color w:val="auto"/>
                <w:kern w:val="2"/>
                <w:sz w:val="24"/>
                <w:szCs w:val="24"/>
              </w:rPr>
              <w:t>新疆</w:t>
            </w:r>
            <w:r>
              <w:rPr>
                <w:rFonts w:hint="eastAsia" w:ascii="Times New Roman" w:hAnsi="Times New Roman" w:eastAsia="宋体" w:cs="Times New Roman"/>
                <w:color w:val="auto"/>
                <w:kern w:val="2"/>
                <w:sz w:val="24"/>
                <w:szCs w:val="24"/>
                <w:lang w:val="en-US" w:eastAsia="zh-CN"/>
              </w:rPr>
              <w:t>锡水金山环境科技</w:t>
            </w:r>
            <w:r>
              <w:rPr>
                <w:rFonts w:hint="eastAsia" w:ascii="Times New Roman" w:hAnsi="Times New Roman" w:eastAsia="宋体" w:cs="Times New Roman"/>
                <w:color w:val="auto"/>
                <w:kern w:val="2"/>
                <w:sz w:val="24"/>
                <w:szCs w:val="24"/>
              </w:rPr>
              <w:t>有限公司</w:t>
            </w:r>
            <w:r>
              <w:rPr>
                <w:rFonts w:hint="default" w:ascii="Times New Roman" w:hAnsi="Times New Roman" w:eastAsia="宋体" w:cs="Times New Roman"/>
                <w:color w:val="auto"/>
                <w:kern w:val="2"/>
                <w:sz w:val="24"/>
                <w:szCs w:val="24"/>
                <w:lang w:val="en-US" w:eastAsia="zh-CN"/>
              </w:rPr>
              <w:t>进行现状监测，监测时间为202</w:t>
            </w:r>
            <w:r>
              <w:rPr>
                <w:rFonts w:hint="eastAsia" w:cs="Times New Roman"/>
                <w:color w:val="auto"/>
                <w:kern w:val="2"/>
                <w:sz w:val="24"/>
                <w:szCs w:val="24"/>
                <w:lang w:val="en-US" w:eastAsia="zh-CN"/>
              </w:rPr>
              <w:t>4</w:t>
            </w:r>
            <w:r>
              <w:rPr>
                <w:rFonts w:hint="default" w:ascii="Times New Roman" w:hAnsi="Times New Roman" w:eastAsia="宋体" w:cs="Times New Roman"/>
                <w:color w:val="auto"/>
                <w:kern w:val="2"/>
                <w:sz w:val="24"/>
                <w:szCs w:val="24"/>
                <w:lang w:val="en-US" w:eastAsia="zh-CN"/>
              </w:rPr>
              <w:t>年</w:t>
            </w:r>
            <w:r>
              <w:rPr>
                <w:rFonts w:hint="eastAsia" w:cs="Times New Roman"/>
                <w:color w:val="auto"/>
                <w:kern w:val="2"/>
                <w:sz w:val="24"/>
                <w:szCs w:val="24"/>
                <w:lang w:val="en-US" w:eastAsia="zh-CN"/>
              </w:rPr>
              <w:t>6</w:t>
            </w:r>
            <w:r>
              <w:rPr>
                <w:rFonts w:hint="default" w:ascii="Times New Roman" w:hAnsi="Times New Roman" w:eastAsia="宋体" w:cs="Times New Roman"/>
                <w:color w:val="auto"/>
                <w:kern w:val="2"/>
                <w:sz w:val="24"/>
                <w:szCs w:val="24"/>
                <w:lang w:val="en-US" w:eastAsia="zh-CN"/>
              </w:rPr>
              <w:t>月</w:t>
            </w:r>
            <w:r>
              <w:rPr>
                <w:rFonts w:hint="eastAsia" w:cs="Times New Roman"/>
                <w:color w:val="auto"/>
                <w:kern w:val="2"/>
                <w:sz w:val="24"/>
                <w:szCs w:val="24"/>
                <w:lang w:val="en-US" w:eastAsia="zh-CN"/>
              </w:rPr>
              <w:t>15</w:t>
            </w:r>
            <w:r>
              <w:rPr>
                <w:rFonts w:hint="default" w:ascii="Times New Roman" w:hAnsi="Times New Roman" w:eastAsia="宋体" w:cs="Times New Roman"/>
                <w:color w:val="auto"/>
                <w:kern w:val="2"/>
                <w:sz w:val="24"/>
                <w:szCs w:val="24"/>
                <w:lang w:val="en-US" w:eastAsia="zh-CN"/>
              </w:rPr>
              <w:t>日</w:t>
            </w:r>
            <w:r>
              <w:rPr>
                <w:rFonts w:hint="eastAsia" w:cs="Times New Roman"/>
                <w:color w:val="auto"/>
                <w:kern w:val="2"/>
                <w:sz w:val="24"/>
                <w:szCs w:val="24"/>
                <w:lang w:val="en-US" w:eastAsia="zh-CN"/>
              </w:rPr>
              <w:t>～</w:t>
            </w:r>
            <w:r>
              <w:rPr>
                <w:rFonts w:hint="default" w:ascii="Times New Roman" w:hAnsi="Times New Roman" w:eastAsia="宋体" w:cs="Times New Roman"/>
                <w:color w:val="auto"/>
                <w:kern w:val="2"/>
                <w:sz w:val="24"/>
                <w:szCs w:val="24"/>
                <w:lang w:val="en-US" w:eastAsia="zh-CN"/>
              </w:rPr>
              <w:t>202</w:t>
            </w:r>
            <w:r>
              <w:rPr>
                <w:rFonts w:hint="eastAsia" w:cs="Times New Roman"/>
                <w:color w:val="auto"/>
                <w:kern w:val="2"/>
                <w:sz w:val="24"/>
                <w:szCs w:val="24"/>
                <w:lang w:val="en-US" w:eastAsia="zh-CN"/>
              </w:rPr>
              <w:t>4</w:t>
            </w:r>
            <w:r>
              <w:rPr>
                <w:rFonts w:hint="default" w:ascii="Times New Roman" w:hAnsi="Times New Roman" w:eastAsia="宋体" w:cs="Times New Roman"/>
                <w:color w:val="auto"/>
                <w:kern w:val="2"/>
                <w:sz w:val="24"/>
                <w:szCs w:val="24"/>
                <w:lang w:val="en-US" w:eastAsia="zh-CN"/>
              </w:rPr>
              <w:t>年</w:t>
            </w:r>
            <w:r>
              <w:rPr>
                <w:rFonts w:hint="eastAsia" w:cs="Times New Roman"/>
                <w:color w:val="auto"/>
                <w:kern w:val="2"/>
                <w:sz w:val="24"/>
                <w:szCs w:val="24"/>
                <w:lang w:val="en-US" w:eastAsia="zh-CN"/>
              </w:rPr>
              <w:t>6</w:t>
            </w:r>
            <w:r>
              <w:rPr>
                <w:rFonts w:hint="default" w:ascii="Times New Roman" w:hAnsi="Times New Roman" w:eastAsia="宋体" w:cs="Times New Roman"/>
                <w:color w:val="auto"/>
                <w:kern w:val="2"/>
                <w:sz w:val="24"/>
                <w:szCs w:val="24"/>
                <w:lang w:val="en-US" w:eastAsia="zh-CN"/>
              </w:rPr>
              <w:t>月</w:t>
            </w:r>
            <w:r>
              <w:rPr>
                <w:rFonts w:hint="eastAsia" w:cs="Times New Roman"/>
                <w:color w:val="auto"/>
                <w:kern w:val="2"/>
                <w:sz w:val="24"/>
                <w:szCs w:val="24"/>
                <w:lang w:val="en-US" w:eastAsia="zh-CN"/>
              </w:rPr>
              <w:t>17</w:t>
            </w:r>
            <w:r>
              <w:rPr>
                <w:rFonts w:hint="default" w:ascii="Times New Roman" w:hAnsi="Times New Roman" w:eastAsia="宋体" w:cs="Times New Roman"/>
                <w:color w:val="auto"/>
                <w:kern w:val="2"/>
                <w:sz w:val="24"/>
                <w:szCs w:val="24"/>
                <w:lang w:val="en-US" w:eastAsia="zh-CN"/>
              </w:rPr>
              <w:t>日，监测点位位于厂界下风向。</w:t>
            </w:r>
            <w:r>
              <w:rPr>
                <w:rFonts w:hint="eastAsia" w:cs="Times New Roman"/>
                <w:color w:val="auto"/>
                <w:kern w:val="2"/>
                <w:sz w:val="24"/>
                <w:szCs w:val="24"/>
                <w:lang w:val="en-US" w:eastAsia="zh-CN"/>
              </w:rPr>
              <w:t>TSP检测报告见附件6</w:t>
            </w:r>
            <w:r>
              <w:rPr>
                <w:rFonts w:hint="default" w:ascii="Times New Roman" w:hAnsi="Times New Roman" w:eastAsia="宋体" w:cs="Times New Roman"/>
                <w:color w:val="auto"/>
                <w:kern w:val="2"/>
                <w:sz w:val="24"/>
                <w:szCs w:val="24"/>
                <w:lang w:val="en-US" w:eastAsia="zh-CN"/>
              </w:rPr>
              <w:t>。</w:t>
            </w:r>
          </w:p>
          <w:p w14:paraId="4C134545">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监测项目及频率</w:t>
            </w:r>
          </w:p>
          <w:p w14:paraId="242118C7">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监测项目：TSP</w:t>
            </w:r>
          </w:p>
          <w:p w14:paraId="46941D80">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监测频率：连续3天监测</w:t>
            </w:r>
          </w:p>
          <w:p w14:paraId="5115CBA1">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监测分析方法</w:t>
            </w:r>
          </w:p>
          <w:p w14:paraId="46E413BE">
            <w:pPr>
              <w:pStyle w:val="11"/>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分析方法按照国家环保局颁布的《环境监测技术规范（大气部分）》和《空气和废气监测分析方法</w:t>
            </w:r>
            <w:r>
              <w:rPr>
                <w:rFonts w:hint="eastAsia" w:ascii="Times New Roman" w:hAnsi="Times New Roman" w:eastAsia="宋体" w:cs="Times New Roman"/>
                <w:color w:val="auto"/>
                <w:sz w:val="24"/>
                <w:lang w:val="en-US" w:eastAsia="zh-CN"/>
              </w:rPr>
              <w:t>第四版</w:t>
            </w:r>
            <w:r>
              <w:rPr>
                <w:rFonts w:hint="default" w:ascii="Times New Roman" w:hAnsi="Times New Roman" w:eastAsia="宋体" w:cs="Times New Roman"/>
                <w:color w:val="auto"/>
                <w:sz w:val="24"/>
              </w:rPr>
              <w:t>》中有关规定进行监测。</w:t>
            </w:r>
          </w:p>
          <w:p w14:paraId="71BAC020">
            <w:pPr>
              <w:pStyle w:val="12"/>
              <w:keepNext w:val="0"/>
              <w:keepLines w:val="0"/>
              <w:pageBreakBefore w:val="0"/>
              <w:numPr>
                <w:ilvl w:val="0"/>
                <w:numId w:val="7"/>
              </w:numPr>
              <w:kinsoku/>
              <w:wordWrap/>
              <w:overflowPunct/>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评价标准</w:t>
            </w:r>
          </w:p>
          <w:p w14:paraId="4FF5BD2B">
            <w:pPr>
              <w:pStyle w:val="11"/>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本次评价执行《环境空气质量标准》（GB3095-2012）二级标准，标准值为详见表3-2。</w:t>
            </w:r>
          </w:p>
          <w:p w14:paraId="0B906A07">
            <w:pPr>
              <w:adjustRightInd w:val="0"/>
              <w:snapToGrid w:val="0"/>
              <w:jc w:val="center"/>
              <w:rPr>
                <w:color w:val="auto"/>
              </w:rPr>
            </w:pPr>
            <w:r>
              <w:rPr>
                <w:b/>
                <w:snapToGrid w:val="0"/>
                <w:color w:val="auto"/>
              </w:rPr>
              <w:t>表3-2      环境空气质量标准</w:t>
            </w:r>
          </w:p>
          <w:tbl>
            <w:tblPr>
              <w:tblStyle w:val="21"/>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1207"/>
              <w:gridCol w:w="1747"/>
              <w:gridCol w:w="4088"/>
            </w:tblGrid>
            <w:tr w14:paraId="0E45FD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7" w:type="dxa"/>
                  <w:tcBorders>
                    <w:top w:val="single" w:color="000000" w:sz="12" w:space="0"/>
                    <w:bottom w:val="single" w:color="000000" w:sz="12" w:space="0"/>
                  </w:tcBorders>
                  <w:vAlign w:val="center"/>
                </w:tcPr>
                <w:p w14:paraId="0E392C63">
                  <w:pPr>
                    <w:adjustRightInd w:val="0"/>
                    <w:snapToGrid w:val="0"/>
                    <w:jc w:val="center"/>
                    <w:rPr>
                      <w:b/>
                      <w:bCs/>
                      <w:color w:val="auto"/>
                    </w:rPr>
                  </w:pPr>
                  <w:r>
                    <w:rPr>
                      <w:b/>
                      <w:bCs/>
                      <w:color w:val="auto"/>
                    </w:rPr>
                    <w:t>污染物</w:t>
                  </w:r>
                </w:p>
              </w:tc>
              <w:tc>
                <w:tcPr>
                  <w:tcW w:w="1210" w:type="dxa"/>
                  <w:tcBorders>
                    <w:top w:val="single" w:color="000000" w:sz="12" w:space="0"/>
                    <w:bottom w:val="single" w:color="000000" w:sz="12" w:space="0"/>
                  </w:tcBorders>
                  <w:vAlign w:val="center"/>
                </w:tcPr>
                <w:p w14:paraId="266F6608">
                  <w:pPr>
                    <w:adjustRightInd w:val="0"/>
                    <w:snapToGrid w:val="0"/>
                    <w:jc w:val="center"/>
                    <w:rPr>
                      <w:b/>
                      <w:bCs/>
                      <w:color w:val="auto"/>
                    </w:rPr>
                  </w:pPr>
                  <w:r>
                    <w:rPr>
                      <w:b/>
                      <w:bCs/>
                      <w:color w:val="auto"/>
                    </w:rPr>
                    <w:t>年平均</w:t>
                  </w:r>
                </w:p>
              </w:tc>
              <w:tc>
                <w:tcPr>
                  <w:tcW w:w="1760" w:type="dxa"/>
                  <w:tcBorders>
                    <w:top w:val="single" w:color="000000" w:sz="12" w:space="0"/>
                    <w:bottom w:val="single" w:color="000000" w:sz="12" w:space="0"/>
                  </w:tcBorders>
                  <w:vAlign w:val="center"/>
                </w:tcPr>
                <w:p w14:paraId="6DFDF197">
                  <w:pPr>
                    <w:adjustRightInd w:val="0"/>
                    <w:snapToGrid w:val="0"/>
                    <w:jc w:val="center"/>
                    <w:rPr>
                      <w:b/>
                      <w:bCs/>
                      <w:color w:val="auto"/>
                    </w:rPr>
                  </w:pPr>
                  <w:r>
                    <w:rPr>
                      <w:b/>
                      <w:bCs/>
                      <w:color w:val="auto"/>
                    </w:rPr>
                    <w:t>24小时平均</w:t>
                  </w:r>
                </w:p>
              </w:tc>
              <w:tc>
                <w:tcPr>
                  <w:tcW w:w="4130" w:type="dxa"/>
                  <w:tcBorders>
                    <w:top w:val="single" w:color="000000" w:sz="12" w:space="0"/>
                    <w:bottom w:val="single" w:color="000000" w:sz="12" w:space="0"/>
                  </w:tcBorders>
                  <w:vAlign w:val="center"/>
                </w:tcPr>
                <w:p w14:paraId="0FABB854">
                  <w:pPr>
                    <w:adjustRightInd w:val="0"/>
                    <w:snapToGrid w:val="0"/>
                    <w:jc w:val="center"/>
                    <w:rPr>
                      <w:b/>
                      <w:bCs/>
                      <w:color w:val="auto"/>
                    </w:rPr>
                  </w:pPr>
                  <w:r>
                    <w:rPr>
                      <w:b/>
                      <w:bCs/>
                      <w:color w:val="auto"/>
                    </w:rPr>
                    <w:t>标准来源</w:t>
                  </w:r>
                </w:p>
              </w:tc>
            </w:tr>
            <w:tr w14:paraId="0D1CCD6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7" w:type="dxa"/>
                  <w:tcBorders>
                    <w:top w:val="single" w:color="000000" w:sz="12" w:space="0"/>
                    <w:bottom w:val="single" w:color="000000" w:sz="12" w:space="0"/>
                  </w:tcBorders>
                  <w:vAlign w:val="center"/>
                </w:tcPr>
                <w:p w14:paraId="743FA69D">
                  <w:pPr>
                    <w:adjustRightInd w:val="0"/>
                    <w:snapToGrid w:val="0"/>
                    <w:jc w:val="center"/>
                    <w:rPr>
                      <w:color w:val="auto"/>
                    </w:rPr>
                  </w:pPr>
                  <w:r>
                    <w:rPr>
                      <w:color w:val="auto"/>
                      <w:szCs w:val="21"/>
                    </w:rPr>
                    <w:t>TSP</w:t>
                  </w:r>
                </w:p>
              </w:tc>
              <w:tc>
                <w:tcPr>
                  <w:tcW w:w="1210" w:type="dxa"/>
                  <w:tcBorders>
                    <w:top w:val="single" w:color="000000" w:sz="12" w:space="0"/>
                    <w:bottom w:val="single" w:color="000000" w:sz="12" w:space="0"/>
                  </w:tcBorders>
                  <w:vAlign w:val="center"/>
                </w:tcPr>
                <w:p w14:paraId="7BFACB44">
                  <w:pPr>
                    <w:adjustRightInd w:val="0"/>
                    <w:snapToGrid w:val="0"/>
                    <w:jc w:val="center"/>
                    <w:rPr>
                      <w:color w:val="auto"/>
                    </w:rPr>
                  </w:pPr>
                  <w:r>
                    <w:rPr>
                      <w:color w:val="auto"/>
                      <w:szCs w:val="21"/>
                    </w:rPr>
                    <w:t>0.2mg/m</w:t>
                  </w:r>
                  <w:r>
                    <w:rPr>
                      <w:color w:val="auto"/>
                      <w:szCs w:val="21"/>
                      <w:vertAlign w:val="superscript"/>
                    </w:rPr>
                    <w:t>3</w:t>
                  </w:r>
                </w:p>
              </w:tc>
              <w:tc>
                <w:tcPr>
                  <w:tcW w:w="1760" w:type="dxa"/>
                  <w:tcBorders>
                    <w:top w:val="single" w:color="000000" w:sz="12" w:space="0"/>
                    <w:bottom w:val="single" w:color="000000" w:sz="12" w:space="0"/>
                  </w:tcBorders>
                  <w:vAlign w:val="center"/>
                </w:tcPr>
                <w:p w14:paraId="51C4B406">
                  <w:pPr>
                    <w:adjustRightInd w:val="0"/>
                    <w:snapToGrid w:val="0"/>
                    <w:jc w:val="center"/>
                    <w:rPr>
                      <w:color w:val="auto"/>
                    </w:rPr>
                  </w:pPr>
                  <w:r>
                    <w:rPr>
                      <w:color w:val="auto"/>
                      <w:szCs w:val="21"/>
                    </w:rPr>
                    <w:t>0.3mg/m</w:t>
                  </w:r>
                  <w:r>
                    <w:rPr>
                      <w:color w:val="auto"/>
                      <w:szCs w:val="21"/>
                      <w:vertAlign w:val="superscript"/>
                    </w:rPr>
                    <w:t>3</w:t>
                  </w:r>
                </w:p>
              </w:tc>
              <w:tc>
                <w:tcPr>
                  <w:tcW w:w="4130" w:type="dxa"/>
                  <w:tcBorders>
                    <w:top w:val="single" w:color="000000" w:sz="12" w:space="0"/>
                    <w:bottom w:val="single" w:color="000000" w:sz="12" w:space="0"/>
                  </w:tcBorders>
                  <w:vAlign w:val="center"/>
                </w:tcPr>
                <w:p w14:paraId="7AA5FA7F">
                  <w:pPr>
                    <w:adjustRightInd w:val="0"/>
                    <w:snapToGrid w:val="0"/>
                    <w:jc w:val="center"/>
                    <w:rPr>
                      <w:color w:val="auto"/>
                    </w:rPr>
                  </w:pPr>
                  <w:r>
                    <w:rPr>
                      <w:color w:val="auto"/>
                    </w:rPr>
                    <w:t>《环境空气质量标准》（GB3095-2012）</w:t>
                  </w:r>
                </w:p>
              </w:tc>
            </w:tr>
          </w:tbl>
          <w:p w14:paraId="7B8050AE">
            <w:pPr>
              <w:pStyle w:val="11"/>
              <w:topLinePunct/>
              <w:spacing w:line="360" w:lineRule="auto"/>
              <w:ind w:firstLine="480"/>
              <w:rPr>
                <w:rFonts w:ascii="Times New Roman" w:hAnsi="Times New Roman" w:eastAsia="宋体"/>
                <w:color w:val="auto"/>
                <w:sz w:val="24"/>
              </w:rPr>
            </w:pPr>
            <w:r>
              <w:rPr>
                <w:rFonts w:ascii="Times New Roman" w:hAnsi="Times New Roman" w:eastAsia="宋体"/>
                <w:color w:val="auto"/>
                <w:sz w:val="24"/>
              </w:rPr>
              <w:t>（4</w:t>
            </w:r>
            <w:r>
              <w:rPr>
                <w:rFonts w:hint="default" w:ascii="Times New Roman" w:hAnsi="Times New Roman" w:eastAsia="宋体" w:cs="Times New Roman"/>
                <w:color w:val="auto"/>
                <w:kern w:val="2"/>
                <w:sz w:val="24"/>
                <w:szCs w:val="24"/>
                <w:lang w:val="en-US" w:eastAsia="zh-CN" w:bidi="ar-SA"/>
              </w:rPr>
              <w:t>）评价结果</w:t>
            </w:r>
          </w:p>
          <w:p w14:paraId="19E83937">
            <w:pPr>
              <w:pStyle w:val="11"/>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Times New Roman" w:hAnsi="Times New Roman" w:eastAsia="宋体"/>
                <w:color w:val="auto"/>
                <w:sz w:val="24"/>
              </w:rPr>
            </w:pPr>
            <w:r>
              <w:rPr>
                <w:rFonts w:ascii="Times New Roman" w:hAnsi="Times New Roman" w:eastAsia="宋体"/>
                <w:color w:val="auto"/>
                <w:sz w:val="24"/>
              </w:rPr>
              <w:t>监测及评价结果统计，详见表3-3。</w:t>
            </w:r>
          </w:p>
          <w:p w14:paraId="29843201">
            <w:pPr>
              <w:jc w:val="center"/>
              <w:rPr>
                <w:b/>
                <w:bCs/>
                <w:color w:val="auto"/>
                <w:szCs w:val="21"/>
              </w:rPr>
            </w:pPr>
            <w:r>
              <w:rPr>
                <w:b/>
                <w:bCs/>
                <w:color w:val="auto"/>
                <w:szCs w:val="21"/>
              </w:rPr>
              <w:t>表3-3   环境空气质量结果汇总表（TSP，日均值）单位：mg/m</w:t>
            </w:r>
            <w:r>
              <w:rPr>
                <w:b/>
                <w:bCs/>
                <w:color w:val="auto"/>
                <w:szCs w:val="21"/>
                <w:vertAlign w:val="superscript"/>
              </w:rPr>
              <w:t>3</w:t>
            </w:r>
          </w:p>
          <w:tbl>
            <w:tblPr>
              <w:tblStyle w:val="21"/>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60"/>
              <w:gridCol w:w="2377"/>
              <w:gridCol w:w="1716"/>
              <w:gridCol w:w="1346"/>
              <w:gridCol w:w="1351"/>
            </w:tblGrid>
            <w:tr w14:paraId="5BED3D4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71" w:type="dxa"/>
                  <w:vMerge w:val="restart"/>
                  <w:tcBorders>
                    <w:top w:val="single" w:color="000000" w:sz="12" w:space="0"/>
                  </w:tcBorders>
                  <w:vAlign w:val="center"/>
                </w:tcPr>
                <w:p w14:paraId="7CA4E559">
                  <w:pPr>
                    <w:pStyle w:val="5"/>
                    <w:spacing w:after="0" w:line="240" w:lineRule="auto"/>
                    <w:jc w:val="center"/>
                    <w:rPr>
                      <w:b/>
                      <w:bCs/>
                      <w:color w:val="auto"/>
                      <w:sz w:val="21"/>
                      <w:szCs w:val="21"/>
                    </w:rPr>
                  </w:pPr>
                  <w:r>
                    <w:rPr>
                      <w:rFonts w:hint="eastAsia"/>
                      <w:b/>
                      <w:bCs/>
                      <w:color w:val="auto"/>
                      <w:sz w:val="21"/>
                      <w:szCs w:val="21"/>
                      <w:lang w:eastAsia="zh-CN"/>
                    </w:rPr>
                    <w:t>监测点位</w:t>
                  </w:r>
                </w:p>
              </w:tc>
              <w:tc>
                <w:tcPr>
                  <w:tcW w:w="2398" w:type="dxa"/>
                  <w:vMerge w:val="restart"/>
                  <w:tcBorders>
                    <w:top w:val="single" w:color="000000" w:sz="12" w:space="0"/>
                  </w:tcBorders>
                  <w:vAlign w:val="center"/>
                </w:tcPr>
                <w:p w14:paraId="77A32ABA">
                  <w:pPr>
                    <w:pStyle w:val="5"/>
                    <w:spacing w:after="0" w:line="240" w:lineRule="auto"/>
                    <w:jc w:val="center"/>
                    <w:rPr>
                      <w:b/>
                      <w:bCs/>
                      <w:color w:val="auto"/>
                      <w:sz w:val="21"/>
                      <w:szCs w:val="21"/>
                    </w:rPr>
                  </w:pPr>
                  <w:r>
                    <w:rPr>
                      <w:b/>
                      <w:bCs/>
                      <w:color w:val="auto"/>
                      <w:sz w:val="21"/>
                      <w:szCs w:val="21"/>
                    </w:rPr>
                    <w:t>采样时间</w:t>
                  </w:r>
                </w:p>
              </w:tc>
              <w:tc>
                <w:tcPr>
                  <w:tcW w:w="1732" w:type="dxa"/>
                  <w:tcBorders>
                    <w:top w:val="single" w:color="000000" w:sz="12" w:space="0"/>
                  </w:tcBorders>
                </w:tcPr>
                <w:p w14:paraId="6713C498">
                  <w:pPr>
                    <w:pStyle w:val="5"/>
                    <w:spacing w:after="0" w:line="240" w:lineRule="auto"/>
                    <w:jc w:val="center"/>
                    <w:rPr>
                      <w:b/>
                      <w:bCs/>
                      <w:color w:val="auto"/>
                      <w:sz w:val="21"/>
                      <w:szCs w:val="21"/>
                    </w:rPr>
                  </w:pPr>
                  <w:r>
                    <w:rPr>
                      <w:b/>
                      <w:bCs/>
                      <w:color w:val="auto"/>
                      <w:sz w:val="21"/>
                      <w:szCs w:val="21"/>
                    </w:rPr>
                    <w:t>检测结果</w:t>
                  </w:r>
                </w:p>
              </w:tc>
              <w:tc>
                <w:tcPr>
                  <w:tcW w:w="1359" w:type="dxa"/>
                  <w:tcBorders>
                    <w:top w:val="single" w:color="000000" w:sz="12" w:space="0"/>
                  </w:tcBorders>
                </w:tcPr>
                <w:p w14:paraId="6967A466">
                  <w:pPr>
                    <w:pStyle w:val="5"/>
                    <w:spacing w:after="0" w:line="240" w:lineRule="auto"/>
                    <w:jc w:val="center"/>
                    <w:rPr>
                      <w:b/>
                      <w:bCs/>
                      <w:color w:val="auto"/>
                      <w:sz w:val="21"/>
                      <w:szCs w:val="21"/>
                    </w:rPr>
                  </w:pPr>
                  <w:r>
                    <w:rPr>
                      <w:b/>
                      <w:bCs/>
                      <w:color w:val="auto"/>
                      <w:sz w:val="21"/>
                      <w:szCs w:val="21"/>
                    </w:rPr>
                    <w:t>标准值</w:t>
                  </w:r>
                </w:p>
              </w:tc>
              <w:tc>
                <w:tcPr>
                  <w:tcW w:w="1359" w:type="dxa"/>
                  <w:tcBorders>
                    <w:top w:val="single" w:color="000000" w:sz="12" w:space="0"/>
                  </w:tcBorders>
                </w:tcPr>
                <w:p w14:paraId="5B268FF3">
                  <w:pPr>
                    <w:pStyle w:val="5"/>
                    <w:spacing w:after="0" w:line="240" w:lineRule="auto"/>
                    <w:jc w:val="center"/>
                    <w:rPr>
                      <w:b/>
                      <w:bCs/>
                      <w:color w:val="auto"/>
                      <w:sz w:val="21"/>
                      <w:szCs w:val="21"/>
                    </w:rPr>
                  </w:pPr>
                  <w:r>
                    <w:rPr>
                      <w:b/>
                      <w:bCs/>
                      <w:color w:val="auto"/>
                      <w:sz w:val="21"/>
                      <w:szCs w:val="21"/>
                    </w:rPr>
                    <w:t>占标率</w:t>
                  </w:r>
                </w:p>
              </w:tc>
            </w:tr>
            <w:tr w14:paraId="1BA4F65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271" w:type="dxa"/>
                  <w:vMerge w:val="continue"/>
                  <w:tcBorders>
                    <w:bottom w:val="single" w:color="000000" w:sz="12" w:space="0"/>
                  </w:tcBorders>
                </w:tcPr>
                <w:p w14:paraId="369B047C">
                  <w:pPr>
                    <w:pStyle w:val="5"/>
                    <w:spacing w:after="0" w:line="240" w:lineRule="auto"/>
                    <w:jc w:val="center"/>
                    <w:rPr>
                      <w:b/>
                      <w:bCs/>
                      <w:color w:val="auto"/>
                      <w:sz w:val="21"/>
                      <w:szCs w:val="21"/>
                    </w:rPr>
                  </w:pPr>
                </w:p>
              </w:tc>
              <w:tc>
                <w:tcPr>
                  <w:tcW w:w="2398" w:type="dxa"/>
                  <w:vMerge w:val="continue"/>
                  <w:tcBorders>
                    <w:bottom w:val="single" w:color="000000" w:sz="12" w:space="0"/>
                  </w:tcBorders>
                </w:tcPr>
                <w:p w14:paraId="260B0509">
                  <w:pPr>
                    <w:pStyle w:val="5"/>
                    <w:spacing w:after="0" w:line="240" w:lineRule="auto"/>
                    <w:jc w:val="center"/>
                    <w:rPr>
                      <w:b/>
                      <w:bCs/>
                      <w:color w:val="auto"/>
                      <w:sz w:val="21"/>
                      <w:szCs w:val="21"/>
                    </w:rPr>
                  </w:pPr>
                </w:p>
              </w:tc>
              <w:tc>
                <w:tcPr>
                  <w:tcW w:w="4450" w:type="dxa"/>
                  <w:gridSpan w:val="3"/>
                  <w:tcBorders>
                    <w:bottom w:val="single" w:color="000000" w:sz="12" w:space="0"/>
                  </w:tcBorders>
                </w:tcPr>
                <w:p w14:paraId="3B594E8F">
                  <w:pPr>
                    <w:pStyle w:val="5"/>
                    <w:spacing w:after="0" w:line="240" w:lineRule="auto"/>
                    <w:jc w:val="center"/>
                    <w:rPr>
                      <w:b/>
                      <w:bCs/>
                      <w:color w:val="auto"/>
                      <w:sz w:val="21"/>
                      <w:szCs w:val="21"/>
                    </w:rPr>
                  </w:pPr>
                  <w:r>
                    <w:rPr>
                      <w:b/>
                      <w:bCs/>
                      <w:color w:val="auto"/>
                      <w:sz w:val="21"/>
                      <w:szCs w:val="21"/>
                    </w:rPr>
                    <w:t>TSP</w:t>
                  </w:r>
                </w:p>
              </w:tc>
            </w:tr>
            <w:tr w14:paraId="6345A01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1" w:type="dxa"/>
                  <w:vMerge w:val="restart"/>
                  <w:tcBorders>
                    <w:top w:val="single" w:color="000000" w:sz="12" w:space="0"/>
                  </w:tcBorders>
                  <w:vAlign w:val="center"/>
                </w:tcPr>
                <w:p w14:paraId="785AB6AA">
                  <w:pPr>
                    <w:pStyle w:val="5"/>
                    <w:spacing w:after="0" w:line="240" w:lineRule="auto"/>
                    <w:jc w:val="center"/>
                    <w:rPr>
                      <w:color w:val="auto"/>
                      <w:sz w:val="21"/>
                      <w:szCs w:val="21"/>
                    </w:rPr>
                  </w:pPr>
                  <w:r>
                    <w:rPr>
                      <w:color w:val="auto"/>
                      <w:sz w:val="21"/>
                      <w:szCs w:val="21"/>
                    </w:rPr>
                    <w:t>项目区内下风向</w:t>
                  </w:r>
                </w:p>
              </w:tc>
              <w:tc>
                <w:tcPr>
                  <w:tcW w:w="2398" w:type="dxa"/>
                  <w:tcBorders>
                    <w:top w:val="single" w:color="000000" w:sz="12" w:space="0"/>
                  </w:tcBorders>
                  <w:vAlign w:val="center"/>
                </w:tcPr>
                <w:p w14:paraId="63ABFBB5">
                  <w:pPr>
                    <w:jc w:val="center"/>
                    <w:rPr>
                      <w:rFonts w:hint="default" w:eastAsia="宋体"/>
                      <w:color w:val="auto"/>
                      <w:szCs w:val="21"/>
                      <w:lang w:val="en-US" w:eastAsia="zh-CN"/>
                    </w:rPr>
                  </w:pPr>
                  <w:r>
                    <w:rPr>
                      <w:rFonts w:hint="eastAsia"/>
                      <w:bCs/>
                      <w:color w:val="auto"/>
                      <w:szCs w:val="21"/>
                      <w:lang w:val="en-US" w:eastAsia="zh-CN"/>
                    </w:rPr>
                    <w:t>2024.6.15</w:t>
                  </w:r>
                </w:p>
              </w:tc>
              <w:tc>
                <w:tcPr>
                  <w:tcW w:w="1732" w:type="dxa"/>
                  <w:tcBorders>
                    <w:top w:val="single" w:color="000000" w:sz="12" w:space="0"/>
                  </w:tcBorders>
                  <w:vAlign w:val="center"/>
                </w:tcPr>
                <w:p w14:paraId="3EF65C06">
                  <w:pPr>
                    <w:jc w:val="center"/>
                    <w:rPr>
                      <w:rFonts w:hint="default" w:eastAsia="宋体"/>
                      <w:bCs/>
                      <w:color w:val="auto"/>
                      <w:szCs w:val="21"/>
                      <w:lang w:val="en-US" w:eastAsia="zh-CN"/>
                    </w:rPr>
                  </w:pPr>
                  <w:r>
                    <w:rPr>
                      <w:rFonts w:hint="eastAsia"/>
                      <w:bCs/>
                      <w:color w:val="auto"/>
                      <w:szCs w:val="21"/>
                      <w:lang w:val="en-US" w:eastAsia="zh-CN"/>
                    </w:rPr>
                    <w:t>0.159</w:t>
                  </w:r>
                </w:p>
              </w:tc>
              <w:tc>
                <w:tcPr>
                  <w:tcW w:w="1359" w:type="dxa"/>
                  <w:tcBorders>
                    <w:top w:val="single" w:color="000000" w:sz="12" w:space="0"/>
                  </w:tcBorders>
                  <w:vAlign w:val="center"/>
                </w:tcPr>
                <w:p w14:paraId="3B7F264A">
                  <w:pPr>
                    <w:jc w:val="center"/>
                    <w:rPr>
                      <w:bCs/>
                      <w:color w:val="auto"/>
                      <w:szCs w:val="21"/>
                    </w:rPr>
                  </w:pPr>
                  <w:r>
                    <w:rPr>
                      <w:bCs/>
                      <w:color w:val="auto"/>
                      <w:szCs w:val="21"/>
                    </w:rPr>
                    <w:t>0.3</w:t>
                  </w:r>
                </w:p>
              </w:tc>
              <w:tc>
                <w:tcPr>
                  <w:tcW w:w="1359" w:type="dxa"/>
                  <w:tcBorders>
                    <w:top w:val="single" w:color="000000" w:sz="12" w:space="0"/>
                  </w:tcBorders>
                  <w:vAlign w:val="center"/>
                </w:tcPr>
                <w:p w14:paraId="6EE01B58">
                  <w:pPr>
                    <w:jc w:val="center"/>
                    <w:rPr>
                      <w:bCs/>
                      <w:color w:val="auto"/>
                      <w:szCs w:val="21"/>
                    </w:rPr>
                  </w:pPr>
                  <w:r>
                    <w:rPr>
                      <w:rFonts w:hint="eastAsia"/>
                      <w:bCs/>
                      <w:color w:val="auto"/>
                      <w:szCs w:val="21"/>
                      <w:lang w:val="en-US" w:eastAsia="zh-CN"/>
                    </w:rPr>
                    <w:t>53</w:t>
                  </w:r>
                  <w:r>
                    <w:rPr>
                      <w:bCs/>
                      <w:color w:val="auto"/>
                      <w:szCs w:val="21"/>
                    </w:rPr>
                    <w:t>%</w:t>
                  </w:r>
                </w:p>
              </w:tc>
            </w:tr>
            <w:tr w14:paraId="3FDC0AD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1" w:type="dxa"/>
                  <w:vMerge w:val="continue"/>
                </w:tcPr>
                <w:p w14:paraId="230A04E8">
                  <w:pPr>
                    <w:pStyle w:val="5"/>
                    <w:spacing w:after="0" w:line="240" w:lineRule="auto"/>
                    <w:jc w:val="center"/>
                    <w:rPr>
                      <w:color w:val="auto"/>
                      <w:sz w:val="21"/>
                      <w:szCs w:val="21"/>
                    </w:rPr>
                  </w:pPr>
                </w:p>
              </w:tc>
              <w:tc>
                <w:tcPr>
                  <w:tcW w:w="2398" w:type="dxa"/>
                  <w:vAlign w:val="center"/>
                </w:tcPr>
                <w:p w14:paraId="11ECBAE7">
                  <w:pPr>
                    <w:jc w:val="center"/>
                    <w:rPr>
                      <w:rFonts w:hint="default" w:eastAsia="宋体"/>
                      <w:color w:val="auto"/>
                      <w:szCs w:val="21"/>
                      <w:lang w:val="en-US" w:eastAsia="zh-CN"/>
                    </w:rPr>
                  </w:pPr>
                  <w:r>
                    <w:rPr>
                      <w:rFonts w:hint="eastAsia"/>
                      <w:bCs/>
                      <w:color w:val="auto"/>
                      <w:szCs w:val="21"/>
                      <w:lang w:val="en-US" w:eastAsia="zh-CN"/>
                    </w:rPr>
                    <w:t>2024.6.16</w:t>
                  </w:r>
                </w:p>
              </w:tc>
              <w:tc>
                <w:tcPr>
                  <w:tcW w:w="1732" w:type="dxa"/>
                  <w:vAlign w:val="center"/>
                </w:tcPr>
                <w:p w14:paraId="4C8D34FD">
                  <w:pPr>
                    <w:jc w:val="center"/>
                    <w:rPr>
                      <w:rFonts w:hint="default" w:eastAsia="宋体"/>
                      <w:bCs/>
                      <w:color w:val="auto"/>
                      <w:szCs w:val="21"/>
                      <w:lang w:val="en-US" w:eastAsia="zh-CN"/>
                    </w:rPr>
                  </w:pPr>
                  <w:r>
                    <w:rPr>
                      <w:rFonts w:hint="eastAsia"/>
                      <w:bCs/>
                      <w:color w:val="auto"/>
                      <w:szCs w:val="21"/>
                      <w:lang w:val="en-US" w:eastAsia="zh-CN"/>
                    </w:rPr>
                    <w:t>0.158</w:t>
                  </w:r>
                </w:p>
              </w:tc>
              <w:tc>
                <w:tcPr>
                  <w:tcW w:w="1359" w:type="dxa"/>
                  <w:vAlign w:val="center"/>
                </w:tcPr>
                <w:p w14:paraId="21D53F31">
                  <w:pPr>
                    <w:jc w:val="center"/>
                    <w:rPr>
                      <w:bCs/>
                      <w:color w:val="auto"/>
                      <w:szCs w:val="21"/>
                    </w:rPr>
                  </w:pPr>
                  <w:r>
                    <w:rPr>
                      <w:bCs/>
                      <w:color w:val="auto"/>
                      <w:szCs w:val="21"/>
                    </w:rPr>
                    <w:t>0.3</w:t>
                  </w:r>
                </w:p>
              </w:tc>
              <w:tc>
                <w:tcPr>
                  <w:tcW w:w="1359" w:type="dxa"/>
                  <w:vAlign w:val="center"/>
                </w:tcPr>
                <w:p w14:paraId="67AE335E">
                  <w:pPr>
                    <w:jc w:val="center"/>
                    <w:rPr>
                      <w:bCs/>
                      <w:color w:val="auto"/>
                      <w:szCs w:val="21"/>
                    </w:rPr>
                  </w:pPr>
                  <w:r>
                    <w:rPr>
                      <w:rFonts w:hint="eastAsia"/>
                      <w:bCs/>
                      <w:color w:val="auto"/>
                      <w:szCs w:val="21"/>
                      <w:lang w:val="en-US" w:eastAsia="zh-CN"/>
                    </w:rPr>
                    <w:t>52.67</w:t>
                  </w:r>
                  <w:r>
                    <w:rPr>
                      <w:bCs/>
                      <w:color w:val="auto"/>
                      <w:szCs w:val="21"/>
                    </w:rPr>
                    <w:t>%</w:t>
                  </w:r>
                </w:p>
              </w:tc>
            </w:tr>
            <w:tr w14:paraId="2569E3D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271" w:type="dxa"/>
                  <w:vMerge w:val="continue"/>
                  <w:tcBorders>
                    <w:bottom w:val="single" w:color="000000" w:sz="12" w:space="0"/>
                  </w:tcBorders>
                </w:tcPr>
                <w:p w14:paraId="77A061CC">
                  <w:pPr>
                    <w:pStyle w:val="5"/>
                    <w:spacing w:after="0" w:line="240" w:lineRule="auto"/>
                    <w:jc w:val="center"/>
                    <w:rPr>
                      <w:color w:val="auto"/>
                      <w:sz w:val="21"/>
                      <w:szCs w:val="21"/>
                    </w:rPr>
                  </w:pPr>
                </w:p>
              </w:tc>
              <w:tc>
                <w:tcPr>
                  <w:tcW w:w="2398" w:type="dxa"/>
                  <w:tcBorders>
                    <w:bottom w:val="single" w:color="000000" w:sz="12" w:space="0"/>
                  </w:tcBorders>
                  <w:vAlign w:val="center"/>
                </w:tcPr>
                <w:p w14:paraId="1398161F">
                  <w:pPr>
                    <w:jc w:val="center"/>
                    <w:rPr>
                      <w:rFonts w:hint="default" w:eastAsia="宋体"/>
                      <w:color w:val="auto"/>
                      <w:szCs w:val="21"/>
                      <w:lang w:val="en-US" w:eastAsia="zh-CN"/>
                    </w:rPr>
                  </w:pPr>
                  <w:r>
                    <w:rPr>
                      <w:rFonts w:hint="eastAsia"/>
                      <w:bCs/>
                      <w:color w:val="auto"/>
                      <w:szCs w:val="21"/>
                      <w:lang w:val="en-US" w:eastAsia="zh-CN"/>
                    </w:rPr>
                    <w:t>2024.6.17</w:t>
                  </w:r>
                </w:p>
              </w:tc>
              <w:tc>
                <w:tcPr>
                  <w:tcW w:w="1732" w:type="dxa"/>
                  <w:tcBorders>
                    <w:bottom w:val="single" w:color="000000" w:sz="12" w:space="0"/>
                  </w:tcBorders>
                  <w:vAlign w:val="center"/>
                </w:tcPr>
                <w:p w14:paraId="4D673BB2">
                  <w:pPr>
                    <w:jc w:val="center"/>
                    <w:rPr>
                      <w:rFonts w:hint="default" w:eastAsia="宋体"/>
                      <w:bCs/>
                      <w:color w:val="auto"/>
                      <w:szCs w:val="21"/>
                      <w:lang w:val="en-US" w:eastAsia="zh-CN"/>
                    </w:rPr>
                  </w:pPr>
                  <w:r>
                    <w:rPr>
                      <w:rFonts w:hint="eastAsia"/>
                      <w:bCs/>
                      <w:color w:val="auto"/>
                      <w:szCs w:val="21"/>
                      <w:lang w:val="en-US" w:eastAsia="zh-CN"/>
                    </w:rPr>
                    <w:t>0.159</w:t>
                  </w:r>
                </w:p>
              </w:tc>
              <w:tc>
                <w:tcPr>
                  <w:tcW w:w="1359" w:type="dxa"/>
                  <w:tcBorders>
                    <w:bottom w:val="single" w:color="000000" w:sz="12" w:space="0"/>
                  </w:tcBorders>
                  <w:vAlign w:val="center"/>
                </w:tcPr>
                <w:p w14:paraId="08A437DE">
                  <w:pPr>
                    <w:jc w:val="center"/>
                    <w:rPr>
                      <w:bCs/>
                      <w:color w:val="auto"/>
                      <w:szCs w:val="21"/>
                    </w:rPr>
                  </w:pPr>
                  <w:r>
                    <w:rPr>
                      <w:bCs/>
                      <w:color w:val="auto"/>
                      <w:szCs w:val="21"/>
                    </w:rPr>
                    <w:t>0.3</w:t>
                  </w:r>
                </w:p>
              </w:tc>
              <w:tc>
                <w:tcPr>
                  <w:tcW w:w="1359" w:type="dxa"/>
                  <w:tcBorders>
                    <w:bottom w:val="single" w:color="000000" w:sz="12" w:space="0"/>
                  </w:tcBorders>
                  <w:vAlign w:val="center"/>
                </w:tcPr>
                <w:p w14:paraId="4FFF94AF">
                  <w:pPr>
                    <w:jc w:val="center"/>
                    <w:rPr>
                      <w:bCs/>
                      <w:color w:val="auto"/>
                      <w:szCs w:val="21"/>
                    </w:rPr>
                  </w:pPr>
                  <w:r>
                    <w:rPr>
                      <w:rFonts w:hint="eastAsia"/>
                      <w:bCs/>
                      <w:color w:val="auto"/>
                      <w:szCs w:val="21"/>
                      <w:lang w:val="en-US" w:eastAsia="zh-CN"/>
                    </w:rPr>
                    <w:t>53</w:t>
                  </w:r>
                  <w:r>
                    <w:rPr>
                      <w:bCs/>
                      <w:color w:val="auto"/>
                      <w:szCs w:val="21"/>
                    </w:rPr>
                    <w:t>%</w:t>
                  </w:r>
                </w:p>
              </w:tc>
            </w:tr>
          </w:tbl>
          <w:p w14:paraId="35F440F8">
            <w:pPr>
              <w:pStyle w:val="11"/>
              <w:topLinePunct/>
              <w:spacing w:line="360" w:lineRule="auto"/>
              <w:ind w:firstLine="480"/>
              <w:rPr>
                <w:rFonts w:hint="default" w:ascii="Times New Roman" w:hAnsi="Times New Roman" w:cs="Times New Roman"/>
                <w:color w:val="auto"/>
                <w:kern w:val="2"/>
                <w:sz w:val="24"/>
                <w:szCs w:val="24"/>
                <w:lang w:val="en-US" w:eastAsia="zh-CN"/>
              </w:rPr>
            </w:pPr>
            <w:r>
              <w:rPr>
                <w:rFonts w:ascii="Times New Roman" w:hAnsi="Times New Roman" w:eastAsia="宋体"/>
                <w:color w:val="auto"/>
                <w:sz w:val="24"/>
              </w:rPr>
              <w:t>由上述列表可知，项目区TSP满足《环境空气质量标准》（GB3095-2012）二级标准，项目所在区域监测期间大气环境空气质量达标。</w:t>
            </w:r>
          </w:p>
          <w:p w14:paraId="7E0AFE35">
            <w:pPr>
              <w:pStyle w:val="30"/>
              <w:numPr>
                <w:ilvl w:val="0"/>
                <w:numId w:val="8"/>
              </w:numPr>
              <w:spacing w:line="360" w:lineRule="auto"/>
              <w:rPr>
                <w:b/>
                <w:bCs/>
                <w:color w:val="auto"/>
                <w:lang w:bidi="ar"/>
              </w:rPr>
            </w:pPr>
            <w:r>
              <w:rPr>
                <w:rFonts w:hint="eastAsia"/>
                <w:b/>
                <w:bCs/>
                <w:color w:val="auto"/>
                <w:lang w:bidi="ar"/>
              </w:rPr>
              <w:t>水环境</w:t>
            </w:r>
          </w:p>
          <w:p w14:paraId="3156CC7D">
            <w:pPr>
              <w:pStyle w:val="30"/>
              <w:spacing w:line="360" w:lineRule="auto"/>
              <w:rPr>
                <w:b/>
                <w:bCs/>
                <w:color w:val="auto"/>
                <w:lang w:bidi="ar"/>
              </w:rPr>
            </w:pPr>
            <w:r>
              <w:rPr>
                <w:rFonts w:hint="eastAsia"/>
                <w:b/>
                <w:bCs/>
                <w:color w:val="auto"/>
                <w:lang w:bidi="ar"/>
              </w:rPr>
              <w:t>2.1</w:t>
            </w:r>
            <w:r>
              <w:rPr>
                <w:rFonts w:hint="eastAsia"/>
                <w:b/>
                <w:bCs/>
                <w:color w:val="auto"/>
                <w:lang w:val="en-US" w:eastAsia="zh-CN" w:bidi="ar"/>
              </w:rPr>
              <w:t xml:space="preserve"> </w:t>
            </w:r>
            <w:r>
              <w:rPr>
                <w:rFonts w:hint="eastAsia"/>
                <w:b/>
                <w:bCs/>
                <w:color w:val="auto"/>
                <w:lang w:bidi="ar"/>
              </w:rPr>
              <w:t>地表水环境</w:t>
            </w:r>
          </w:p>
          <w:p w14:paraId="2BC9599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本项目运营期间消耗一定量的水资源，项目水资源消耗量相对区域资源利用总量较少。产生的工业废水继续加入水泥搅拌中循环利用</w:t>
            </w:r>
            <w:r>
              <w:rPr>
                <w:rFonts w:hint="eastAsia" w:cs="Times New Roman"/>
                <w:color w:val="auto"/>
                <w:kern w:val="0"/>
                <w:sz w:val="24"/>
                <w:lang w:val="en-US" w:eastAsia="zh-CN"/>
              </w:rPr>
              <w:t>不合格混凝土。沉渣等经过人工破碎也循环利用</w:t>
            </w:r>
            <w:r>
              <w:rPr>
                <w:rFonts w:hint="eastAsia" w:ascii="Times New Roman" w:hAnsi="Times New Roman" w:eastAsia="宋体" w:cs="Times New Roman"/>
                <w:color w:val="auto"/>
                <w:kern w:val="0"/>
                <w:sz w:val="24"/>
                <w:lang w:val="en-US" w:eastAsia="zh-CN"/>
              </w:rPr>
              <w:t>，生活污水经一体化污水处理系统达标后用于灌溉周围绿化</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该项目的周边无地表水</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不会导致地表水污染，</w:t>
            </w:r>
            <w:r>
              <w:rPr>
                <w:rFonts w:hint="eastAsia" w:ascii="Times New Roman" w:hAnsi="Times New Roman" w:eastAsia="宋体" w:cs="Times New Roman"/>
                <w:color w:val="auto"/>
                <w:kern w:val="0"/>
                <w:sz w:val="24"/>
              </w:rPr>
              <w:t>根据《环境影响评价技术导则 地表水环境》（HJ2.3-2018），本项目不需要进行地表水评价。</w:t>
            </w:r>
          </w:p>
          <w:p w14:paraId="5C323F1C">
            <w:pPr>
              <w:pStyle w:val="30"/>
              <w:spacing w:line="360" w:lineRule="auto"/>
              <w:rPr>
                <w:b/>
                <w:bCs/>
                <w:color w:val="auto"/>
                <w:szCs w:val="24"/>
              </w:rPr>
            </w:pPr>
            <w:r>
              <w:rPr>
                <w:rFonts w:hint="eastAsia"/>
                <w:b/>
                <w:bCs/>
                <w:color w:val="auto"/>
                <w:szCs w:val="24"/>
              </w:rPr>
              <w:t>2.2</w:t>
            </w:r>
            <w:r>
              <w:rPr>
                <w:rFonts w:hint="eastAsia"/>
                <w:b/>
                <w:bCs/>
                <w:color w:val="auto"/>
                <w:szCs w:val="24"/>
                <w:lang w:val="en-US" w:eastAsia="zh-CN"/>
              </w:rPr>
              <w:t xml:space="preserve"> </w:t>
            </w:r>
            <w:r>
              <w:rPr>
                <w:rFonts w:hint="eastAsia"/>
                <w:b/>
                <w:bCs/>
                <w:color w:val="auto"/>
                <w:szCs w:val="24"/>
              </w:rPr>
              <w:t>地下水环境</w:t>
            </w:r>
          </w:p>
          <w:p w14:paraId="7BC77AB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根据《环境影响评价技术导则</w:t>
            </w:r>
            <w:r>
              <w:rPr>
                <w:rFonts w:hint="eastAsia" w:cs="Times New Roman"/>
                <w:color w:val="auto"/>
                <w:kern w:val="0"/>
                <w:sz w:val="24"/>
                <w:lang w:val="en-US" w:eastAsia="zh-CN"/>
              </w:rPr>
              <w:t xml:space="preserve"> </w:t>
            </w:r>
            <w:r>
              <w:rPr>
                <w:rFonts w:ascii="Times New Roman" w:hAnsi="Times New Roman" w:eastAsia="宋体" w:cs="Times New Roman"/>
                <w:color w:val="auto"/>
                <w:kern w:val="0"/>
                <w:sz w:val="24"/>
              </w:rPr>
              <w:t>地下水环境》（HJ</w:t>
            </w:r>
            <w:r>
              <w:rPr>
                <w:rFonts w:hint="eastAsia" w:ascii="Times New Roman" w:hAnsi="Times New Roman" w:eastAsia="宋体" w:cs="Times New Roman"/>
                <w:color w:val="auto"/>
                <w:kern w:val="0"/>
                <w:sz w:val="24"/>
              </w:rPr>
              <w:t>6</w:t>
            </w:r>
            <w:r>
              <w:rPr>
                <w:rFonts w:ascii="Times New Roman" w:hAnsi="Times New Roman" w:eastAsia="宋体" w:cs="Times New Roman"/>
                <w:color w:val="auto"/>
                <w:kern w:val="0"/>
                <w:sz w:val="24"/>
              </w:rPr>
              <w:t>10-2016）中附录A地下水环境影响评价行业分类表，</w:t>
            </w:r>
            <w:r>
              <w:rPr>
                <w:rFonts w:hint="eastAsia" w:ascii="Times New Roman" w:hAnsi="Times New Roman" w:eastAsia="宋体" w:cs="Times New Roman"/>
                <w:color w:val="auto"/>
                <w:kern w:val="0"/>
                <w:sz w:val="24"/>
              </w:rPr>
              <w:t>本项目为“J非金属采选及制品制造”中“60、砼结构构件制造、商品混凝土加工”的“全部”报告表项目，为</w:t>
            </w:r>
            <w:r>
              <w:rPr>
                <w:rFonts w:ascii="Times New Roman" w:hAnsi="Times New Roman" w:eastAsia="宋体" w:cs="Times New Roman"/>
                <w:color w:val="auto"/>
                <w:kern w:val="0"/>
                <w:sz w:val="24"/>
              </w:rPr>
              <w:t>Ⅳ</w:t>
            </w:r>
            <w:r>
              <w:rPr>
                <w:rFonts w:hint="eastAsia" w:ascii="Times New Roman" w:hAnsi="Times New Roman" w:eastAsia="宋体" w:cs="Times New Roman"/>
                <w:color w:val="auto"/>
                <w:kern w:val="0"/>
                <w:sz w:val="24"/>
              </w:rPr>
              <w:t>类项目，项目所在地属于不敏感区，</w:t>
            </w:r>
            <w:r>
              <w:rPr>
                <w:rFonts w:ascii="Times New Roman" w:hAnsi="Times New Roman" w:eastAsia="宋体" w:cs="Times New Roman"/>
                <w:color w:val="auto"/>
                <w:kern w:val="0"/>
                <w:sz w:val="24"/>
              </w:rPr>
              <w:t>本项目可不开展地下水环境影响评价。</w:t>
            </w:r>
          </w:p>
          <w:p w14:paraId="4394F5F3">
            <w:pPr>
              <w:numPr>
                <w:ilvl w:val="0"/>
                <w:numId w:val="8"/>
              </w:numPr>
              <w:adjustRightInd w:val="0"/>
              <w:snapToGrid w:val="0"/>
              <w:spacing w:line="360" w:lineRule="auto"/>
              <w:ind w:left="0" w:leftChars="0" w:firstLine="0" w:firstLineChars="0"/>
              <w:rPr>
                <w:b/>
                <w:bCs/>
                <w:color w:val="auto"/>
                <w:sz w:val="24"/>
              </w:rPr>
            </w:pPr>
            <w:r>
              <w:rPr>
                <w:rFonts w:hint="eastAsia"/>
                <w:b/>
                <w:bCs/>
                <w:color w:val="auto"/>
                <w:sz w:val="24"/>
              </w:rPr>
              <w:t>声环境</w:t>
            </w:r>
          </w:p>
          <w:p w14:paraId="339B5666">
            <w:pPr>
              <w:adjustRightInd w:val="0"/>
              <w:snapToGrid w:val="0"/>
              <w:spacing w:line="360" w:lineRule="auto"/>
              <w:ind w:firstLine="480" w:firstLineChars="200"/>
              <w:rPr>
                <w:rFonts w:hint="default" w:eastAsia="宋体"/>
                <w:color w:val="auto"/>
                <w:kern w:val="0"/>
                <w:sz w:val="24"/>
                <w:lang w:val="en-US" w:eastAsia="zh-CN"/>
              </w:rPr>
            </w:pPr>
            <w:r>
              <w:rPr>
                <w:rFonts w:hint="eastAsia" w:ascii="Times New Roman" w:hAnsi="Times New Roman" w:eastAsia="宋体" w:cs="Times New Roman"/>
                <w:color w:val="auto"/>
                <w:kern w:val="0"/>
                <w:sz w:val="24"/>
              </w:rPr>
              <w:t>本项目厂界周边50米范围内</w:t>
            </w:r>
            <w:r>
              <w:rPr>
                <w:rFonts w:hint="eastAsia" w:cs="Times New Roman"/>
                <w:color w:val="auto"/>
                <w:kern w:val="0"/>
                <w:sz w:val="24"/>
                <w:lang w:val="en-US" w:eastAsia="zh-CN"/>
              </w:rPr>
              <w:t>均为空地，</w:t>
            </w:r>
            <w:r>
              <w:rPr>
                <w:rFonts w:hint="eastAsia" w:ascii="Times New Roman" w:hAnsi="Times New Roman" w:eastAsia="宋体" w:cs="Times New Roman"/>
                <w:color w:val="auto"/>
                <w:kern w:val="0"/>
                <w:sz w:val="24"/>
              </w:rPr>
              <w:t>不存在声环境保护目标</w:t>
            </w:r>
            <w:r>
              <w:rPr>
                <w:rFonts w:hint="eastAsia" w:cs="Times New Roman"/>
                <w:color w:val="auto"/>
                <w:kern w:val="0"/>
                <w:sz w:val="24"/>
                <w:lang w:eastAsia="zh-CN"/>
              </w:rPr>
              <w:t>，</w:t>
            </w:r>
            <w:r>
              <w:rPr>
                <w:rFonts w:hint="eastAsia" w:cs="Times New Roman"/>
                <w:color w:val="auto"/>
                <w:kern w:val="0"/>
                <w:sz w:val="24"/>
                <w:lang w:val="en-US" w:eastAsia="zh-CN"/>
              </w:rPr>
              <w:t>不需要进行声环境评价。</w:t>
            </w:r>
          </w:p>
          <w:p w14:paraId="222C030A">
            <w:pPr>
              <w:numPr>
                <w:ilvl w:val="0"/>
                <w:numId w:val="8"/>
              </w:numPr>
              <w:adjustRightInd w:val="0"/>
              <w:snapToGrid w:val="0"/>
              <w:spacing w:line="360" w:lineRule="auto"/>
              <w:ind w:left="0" w:leftChars="0" w:firstLine="0" w:firstLineChars="0"/>
              <w:rPr>
                <w:b/>
                <w:bCs/>
                <w:color w:val="auto"/>
                <w:kern w:val="0"/>
                <w:sz w:val="24"/>
              </w:rPr>
            </w:pPr>
            <w:r>
              <w:rPr>
                <w:rFonts w:hint="eastAsia"/>
                <w:b/>
                <w:bCs/>
                <w:color w:val="auto"/>
                <w:kern w:val="0"/>
                <w:sz w:val="24"/>
              </w:rPr>
              <w:t>生态环境</w:t>
            </w:r>
          </w:p>
          <w:p w14:paraId="28905CE9">
            <w:pPr>
              <w:keepNext w:val="0"/>
              <w:keepLines w:val="0"/>
              <w:widowControl/>
              <w:suppressLineNumbers w:val="0"/>
              <w:spacing w:line="360" w:lineRule="auto"/>
              <w:ind w:firstLine="480" w:firstLineChars="200"/>
              <w:jc w:val="left"/>
              <w:rPr>
                <w:rFonts w:hint="default" w:ascii="Times New Roman" w:hAnsi="Times New Roman" w:eastAsia="宋体" w:cs="Times New Roman"/>
                <w:bCs/>
                <w:color w:val="auto"/>
                <w:spacing w:val="0"/>
                <w:w w:val="100"/>
                <w:sz w:val="24"/>
                <w:highlight w:val="none"/>
                <w:lang w:val="en-US" w:eastAsia="zh-CN"/>
              </w:rPr>
            </w:pPr>
            <w:r>
              <w:rPr>
                <w:rFonts w:hint="default" w:ascii="Times New Roman" w:hAnsi="Times New Roman" w:eastAsia="宋体" w:cs="Times New Roman"/>
                <w:bCs/>
                <w:color w:val="auto"/>
                <w:spacing w:val="0"/>
                <w:w w:val="100"/>
                <w:sz w:val="24"/>
                <w:highlight w:val="none"/>
                <w:lang w:val="en-US" w:eastAsia="zh-CN"/>
              </w:rPr>
              <w:t>（</w:t>
            </w:r>
            <w:r>
              <w:rPr>
                <w:rFonts w:hint="eastAsia" w:ascii="Times New Roman" w:hAnsi="Times New Roman" w:eastAsia="宋体" w:cs="Times New Roman"/>
                <w:bCs/>
                <w:color w:val="auto"/>
                <w:spacing w:val="0"/>
                <w:w w:val="100"/>
                <w:sz w:val="24"/>
                <w:highlight w:val="none"/>
                <w:lang w:val="en-US" w:eastAsia="zh-CN"/>
              </w:rPr>
              <w:t>1</w:t>
            </w:r>
            <w:r>
              <w:rPr>
                <w:rFonts w:hint="default" w:ascii="Times New Roman" w:hAnsi="Times New Roman" w:eastAsia="宋体" w:cs="Times New Roman"/>
                <w:bCs/>
                <w:color w:val="auto"/>
                <w:spacing w:val="0"/>
                <w:w w:val="100"/>
                <w:sz w:val="24"/>
                <w:highlight w:val="none"/>
                <w:lang w:val="en-US" w:eastAsia="zh-CN"/>
              </w:rPr>
              <w:t>）植被</w:t>
            </w:r>
          </w:p>
          <w:p w14:paraId="46192B8F">
            <w:pPr>
              <w:keepNext w:val="0"/>
              <w:keepLines w:val="0"/>
              <w:widowControl/>
              <w:suppressLineNumbers w:val="0"/>
              <w:spacing w:line="360" w:lineRule="auto"/>
              <w:ind w:firstLine="480" w:firstLineChars="200"/>
              <w:jc w:val="left"/>
              <w:rPr>
                <w:rFonts w:hint="default" w:ascii="Times New Roman" w:hAnsi="Times New Roman" w:eastAsia="宋体" w:cs="Times New Roman"/>
                <w:bCs/>
                <w:color w:val="auto"/>
                <w:spacing w:val="0"/>
                <w:w w:val="100"/>
                <w:sz w:val="24"/>
                <w:highlight w:val="none"/>
                <w:lang w:val="en-US" w:eastAsia="zh-CN"/>
              </w:rPr>
            </w:pPr>
            <w:r>
              <w:rPr>
                <w:rFonts w:hint="default" w:ascii="Times New Roman" w:hAnsi="Times New Roman" w:eastAsia="宋体" w:cs="Times New Roman"/>
                <w:bCs/>
                <w:color w:val="auto"/>
                <w:spacing w:val="0"/>
                <w:w w:val="100"/>
                <w:sz w:val="24"/>
                <w:highlight w:val="none"/>
                <w:lang w:val="en-US" w:eastAsia="zh-CN"/>
              </w:rPr>
              <w:t>本项</w:t>
            </w:r>
            <w:r>
              <w:rPr>
                <w:rFonts w:hint="default" w:ascii="Times New Roman" w:hAnsi="Times New Roman" w:eastAsia="宋体" w:cs="Times New Roman"/>
                <w:bCs/>
                <w:color w:val="auto"/>
                <w:spacing w:val="0"/>
                <w:w w:val="100"/>
                <w:sz w:val="24"/>
                <w:szCs w:val="24"/>
                <w:highlight w:val="none"/>
                <w:lang w:val="en-US" w:eastAsia="zh-CN"/>
              </w:rPr>
              <w:t>目占地为低覆盖度草地，</w:t>
            </w:r>
            <w:r>
              <w:rPr>
                <w:rFonts w:hint="eastAsia" w:ascii="Times New Roman" w:hAnsi="Times New Roman" w:eastAsia="宋体" w:cs="Times New Roman"/>
                <w:bCs/>
                <w:color w:val="auto"/>
                <w:spacing w:val="0"/>
                <w:w w:val="100"/>
                <w:sz w:val="24"/>
                <w:szCs w:val="24"/>
                <w:highlight w:val="none"/>
                <w:lang w:val="en-US" w:eastAsia="zh-CN"/>
              </w:rPr>
              <w:t>主要有纤细绢蒿、泡泡刺等植被</w:t>
            </w:r>
            <w:r>
              <w:rPr>
                <w:rFonts w:hint="default" w:ascii="Times New Roman" w:hAnsi="Times New Roman" w:eastAsia="宋体" w:cs="Times New Roman"/>
                <w:bCs/>
                <w:color w:val="auto"/>
                <w:spacing w:val="0"/>
                <w:w w:val="100"/>
                <w:sz w:val="24"/>
                <w:highlight w:val="none"/>
                <w:lang w:val="en-US" w:eastAsia="zh-CN"/>
              </w:rPr>
              <w:t>，植被覆盖度约为</w:t>
            </w:r>
            <w:r>
              <w:rPr>
                <w:rFonts w:hint="eastAsia" w:cs="Times New Roman"/>
                <w:bCs/>
                <w:color w:val="auto"/>
                <w:spacing w:val="0"/>
                <w:w w:val="100"/>
                <w:sz w:val="24"/>
                <w:highlight w:val="none"/>
                <w:lang w:val="en-US" w:eastAsia="zh-CN"/>
              </w:rPr>
              <w:t>30</w:t>
            </w:r>
            <w:r>
              <w:rPr>
                <w:rFonts w:hint="default" w:ascii="Times New Roman" w:hAnsi="Times New Roman" w:eastAsia="宋体" w:cs="Times New Roman"/>
                <w:bCs/>
                <w:color w:val="auto"/>
                <w:spacing w:val="0"/>
                <w:w w:val="100"/>
                <w:sz w:val="24"/>
                <w:highlight w:val="none"/>
                <w:lang w:val="en-US" w:eastAsia="zh-CN"/>
              </w:rPr>
              <w:t>%。</w:t>
            </w:r>
            <w:r>
              <w:rPr>
                <w:rStyle w:val="46"/>
                <w:rFonts w:hint="default" w:ascii="Times New Roman" w:hAnsi="Times New Roman" w:eastAsia="宋体" w:cs="Times New Roman"/>
                <w:color w:val="auto"/>
                <w:spacing w:val="0"/>
                <w:w w:val="100"/>
                <w:sz w:val="24"/>
                <w:highlight w:val="none"/>
                <w:lang w:val="en-US" w:eastAsia="zh-CN"/>
              </w:rPr>
              <w:t>根据现状调查和有关资料显示，项目区不涉及国家级和省级保护植物。</w:t>
            </w:r>
            <w:r>
              <w:rPr>
                <w:rFonts w:hint="default" w:ascii="Times New Roman" w:hAnsi="Times New Roman" w:eastAsia="宋体" w:cs="Times New Roman"/>
                <w:bCs/>
                <w:color w:val="auto"/>
                <w:spacing w:val="0"/>
                <w:w w:val="100"/>
                <w:sz w:val="24"/>
                <w:highlight w:val="none"/>
                <w:lang w:val="en-US" w:eastAsia="zh-CN"/>
              </w:rPr>
              <w:t>本项目评价区植被类型图。</w:t>
            </w:r>
          </w:p>
          <w:p w14:paraId="63FA36E3">
            <w:pPr>
              <w:keepNext w:val="0"/>
              <w:keepLines w:val="0"/>
              <w:widowControl/>
              <w:suppressLineNumbers w:val="0"/>
              <w:spacing w:line="360" w:lineRule="auto"/>
              <w:ind w:firstLine="480" w:firstLineChars="200"/>
              <w:jc w:val="left"/>
              <w:rPr>
                <w:rFonts w:hint="default" w:ascii="Times New Roman" w:hAnsi="Times New Roman" w:eastAsia="宋体" w:cs="Times New Roman"/>
                <w:bCs/>
                <w:color w:val="auto"/>
                <w:spacing w:val="0"/>
                <w:w w:val="100"/>
                <w:sz w:val="24"/>
                <w:highlight w:val="none"/>
                <w:lang w:val="en-US" w:eastAsia="zh-CN"/>
              </w:rPr>
            </w:pPr>
            <w:r>
              <w:rPr>
                <w:rFonts w:hint="default" w:ascii="Times New Roman" w:hAnsi="Times New Roman" w:eastAsia="宋体" w:cs="Times New Roman"/>
                <w:bCs/>
                <w:color w:val="auto"/>
                <w:spacing w:val="0"/>
                <w:w w:val="100"/>
                <w:sz w:val="24"/>
                <w:highlight w:val="none"/>
                <w:lang w:val="en-US" w:eastAsia="zh-CN"/>
              </w:rPr>
              <w:t>（</w:t>
            </w:r>
            <w:r>
              <w:rPr>
                <w:rFonts w:hint="eastAsia" w:ascii="Times New Roman" w:hAnsi="Times New Roman" w:eastAsia="宋体" w:cs="Times New Roman"/>
                <w:bCs/>
                <w:color w:val="auto"/>
                <w:spacing w:val="0"/>
                <w:w w:val="100"/>
                <w:sz w:val="24"/>
                <w:highlight w:val="none"/>
                <w:lang w:val="en-US" w:eastAsia="zh-CN"/>
              </w:rPr>
              <w:t>2</w:t>
            </w:r>
            <w:r>
              <w:rPr>
                <w:rFonts w:hint="default" w:ascii="Times New Roman" w:hAnsi="Times New Roman" w:eastAsia="宋体" w:cs="Times New Roman"/>
                <w:bCs/>
                <w:color w:val="auto"/>
                <w:spacing w:val="0"/>
                <w:w w:val="100"/>
                <w:sz w:val="24"/>
                <w:highlight w:val="none"/>
                <w:lang w:val="en-US" w:eastAsia="zh-CN"/>
              </w:rPr>
              <w:t>）土壤</w:t>
            </w:r>
          </w:p>
          <w:p w14:paraId="3E92891A">
            <w:pPr>
              <w:adjustRightInd w:val="0"/>
              <w:snapToGrid w:val="0"/>
              <w:spacing w:line="360" w:lineRule="auto"/>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eastAsia="zh-CN"/>
              </w:rPr>
              <w:t>（</w:t>
            </w:r>
            <w:r>
              <w:rPr>
                <w:rFonts w:hint="eastAsia" w:ascii="Times New Roman" w:hAnsi="Times New Roman" w:cs="Times New Roman"/>
                <w:color w:val="auto"/>
                <w:spacing w:val="0"/>
                <w:w w:val="100"/>
                <w:kern w:val="0"/>
                <w:sz w:val="24"/>
                <w:highlight w:val="none"/>
                <w:lang w:val="en-US" w:eastAsia="zh-CN"/>
              </w:rPr>
              <w:t>3</w:t>
            </w:r>
            <w:r>
              <w:rPr>
                <w:rFonts w:hint="default" w:ascii="Times New Roman" w:hAnsi="Times New Roman" w:cs="Times New Roman"/>
                <w:color w:val="auto"/>
                <w:spacing w:val="0"/>
                <w:w w:val="100"/>
                <w:kern w:val="0"/>
                <w:sz w:val="24"/>
                <w:highlight w:val="none"/>
                <w:lang w:val="en-US" w:eastAsia="zh-CN"/>
              </w:rPr>
              <w:t>）</w:t>
            </w:r>
            <w:r>
              <w:rPr>
                <w:rFonts w:hint="default" w:ascii="Times New Roman" w:hAnsi="Times New Roman" w:cs="Times New Roman"/>
                <w:color w:val="auto"/>
                <w:spacing w:val="0"/>
                <w:w w:val="100"/>
                <w:kern w:val="0"/>
                <w:sz w:val="24"/>
                <w:highlight w:val="none"/>
              </w:rPr>
              <w:t>野生动物</w:t>
            </w:r>
          </w:p>
          <w:p w14:paraId="4E0CB37F">
            <w:pPr>
              <w:adjustRightInd w:val="0"/>
              <w:snapToGrid w:val="0"/>
              <w:spacing w:line="360" w:lineRule="auto"/>
              <w:ind w:firstLine="480" w:firstLineChars="200"/>
              <w:rPr>
                <w:rStyle w:val="46"/>
                <w:rFonts w:hint="default" w:ascii="Times New Roman" w:hAnsi="Times New Roman" w:eastAsia="宋体" w:cs="Times New Roman"/>
                <w:color w:val="auto"/>
                <w:spacing w:val="0"/>
                <w:w w:val="100"/>
                <w:sz w:val="24"/>
                <w:highlight w:val="none"/>
              </w:rPr>
            </w:pPr>
            <w:r>
              <w:rPr>
                <w:rStyle w:val="46"/>
                <w:rFonts w:hint="default" w:ascii="Times New Roman" w:hAnsi="Times New Roman" w:cs="Times New Roman"/>
                <w:color w:val="auto"/>
                <w:spacing w:val="0"/>
                <w:w w:val="100"/>
                <w:sz w:val="24"/>
                <w:highlight w:val="none"/>
              </w:rPr>
              <w:t>本项目所在区域主要为</w:t>
            </w:r>
            <w:r>
              <w:rPr>
                <w:rFonts w:hint="default" w:ascii="Times New Roman" w:hAnsi="Times New Roman" w:cs="Times New Roman"/>
                <w:snapToGrid w:val="0"/>
                <w:color w:val="auto"/>
                <w:spacing w:val="0"/>
                <w:w w:val="100"/>
                <w:sz w:val="24"/>
                <w:highlight w:val="none"/>
                <w:lang w:val="en-US" w:eastAsia="zh-CN"/>
              </w:rPr>
              <w:t>低密度覆盖草地、滩地</w:t>
            </w:r>
            <w:r>
              <w:rPr>
                <w:rFonts w:hint="default" w:ascii="Times New Roman" w:hAnsi="Times New Roman" w:cs="Times New Roman"/>
                <w:snapToGrid w:val="0"/>
                <w:color w:val="auto"/>
                <w:spacing w:val="0"/>
                <w:w w:val="100"/>
                <w:sz w:val="24"/>
                <w:highlight w:val="none"/>
              </w:rPr>
              <w:t>，</w:t>
            </w:r>
            <w:r>
              <w:rPr>
                <w:rStyle w:val="46"/>
                <w:rFonts w:hint="default" w:ascii="Times New Roman" w:hAnsi="Times New Roman" w:eastAsia="宋体" w:cs="Times New Roman"/>
                <w:color w:val="auto"/>
                <w:spacing w:val="0"/>
                <w:w w:val="100"/>
                <w:sz w:val="24"/>
                <w:highlight w:val="none"/>
              </w:rPr>
              <w:t>由于评价区环境恶劣，气候干旱，在此区域分布的野生动物相对数量就少，再加上保护对象自身的因素即生态系统和物种种群的脆弱性、人类活动的威胁和干扰，使得此区域的野生动物数量越来越少。</w:t>
            </w:r>
            <w:r>
              <w:rPr>
                <w:rStyle w:val="46"/>
                <w:rFonts w:hint="default" w:ascii="Times New Roman" w:hAnsi="Times New Roman" w:eastAsia="宋体" w:cs="Times New Roman"/>
                <w:color w:val="auto"/>
                <w:spacing w:val="0"/>
                <w:w w:val="100"/>
                <w:sz w:val="24"/>
                <w:highlight w:val="none"/>
                <w:lang w:val="en-US" w:eastAsia="zh-CN"/>
              </w:rPr>
              <w:t>项目区不涉及珍稀濒危及国家级和省级保护动物</w:t>
            </w:r>
            <w:bookmarkStart w:id="4" w:name="_Toc16289"/>
            <w:bookmarkStart w:id="5" w:name="_Toc722"/>
            <w:r>
              <w:rPr>
                <w:rStyle w:val="46"/>
                <w:rFonts w:hint="default" w:ascii="Times New Roman" w:hAnsi="Times New Roman" w:eastAsia="宋体" w:cs="Times New Roman"/>
                <w:color w:val="auto"/>
                <w:spacing w:val="0"/>
                <w:w w:val="100"/>
                <w:sz w:val="24"/>
                <w:highlight w:val="none"/>
                <w:lang w:val="en-US" w:eastAsia="zh-CN"/>
              </w:rPr>
              <w:t>。</w:t>
            </w:r>
            <w:bookmarkEnd w:id="4"/>
            <w:bookmarkEnd w:id="5"/>
          </w:p>
          <w:p w14:paraId="2B0C7517">
            <w:pPr>
              <w:pStyle w:val="20"/>
              <w:numPr>
                <w:ilvl w:val="0"/>
                <w:numId w:val="8"/>
              </w:numPr>
              <w:ind w:left="0" w:leftChars="0" w:firstLine="0" w:firstLineChars="0"/>
              <w:rPr>
                <w:b/>
                <w:bCs/>
                <w:color w:val="auto"/>
                <w:szCs w:val="24"/>
              </w:rPr>
            </w:pPr>
            <w:r>
              <w:rPr>
                <w:rFonts w:hint="eastAsia"/>
                <w:b/>
                <w:bCs/>
                <w:color w:val="auto"/>
                <w:szCs w:val="24"/>
              </w:rPr>
              <w:t>土壤环境</w:t>
            </w:r>
          </w:p>
          <w:p w14:paraId="4C66D32F">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1"/>
                <w:lang w:eastAsia="zh-CN"/>
              </w:rPr>
            </w:pPr>
            <w:r>
              <w:rPr>
                <w:rFonts w:ascii="Times New Roman" w:hAnsi="Times New Roman" w:eastAsia="宋体" w:cs="Times New Roman"/>
                <w:color w:val="auto"/>
                <w:kern w:val="0"/>
                <w:sz w:val="24"/>
              </w:rPr>
              <w:t>本项目为污染影响型项目，</w:t>
            </w:r>
            <w:r>
              <w:rPr>
                <w:rFonts w:hint="eastAsia" w:ascii="Times New Roman" w:hAnsi="Times New Roman" w:eastAsia="宋体" w:cs="Times New Roman"/>
                <w:color w:val="auto"/>
                <w:kern w:val="0"/>
                <w:sz w:val="24"/>
              </w:rPr>
              <w:t>根据《建设项目环境影响报告表编制技术指南（污染影响类）》，本项目不存在土壤污染途径，本项目</w:t>
            </w:r>
            <w:r>
              <w:rPr>
                <w:rFonts w:ascii="Times New Roman" w:hAnsi="Times New Roman" w:eastAsia="宋体" w:cs="Times New Roman"/>
                <w:color w:val="auto"/>
                <w:kern w:val="0"/>
                <w:sz w:val="24"/>
              </w:rPr>
              <w:t>占地规模</w:t>
            </w:r>
            <w:r>
              <w:rPr>
                <w:rFonts w:hint="eastAsia" w:cs="Times New Roman"/>
                <w:color w:val="auto"/>
                <w:kern w:val="0"/>
                <w:sz w:val="24"/>
                <w:lang w:eastAsia="zh-CN"/>
              </w:rPr>
              <w:t>&lt;</w:t>
            </w:r>
            <w:r>
              <w:rPr>
                <w:rFonts w:ascii="Times New Roman" w:hAnsi="Times New Roman" w:eastAsia="宋体" w:cs="Times New Roman"/>
                <w:color w:val="auto"/>
                <w:kern w:val="0"/>
                <w:sz w:val="24"/>
              </w:rPr>
              <w:t>5</w:t>
            </w:r>
            <w:r>
              <w:rPr>
                <w:rFonts w:hint="eastAsia" w:cs="Times New Roman"/>
                <w:color w:val="auto"/>
                <w:kern w:val="0"/>
                <w:sz w:val="24"/>
                <w:lang w:val="en-US" w:eastAsia="zh-CN"/>
              </w:rPr>
              <w:t>h</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为小型建设项目，且本项目属于不敏感区。根据</w:t>
            </w:r>
            <w:r>
              <w:rPr>
                <w:rFonts w:hint="eastAsia" w:ascii="Times New Roman" w:hAnsi="Times New Roman" w:eastAsia="宋体" w:cs="Times New Roman"/>
                <w:color w:val="auto"/>
                <w:kern w:val="0"/>
                <w:sz w:val="24"/>
              </w:rPr>
              <w:t>《环境影响评价技术导则 土壤环境（试行）》（HJ964-2018）</w:t>
            </w:r>
            <w:r>
              <w:rPr>
                <w:rFonts w:ascii="Times New Roman" w:hAnsi="Times New Roman" w:eastAsia="宋体" w:cs="Times New Roman"/>
                <w:color w:val="auto"/>
                <w:kern w:val="0"/>
                <w:sz w:val="24"/>
              </w:rPr>
              <w:t>，本项目可不展开土壤环境影响评价</w:t>
            </w:r>
            <w:r>
              <w:rPr>
                <w:rFonts w:hint="eastAsia" w:ascii="Times New Roman" w:hAnsi="Times New Roman" w:eastAsia="宋体" w:cs="Times New Roman"/>
                <w:color w:val="auto"/>
                <w:kern w:val="0"/>
                <w:sz w:val="24"/>
                <w:lang w:eastAsia="zh-CN"/>
              </w:rPr>
              <w:t>。</w:t>
            </w:r>
          </w:p>
        </w:tc>
      </w:tr>
      <w:tr w14:paraId="188EB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12CA4A6D">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14:paraId="6A63ED72">
            <w:pPr>
              <w:adjustRightInd w:val="0"/>
              <w:snapToGrid w:val="0"/>
              <w:jc w:val="center"/>
              <w:rPr>
                <w:rFonts w:ascii="宋体" w:hAnsi="宋体" w:cs="宋体"/>
                <w:color w:val="auto"/>
                <w:kern w:val="0"/>
                <w:szCs w:val="21"/>
              </w:rPr>
            </w:pPr>
            <w:r>
              <w:rPr>
                <w:rFonts w:hint="eastAsia" w:ascii="宋体" w:hAnsi="宋体" w:cs="宋体"/>
                <w:color w:val="auto"/>
                <w:kern w:val="0"/>
                <w:szCs w:val="21"/>
              </w:rPr>
              <w:t>保护</w:t>
            </w:r>
          </w:p>
          <w:p w14:paraId="7454E87F">
            <w:pPr>
              <w:adjustRightInd w:val="0"/>
              <w:snapToGrid w:val="0"/>
              <w:jc w:val="center"/>
              <w:rPr>
                <w:rFonts w:ascii="宋体" w:hAnsi="宋体" w:cs="宋体"/>
                <w:color w:val="auto"/>
                <w:kern w:val="0"/>
                <w:szCs w:val="21"/>
              </w:rPr>
            </w:pPr>
            <w:r>
              <w:rPr>
                <w:rFonts w:hint="eastAsia" w:ascii="宋体" w:hAnsi="宋体" w:cs="宋体"/>
                <w:color w:val="auto"/>
                <w:kern w:val="0"/>
                <w:szCs w:val="21"/>
              </w:rPr>
              <w:t>目标</w:t>
            </w:r>
          </w:p>
        </w:tc>
        <w:tc>
          <w:tcPr>
            <w:tcW w:w="8190" w:type="dxa"/>
            <w:vAlign w:val="center"/>
          </w:tcPr>
          <w:p w14:paraId="564EF220">
            <w:pPr>
              <w:pStyle w:val="20"/>
              <w:numPr>
                <w:ilvl w:val="0"/>
                <w:numId w:val="9"/>
              </w:numPr>
              <w:spacing w:after="0" w:line="360" w:lineRule="auto"/>
              <w:ind w:left="0" w:leftChars="0" w:firstLine="0" w:firstLineChars="0"/>
              <w:rPr>
                <w:b/>
                <w:bCs/>
                <w:color w:val="auto"/>
                <w:szCs w:val="24"/>
              </w:rPr>
            </w:pPr>
            <w:r>
              <w:rPr>
                <w:b/>
                <w:bCs/>
                <w:color w:val="auto"/>
                <w:szCs w:val="24"/>
              </w:rPr>
              <w:t>大气环境</w:t>
            </w:r>
          </w:p>
          <w:p w14:paraId="3C70893A">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color w:val="auto"/>
                <w:szCs w:val="24"/>
              </w:rPr>
            </w:pPr>
            <w:r>
              <w:rPr>
                <w:rFonts w:ascii="Times New Roman" w:hAnsi="Times New Roman" w:eastAsia="宋体" w:cs="Times New Roman"/>
                <w:color w:val="auto"/>
                <w:kern w:val="0"/>
                <w:sz w:val="24"/>
                <w:szCs w:val="24"/>
                <w:lang w:val="en-US" w:eastAsia="zh-CN" w:bidi="ar-SA"/>
              </w:rPr>
              <w:t>厂界外500米范围内无自然保护区、风景名胜区、居住区、文化区和农村地区中人群较集中的区域。</w:t>
            </w:r>
          </w:p>
          <w:p w14:paraId="14CEBAF9">
            <w:pPr>
              <w:pStyle w:val="20"/>
              <w:numPr>
                <w:ilvl w:val="0"/>
                <w:numId w:val="9"/>
              </w:numPr>
              <w:spacing w:after="0" w:line="360" w:lineRule="auto"/>
              <w:ind w:left="0" w:leftChars="0" w:firstLine="0" w:firstLineChars="0"/>
              <w:rPr>
                <w:rFonts w:ascii="Times New Roman" w:hAnsi="Times New Roman" w:eastAsia="宋体" w:cs="Times New Roman"/>
                <w:b/>
                <w:bCs/>
                <w:color w:val="auto"/>
                <w:kern w:val="0"/>
                <w:sz w:val="24"/>
                <w:szCs w:val="24"/>
                <w:lang w:val="en-US" w:eastAsia="zh-CN" w:bidi="ar-SA"/>
              </w:rPr>
            </w:pPr>
            <w:r>
              <w:rPr>
                <w:b/>
                <w:bCs/>
                <w:color w:val="auto"/>
                <w:szCs w:val="21"/>
              </w:rPr>
              <w:t>水环境</w:t>
            </w:r>
          </w:p>
          <w:p w14:paraId="6806C5C2">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厂界外500米范围内无地下水集中式饮用水水源和热水、矿泉水、温泉等特殊地下水资源</w:t>
            </w:r>
            <w:r>
              <w:rPr>
                <w:rFonts w:hint="eastAsia" w:ascii="Times New Roman" w:hAnsi="Times New Roman" w:eastAsia="宋体" w:cs="Times New Roman"/>
                <w:color w:val="auto"/>
                <w:kern w:val="0"/>
                <w:sz w:val="24"/>
                <w:szCs w:val="24"/>
                <w:lang w:val="en-US" w:eastAsia="zh-CN" w:bidi="ar-SA"/>
              </w:rPr>
              <w:t>。</w:t>
            </w:r>
          </w:p>
          <w:p w14:paraId="705EFD41">
            <w:pPr>
              <w:pStyle w:val="20"/>
              <w:numPr>
                <w:ilvl w:val="0"/>
                <w:numId w:val="9"/>
              </w:numPr>
              <w:spacing w:after="0" w:line="360" w:lineRule="auto"/>
              <w:ind w:left="0" w:leftChars="0" w:firstLine="0" w:firstLineChars="0"/>
              <w:rPr>
                <w:b/>
                <w:bCs/>
                <w:color w:val="auto"/>
                <w:szCs w:val="21"/>
              </w:rPr>
            </w:pPr>
            <w:r>
              <w:rPr>
                <w:b/>
                <w:bCs/>
                <w:color w:val="auto"/>
                <w:szCs w:val="21"/>
              </w:rPr>
              <w:t>声环境</w:t>
            </w:r>
          </w:p>
          <w:p w14:paraId="4DE48434">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厂界50米范围内无声环境保护目标。</w:t>
            </w:r>
          </w:p>
          <w:p w14:paraId="62B0287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rPr>
                <w:rFonts w:ascii="Times New Roman" w:hAnsi="Times New Roman" w:eastAsia="宋体" w:cs="Times New Roman"/>
                <w:b/>
                <w:bCs/>
                <w:color w:val="auto"/>
                <w:kern w:val="0"/>
                <w:sz w:val="24"/>
              </w:rPr>
            </w:pPr>
            <w:r>
              <w:rPr>
                <w:b/>
                <w:bCs/>
                <w:color w:val="auto"/>
                <w:sz w:val="24"/>
                <w:szCs w:val="21"/>
              </w:rPr>
              <w:t>生态环境</w:t>
            </w:r>
          </w:p>
          <w:p w14:paraId="0F1644CC">
            <w:pPr>
              <w:spacing w:line="360" w:lineRule="auto"/>
              <w:ind w:firstLine="480" w:firstLineChars="200"/>
              <w:rPr>
                <w:rFonts w:ascii="宋体" w:hAnsi="宋体" w:cs="宋体"/>
                <w:color w:val="auto"/>
                <w:kern w:val="0"/>
                <w:szCs w:val="21"/>
              </w:rPr>
            </w:pPr>
            <w:r>
              <w:rPr>
                <w:rFonts w:ascii="Times New Roman" w:hAnsi="Times New Roman" w:eastAsia="宋体" w:cs="Times New Roman"/>
                <w:color w:val="auto"/>
                <w:kern w:val="0"/>
                <w:sz w:val="24"/>
                <w:szCs w:val="24"/>
                <w:lang w:val="en-US" w:eastAsia="zh-CN" w:bidi="ar-SA"/>
              </w:rPr>
              <w:t>项目位于</w:t>
            </w:r>
            <w:r>
              <w:rPr>
                <w:rFonts w:hint="eastAsia" w:ascii="Times New Roman" w:hAnsi="Times New Roman" w:eastAsia="宋体" w:cs="Times New Roman"/>
                <w:color w:val="auto"/>
                <w:kern w:val="0"/>
                <w:sz w:val="24"/>
                <w:szCs w:val="24"/>
                <w:lang w:val="en-US" w:eastAsia="zh-CN" w:bidi="ar-SA"/>
              </w:rPr>
              <w:t>昌吉回族自治州木垒县博斯塘乡直属</w:t>
            </w: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项目周边均为</w:t>
            </w:r>
            <w:r>
              <w:rPr>
                <w:rFonts w:hint="eastAsia" w:cs="Times New Roman"/>
                <w:color w:val="auto"/>
                <w:kern w:val="0"/>
                <w:sz w:val="24"/>
                <w:szCs w:val="24"/>
                <w:lang w:val="en-US" w:eastAsia="zh-CN" w:bidi="ar-SA"/>
              </w:rPr>
              <w:t>空地</w:t>
            </w:r>
            <w:r>
              <w:rPr>
                <w:rFonts w:hint="eastAsia" w:ascii="Times New Roman" w:hAnsi="Times New Roman" w:eastAsia="宋体" w:cs="Times New Roman"/>
                <w:color w:val="auto"/>
                <w:kern w:val="0"/>
                <w:sz w:val="24"/>
                <w:szCs w:val="24"/>
                <w:lang w:val="en-US" w:eastAsia="zh-CN" w:bidi="ar-SA"/>
              </w:rPr>
              <w:t>，项目</w:t>
            </w:r>
            <w:r>
              <w:rPr>
                <w:rFonts w:hint="eastAsia" w:cs="Times New Roman"/>
                <w:color w:val="auto"/>
                <w:kern w:val="0"/>
                <w:sz w:val="24"/>
                <w:szCs w:val="24"/>
                <w:lang w:val="en-US" w:eastAsia="zh-CN" w:bidi="ar-SA"/>
              </w:rPr>
              <w:t>选址</w:t>
            </w:r>
            <w:r>
              <w:rPr>
                <w:rFonts w:hint="eastAsia" w:ascii="Times New Roman" w:hAnsi="Times New Roman" w:eastAsia="宋体" w:cs="Times New Roman"/>
                <w:color w:val="auto"/>
                <w:kern w:val="0"/>
                <w:sz w:val="24"/>
                <w:szCs w:val="24"/>
                <w:lang w:val="en-US" w:eastAsia="zh-CN" w:bidi="ar-SA"/>
              </w:rPr>
              <w:t>所在区域</w:t>
            </w:r>
            <w:r>
              <w:rPr>
                <w:rFonts w:hint="eastAsia" w:cs="Times New Roman"/>
                <w:color w:val="auto"/>
                <w:kern w:val="0"/>
                <w:sz w:val="24"/>
                <w:szCs w:val="24"/>
                <w:lang w:val="en-US" w:eastAsia="zh-CN" w:bidi="ar-SA"/>
              </w:rPr>
              <w:t>没有</w:t>
            </w:r>
            <w:r>
              <w:rPr>
                <w:rFonts w:hint="eastAsia" w:ascii="Times New Roman" w:hAnsi="Times New Roman" w:eastAsia="宋体" w:cs="Times New Roman"/>
                <w:color w:val="auto"/>
                <w:kern w:val="0"/>
                <w:sz w:val="24"/>
                <w:szCs w:val="24"/>
                <w:lang w:val="en-US" w:eastAsia="zh-CN" w:bidi="ar-SA"/>
              </w:rPr>
              <w:t>居民区</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水源</w:t>
            </w:r>
            <w:r>
              <w:rPr>
                <w:rFonts w:hint="eastAsia" w:cs="Times New Roman"/>
                <w:color w:val="auto"/>
                <w:kern w:val="0"/>
                <w:sz w:val="24"/>
                <w:szCs w:val="24"/>
                <w:lang w:val="en-US" w:eastAsia="zh-CN" w:bidi="ar-SA"/>
              </w:rPr>
              <w:t>、草场、野生动物、</w:t>
            </w:r>
            <w:r>
              <w:rPr>
                <w:rFonts w:hint="eastAsia" w:ascii="Times New Roman" w:hAnsi="Times New Roman" w:eastAsia="宋体" w:cs="Times New Roman"/>
                <w:color w:val="auto"/>
                <w:kern w:val="0"/>
                <w:sz w:val="24"/>
                <w:szCs w:val="24"/>
                <w:lang w:val="en-US" w:eastAsia="zh-CN" w:bidi="ar-SA"/>
              </w:rPr>
              <w:t>保护地等敏感目标</w:t>
            </w:r>
            <w:r>
              <w:rPr>
                <w:rFonts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spacing w:val="0"/>
                <w:w w:val="100"/>
                <w:kern w:val="2"/>
                <w:sz w:val="24"/>
                <w:szCs w:val="24"/>
                <w:highlight w:val="none"/>
                <w:lang w:val="zh-CN" w:eastAsia="zh-CN" w:bidi="zh-CN"/>
              </w:rPr>
              <w:t>本项目评价范围内为</w:t>
            </w:r>
            <w:r>
              <w:rPr>
                <w:rFonts w:hint="default" w:ascii="Times New Roman" w:hAnsi="Times New Roman" w:eastAsia="宋体" w:cs="Times New Roman"/>
                <w:color w:val="auto"/>
                <w:spacing w:val="0"/>
                <w:w w:val="100"/>
                <w:kern w:val="2"/>
                <w:sz w:val="24"/>
                <w:szCs w:val="24"/>
                <w:highlight w:val="none"/>
                <w:lang w:val="en-US" w:eastAsia="zh-CN" w:bidi="zh-CN"/>
              </w:rPr>
              <w:t>低密度覆盖草地、滩地</w:t>
            </w:r>
            <w:r>
              <w:rPr>
                <w:rFonts w:hint="default" w:ascii="Times New Roman" w:hAnsi="Times New Roman" w:eastAsia="宋体" w:cs="Times New Roman"/>
                <w:color w:val="auto"/>
                <w:spacing w:val="0"/>
                <w:w w:val="100"/>
                <w:kern w:val="2"/>
                <w:sz w:val="24"/>
                <w:szCs w:val="24"/>
                <w:highlight w:val="none"/>
                <w:lang w:val="zh-CN" w:eastAsia="zh-CN" w:bidi="zh-CN"/>
              </w:rPr>
              <w:t>，本项目场界外500m的生态环境评价范围内不涉及《环境影响评价技术导则生态影响》(HJ19-20</w:t>
            </w:r>
            <w:r>
              <w:rPr>
                <w:rFonts w:hint="default" w:ascii="Times New Roman" w:hAnsi="Times New Roman" w:eastAsia="宋体" w:cs="Times New Roman"/>
                <w:color w:val="auto"/>
                <w:spacing w:val="0"/>
                <w:w w:val="100"/>
                <w:kern w:val="2"/>
                <w:sz w:val="24"/>
                <w:szCs w:val="24"/>
                <w:highlight w:val="none"/>
                <w:lang w:val="en-US" w:eastAsia="zh-CN" w:bidi="zh-CN"/>
              </w:rPr>
              <w:t>22</w:t>
            </w:r>
            <w:r>
              <w:rPr>
                <w:rFonts w:hint="default" w:ascii="Times New Roman" w:hAnsi="Times New Roman" w:eastAsia="宋体" w:cs="Times New Roman"/>
                <w:color w:val="auto"/>
                <w:spacing w:val="0"/>
                <w:w w:val="100"/>
                <w:kern w:val="2"/>
                <w:sz w:val="24"/>
                <w:szCs w:val="24"/>
                <w:highlight w:val="none"/>
                <w:lang w:val="zh-CN" w:eastAsia="zh-CN" w:bidi="zh-CN"/>
              </w:rPr>
              <w:t>)中定义的特殊生态敏感区和重要生态敏感区，也不涉及《建设项目环境影响评价分类管理名录(2021年版)》中针对</w:t>
            </w:r>
            <w:r>
              <w:rPr>
                <w:rFonts w:hint="default" w:ascii="Times New Roman" w:hAnsi="Times New Roman" w:eastAsia="宋体" w:cs="Times New Roman"/>
                <w:color w:val="auto"/>
                <w:spacing w:val="0"/>
                <w:w w:val="100"/>
                <w:kern w:val="2"/>
                <w:sz w:val="24"/>
                <w:szCs w:val="24"/>
                <w:highlight w:val="none"/>
                <w:lang w:val="en-US" w:eastAsia="zh-CN" w:bidi="zh-CN"/>
              </w:rPr>
              <w:t>风力发电</w:t>
            </w:r>
            <w:r>
              <w:rPr>
                <w:rFonts w:hint="default" w:ascii="Times New Roman" w:hAnsi="Times New Roman" w:eastAsia="宋体" w:cs="Times New Roman"/>
                <w:color w:val="auto"/>
                <w:spacing w:val="0"/>
                <w:w w:val="100"/>
                <w:kern w:val="2"/>
                <w:sz w:val="24"/>
                <w:szCs w:val="24"/>
                <w:highlight w:val="none"/>
                <w:lang w:val="zh-CN" w:eastAsia="zh-CN" w:bidi="zh-CN"/>
              </w:rPr>
              <w:t>确定的国家公园、自然保护区、风景名胜区、世界文化和自然遗产地、海洋特别保护区、饮用水水源保护区等环境敏感区；</w:t>
            </w:r>
            <w:r>
              <w:rPr>
                <w:rFonts w:hint="default" w:ascii="Times New Roman" w:hAnsi="Times New Roman" w:eastAsia="宋体" w:cs="Times New Roman"/>
                <w:color w:val="auto"/>
                <w:spacing w:val="0"/>
                <w:w w:val="100"/>
                <w:kern w:val="2"/>
                <w:sz w:val="24"/>
                <w:szCs w:val="24"/>
                <w:highlight w:val="none"/>
                <w:lang w:val="en-US" w:eastAsia="zh-CN" w:bidi="zh-CN"/>
              </w:rPr>
              <w:t>以居住、医疗卫生、文化教育、科研、行政办公为主要功能的区域，以及文物保护单位，</w:t>
            </w:r>
            <w:r>
              <w:rPr>
                <w:rFonts w:hint="default" w:ascii="Times New Roman" w:hAnsi="Times New Roman" w:eastAsia="宋体" w:cs="Times New Roman"/>
                <w:color w:val="auto"/>
                <w:spacing w:val="0"/>
                <w:w w:val="100"/>
                <w:kern w:val="2"/>
                <w:sz w:val="24"/>
                <w:szCs w:val="24"/>
                <w:highlight w:val="none"/>
                <w:lang w:val="zh-CN" w:eastAsia="zh-CN" w:bidi="zh-CN"/>
              </w:rPr>
              <w:t>亦不涉及生态保护红线。</w:t>
            </w:r>
          </w:p>
        </w:tc>
      </w:tr>
      <w:tr w14:paraId="60C61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79D6AE84">
            <w:pPr>
              <w:adjustRightInd w:val="0"/>
              <w:snapToGrid w:val="0"/>
              <w:jc w:val="center"/>
              <w:rPr>
                <w:rFonts w:ascii="宋体" w:hAnsi="宋体" w:cs="宋体"/>
                <w:color w:val="auto"/>
                <w:kern w:val="0"/>
                <w:szCs w:val="21"/>
              </w:rPr>
            </w:pPr>
            <w:r>
              <w:rPr>
                <w:rFonts w:hint="eastAsia" w:ascii="宋体" w:hAnsi="宋体" w:cs="宋体"/>
                <w:color w:val="auto"/>
                <w:kern w:val="0"/>
                <w:szCs w:val="21"/>
              </w:rPr>
              <w:t>污染</w:t>
            </w:r>
          </w:p>
          <w:p w14:paraId="0CF02F41">
            <w:pPr>
              <w:adjustRightInd w:val="0"/>
              <w:snapToGrid w:val="0"/>
              <w:jc w:val="center"/>
              <w:rPr>
                <w:rFonts w:ascii="宋体" w:hAnsi="宋体" w:cs="宋体"/>
                <w:color w:val="auto"/>
                <w:kern w:val="0"/>
                <w:szCs w:val="21"/>
              </w:rPr>
            </w:pPr>
            <w:r>
              <w:rPr>
                <w:rFonts w:hint="eastAsia" w:ascii="宋体" w:hAnsi="宋体" w:cs="宋体"/>
                <w:color w:val="auto"/>
                <w:kern w:val="0"/>
                <w:szCs w:val="21"/>
              </w:rPr>
              <w:t>物排</w:t>
            </w:r>
          </w:p>
          <w:p w14:paraId="6C32B439">
            <w:pPr>
              <w:adjustRightInd w:val="0"/>
              <w:snapToGrid w:val="0"/>
              <w:jc w:val="center"/>
              <w:rPr>
                <w:rFonts w:ascii="宋体" w:hAnsi="宋体" w:cs="宋体"/>
                <w:color w:val="auto"/>
                <w:kern w:val="0"/>
                <w:szCs w:val="21"/>
              </w:rPr>
            </w:pPr>
            <w:r>
              <w:rPr>
                <w:rFonts w:hint="eastAsia" w:ascii="宋体" w:hAnsi="宋体" w:cs="宋体"/>
                <w:color w:val="auto"/>
                <w:kern w:val="0"/>
                <w:szCs w:val="21"/>
              </w:rPr>
              <w:t>放控</w:t>
            </w:r>
          </w:p>
          <w:p w14:paraId="60FEE567">
            <w:pPr>
              <w:adjustRightInd w:val="0"/>
              <w:snapToGrid w:val="0"/>
              <w:jc w:val="center"/>
              <w:rPr>
                <w:rFonts w:ascii="宋体" w:hAnsi="宋体" w:cs="宋体"/>
                <w:color w:val="auto"/>
                <w:kern w:val="0"/>
                <w:szCs w:val="21"/>
              </w:rPr>
            </w:pPr>
            <w:r>
              <w:rPr>
                <w:rFonts w:hint="eastAsia" w:ascii="宋体" w:hAnsi="宋体" w:cs="宋体"/>
                <w:color w:val="auto"/>
                <w:kern w:val="0"/>
                <w:szCs w:val="21"/>
              </w:rPr>
              <w:t>制标</w:t>
            </w:r>
          </w:p>
          <w:p w14:paraId="5359F8FC">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vAlign w:val="center"/>
          </w:tcPr>
          <w:p w14:paraId="167410AC">
            <w:pPr>
              <w:keepNext w:val="0"/>
              <w:keepLines w:val="0"/>
              <w:pageBreakBefore w:val="0"/>
              <w:widowControl w:val="0"/>
              <w:numPr>
                <w:ilvl w:val="0"/>
                <w:numId w:val="10"/>
              </w:numPr>
              <w:kinsoku/>
              <w:wordWrap/>
              <w:overflowPunct/>
              <w:topLinePunct w:val="0"/>
              <w:bidi w:val="0"/>
              <w:adjustRightInd w:val="0"/>
              <w:snapToGrid w:val="0"/>
              <w:spacing w:line="360" w:lineRule="auto"/>
              <w:textAlignment w:val="auto"/>
              <w:rPr>
                <w:b/>
                <w:bCs/>
                <w:color w:val="auto"/>
                <w:sz w:val="24"/>
                <w:szCs w:val="24"/>
              </w:rPr>
            </w:pPr>
            <w:r>
              <w:rPr>
                <w:rFonts w:hint="eastAsia"/>
                <w:b/>
                <w:bCs/>
                <w:color w:val="auto"/>
                <w:sz w:val="24"/>
                <w:szCs w:val="24"/>
              </w:rPr>
              <w:t>大气污染物排放标准</w:t>
            </w:r>
          </w:p>
          <w:p w14:paraId="502CBD7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本项目运营期大气污染排放标准见表3-</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w:t>
            </w:r>
          </w:p>
          <w:p w14:paraId="322B34A3">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w:t>
            </w:r>
            <w:r>
              <w:rPr>
                <w:rFonts w:hint="eastAsia" w:cs="Times New Roman"/>
                <w:color w:val="auto"/>
                <w:lang w:val="en-US" w:eastAsia="zh-CN"/>
              </w:rPr>
              <w:t>4</w:t>
            </w:r>
            <w:r>
              <w:rPr>
                <w:rFonts w:hint="eastAsia" w:ascii="Times New Roman" w:hAnsi="Times New Roman" w:eastAsia="宋体" w:cs="Times New Roman"/>
                <w:color w:val="auto"/>
              </w:rPr>
              <w:t xml:space="preserve">    大气污染物排放标准</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1145"/>
              <w:gridCol w:w="1222"/>
              <w:gridCol w:w="3149"/>
              <w:gridCol w:w="1385"/>
            </w:tblGrid>
            <w:tr w14:paraId="2F2350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tcBorders>
                    <w:bottom w:val="single" w:color="auto" w:sz="12" w:space="0"/>
                  </w:tcBorders>
                  <w:vAlign w:val="center"/>
                </w:tcPr>
                <w:p w14:paraId="507F5EFE">
                  <w:pPr>
                    <w:jc w:val="center"/>
                    <w:rPr>
                      <w:b/>
                      <w:bCs/>
                      <w:color w:val="auto"/>
                      <w:sz w:val="21"/>
                      <w:szCs w:val="21"/>
                    </w:rPr>
                  </w:pPr>
                  <w:r>
                    <w:rPr>
                      <w:rFonts w:hint="eastAsia"/>
                      <w:b/>
                      <w:bCs/>
                      <w:color w:val="auto"/>
                      <w:sz w:val="21"/>
                      <w:szCs w:val="21"/>
                    </w:rPr>
                    <w:t>污染物</w:t>
                  </w:r>
                </w:p>
              </w:tc>
              <w:tc>
                <w:tcPr>
                  <w:tcW w:w="711" w:type="pct"/>
                  <w:tcBorders>
                    <w:bottom w:val="single" w:color="auto" w:sz="12" w:space="0"/>
                  </w:tcBorders>
                  <w:vAlign w:val="center"/>
                </w:tcPr>
                <w:p w14:paraId="6F736D07">
                  <w:pPr>
                    <w:jc w:val="center"/>
                    <w:rPr>
                      <w:b/>
                      <w:bCs/>
                      <w:color w:val="auto"/>
                      <w:sz w:val="21"/>
                      <w:szCs w:val="21"/>
                    </w:rPr>
                  </w:pPr>
                  <w:r>
                    <w:rPr>
                      <w:rFonts w:hint="eastAsia"/>
                      <w:b/>
                      <w:bCs/>
                      <w:color w:val="auto"/>
                      <w:sz w:val="21"/>
                      <w:szCs w:val="21"/>
                    </w:rPr>
                    <w:t>排放形式</w:t>
                  </w:r>
                </w:p>
              </w:tc>
              <w:tc>
                <w:tcPr>
                  <w:tcW w:w="759" w:type="pct"/>
                  <w:tcBorders>
                    <w:bottom w:val="single" w:color="auto" w:sz="12" w:space="0"/>
                  </w:tcBorders>
                  <w:vAlign w:val="center"/>
                </w:tcPr>
                <w:p w14:paraId="66A77C59">
                  <w:pPr>
                    <w:jc w:val="center"/>
                    <w:rPr>
                      <w:b/>
                      <w:bCs/>
                      <w:color w:val="auto"/>
                      <w:sz w:val="21"/>
                      <w:szCs w:val="21"/>
                    </w:rPr>
                  </w:pPr>
                  <w:r>
                    <w:rPr>
                      <w:rFonts w:hint="eastAsia"/>
                      <w:b/>
                      <w:bCs/>
                      <w:color w:val="auto"/>
                      <w:sz w:val="21"/>
                      <w:szCs w:val="21"/>
                    </w:rPr>
                    <w:t>污染因子</w:t>
                  </w:r>
                </w:p>
              </w:tc>
              <w:tc>
                <w:tcPr>
                  <w:tcW w:w="1956" w:type="pct"/>
                  <w:tcBorders>
                    <w:bottom w:val="single" w:color="auto" w:sz="12" w:space="0"/>
                  </w:tcBorders>
                  <w:vAlign w:val="center"/>
                </w:tcPr>
                <w:p w14:paraId="3D7D0C96">
                  <w:pPr>
                    <w:jc w:val="center"/>
                    <w:rPr>
                      <w:b/>
                      <w:bCs/>
                      <w:color w:val="auto"/>
                      <w:sz w:val="21"/>
                      <w:szCs w:val="21"/>
                    </w:rPr>
                  </w:pPr>
                  <w:r>
                    <w:rPr>
                      <w:rFonts w:hint="eastAsia"/>
                      <w:b/>
                      <w:bCs/>
                      <w:color w:val="auto"/>
                      <w:sz w:val="21"/>
                      <w:szCs w:val="21"/>
                    </w:rPr>
                    <w:t>标准</w:t>
                  </w:r>
                </w:p>
              </w:tc>
              <w:tc>
                <w:tcPr>
                  <w:tcW w:w="860" w:type="pct"/>
                  <w:tcBorders>
                    <w:bottom w:val="single" w:color="auto" w:sz="12" w:space="0"/>
                  </w:tcBorders>
                  <w:vAlign w:val="center"/>
                </w:tcPr>
                <w:p w14:paraId="067C39F6">
                  <w:pPr>
                    <w:jc w:val="center"/>
                    <w:rPr>
                      <w:b/>
                      <w:bCs/>
                      <w:color w:val="auto"/>
                      <w:sz w:val="21"/>
                      <w:szCs w:val="21"/>
                    </w:rPr>
                  </w:pPr>
                  <w:r>
                    <w:rPr>
                      <w:rFonts w:hint="eastAsia"/>
                      <w:b/>
                      <w:bCs/>
                      <w:color w:val="auto"/>
                      <w:sz w:val="21"/>
                      <w:szCs w:val="21"/>
                    </w:rPr>
                    <w:t>限值</w:t>
                  </w:r>
                </w:p>
              </w:tc>
            </w:tr>
            <w:tr w14:paraId="30477D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vMerge w:val="restart"/>
                  <w:tcBorders>
                    <w:tl2br w:val="nil"/>
                    <w:tr2bl w:val="nil"/>
                  </w:tcBorders>
                  <w:vAlign w:val="center"/>
                </w:tcPr>
                <w:p w14:paraId="66C14D8E">
                  <w:pPr>
                    <w:jc w:val="center"/>
                    <w:rPr>
                      <w:rFonts w:hint="eastAsia" w:eastAsia="宋体"/>
                      <w:color w:val="auto"/>
                      <w:sz w:val="21"/>
                      <w:szCs w:val="21"/>
                      <w:lang w:val="en-US" w:eastAsia="zh-CN"/>
                    </w:rPr>
                  </w:pPr>
                  <w:r>
                    <w:rPr>
                      <w:rFonts w:hint="eastAsia"/>
                      <w:color w:val="auto"/>
                      <w:sz w:val="21"/>
                      <w:szCs w:val="21"/>
                      <w:lang w:val="en-US" w:eastAsia="zh-CN"/>
                    </w:rPr>
                    <w:t>粉尘</w:t>
                  </w:r>
                </w:p>
              </w:tc>
              <w:tc>
                <w:tcPr>
                  <w:tcW w:w="711" w:type="pct"/>
                  <w:tcBorders>
                    <w:tl2br w:val="nil"/>
                    <w:tr2bl w:val="nil"/>
                  </w:tcBorders>
                  <w:vAlign w:val="center"/>
                </w:tcPr>
                <w:p w14:paraId="34243990">
                  <w:pPr>
                    <w:jc w:val="center"/>
                    <w:rPr>
                      <w:rFonts w:hint="eastAsia" w:eastAsia="宋体"/>
                      <w:color w:val="auto"/>
                      <w:sz w:val="21"/>
                      <w:szCs w:val="21"/>
                      <w:lang w:val="en-US" w:eastAsia="zh-CN"/>
                    </w:rPr>
                  </w:pPr>
                  <w:r>
                    <w:rPr>
                      <w:rFonts w:hint="eastAsia"/>
                      <w:color w:val="auto"/>
                      <w:sz w:val="21"/>
                      <w:szCs w:val="21"/>
                      <w:lang w:val="en-US" w:eastAsia="zh-CN"/>
                    </w:rPr>
                    <w:t>有组织</w:t>
                  </w:r>
                </w:p>
              </w:tc>
              <w:tc>
                <w:tcPr>
                  <w:tcW w:w="759" w:type="pct"/>
                  <w:tcBorders>
                    <w:tl2br w:val="nil"/>
                    <w:tr2bl w:val="nil"/>
                  </w:tcBorders>
                  <w:vAlign w:val="center"/>
                </w:tcPr>
                <w:p w14:paraId="77D92F50">
                  <w:pPr>
                    <w:jc w:val="center"/>
                    <w:rPr>
                      <w:rFonts w:hint="eastAsia" w:eastAsia="宋体"/>
                      <w:color w:val="auto"/>
                      <w:sz w:val="21"/>
                      <w:szCs w:val="21"/>
                      <w:lang w:val="en-US" w:eastAsia="zh-CN"/>
                    </w:rPr>
                  </w:pPr>
                  <w:r>
                    <w:rPr>
                      <w:rFonts w:hint="eastAsia"/>
                      <w:color w:val="auto"/>
                      <w:sz w:val="21"/>
                      <w:szCs w:val="21"/>
                      <w:lang w:val="en-US" w:eastAsia="zh-CN"/>
                    </w:rPr>
                    <w:t>颗粒物</w:t>
                  </w:r>
                </w:p>
              </w:tc>
              <w:tc>
                <w:tcPr>
                  <w:tcW w:w="1956" w:type="pct"/>
                  <w:tcBorders>
                    <w:tl2br w:val="nil"/>
                    <w:tr2bl w:val="nil"/>
                  </w:tcBorders>
                </w:tcPr>
                <w:p w14:paraId="0924CF8C">
                  <w:pPr>
                    <w:rPr>
                      <w:rFonts w:hint="eastAsia"/>
                      <w:color w:val="auto"/>
                      <w:sz w:val="21"/>
                      <w:szCs w:val="21"/>
                    </w:rPr>
                  </w:pPr>
                  <w:r>
                    <w:rPr>
                      <w:rFonts w:hint="eastAsia"/>
                      <w:color w:val="auto"/>
                      <w:sz w:val="21"/>
                      <w:szCs w:val="21"/>
                    </w:rPr>
                    <w:t>《水泥工业大气污染物排放标准》（GB4915-2013）表</w:t>
                  </w:r>
                  <w:r>
                    <w:rPr>
                      <w:rFonts w:hint="eastAsia"/>
                      <w:color w:val="auto"/>
                      <w:sz w:val="21"/>
                      <w:szCs w:val="21"/>
                      <w:lang w:val="en-US" w:eastAsia="zh-CN"/>
                    </w:rPr>
                    <w:t>1</w:t>
                  </w:r>
                  <w:r>
                    <w:rPr>
                      <w:rFonts w:hint="eastAsia"/>
                      <w:color w:val="auto"/>
                      <w:sz w:val="21"/>
                      <w:szCs w:val="21"/>
                    </w:rPr>
                    <w:t>大气污染物排放限值</w:t>
                  </w:r>
                </w:p>
              </w:tc>
              <w:tc>
                <w:tcPr>
                  <w:tcW w:w="860" w:type="pct"/>
                  <w:tcBorders>
                    <w:tl2br w:val="nil"/>
                    <w:tr2bl w:val="nil"/>
                  </w:tcBorders>
                  <w:vAlign w:val="center"/>
                </w:tcPr>
                <w:p w14:paraId="1E835A77">
                  <w:pPr>
                    <w:jc w:val="center"/>
                    <w:rPr>
                      <w:rFonts w:hint="default" w:eastAsia="宋体"/>
                      <w:color w:val="auto"/>
                      <w:sz w:val="21"/>
                      <w:szCs w:val="21"/>
                      <w:vertAlign w:val="superscript"/>
                      <w:lang w:val="en-US" w:eastAsia="zh-CN"/>
                    </w:rPr>
                  </w:pPr>
                  <w:r>
                    <w:rPr>
                      <w:rFonts w:hint="eastAsia"/>
                      <w:color w:val="auto"/>
                      <w:sz w:val="21"/>
                      <w:szCs w:val="21"/>
                      <w:lang w:val="en-US" w:eastAsia="zh-CN"/>
                    </w:rPr>
                    <w:t>20mg/m</w:t>
                  </w:r>
                  <w:r>
                    <w:rPr>
                      <w:rFonts w:hint="eastAsia"/>
                      <w:color w:val="auto"/>
                      <w:sz w:val="21"/>
                      <w:szCs w:val="21"/>
                      <w:vertAlign w:val="superscript"/>
                      <w:lang w:val="en-US" w:eastAsia="zh-CN"/>
                    </w:rPr>
                    <w:t>3</w:t>
                  </w:r>
                </w:p>
              </w:tc>
            </w:tr>
            <w:tr w14:paraId="33869F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vMerge w:val="continue"/>
                  <w:tcBorders>
                    <w:tl2br w:val="nil"/>
                    <w:tr2bl w:val="nil"/>
                  </w:tcBorders>
                  <w:vAlign w:val="center"/>
                </w:tcPr>
                <w:p w14:paraId="6F470E4B">
                  <w:pPr>
                    <w:jc w:val="center"/>
                    <w:rPr>
                      <w:rFonts w:hint="eastAsia" w:eastAsia="宋体"/>
                      <w:color w:val="auto"/>
                      <w:sz w:val="21"/>
                      <w:szCs w:val="21"/>
                      <w:lang w:val="en-US" w:eastAsia="zh-CN"/>
                    </w:rPr>
                  </w:pPr>
                </w:p>
              </w:tc>
              <w:tc>
                <w:tcPr>
                  <w:tcW w:w="711" w:type="pct"/>
                  <w:tcBorders>
                    <w:tl2br w:val="nil"/>
                    <w:tr2bl w:val="nil"/>
                  </w:tcBorders>
                  <w:vAlign w:val="center"/>
                </w:tcPr>
                <w:p w14:paraId="3EEAEB06">
                  <w:pPr>
                    <w:jc w:val="center"/>
                    <w:rPr>
                      <w:rFonts w:hint="eastAsia" w:eastAsia="宋体"/>
                      <w:color w:val="auto"/>
                      <w:sz w:val="21"/>
                      <w:szCs w:val="21"/>
                      <w:lang w:val="en-US" w:eastAsia="zh-CN"/>
                    </w:rPr>
                  </w:pPr>
                  <w:r>
                    <w:rPr>
                      <w:rFonts w:hint="eastAsia"/>
                      <w:color w:val="auto"/>
                      <w:sz w:val="21"/>
                      <w:szCs w:val="21"/>
                      <w:lang w:val="en-US" w:eastAsia="zh-CN"/>
                    </w:rPr>
                    <w:t>无组织</w:t>
                  </w:r>
                </w:p>
              </w:tc>
              <w:tc>
                <w:tcPr>
                  <w:tcW w:w="759" w:type="pct"/>
                  <w:tcBorders>
                    <w:tl2br w:val="nil"/>
                    <w:tr2bl w:val="nil"/>
                  </w:tcBorders>
                  <w:vAlign w:val="center"/>
                </w:tcPr>
                <w:p w14:paraId="46CD55C2">
                  <w:pPr>
                    <w:jc w:val="center"/>
                    <w:rPr>
                      <w:rFonts w:hint="eastAsia" w:eastAsia="宋体"/>
                      <w:color w:val="auto"/>
                      <w:sz w:val="21"/>
                      <w:szCs w:val="21"/>
                      <w:lang w:val="en-US" w:eastAsia="zh-CN"/>
                    </w:rPr>
                  </w:pPr>
                  <w:r>
                    <w:rPr>
                      <w:rFonts w:hint="eastAsia"/>
                      <w:color w:val="auto"/>
                      <w:sz w:val="21"/>
                      <w:szCs w:val="21"/>
                      <w:lang w:val="en-US" w:eastAsia="zh-CN"/>
                    </w:rPr>
                    <w:t>颗粒物</w:t>
                  </w:r>
                </w:p>
              </w:tc>
              <w:tc>
                <w:tcPr>
                  <w:tcW w:w="1956" w:type="pct"/>
                  <w:tcBorders>
                    <w:tl2br w:val="nil"/>
                    <w:tr2bl w:val="nil"/>
                  </w:tcBorders>
                </w:tcPr>
                <w:p w14:paraId="35D24BC3">
                  <w:pPr>
                    <w:rPr>
                      <w:rFonts w:hint="eastAsia"/>
                      <w:color w:val="auto"/>
                      <w:sz w:val="21"/>
                      <w:szCs w:val="21"/>
                    </w:rPr>
                  </w:pPr>
                  <w:r>
                    <w:rPr>
                      <w:rFonts w:hint="eastAsia"/>
                      <w:color w:val="auto"/>
                      <w:sz w:val="21"/>
                      <w:szCs w:val="21"/>
                    </w:rPr>
                    <w:t>《水泥工业大气污染物排放标准》（GB4915-2013）表</w:t>
                  </w:r>
                  <w:r>
                    <w:rPr>
                      <w:rFonts w:hint="eastAsia"/>
                      <w:color w:val="auto"/>
                      <w:sz w:val="21"/>
                      <w:szCs w:val="21"/>
                      <w:lang w:val="en-US" w:eastAsia="zh-CN"/>
                    </w:rPr>
                    <w:t>3</w:t>
                  </w:r>
                  <w:r>
                    <w:rPr>
                      <w:rFonts w:hint="eastAsia"/>
                      <w:color w:val="auto"/>
                      <w:sz w:val="21"/>
                      <w:szCs w:val="21"/>
                    </w:rPr>
                    <w:t>大气污染物</w:t>
                  </w:r>
                  <w:r>
                    <w:rPr>
                      <w:rFonts w:hint="eastAsia"/>
                      <w:color w:val="auto"/>
                      <w:sz w:val="21"/>
                      <w:szCs w:val="21"/>
                      <w:lang w:val="en-US" w:eastAsia="zh-CN"/>
                    </w:rPr>
                    <w:t>无组织</w:t>
                  </w:r>
                  <w:r>
                    <w:rPr>
                      <w:rFonts w:hint="eastAsia"/>
                      <w:color w:val="auto"/>
                      <w:sz w:val="21"/>
                      <w:szCs w:val="21"/>
                    </w:rPr>
                    <w:t>排放限值</w:t>
                  </w:r>
                </w:p>
              </w:tc>
              <w:tc>
                <w:tcPr>
                  <w:tcW w:w="860" w:type="pct"/>
                  <w:tcBorders>
                    <w:tl2br w:val="nil"/>
                    <w:tr2bl w:val="nil"/>
                  </w:tcBorders>
                  <w:vAlign w:val="center"/>
                </w:tcPr>
                <w:p w14:paraId="3C28F8B9">
                  <w:pPr>
                    <w:jc w:val="center"/>
                    <w:rPr>
                      <w:rFonts w:hint="default" w:eastAsia="宋体"/>
                      <w:color w:val="auto"/>
                      <w:sz w:val="21"/>
                      <w:szCs w:val="21"/>
                      <w:lang w:val="en-US" w:eastAsia="zh-CN"/>
                    </w:rPr>
                  </w:pPr>
                  <w:r>
                    <w:rPr>
                      <w:rFonts w:hint="eastAsia"/>
                      <w:color w:val="auto"/>
                      <w:sz w:val="21"/>
                      <w:szCs w:val="21"/>
                      <w:lang w:val="en-US" w:eastAsia="zh-CN"/>
                    </w:rPr>
                    <w:t>0.5mg/m³</w:t>
                  </w:r>
                </w:p>
              </w:tc>
            </w:tr>
          </w:tbl>
          <w:p w14:paraId="295ADFFA">
            <w:pPr>
              <w:pStyle w:val="30"/>
              <w:numPr>
                <w:ilvl w:val="0"/>
                <w:numId w:val="11"/>
              </w:numPr>
              <w:spacing w:line="360" w:lineRule="auto"/>
              <w:rPr>
                <w:b/>
                <w:bCs/>
                <w:color w:val="auto"/>
                <w:highlight w:val="none"/>
              </w:rPr>
            </w:pPr>
            <w:r>
              <w:rPr>
                <w:rFonts w:hint="eastAsia"/>
                <w:b/>
                <w:bCs/>
                <w:color w:val="auto"/>
                <w:highlight w:val="none"/>
              </w:rPr>
              <w:t>废水排放标准</w:t>
            </w:r>
          </w:p>
          <w:p w14:paraId="6461C3DA">
            <w:pPr>
              <w:pStyle w:val="3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本项目废水执行《</w:t>
            </w:r>
            <w:r>
              <w:rPr>
                <w:rFonts w:hint="eastAsia" w:cs="Times New Roman"/>
                <w:color w:val="auto"/>
                <w:kern w:val="0"/>
                <w:sz w:val="24"/>
                <w:szCs w:val="24"/>
                <w:highlight w:val="none"/>
                <w:lang w:val="en-US" w:eastAsia="zh-CN" w:bidi="ar-SA"/>
              </w:rPr>
              <w:t>农村生活污水处理排放标准（发布稿）》（DB65/4275-2019）</w:t>
            </w:r>
            <w:r>
              <w:rPr>
                <w:rFonts w:hint="eastAsia" w:cs="Times New Roman"/>
                <w:color w:val="auto"/>
                <w:kern w:val="0"/>
                <w:sz w:val="24"/>
                <w:lang w:val="en-US" w:eastAsia="zh-CN"/>
              </w:rPr>
              <w:t>表2中C级标准农村生活污水处理设施出水用于生态恢复的污染物排放限值(日均值)</w:t>
            </w:r>
            <w:r>
              <w:rPr>
                <w:rFonts w:hint="eastAsia" w:ascii="Times New Roman" w:hAnsi="Times New Roman" w:eastAsia="宋体" w:cs="Times New Roman"/>
                <w:color w:val="auto"/>
                <w:kern w:val="0"/>
                <w:sz w:val="24"/>
                <w:szCs w:val="24"/>
                <w:highlight w:val="none"/>
                <w:lang w:val="en-US" w:eastAsia="zh-CN" w:bidi="ar-SA"/>
              </w:rPr>
              <w:t>，具体标准见下表3-</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w:t>
            </w:r>
          </w:p>
          <w:p w14:paraId="7B50FECC">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表3-</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城市杂用水水质基本控制项目及限值</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995"/>
              <w:gridCol w:w="1053"/>
              <w:gridCol w:w="1069"/>
              <w:gridCol w:w="1040"/>
              <w:gridCol w:w="1040"/>
              <w:gridCol w:w="848"/>
            </w:tblGrid>
            <w:tr w14:paraId="66A03F6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1860" w:type="pct"/>
                  <w:tcBorders>
                    <w:bottom w:val="single" w:color="auto" w:sz="12" w:space="0"/>
                  </w:tcBorders>
                  <w:vAlign w:val="center"/>
                </w:tcPr>
                <w:p w14:paraId="697B2FFD">
                  <w:pPr>
                    <w:pStyle w:val="18"/>
                    <w:spacing w:line="240" w:lineRule="auto"/>
                    <w:jc w:val="center"/>
                    <w:rPr>
                      <w:b/>
                      <w:bCs/>
                      <w:color w:val="auto"/>
                      <w:sz w:val="21"/>
                      <w:szCs w:val="21"/>
                      <w:highlight w:val="none"/>
                    </w:rPr>
                  </w:pPr>
                  <w:r>
                    <w:rPr>
                      <w:b/>
                      <w:bCs/>
                      <w:color w:val="auto"/>
                      <w:sz w:val="21"/>
                      <w:szCs w:val="21"/>
                      <w:highlight w:val="none"/>
                    </w:rPr>
                    <w:t>标准来源</w:t>
                  </w:r>
                </w:p>
              </w:tc>
              <w:tc>
                <w:tcPr>
                  <w:tcW w:w="654" w:type="pct"/>
                  <w:tcBorders>
                    <w:bottom w:val="single" w:color="auto" w:sz="12" w:space="0"/>
                  </w:tcBorders>
                  <w:vAlign w:val="center"/>
                </w:tcPr>
                <w:p w14:paraId="0C073369">
                  <w:pPr>
                    <w:pStyle w:val="18"/>
                    <w:spacing w:line="240" w:lineRule="auto"/>
                    <w:jc w:val="center"/>
                    <w:rPr>
                      <w:b/>
                      <w:bCs/>
                      <w:color w:val="auto"/>
                      <w:sz w:val="21"/>
                      <w:szCs w:val="21"/>
                      <w:highlight w:val="none"/>
                    </w:rPr>
                  </w:pPr>
                  <w:r>
                    <w:rPr>
                      <w:b/>
                      <w:bCs/>
                      <w:color w:val="auto"/>
                      <w:sz w:val="21"/>
                      <w:szCs w:val="21"/>
                      <w:highlight w:val="none"/>
                    </w:rPr>
                    <w:t>pH</w:t>
                  </w:r>
                </w:p>
              </w:tc>
              <w:tc>
                <w:tcPr>
                  <w:tcW w:w="664" w:type="pct"/>
                  <w:tcBorders>
                    <w:bottom w:val="single" w:color="auto" w:sz="12" w:space="0"/>
                  </w:tcBorders>
                  <w:vAlign w:val="center"/>
                </w:tcPr>
                <w:p w14:paraId="36CD4501">
                  <w:pPr>
                    <w:pStyle w:val="18"/>
                    <w:spacing w:line="240" w:lineRule="auto"/>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COD</w:t>
                  </w:r>
                </w:p>
              </w:tc>
              <w:tc>
                <w:tcPr>
                  <w:tcW w:w="646" w:type="pct"/>
                  <w:tcBorders>
                    <w:bottom w:val="single" w:color="auto" w:sz="12" w:space="0"/>
                  </w:tcBorders>
                  <w:vAlign w:val="center"/>
                </w:tcPr>
                <w:p w14:paraId="294D9111">
                  <w:pPr>
                    <w:pStyle w:val="18"/>
                    <w:spacing w:line="240" w:lineRule="auto"/>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BOD</w:t>
                  </w:r>
                </w:p>
              </w:tc>
              <w:tc>
                <w:tcPr>
                  <w:tcW w:w="646" w:type="pct"/>
                  <w:tcBorders>
                    <w:bottom w:val="single" w:color="auto" w:sz="12" w:space="0"/>
                  </w:tcBorders>
                  <w:vAlign w:val="center"/>
                </w:tcPr>
                <w:p w14:paraId="5DBDC782">
                  <w:pPr>
                    <w:pStyle w:val="18"/>
                    <w:spacing w:line="240" w:lineRule="auto"/>
                    <w:jc w:val="center"/>
                    <w:rPr>
                      <w:b/>
                      <w:bCs/>
                      <w:color w:val="auto"/>
                      <w:sz w:val="21"/>
                      <w:szCs w:val="21"/>
                      <w:highlight w:val="none"/>
                    </w:rPr>
                  </w:pPr>
                  <w:r>
                    <w:rPr>
                      <w:b/>
                      <w:bCs/>
                      <w:color w:val="auto"/>
                      <w:sz w:val="21"/>
                      <w:szCs w:val="21"/>
                      <w:highlight w:val="none"/>
                    </w:rPr>
                    <w:t>NH</w:t>
                  </w:r>
                  <w:r>
                    <w:rPr>
                      <w:b/>
                      <w:bCs/>
                      <w:color w:val="auto"/>
                      <w:sz w:val="21"/>
                      <w:szCs w:val="21"/>
                      <w:highlight w:val="none"/>
                      <w:vertAlign w:val="subscript"/>
                    </w:rPr>
                    <w:t>3</w:t>
                  </w:r>
                  <w:r>
                    <w:rPr>
                      <w:b/>
                      <w:bCs/>
                      <w:color w:val="auto"/>
                      <w:sz w:val="21"/>
                      <w:szCs w:val="21"/>
                      <w:highlight w:val="none"/>
                    </w:rPr>
                    <w:t>-N</w:t>
                  </w:r>
                </w:p>
              </w:tc>
              <w:tc>
                <w:tcPr>
                  <w:tcW w:w="526" w:type="pct"/>
                  <w:tcBorders>
                    <w:bottom w:val="single" w:color="auto" w:sz="12" w:space="0"/>
                  </w:tcBorders>
                  <w:vAlign w:val="center"/>
                </w:tcPr>
                <w:p w14:paraId="6AD394E7">
                  <w:pPr>
                    <w:pStyle w:val="18"/>
                    <w:spacing w:line="240" w:lineRule="auto"/>
                    <w:jc w:val="center"/>
                    <w:rPr>
                      <w:b/>
                      <w:bCs/>
                      <w:color w:val="auto"/>
                      <w:sz w:val="21"/>
                      <w:szCs w:val="21"/>
                      <w:highlight w:val="none"/>
                    </w:rPr>
                  </w:pPr>
                  <w:r>
                    <w:rPr>
                      <w:b/>
                      <w:bCs/>
                      <w:color w:val="auto"/>
                      <w:sz w:val="21"/>
                      <w:szCs w:val="21"/>
                      <w:highlight w:val="none"/>
                    </w:rPr>
                    <w:t>SS</w:t>
                  </w:r>
                </w:p>
              </w:tc>
            </w:tr>
            <w:tr w14:paraId="4BC72D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860" w:type="pct"/>
                  <w:tcBorders>
                    <w:top w:val="single" w:color="auto" w:sz="12" w:space="0"/>
                    <w:tl2br w:val="nil"/>
                    <w:tr2bl w:val="nil"/>
                  </w:tcBorders>
                  <w:vAlign w:val="center"/>
                </w:tcPr>
                <w:p w14:paraId="19F50C9E">
                  <w:pPr>
                    <w:pStyle w:val="18"/>
                    <w:spacing w:line="240" w:lineRule="auto"/>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GB/T18920-2020</w:t>
                  </w:r>
                  <w:r>
                    <w:rPr>
                      <w:color w:val="auto"/>
                      <w:sz w:val="21"/>
                      <w:szCs w:val="21"/>
                      <w:highlight w:val="none"/>
                    </w:rPr>
                    <w:t>）</w:t>
                  </w:r>
                </w:p>
              </w:tc>
              <w:tc>
                <w:tcPr>
                  <w:tcW w:w="654" w:type="pct"/>
                  <w:tcBorders>
                    <w:top w:val="single" w:color="auto" w:sz="12" w:space="0"/>
                    <w:tl2br w:val="nil"/>
                    <w:tr2bl w:val="nil"/>
                  </w:tcBorders>
                  <w:vAlign w:val="center"/>
                </w:tcPr>
                <w:p w14:paraId="60600DC3">
                  <w:pPr>
                    <w:pStyle w:val="18"/>
                    <w:spacing w:line="240" w:lineRule="auto"/>
                    <w:jc w:val="center"/>
                    <w:rPr>
                      <w:color w:val="auto"/>
                      <w:sz w:val="21"/>
                      <w:szCs w:val="21"/>
                      <w:highlight w:val="none"/>
                    </w:rPr>
                  </w:pPr>
                  <w:r>
                    <w:rPr>
                      <w:color w:val="auto"/>
                      <w:sz w:val="21"/>
                      <w:szCs w:val="21"/>
                      <w:highlight w:val="none"/>
                    </w:rPr>
                    <w:t>6～9</w:t>
                  </w:r>
                </w:p>
              </w:tc>
              <w:tc>
                <w:tcPr>
                  <w:tcW w:w="664" w:type="pct"/>
                  <w:tcBorders>
                    <w:top w:val="single" w:color="auto" w:sz="12" w:space="0"/>
                    <w:tl2br w:val="nil"/>
                    <w:tr2bl w:val="nil"/>
                  </w:tcBorders>
                  <w:vAlign w:val="center"/>
                </w:tcPr>
                <w:p w14:paraId="72CF5F76">
                  <w:pPr>
                    <w:pStyle w:val="18"/>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200</w:t>
                  </w:r>
                </w:p>
              </w:tc>
              <w:tc>
                <w:tcPr>
                  <w:tcW w:w="646" w:type="pct"/>
                  <w:tcBorders>
                    <w:top w:val="single" w:color="auto" w:sz="12" w:space="0"/>
                    <w:tl2br w:val="nil"/>
                    <w:tr2bl w:val="nil"/>
                  </w:tcBorders>
                  <w:vAlign w:val="center"/>
                </w:tcPr>
                <w:p w14:paraId="548377D5">
                  <w:pPr>
                    <w:pStyle w:val="18"/>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646" w:type="pct"/>
                  <w:tcBorders>
                    <w:top w:val="single" w:color="auto" w:sz="12" w:space="0"/>
                    <w:tl2br w:val="nil"/>
                    <w:tr2bl w:val="nil"/>
                  </w:tcBorders>
                  <w:vAlign w:val="center"/>
                </w:tcPr>
                <w:p w14:paraId="4B005C54">
                  <w:pPr>
                    <w:pStyle w:val="18"/>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526" w:type="pct"/>
                  <w:tcBorders>
                    <w:top w:val="single" w:color="auto" w:sz="12" w:space="0"/>
                    <w:tl2br w:val="nil"/>
                    <w:tr2bl w:val="nil"/>
                  </w:tcBorders>
                  <w:vAlign w:val="center"/>
                </w:tcPr>
                <w:p w14:paraId="29C770ED">
                  <w:pPr>
                    <w:pStyle w:val="18"/>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bl>
          <w:p w14:paraId="03DB4891">
            <w:pPr>
              <w:pStyle w:val="1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0" w:firstLineChars="0"/>
              <w:textAlignment w:val="auto"/>
              <w:rPr>
                <w:b/>
                <w:bCs/>
                <w:color w:val="auto"/>
                <w:sz w:val="24"/>
              </w:rPr>
            </w:pPr>
            <w:r>
              <w:rPr>
                <w:rFonts w:hint="eastAsia"/>
                <w:b/>
                <w:bCs/>
                <w:color w:val="auto"/>
                <w:sz w:val="24"/>
              </w:rPr>
              <w:t>噪声排放标准</w:t>
            </w:r>
          </w:p>
          <w:p w14:paraId="5E86A46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w:t>
            </w:r>
            <w:r>
              <w:rPr>
                <w:rFonts w:ascii="Times New Roman" w:hAnsi="Times New Roman" w:eastAsia="宋体" w:cs="Times New Roman"/>
                <w:color w:val="auto"/>
                <w:kern w:val="0"/>
                <w:sz w:val="24"/>
              </w:rPr>
              <w:t>施工期执行《建筑施工场界环境噪声排放标准》（GB12523-2011）标准，</w:t>
            </w:r>
            <w:r>
              <w:rPr>
                <w:rFonts w:hint="eastAsia" w:ascii="Times New Roman" w:hAnsi="Times New Roman" w:eastAsia="宋体" w:cs="Times New Roman"/>
                <w:color w:val="auto"/>
                <w:kern w:val="0"/>
                <w:sz w:val="24"/>
              </w:rPr>
              <w:t>详见表3-</w:t>
            </w:r>
            <w:r>
              <w:rPr>
                <w:rFonts w:hint="eastAsia" w:cs="Times New Roman"/>
                <w:color w:val="auto"/>
                <w:kern w:val="0"/>
                <w:sz w:val="24"/>
                <w:lang w:val="en-US" w:eastAsia="zh-CN"/>
              </w:rPr>
              <w:t>6</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运营期厂界噪声执行《工业企业厂界环境噪声排放标准</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（GB12348-2008）中</w:t>
            </w:r>
            <w:r>
              <w:rPr>
                <w:rFonts w:hint="eastAsia" w:cs="Times New Roman"/>
                <w:color w:val="auto"/>
                <w:kern w:val="0"/>
                <w:sz w:val="24"/>
                <w:lang w:val="en-US" w:eastAsia="zh-CN"/>
              </w:rPr>
              <w:t>2</w:t>
            </w:r>
            <w:r>
              <w:rPr>
                <w:rFonts w:ascii="Times New Roman" w:hAnsi="Times New Roman" w:eastAsia="宋体" w:cs="Times New Roman"/>
                <w:color w:val="auto"/>
                <w:kern w:val="0"/>
                <w:sz w:val="24"/>
              </w:rPr>
              <w:t>类标准</w:t>
            </w:r>
            <w:r>
              <w:rPr>
                <w:rFonts w:hint="eastAsia" w:ascii="Times New Roman" w:hAnsi="Times New Roman" w:eastAsia="宋体" w:cs="Times New Roman"/>
                <w:color w:val="auto"/>
                <w:kern w:val="0"/>
                <w:sz w:val="24"/>
              </w:rPr>
              <w:t>，详见表3-</w:t>
            </w:r>
            <w:r>
              <w:rPr>
                <w:rFonts w:hint="eastAsia" w:cs="Times New Roman"/>
                <w:color w:val="auto"/>
                <w:kern w:val="0"/>
                <w:sz w:val="24"/>
                <w:lang w:val="en-US" w:eastAsia="zh-CN"/>
              </w:rPr>
              <w:t>7</w:t>
            </w:r>
            <w:r>
              <w:rPr>
                <w:rFonts w:hint="eastAsia" w:ascii="Times New Roman" w:hAnsi="Times New Roman" w:eastAsia="宋体" w:cs="Times New Roman"/>
                <w:color w:val="auto"/>
                <w:kern w:val="0"/>
                <w:sz w:val="24"/>
              </w:rPr>
              <w:t>。</w:t>
            </w:r>
          </w:p>
          <w:p w14:paraId="0DB62E34">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w:t>
            </w:r>
            <w:r>
              <w:rPr>
                <w:rFonts w:hint="eastAsia" w:cs="Times New Roman"/>
                <w:color w:val="auto"/>
                <w:lang w:val="en-US" w:eastAsia="zh-CN"/>
              </w:rPr>
              <w:t>6</w:t>
            </w:r>
            <w:r>
              <w:rPr>
                <w:rFonts w:hint="eastAsia" w:ascii="Times New Roman" w:hAnsi="Times New Roman" w:eastAsia="宋体" w:cs="Times New Roman"/>
                <w:color w:val="auto"/>
              </w:rPr>
              <w:t xml:space="preserve">    建筑施工场界环境噪声排放限值</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2209"/>
              <w:gridCol w:w="1892"/>
              <w:gridCol w:w="3949"/>
            </w:tblGrid>
            <w:tr w14:paraId="3B568F8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2547" w:type="pct"/>
                  <w:gridSpan w:val="2"/>
                  <w:vAlign w:val="center"/>
                </w:tcPr>
                <w:p w14:paraId="78F72AB8">
                  <w:pPr>
                    <w:widowControl/>
                    <w:adjustRightInd w:val="0"/>
                    <w:snapToGrid w:val="0"/>
                    <w:jc w:val="center"/>
                    <w:rPr>
                      <w:b/>
                      <w:bCs/>
                      <w:color w:val="auto"/>
                      <w:sz w:val="21"/>
                      <w:szCs w:val="21"/>
                    </w:rPr>
                  </w:pPr>
                  <w:r>
                    <w:rPr>
                      <w:rFonts w:hint="eastAsia" w:hAnsi="宋体"/>
                      <w:b/>
                      <w:bCs/>
                      <w:color w:val="auto"/>
                      <w:sz w:val="21"/>
                      <w:szCs w:val="21"/>
                    </w:rPr>
                    <w:t>噪声排放限值</w:t>
                  </w:r>
                  <w:r>
                    <w:rPr>
                      <w:b/>
                      <w:bCs/>
                      <w:color w:val="auto"/>
                      <w:sz w:val="21"/>
                      <w:szCs w:val="21"/>
                    </w:rPr>
                    <w:t>dB</w:t>
                  </w:r>
                  <w:r>
                    <w:rPr>
                      <w:rFonts w:hint="eastAsia" w:hAnsi="宋体"/>
                      <w:b/>
                      <w:bCs/>
                      <w:color w:val="auto"/>
                      <w:sz w:val="21"/>
                      <w:szCs w:val="21"/>
                    </w:rPr>
                    <w:t>（</w:t>
                  </w:r>
                  <w:r>
                    <w:rPr>
                      <w:b/>
                      <w:bCs/>
                      <w:color w:val="auto"/>
                      <w:sz w:val="21"/>
                      <w:szCs w:val="21"/>
                    </w:rPr>
                    <w:t>A</w:t>
                  </w:r>
                  <w:r>
                    <w:rPr>
                      <w:rFonts w:hint="eastAsia" w:hAnsi="宋体"/>
                      <w:b/>
                      <w:bCs/>
                      <w:color w:val="auto"/>
                      <w:sz w:val="21"/>
                      <w:szCs w:val="21"/>
                    </w:rPr>
                    <w:t>）</w:t>
                  </w:r>
                </w:p>
              </w:tc>
              <w:tc>
                <w:tcPr>
                  <w:tcW w:w="2452" w:type="pct"/>
                  <w:vMerge w:val="restart"/>
                  <w:vAlign w:val="center"/>
                </w:tcPr>
                <w:p w14:paraId="1D499D05">
                  <w:pPr>
                    <w:widowControl/>
                    <w:adjustRightInd w:val="0"/>
                    <w:snapToGrid w:val="0"/>
                    <w:jc w:val="center"/>
                    <w:rPr>
                      <w:b/>
                      <w:bCs/>
                      <w:color w:val="auto"/>
                      <w:sz w:val="21"/>
                      <w:szCs w:val="21"/>
                    </w:rPr>
                  </w:pPr>
                  <w:r>
                    <w:rPr>
                      <w:rFonts w:hint="eastAsia" w:hAnsi="宋体"/>
                      <w:b/>
                      <w:bCs/>
                      <w:color w:val="auto"/>
                      <w:sz w:val="21"/>
                      <w:szCs w:val="21"/>
                    </w:rPr>
                    <w:t>标准来源</w:t>
                  </w:r>
                </w:p>
              </w:tc>
            </w:tr>
            <w:tr w14:paraId="02CCB00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bottom w:val="single" w:color="000000" w:sz="12" w:space="0"/>
                  </w:tcBorders>
                  <w:vAlign w:val="center"/>
                </w:tcPr>
                <w:p w14:paraId="27232FCC">
                  <w:pPr>
                    <w:widowControl/>
                    <w:adjustRightInd w:val="0"/>
                    <w:snapToGrid w:val="0"/>
                    <w:jc w:val="center"/>
                    <w:rPr>
                      <w:b/>
                      <w:bCs/>
                      <w:color w:val="auto"/>
                      <w:sz w:val="21"/>
                      <w:szCs w:val="21"/>
                    </w:rPr>
                  </w:pPr>
                  <w:r>
                    <w:rPr>
                      <w:rFonts w:hint="eastAsia" w:hAnsi="宋体"/>
                      <w:b/>
                      <w:bCs/>
                      <w:color w:val="auto"/>
                      <w:sz w:val="21"/>
                      <w:szCs w:val="21"/>
                    </w:rPr>
                    <w:t>昼间</w:t>
                  </w:r>
                </w:p>
              </w:tc>
              <w:tc>
                <w:tcPr>
                  <w:tcW w:w="1175" w:type="pct"/>
                  <w:tcBorders>
                    <w:bottom w:val="single" w:color="000000" w:sz="12" w:space="0"/>
                  </w:tcBorders>
                  <w:vAlign w:val="center"/>
                </w:tcPr>
                <w:p w14:paraId="3342C9E2">
                  <w:pPr>
                    <w:widowControl/>
                    <w:adjustRightInd w:val="0"/>
                    <w:snapToGrid w:val="0"/>
                    <w:jc w:val="center"/>
                    <w:rPr>
                      <w:b/>
                      <w:bCs/>
                      <w:color w:val="auto"/>
                      <w:sz w:val="21"/>
                      <w:szCs w:val="21"/>
                    </w:rPr>
                  </w:pPr>
                  <w:r>
                    <w:rPr>
                      <w:rFonts w:hint="eastAsia" w:hAnsi="宋体"/>
                      <w:b/>
                      <w:bCs/>
                      <w:color w:val="auto"/>
                      <w:sz w:val="21"/>
                      <w:szCs w:val="21"/>
                    </w:rPr>
                    <w:t>夜间</w:t>
                  </w:r>
                </w:p>
              </w:tc>
              <w:tc>
                <w:tcPr>
                  <w:tcW w:w="2452" w:type="pct"/>
                  <w:vMerge w:val="continue"/>
                  <w:tcBorders>
                    <w:bottom w:val="single" w:color="000000" w:sz="12" w:space="0"/>
                  </w:tcBorders>
                  <w:vAlign w:val="center"/>
                </w:tcPr>
                <w:p w14:paraId="3771827C">
                  <w:pPr>
                    <w:widowControl/>
                    <w:adjustRightInd w:val="0"/>
                    <w:snapToGrid w:val="0"/>
                    <w:jc w:val="center"/>
                    <w:rPr>
                      <w:b/>
                      <w:bCs/>
                      <w:color w:val="auto"/>
                      <w:sz w:val="21"/>
                      <w:szCs w:val="21"/>
                    </w:rPr>
                  </w:pPr>
                </w:p>
              </w:tc>
            </w:tr>
            <w:tr w14:paraId="0F65D05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top w:val="single" w:color="000000" w:sz="12" w:space="0"/>
                    <w:tl2br w:val="nil"/>
                    <w:tr2bl w:val="nil"/>
                  </w:tcBorders>
                  <w:vAlign w:val="center"/>
                </w:tcPr>
                <w:p w14:paraId="4CB9D2E4">
                  <w:pPr>
                    <w:widowControl/>
                    <w:adjustRightInd w:val="0"/>
                    <w:snapToGrid w:val="0"/>
                    <w:jc w:val="center"/>
                    <w:rPr>
                      <w:color w:val="auto"/>
                      <w:sz w:val="21"/>
                      <w:szCs w:val="21"/>
                    </w:rPr>
                  </w:pPr>
                  <w:r>
                    <w:rPr>
                      <w:color w:val="auto"/>
                      <w:sz w:val="21"/>
                      <w:szCs w:val="21"/>
                    </w:rPr>
                    <w:t>70</w:t>
                  </w:r>
                </w:p>
              </w:tc>
              <w:tc>
                <w:tcPr>
                  <w:tcW w:w="1175" w:type="pct"/>
                  <w:tcBorders>
                    <w:top w:val="single" w:color="000000" w:sz="12" w:space="0"/>
                    <w:tl2br w:val="nil"/>
                    <w:tr2bl w:val="nil"/>
                  </w:tcBorders>
                  <w:vAlign w:val="center"/>
                </w:tcPr>
                <w:p w14:paraId="5CC3F1DB">
                  <w:pPr>
                    <w:widowControl/>
                    <w:adjustRightInd w:val="0"/>
                    <w:snapToGrid w:val="0"/>
                    <w:jc w:val="center"/>
                    <w:rPr>
                      <w:color w:val="auto"/>
                      <w:sz w:val="21"/>
                      <w:szCs w:val="21"/>
                    </w:rPr>
                  </w:pPr>
                  <w:r>
                    <w:rPr>
                      <w:color w:val="auto"/>
                      <w:sz w:val="21"/>
                      <w:szCs w:val="21"/>
                    </w:rPr>
                    <w:t>55</w:t>
                  </w:r>
                </w:p>
              </w:tc>
              <w:tc>
                <w:tcPr>
                  <w:tcW w:w="2452" w:type="pct"/>
                  <w:tcBorders>
                    <w:top w:val="single" w:color="000000" w:sz="12" w:space="0"/>
                    <w:tl2br w:val="nil"/>
                    <w:tr2bl w:val="nil"/>
                  </w:tcBorders>
                  <w:vAlign w:val="center"/>
                </w:tcPr>
                <w:p w14:paraId="710A483E">
                  <w:pPr>
                    <w:widowControl/>
                    <w:adjustRightInd w:val="0"/>
                    <w:snapToGrid w:val="0"/>
                    <w:jc w:val="center"/>
                    <w:rPr>
                      <w:rFonts w:hint="default" w:eastAsia="宋体"/>
                      <w:color w:val="auto"/>
                      <w:sz w:val="21"/>
                      <w:szCs w:val="21"/>
                      <w:lang w:val="en-US" w:eastAsia="zh-CN"/>
                    </w:rPr>
                  </w:pPr>
                  <w:r>
                    <w:rPr>
                      <w:rFonts w:hint="eastAsia" w:hAnsi="宋体"/>
                      <w:color w:val="auto"/>
                      <w:sz w:val="21"/>
                      <w:szCs w:val="21"/>
                    </w:rPr>
                    <w:t>《建筑施工场界环境噪声排放标准》（</w:t>
                  </w:r>
                  <w:r>
                    <w:rPr>
                      <w:color w:val="auto"/>
                      <w:sz w:val="21"/>
                      <w:szCs w:val="21"/>
                    </w:rPr>
                    <w:t>GB12523-2011</w:t>
                  </w:r>
                  <w:r>
                    <w:rPr>
                      <w:rFonts w:hint="eastAsia" w:hAnsi="宋体"/>
                      <w:color w:val="auto"/>
                      <w:sz w:val="21"/>
                      <w:szCs w:val="21"/>
                    </w:rPr>
                    <w:t>）</w:t>
                  </w:r>
                </w:p>
              </w:tc>
            </w:tr>
          </w:tbl>
          <w:p w14:paraId="2CD5B8A5">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w:t>
            </w:r>
            <w:r>
              <w:rPr>
                <w:rFonts w:hint="eastAsia" w:cs="Times New Roman"/>
                <w:color w:val="auto"/>
                <w:lang w:val="en-US" w:eastAsia="zh-CN"/>
              </w:rPr>
              <w:t>7</w:t>
            </w:r>
            <w:r>
              <w:rPr>
                <w:rFonts w:hint="eastAsia" w:ascii="Times New Roman" w:hAnsi="Times New Roman" w:eastAsia="宋体" w:cs="Times New Roman"/>
                <w:color w:val="auto"/>
              </w:rPr>
              <w:t xml:space="preserve">    工业企业厂界环境噪声排放标准</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266"/>
              <w:gridCol w:w="1417"/>
              <w:gridCol w:w="1414"/>
              <w:gridCol w:w="3953"/>
            </w:tblGrid>
            <w:tr w14:paraId="0EDE377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c>
                <w:tcPr>
                  <w:tcW w:w="786" w:type="pct"/>
                  <w:vMerge w:val="restart"/>
                  <w:vAlign w:val="center"/>
                </w:tcPr>
                <w:p w14:paraId="12951C13">
                  <w:pPr>
                    <w:widowControl/>
                    <w:adjustRightInd w:val="0"/>
                    <w:snapToGrid w:val="0"/>
                    <w:jc w:val="center"/>
                    <w:rPr>
                      <w:b/>
                      <w:bCs/>
                      <w:color w:val="auto"/>
                      <w:sz w:val="21"/>
                      <w:szCs w:val="21"/>
                    </w:rPr>
                  </w:pPr>
                  <w:r>
                    <w:rPr>
                      <w:rFonts w:hint="eastAsia" w:hAnsi="宋体"/>
                      <w:b/>
                      <w:bCs/>
                      <w:color w:val="auto"/>
                      <w:sz w:val="21"/>
                      <w:szCs w:val="21"/>
                    </w:rPr>
                    <w:t>功能区类别</w:t>
                  </w:r>
                </w:p>
              </w:tc>
              <w:tc>
                <w:tcPr>
                  <w:tcW w:w="1758" w:type="pct"/>
                  <w:gridSpan w:val="2"/>
                  <w:vAlign w:val="center"/>
                </w:tcPr>
                <w:p w14:paraId="7D837BE9">
                  <w:pPr>
                    <w:widowControl/>
                    <w:adjustRightInd w:val="0"/>
                    <w:snapToGrid w:val="0"/>
                    <w:jc w:val="center"/>
                    <w:rPr>
                      <w:b/>
                      <w:bCs/>
                      <w:color w:val="auto"/>
                      <w:sz w:val="21"/>
                      <w:szCs w:val="21"/>
                    </w:rPr>
                  </w:pPr>
                  <w:r>
                    <w:rPr>
                      <w:rFonts w:hint="eastAsia" w:hAnsi="宋体"/>
                      <w:b/>
                      <w:bCs/>
                      <w:color w:val="auto"/>
                      <w:sz w:val="21"/>
                      <w:szCs w:val="21"/>
                    </w:rPr>
                    <w:t>标准值</w:t>
                  </w:r>
                  <w:r>
                    <w:rPr>
                      <w:b/>
                      <w:bCs/>
                      <w:color w:val="auto"/>
                      <w:sz w:val="21"/>
                      <w:szCs w:val="21"/>
                    </w:rPr>
                    <w:t>dB</w:t>
                  </w:r>
                  <w:r>
                    <w:rPr>
                      <w:rFonts w:hint="eastAsia" w:hAnsi="宋体"/>
                      <w:b/>
                      <w:bCs/>
                      <w:color w:val="auto"/>
                      <w:sz w:val="21"/>
                      <w:szCs w:val="21"/>
                    </w:rPr>
                    <w:t>（</w:t>
                  </w:r>
                  <w:r>
                    <w:rPr>
                      <w:b/>
                      <w:bCs/>
                      <w:color w:val="auto"/>
                      <w:sz w:val="21"/>
                      <w:szCs w:val="21"/>
                    </w:rPr>
                    <w:t>A</w:t>
                  </w:r>
                  <w:r>
                    <w:rPr>
                      <w:rFonts w:hint="eastAsia" w:hAnsi="宋体"/>
                      <w:b/>
                      <w:bCs/>
                      <w:color w:val="auto"/>
                      <w:sz w:val="21"/>
                      <w:szCs w:val="21"/>
                    </w:rPr>
                    <w:t>）</w:t>
                  </w:r>
                </w:p>
              </w:tc>
              <w:tc>
                <w:tcPr>
                  <w:tcW w:w="2454" w:type="pct"/>
                  <w:vMerge w:val="restart"/>
                  <w:vAlign w:val="center"/>
                </w:tcPr>
                <w:p w14:paraId="0B3CFB69">
                  <w:pPr>
                    <w:widowControl/>
                    <w:adjustRightInd w:val="0"/>
                    <w:snapToGrid w:val="0"/>
                    <w:jc w:val="center"/>
                    <w:rPr>
                      <w:b/>
                      <w:bCs/>
                      <w:color w:val="auto"/>
                      <w:sz w:val="21"/>
                      <w:szCs w:val="21"/>
                    </w:rPr>
                  </w:pPr>
                  <w:r>
                    <w:rPr>
                      <w:rFonts w:hint="eastAsia" w:hAnsi="宋体"/>
                      <w:b/>
                      <w:bCs/>
                      <w:color w:val="auto"/>
                      <w:sz w:val="21"/>
                      <w:szCs w:val="21"/>
                    </w:rPr>
                    <w:t>标准来源</w:t>
                  </w:r>
                </w:p>
              </w:tc>
            </w:tr>
            <w:tr w14:paraId="76ABE92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3" w:hRule="atLeast"/>
              </w:trPr>
              <w:tc>
                <w:tcPr>
                  <w:tcW w:w="786" w:type="pct"/>
                  <w:vMerge w:val="continue"/>
                  <w:tcBorders>
                    <w:bottom w:val="single" w:color="000000" w:sz="12" w:space="0"/>
                  </w:tcBorders>
                  <w:vAlign w:val="center"/>
                </w:tcPr>
                <w:p w14:paraId="3BE647D0">
                  <w:pPr>
                    <w:widowControl/>
                    <w:adjustRightInd w:val="0"/>
                    <w:snapToGrid w:val="0"/>
                    <w:jc w:val="center"/>
                    <w:rPr>
                      <w:color w:val="auto"/>
                      <w:sz w:val="21"/>
                      <w:szCs w:val="21"/>
                    </w:rPr>
                  </w:pPr>
                </w:p>
              </w:tc>
              <w:tc>
                <w:tcPr>
                  <w:tcW w:w="880" w:type="pct"/>
                  <w:tcBorders>
                    <w:bottom w:val="single" w:color="000000" w:sz="12" w:space="0"/>
                  </w:tcBorders>
                  <w:vAlign w:val="center"/>
                </w:tcPr>
                <w:p w14:paraId="4909236A">
                  <w:pPr>
                    <w:widowControl/>
                    <w:adjustRightInd w:val="0"/>
                    <w:snapToGrid w:val="0"/>
                    <w:jc w:val="center"/>
                    <w:rPr>
                      <w:b/>
                      <w:bCs/>
                      <w:color w:val="auto"/>
                      <w:sz w:val="21"/>
                      <w:szCs w:val="21"/>
                    </w:rPr>
                  </w:pPr>
                  <w:r>
                    <w:rPr>
                      <w:rFonts w:hint="eastAsia" w:hAnsi="宋体"/>
                      <w:b/>
                      <w:bCs/>
                      <w:color w:val="auto"/>
                      <w:sz w:val="21"/>
                      <w:szCs w:val="21"/>
                    </w:rPr>
                    <w:t>昼间</w:t>
                  </w:r>
                </w:p>
              </w:tc>
              <w:tc>
                <w:tcPr>
                  <w:tcW w:w="877" w:type="pct"/>
                  <w:tcBorders>
                    <w:bottom w:val="single" w:color="000000" w:sz="12" w:space="0"/>
                  </w:tcBorders>
                  <w:vAlign w:val="center"/>
                </w:tcPr>
                <w:p w14:paraId="1542BDA0">
                  <w:pPr>
                    <w:widowControl/>
                    <w:adjustRightInd w:val="0"/>
                    <w:snapToGrid w:val="0"/>
                    <w:jc w:val="center"/>
                    <w:rPr>
                      <w:b/>
                      <w:bCs/>
                      <w:color w:val="auto"/>
                      <w:sz w:val="21"/>
                      <w:szCs w:val="21"/>
                    </w:rPr>
                  </w:pPr>
                  <w:r>
                    <w:rPr>
                      <w:rFonts w:hint="eastAsia" w:hAnsi="宋体"/>
                      <w:b/>
                      <w:bCs/>
                      <w:color w:val="auto"/>
                      <w:sz w:val="21"/>
                      <w:szCs w:val="21"/>
                    </w:rPr>
                    <w:t>夜间</w:t>
                  </w:r>
                </w:p>
              </w:tc>
              <w:tc>
                <w:tcPr>
                  <w:tcW w:w="2454" w:type="pct"/>
                  <w:vMerge w:val="continue"/>
                  <w:tcBorders>
                    <w:bottom w:val="single" w:color="000000" w:sz="12" w:space="0"/>
                  </w:tcBorders>
                  <w:vAlign w:val="center"/>
                </w:tcPr>
                <w:p w14:paraId="425226FE">
                  <w:pPr>
                    <w:widowControl/>
                    <w:adjustRightInd w:val="0"/>
                    <w:snapToGrid w:val="0"/>
                    <w:jc w:val="center"/>
                    <w:rPr>
                      <w:color w:val="auto"/>
                      <w:sz w:val="21"/>
                      <w:szCs w:val="21"/>
                    </w:rPr>
                  </w:pPr>
                </w:p>
              </w:tc>
            </w:tr>
            <w:tr w14:paraId="3955C21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tcBorders>
                    <w:top w:val="single" w:color="000000" w:sz="12" w:space="0"/>
                    <w:tl2br w:val="nil"/>
                    <w:tr2bl w:val="nil"/>
                  </w:tcBorders>
                  <w:vAlign w:val="center"/>
                </w:tcPr>
                <w:p w14:paraId="13BB19FA">
                  <w:pPr>
                    <w:widowControl/>
                    <w:adjustRightInd w:val="0"/>
                    <w:snapToGrid w:val="0"/>
                    <w:jc w:val="center"/>
                    <w:rPr>
                      <w:color w:val="auto"/>
                      <w:sz w:val="21"/>
                      <w:szCs w:val="21"/>
                    </w:rPr>
                  </w:pPr>
                  <w:r>
                    <w:rPr>
                      <w:rFonts w:hint="eastAsia"/>
                      <w:color w:val="auto"/>
                      <w:sz w:val="21"/>
                      <w:szCs w:val="21"/>
                      <w:lang w:val="en-US" w:eastAsia="zh-CN"/>
                    </w:rPr>
                    <w:t>2</w:t>
                  </w:r>
                  <w:r>
                    <w:rPr>
                      <w:rFonts w:hint="eastAsia" w:hAnsi="宋体"/>
                      <w:color w:val="auto"/>
                      <w:sz w:val="21"/>
                      <w:szCs w:val="21"/>
                    </w:rPr>
                    <w:t>类</w:t>
                  </w:r>
                </w:p>
              </w:tc>
              <w:tc>
                <w:tcPr>
                  <w:tcW w:w="880" w:type="pct"/>
                  <w:tcBorders>
                    <w:top w:val="single" w:color="000000" w:sz="12" w:space="0"/>
                    <w:tl2br w:val="nil"/>
                    <w:tr2bl w:val="nil"/>
                  </w:tcBorders>
                  <w:vAlign w:val="center"/>
                </w:tcPr>
                <w:p w14:paraId="0CB467E4">
                  <w:pPr>
                    <w:widowControl/>
                    <w:adjustRightInd w:val="0"/>
                    <w:snapToGrid w:val="0"/>
                    <w:jc w:val="center"/>
                    <w:rPr>
                      <w:rFonts w:hint="eastAsia" w:eastAsia="宋体"/>
                      <w:color w:val="auto"/>
                      <w:sz w:val="21"/>
                      <w:szCs w:val="21"/>
                      <w:lang w:eastAsia="zh-CN"/>
                    </w:rPr>
                  </w:pPr>
                  <w:r>
                    <w:rPr>
                      <w:rFonts w:hint="eastAsia"/>
                      <w:color w:val="auto"/>
                      <w:sz w:val="21"/>
                      <w:szCs w:val="21"/>
                    </w:rPr>
                    <w:t>6</w:t>
                  </w:r>
                  <w:r>
                    <w:rPr>
                      <w:rFonts w:hint="eastAsia"/>
                      <w:color w:val="auto"/>
                      <w:sz w:val="21"/>
                      <w:szCs w:val="21"/>
                      <w:lang w:val="en-US" w:eastAsia="zh-CN"/>
                    </w:rPr>
                    <w:t>0</w:t>
                  </w:r>
                </w:p>
              </w:tc>
              <w:tc>
                <w:tcPr>
                  <w:tcW w:w="877" w:type="pct"/>
                  <w:tcBorders>
                    <w:top w:val="single" w:color="000000" w:sz="12" w:space="0"/>
                    <w:tl2br w:val="nil"/>
                    <w:tr2bl w:val="nil"/>
                  </w:tcBorders>
                  <w:vAlign w:val="center"/>
                </w:tcPr>
                <w:p w14:paraId="59422665">
                  <w:pPr>
                    <w:widowControl/>
                    <w:adjustRightInd w:val="0"/>
                    <w:snapToGrid w:val="0"/>
                    <w:jc w:val="center"/>
                    <w:rPr>
                      <w:rFonts w:hint="eastAsia" w:eastAsia="宋体"/>
                      <w:color w:val="auto"/>
                      <w:sz w:val="21"/>
                      <w:szCs w:val="21"/>
                      <w:lang w:eastAsia="zh-CN"/>
                    </w:rPr>
                  </w:pPr>
                  <w:r>
                    <w:rPr>
                      <w:rFonts w:hint="eastAsia"/>
                      <w:color w:val="auto"/>
                      <w:sz w:val="21"/>
                      <w:szCs w:val="21"/>
                    </w:rPr>
                    <w:t>5</w:t>
                  </w:r>
                  <w:r>
                    <w:rPr>
                      <w:rFonts w:hint="eastAsia"/>
                      <w:color w:val="auto"/>
                      <w:sz w:val="21"/>
                      <w:szCs w:val="21"/>
                      <w:lang w:val="en-US" w:eastAsia="zh-CN"/>
                    </w:rPr>
                    <w:t>0</w:t>
                  </w:r>
                </w:p>
              </w:tc>
              <w:tc>
                <w:tcPr>
                  <w:tcW w:w="2454" w:type="pct"/>
                  <w:tcBorders>
                    <w:top w:val="single" w:color="000000" w:sz="12" w:space="0"/>
                    <w:tl2br w:val="nil"/>
                    <w:tr2bl w:val="nil"/>
                  </w:tcBorders>
                  <w:vAlign w:val="center"/>
                </w:tcPr>
                <w:p w14:paraId="6E77ADA3">
                  <w:pPr>
                    <w:widowControl/>
                    <w:adjustRightInd w:val="0"/>
                    <w:snapToGrid w:val="0"/>
                    <w:jc w:val="center"/>
                    <w:rPr>
                      <w:color w:val="auto"/>
                      <w:sz w:val="21"/>
                      <w:szCs w:val="21"/>
                    </w:rPr>
                  </w:pPr>
                  <w:r>
                    <w:rPr>
                      <w:rFonts w:hint="eastAsia" w:hAnsi="宋体"/>
                      <w:color w:val="auto"/>
                      <w:sz w:val="21"/>
                      <w:szCs w:val="21"/>
                    </w:rPr>
                    <w:t>《工业企业厂界环境噪声排放标准》（</w:t>
                  </w:r>
                  <w:r>
                    <w:rPr>
                      <w:color w:val="auto"/>
                      <w:sz w:val="21"/>
                      <w:szCs w:val="21"/>
                    </w:rPr>
                    <w:t>GB12348-20</w:t>
                  </w:r>
                  <w:r>
                    <w:rPr>
                      <w:rFonts w:hint="eastAsia"/>
                      <w:color w:val="auto"/>
                      <w:sz w:val="21"/>
                      <w:szCs w:val="21"/>
                    </w:rPr>
                    <w:t>08</w:t>
                  </w:r>
                  <w:r>
                    <w:rPr>
                      <w:rFonts w:hint="eastAsia" w:hAnsi="宋体"/>
                      <w:color w:val="auto"/>
                      <w:sz w:val="21"/>
                      <w:szCs w:val="21"/>
                    </w:rPr>
                    <w:t>）中</w:t>
                  </w:r>
                  <w:r>
                    <w:rPr>
                      <w:rFonts w:hint="eastAsia" w:hAnsi="宋体"/>
                      <w:color w:val="auto"/>
                      <w:sz w:val="21"/>
                      <w:szCs w:val="21"/>
                      <w:lang w:val="en-US" w:eastAsia="zh-CN"/>
                    </w:rPr>
                    <w:t>2</w:t>
                  </w:r>
                  <w:r>
                    <w:rPr>
                      <w:rFonts w:hint="eastAsia" w:hAnsi="宋体"/>
                      <w:color w:val="auto"/>
                      <w:sz w:val="21"/>
                      <w:szCs w:val="21"/>
                    </w:rPr>
                    <w:t>类标准</w:t>
                  </w:r>
                </w:p>
              </w:tc>
            </w:tr>
          </w:tbl>
          <w:p w14:paraId="486917E4">
            <w:pPr>
              <w:numPr>
                <w:ilvl w:val="0"/>
                <w:numId w:val="11"/>
              </w:numPr>
              <w:spacing w:line="360" w:lineRule="auto"/>
              <w:ind w:left="0" w:leftChars="0" w:firstLine="0" w:firstLineChars="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固废</w:t>
            </w:r>
          </w:p>
          <w:p w14:paraId="1266A62E">
            <w:pPr>
              <w:adjustRightInd w:val="0"/>
              <w:snapToGrid w:val="0"/>
              <w:spacing w:line="360" w:lineRule="auto"/>
              <w:ind w:firstLine="480" w:firstLineChars="200"/>
              <w:rPr>
                <w:rFonts w:hint="default" w:ascii="宋体" w:hAnsi="宋体" w:cs="宋体"/>
                <w:color w:val="auto"/>
                <w:kern w:val="0"/>
                <w:sz w:val="24"/>
                <w:szCs w:val="24"/>
              </w:rPr>
            </w:pPr>
            <w:r>
              <w:rPr>
                <w:rFonts w:hint="eastAsia" w:ascii="宋体" w:hAnsi="宋体" w:cs="宋体"/>
                <w:color w:val="auto"/>
                <w:kern w:val="0"/>
                <w:sz w:val="24"/>
                <w:szCs w:val="24"/>
              </w:rPr>
              <w:t>本项目一般固废</w:t>
            </w:r>
            <w:r>
              <w:rPr>
                <w:rFonts w:hint="default" w:ascii="宋体" w:hAnsi="宋体" w:cs="宋体"/>
                <w:color w:val="auto"/>
                <w:kern w:val="0"/>
                <w:sz w:val="24"/>
                <w:szCs w:val="24"/>
              </w:rPr>
              <w:t>执行《一般工业固体废物贮存和填埋污染控制标准》</w:t>
            </w:r>
            <w:r>
              <w:rPr>
                <w:rFonts w:ascii="Times New Roman" w:hAnsi="Times New Roman" w:eastAsia="宋体" w:cs="Times New Roman"/>
                <w:color w:val="auto"/>
                <w:kern w:val="0"/>
                <w:sz w:val="24"/>
              </w:rPr>
              <w:t>（GB18599-2020）</w:t>
            </w:r>
            <w:r>
              <w:rPr>
                <w:rFonts w:hint="default" w:ascii="宋体" w:hAnsi="宋体" w:cs="宋体"/>
                <w:color w:val="auto"/>
                <w:kern w:val="0"/>
                <w:sz w:val="24"/>
                <w:szCs w:val="24"/>
              </w:rPr>
              <w:t>要求</w:t>
            </w:r>
            <w:r>
              <w:rPr>
                <w:rFonts w:hint="eastAsia" w:ascii="宋体" w:hAnsi="宋体" w:cs="宋体"/>
                <w:color w:val="auto"/>
                <w:kern w:val="0"/>
                <w:sz w:val="24"/>
                <w:szCs w:val="24"/>
              </w:rPr>
              <w:t>，</w:t>
            </w:r>
            <w:r>
              <w:rPr>
                <w:rFonts w:hint="default" w:ascii="宋体" w:hAnsi="宋体" w:cs="宋体"/>
                <w:color w:val="auto"/>
                <w:kern w:val="0"/>
                <w:sz w:val="24"/>
                <w:szCs w:val="24"/>
              </w:rPr>
              <w:t>危险废物执行《危险废物贮存污染控制标准》</w:t>
            </w:r>
          </w:p>
          <w:p w14:paraId="39493504">
            <w:pPr>
              <w:adjustRightInd w:val="0"/>
              <w:snapToGrid w:val="0"/>
              <w:spacing w:line="360" w:lineRule="auto"/>
            </w:pPr>
            <w:r>
              <w:rPr>
                <w:rFonts w:ascii="Times New Roman" w:hAnsi="Times New Roman" w:eastAsia="宋体" w:cs="Times New Roman"/>
                <w:color w:val="auto"/>
                <w:kern w:val="0"/>
                <w:sz w:val="24"/>
              </w:rPr>
              <w:t>（GB18597-</w:t>
            </w:r>
            <w:r>
              <w:rPr>
                <w:rFonts w:hint="eastAsia" w:cs="Times New Roman"/>
                <w:color w:val="auto"/>
                <w:kern w:val="0"/>
                <w:sz w:val="24"/>
                <w:lang w:val="en-US" w:eastAsia="zh-CN"/>
              </w:rPr>
              <w:t>2023）</w:t>
            </w:r>
            <w:r>
              <w:rPr>
                <w:rFonts w:hint="eastAsia" w:ascii="Times New Roman" w:hAnsi="Times New Roman" w:eastAsia="宋体" w:cs="Times New Roman"/>
                <w:color w:val="auto"/>
                <w:kern w:val="0"/>
                <w:sz w:val="24"/>
              </w:rPr>
              <w:t>。</w:t>
            </w:r>
          </w:p>
        </w:tc>
      </w:tr>
      <w:tr w14:paraId="3ACCC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800" w:type="dxa"/>
            <w:vAlign w:val="center"/>
          </w:tcPr>
          <w:p w14:paraId="28112B51">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w:t>
            </w:r>
          </w:p>
          <w:p w14:paraId="6F77C294">
            <w:pPr>
              <w:adjustRightInd w:val="0"/>
              <w:snapToGrid w:val="0"/>
              <w:jc w:val="center"/>
              <w:rPr>
                <w:rFonts w:ascii="宋体" w:hAnsi="宋体" w:cs="宋体"/>
                <w:color w:val="auto"/>
                <w:kern w:val="0"/>
                <w:szCs w:val="21"/>
              </w:rPr>
            </w:pPr>
            <w:r>
              <w:rPr>
                <w:rFonts w:hint="eastAsia" w:ascii="宋体" w:hAnsi="宋体" w:cs="宋体"/>
                <w:color w:val="auto"/>
                <w:kern w:val="0"/>
                <w:szCs w:val="21"/>
              </w:rPr>
              <w:t>控制</w:t>
            </w:r>
          </w:p>
          <w:p w14:paraId="4ED67DA3">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vAlign w:val="center"/>
          </w:tcPr>
          <w:p w14:paraId="48DD95C6">
            <w:pPr>
              <w:adjustRightInd w:val="0"/>
              <w:snapToGrid w:val="0"/>
              <w:spacing w:line="360" w:lineRule="auto"/>
              <w:ind w:firstLine="480" w:firstLineChars="200"/>
              <w:rPr>
                <w:rFonts w:hint="default" w:ascii="宋体" w:hAnsi="宋体" w:eastAsia="宋体" w:cs="宋体"/>
                <w:color w:val="auto"/>
                <w:kern w:val="0"/>
                <w:sz w:val="24"/>
                <w:szCs w:val="24"/>
              </w:rPr>
            </w:pPr>
            <w:r>
              <w:rPr>
                <w:rFonts w:hint="default" w:ascii="宋体" w:hAnsi="宋体" w:eastAsia="宋体" w:cs="宋体"/>
                <w:color w:val="auto"/>
                <w:kern w:val="0"/>
                <w:sz w:val="24"/>
                <w:szCs w:val="24"/>
              </w:rPr>
              <w:t>根据《关于落实大气污染防治行动计划严格环境影响评价准入的通知》（环办</w:t>
            </w:r>
            <w:r>
              <w:rPr>
                <w:rFonts w:hint="default" w:ascii="Times New Roman" w:hAnsi="Times New Roman" w:eastAsia="宋体" w:cs="Times New Roman"/>
                <w:color w:val="auto"/>
                <w:kern w:val="0"/>
                <w:sz w:val="24"/>
              </w:rPr>
              <w:t>〔2014〕30</w:t>
            </w:r>
            <w:r>
              <w:rPr>
                <w:rFonts w:hint="default" w:ascii="宋体" w:hAnsi="宋体" w:eastAsia="宋体" w:cs="宋体"/>
                <w:color w:val="auto"/>
                <w:kern w:val="0"/>
                <w:sz w:val="24"/>
                <w:szCs w:val="24"/>
              </w:rPr>
              <w:t>号）文，“三、严格把好建设项目环境影响评价审批准入关口（五）排放二氧化硫、氮氧化物、烟粉尘和挥发性有机污染物的项目，必须落实相关污染物总量减排方案，上一年度环境空气质量相关污染物年平均浓度不达标的城市，应进行倍量削减替代”。</w:t>
            </w:r>
          </w:p>
          <w:p w14:paraId="7C904D61">
            <w:pPr>
              <w:adjustRightInd w:val="0"/>
              <w:snapToGrid w:val="0"/>
              <w:spacing w:line="360" w:lineRule="auto"/>
              <w:ind w:firstLine="480" w:firstLineChars="200"/>
              <w:rPr>
                <w:rFonts w:hint="default" w:ascii="宋体" w:hAnsi="宋体" w:eastAsia="宋体" w:cs="宋体"/>
                <w:color w:val="auto"/>
                <w:kern w:val="0"/>
                <w:sz w:val="24"/>
                <w:szCs w:val="24"/>
              </w:rPr>
            </w:pPr>
            <w:r>
              <w:rPr>
                <w:rFonts w:hint="default" w:ascii="宋体" w:hAnsi="宋体" w:eastAsia="宋体" w:cs="宋体"/>
                <w:color w:val="auto"/>
                <w:kern w:val="0"/>
                <w:sz w:val="24"/>
                <w:szCs w:val="24"/>
              </w:rPr>
              <w:t>结合本项目所在区域的环境特征及本项目排污情况，本项目</w:t>
            </w:r>
            <w:r>
              <w:rPr>
                <w:rFonts w:hint="eastAsia" w:ascii="宋体" w:hAnsi="宋体" w:eastAsia="宋体" w:cs="宋体"/>
                <w:color w:val="auto"/>
                <w:kern w:val="0"/>
                <w:sz w:val="24"/>
                <w:szCs w:val="24"/>
                <w:lang w:val="en-US" w:eastAsia="zh-CN"/>
              </w:rPr>
              <w:t>位于昌吉回族自治州木垒县博斯塘乡直属，木垒县为环境空气质量达标区，本项目有组织颗粒物需要进行倍量消减替代，颗粒物排放量为</w:t>
            </w:r>
            <w:r>
              <w:rPr>
                <w:rFonts w:hint="eastAsia" w:ascii="Times New Roman" w:hAnsi="Times New Roman" w:eastAsia="宋体" w:cs="Times New Roman"/>
                <w:color w:val="auto"/>
                <w:kern w:val="0"/>
                <w:sz w:val="24"/>
                <w:lang w:val="en-US" w:eastAsia="zh-CN"/>
              </w:rPr>
              <w:t>0.</w:t>
            </w:r>
            <w:r>
              <w:rPr>
                <w:rFonts w:hint="eastAsia" w:cs="Times New Roman"/>
                <w:color w:val="auto"/>
                <w:kern w:val="0"/>
                <w:sz w:val="24"/>
                <w:lang w:val="en-US" w:eastAsia="zh-CN"/>
              </w:rPr>
              <w:t>753</w:t>
            </w:r>
            <w:r>
              <w:rPr>
                <w:rFonts w:hint="eastAsia" w:ascii="Times New Roman" w:hAnsi="Times New Roman" w:eastAsia="宋体" w:cs="Times New Roman"/>
                <w:color w:val="auto"/>
                <w:kern w:val="0"/>
                <w:sz w:val="24"/>
                <w:lang w:val="en-US" w:eastAsia="zh-CN"/>
              </w:rPr>
              <w:t>t/a</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总量控制指标为颗粒物</w:t>
            </w:r>
            <w:r>
              <w:rPr>
                <w:rFonts w:hint="eastAsia" w:ascii="Times New Roman" w:hAnsi="Times New Roman" w:eastAsia="宋体" w:cs="Times New Roman"/>
                <w:color w:val="auto"/>
                <w:kern w:val="0"/>
                <w:sz w:val="24"/>
                <w:lang w:val="en-US" w:eastAsia="zh-CN"/>
              </w:rPr>
              <w:t>0.</w:t>
            </w:r>
            <w:r>
              <w:rPr>
                <w:rFonts w:hint="eastAsia" w:cs="Times New Roman"/>
                <w:color w:val="auto"/>
                <w:kern w:val="0"/>
                <w:sz w:val="24"/>
                <w:lang w:val="en-US" w:eastAsia="zh-CN"/>
              </w:rPr>
              <w:t>753</w:t>
            </w:r>
            <w:r>
              <w:rPr>
                <w:rFonts w:hint="eastAsia" w:ascii="Times New Roman" w:hAnsi="Times New Roman" w:eastAsia="宋体" w:cs="Times New Roman"/>
                <w:color w:val="auto"/>
                <w:kern w:val="0"/>
                <w:sz w:val="24"/>
                <w:lang w:val="en-US" w:eastAsia="zh-CN"/>
              </w:rPr>
              <w:t>t/a</w:t>
            </w:r>
            <w:r>
              <w:rPr>
                <w:rFonts w:hint="default" w:ascii="宋体" w:hAnsi="宋体" w:eastAsia="宋体" w:cs="宋体"/>
                <w:color w:val="auto"/>
                <w:kern w:val="0"/>
                <w:sz w:val="24"/>
                <w:szCs w:val="24"/>
              </w:rPr>
              <w:t>。</w:t>
            </w:r>
          </w:p>
          <w:p w14:paraId="462FBE05">
            <w:pPr>
              <w:pStyle w:val="26"/>
              <w:rPr>
                <w:rFonts w:hint="default" w:ascii="宋体" w:hAnsi="宋体" w:eastAsia="宋体" w:cs="宋体"/>
                <w:color w:val="auto"/>
                <w:kern w:val="0"/>
                <w:sz w:val="24"/>
                <w:szCs w:val="24"/>
              </w:rPr>
            </w:pPr>
          </w:p>
          <w:p w14:paraId="14F72720">
            <w:pPr>
              <w:pStyle w:val="26"/>
              <w:rPr>
                <w:rFonts w:hint="default" w:ascii="宋体" w:hAnsi="宋体" w:eastAsia="宋体" w:cs="宋体"/>
                <w:color w:val="auto"/>
                <w:kern w:val="0"/>
                <w:sz w:val="24"/>
                <w:szCs w:val="24"/>
              </w:rPr>
            </w:pPr>
          </w:p>
          <w:p w14:paraId="13B94A14">
            <w:pPr>
              <w:pStyle w:val="26"/>
              <w:rPr>
                <w:rFonts w:hint="default" w:ascii="宋体" w:hAnsi="宋体" w:eastAsia="宋体" w:cs="宋体"/>
                <w:color w:val="auto"/>
                <w:kern w:val="0"/>
                <w:sz w:val="24"/>
                <w:szCs w:val="24"/>
              </w:rPr>
            </w:pPr>
          </w:p>
          <w:p w14:paraId="71E33B63">
            <w:pPr>
              <w:pStyle w:val="26"/>
              <w:rPr>
                <w:rFonts w:hint="default" w:ascii="宋体" w:hAnsi="宋体" w:eastAsia="宋体" w:cs="宋体"/>
                <w:color w:val="auto"/>
                <w:kern w:val="0"/>
                <w:sz w:val="24"/>
                <w:szCs w:val="24"/>
              </w:rPr>
            </w:pPr>
          </w:p>
          <w:p w14:paraId="720A0609">
            <w:pPr>
              <w:pStyle w:val="26"/>
              <w:rPr>
                <w:rFonts w:hint="default" w:ascii="宋体" w:hAnsi="宋体" w:eastAsia="宋体" w:cs="宋体"/>
                <w:color w:val="auto"/>
                <w:kern w:val="0"/>
                <w:sz w:val="24"/>
                <w:szCs w:val="24"/>
              </w:rPr>
            </w:pPr>
          </w:p>
          <w:p w14:paraId="5C9617F9">
            <w:pPr>
              <w:pStyle w:val="26"/>
              <w:rPr>
                <w:rFonts w:hint="default" w:ascii="宋体" w:hAnsi="宋体" w:eastAsia="宋体" w:cs="宋体"/>
                <w:color w:val="auto"/>
                <w:kern w:val="0"/>
                <w:sz w:val="24"/>
                <w:szCs w:val="24"/>
              </w:rPr>
            </w:pPr>
          </w:p>
          <w:p w14:paraId="485069A5">
            <w:pPr>
              <w:pStyle w:val="26"/>
              <w:rPr>
                <w:rFonts w:hint="default" w:ascii="宋体" w:hAnsi="宋体" w:eastAsia="宋体" w:cs="宋体"/>
                <w:color w:val="auto"/>
                <w:kern w:val="0"/>
                <w:sz w:val="24"/>
                <w:szCs w:val="24"/>
              </w:rPr>
            </w:pPr>
          </w:p>
          <w:p w14:paraId="511B5DA4">
            <w:pPr>
              <w:pStyle w:val="26"/>
              <w:rPr>
                <w:rFonts w:hint="default" w:ascii="宋体" w:hAnsi="宋体" w:eastAsia="宋体" w:cs="宋体"/>
                <w:color w:val="auto"/>
                <w:kern w:val="0"/>
                <w:sz w:val="24"/>
                <w:szCs w:val="24"/>
              </w:rPr>
            </w:pPr>
          </w:p>
          <w:p w14:paraId="358C50AA">
            <w:pPr>
              <w:pStyle w:val="26"/>
              <w:rPr>
                <w:rFonts w:hint="default" w:ascii="宋体" w:hAnsi="宋体" w:eastAsia="宋体" w:cs="宋体"/>
                <w:color w:val="auto"/>
                <w:kern w:val="0"/>
                <w:sz w:val="24"/>
                <w:szCs w:val="24"/>
              </w:rPr>
            </w:pPr>
          </w:p>
          <w:p w14:paraId="17A498E0">
            <w:pPr>
              <w:pStyle w:val="26"/>
              <w:jc w:val="left"/>
              <w:rPr>
                <w:rFonts w:hint="default" w:ascii="宋体" w:hAnsi="宋体" w:eastAsia="宋体" w:cs="宋体"/>
                <w:color w:val="auto"/>
                <w:kern w:val="0"/>
                <w:sz w:val="24"/>
                <w:szCs w:val="24"/>
              </w:rPr>
            </w:pPr>
          </w:p>
          <w:p w14:paraId="65162320">
            <w:pPr>
              <w:pStyle w:val="26"/>
              <w:jc w:val="left"/>
              <w:rPr>
                <w:rFonts w:hint="default" w:ascii="宋体" w:hAnsi="宋体" w:eastAsia="宋体" w:cs="宋体"/>
                <w:color w:val="auto"/>
                <w:kern w:val="0"/>
                <w:sz w:val="24"/>
                <w:szCs w:val="24"/>
              </w:rPr>
            </w:pPr>
          </w:p>
          <w:p w14:paraId="1FDF9D6B">
            <w:pPr>
              <w:pStyle w:val="26"/>
              <w:jc w:val="left"/>
              <w:rPr>
                <w:rFonts w:hint="default" w:ascii="宋体" w:hAnsi="宋体" w:eastAsia="宋体" w:cs="宋体"/>
                <w:color w:val="auto"/>
                <w:kern w:val="0"/>
                <w:sz w:val="24"/>
                <w:szCs w:val="24"/>
              </w:rPr>
            </w:pPr>
          </w:p>
          <w:p w14:paraId="331A2E4A">
            <w:pPr>
              <w:pStyle w:val="26"/>
              <w:jc w:val="left"/>
              <w:rPr>
                <w:rFonts w:hint="default" w:ascii="宋体" w:hAnsi="宋体" w:eastAsia="宋体" w:cs="宋体"/>
                <w:color w:val="auto"/>
                <w:kern w:val="0"/>
                <w:sz w:val="24"/>
                <w:szCs w:val="24"/>
              </w:rPr>
            </w:pPr>
          </w:p>
          <w:p w14:paraId="22F4B0D9">
            <w:pPr>
              <w:pStyle w:val="26"/>
              <w:jc w:val="left"/>
              <w:rPr>
                <w:rFonts w:hint="default" w:ascii="宋体" w:hAnsi="宋体" w:eastAsia="宋体" w:cs="宋体"/>
                <w:color w:val="auto"/>
                <w:kern w:val="0"/>
                <w:sz w:val="24"/>
                <w:szCs w:val="24"/>
              </w:rPr>
            </w:pPr>
          </w:p>
          <w:p w14:paraId="0A9FA3FA">
            <w:pPr>
              <w:pStyle w:val="26"/>
              <w:jc w:val="left"/>
              <w:rPr>
                <w:rFonts w:hint="default" w:ascii="宋体" w:hAnsi="宋体" w:eastAsia="宋体" w:cs="宋体"/>
                <w:color w:val="auto"/>
                <w:kern w:val="0"/>
                <w:sz w:val="24"/>
                <w:szCs w:val="24"/>
              </w:rPr>
            </w:pPr>
          </w:p>
        </w:tc>
      </w:tr>
    </w:tbl>
    <w:p w14:paraId="5E082816">
      <w:pPr>
        <w:pStyle w:val="19"/>
        <w:numPr>
          <w:ilvl w:val="0"/>
          <w:numId w:val="0"/>
        </w:numPr>
        <w:tabs>
          <w:tab w:val="left" w:pos="2440"/>
          <w:tab w:val="center" w:pos="4782"/>
        </w:tabs>
        <w:jc w:val="center"/>
        <w:outlineLvl w:val="0"/>
        <w:rPr>
          <w:rFonts w:hint="eastAsia"/>
          <w:lang w:val="en-US" w:eastAsia="zh-CN"/>
        </w:rPr>
      </w:pPr>
      <w:r>
        <w:rPr>
          <w:rFonts w:hint="eastAsia" w:ascii="黑体" w:hAnsi="黑体" w:eastAsia="黑体"/>
          <w:snapToGrid w:val="0"/>
          <w:color w:val="auto"/>
          <w:sz w:val="30"/>
          <w:szCs w:val="30"/>
          <w:lang w:val="en-US" w:eastAsia="zh-CN"/>
        </w:rPr>
        <w:t>四、</w:t>
      </w:r>
      <w:r>
        <w:rPr>
          <w:rFonts w:hint="eastAsia" w:ascii="黑体" w:hAnsi="黑体" w:eastAsia="黑体"/>
          <w:snapToGrid w:val="0"/>
          <w:color w:val="auto"/>
          <w:sz w:val="30"/>
          <w:szCs w:val="30"/>
        </w:rPr>
        <w:t>主要环境影响和保护措施</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0E20D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5" w:hRule="atLeast"/>
          <w:jc w:val="center"/>
        </w:trPr>
        <w:tc>
          <w:tcPr>
            <w:tcW w:w="746" w:type="dxa"/>
            <w:tcMar>
              <w:left w:w="28" w:type="dxa"/>
              <w:right w:w="28" w:type="dxa"/>
            </w:tcMar>
            <w:vAlign w:val="center"/>
          </w:tcPr>
          <w:p w14:paraId="3747E1F2">
            <w:pPr>
              <w:pStyle w:val="19"/>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施工</w:t>
            </w:r>
          </w:p>
          <w:p w14:paraId="0BA977DE">
            <w:pPr>
              <w:pStyle w:val="19"/>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期环</w:t>
            </w:r>
          </w:p>
          <w:p w14:paraId="66ED09FB">
            <w:pPr>
              <w:pStyle w:val="19"/>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境保</w:t>
            </w:r>
          </w:p>
          <w:p w14:paraId="499B0334">
            <w:pPr>
              <w:pStyle w:val="19"/>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护措</w:t>
            </w:r>
          </w:p>
          <w:p w14:paraId="56390DEF">
            <w:pPr>
              <w:pStyle w:val="19"/>
              <w:adjustRightInd w:val="0"/>
              <w:snapToGrid w:val="0"/>
              <w:spacing w:before="0" w:beforeAutospacing="0" w:after="0" w:afterAutospacing="0"/>
              <w:jc w:val="center"/>
              <w:rPr>
                <w:rFonts w:cs="宋体"/>
                <w:bCs/>
                <w:color w:val="auto"/>
                <w:kern w:val="2"/>
                <w:sz w:val="21"/>
                <w:szCs w:val="21"/>
              </w:rPr>
            </w:pPr>
            <w:r>
              <w:rPr>
                <w:rFonts w:hint="eastAsia" w:cs="宋体"/>
                <w:color w:val="auto"/>
                <w:kern w:val="2"/>
                <w:sz w:val="21"/>
                <w:szCs w:val="21"/>
              </w:rPr>
              <w:t>施</w:t>
            </w:r>
          </w:p>
        </w:tc>
        <w:tc>
          <w:tcPr>
            <w:tcW w:w="8162" w:type="dxa"/>
            <w:vAlign w:val="center"/>
          </w:tcPr>
          <w:p w14:paraId="128366A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本项目的环境影响主要是施工废气、施工废水、施工噪声、建筑垃圾造成的影响，施工过程对环境的主要影响表现为：</w:t>
            </w:r>
          </w:p>
          <w:p w14:paraId="66F801C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（1）</w:t>
            </w:r>
            <w:r>
              <w:rPr>
                <w:rFonts w:hint="eastAsia" w:cs="Times New Roman"/>
                <w:color w:val="auto"/>
                <w:kern w:val="0"/>
                <w:sz w:val="24"/>
                <w:lang w:val="en-US" w:eastAsia="zh-CN"/>
              </w:rPr>
              <w:t>施工及运输飞尘、运输尾气</w:t>
            </w:r>
            <w:r>
              <w:rPr>
                <w:rFonts w:ascii="Times New Roman" w:hAnsi="Times New Roman" w:eastAsia="宋体" w:cs="Times New Roman"/>
                <w:color w:val="auto"/>
                <w:kern w:val="0"/>
                <w:sz w:val="24"/>
              </w:rPr>
              <w:t>的不良影响；</w:t>
            </w:r>
          </w:p>
          <w:p w14:paraId="6903054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（2）施工污水</w:t>
            </w:r>
            <w:r>
              <w:rPr>
                <w:rFonts w:hint="eastAsia" w:cs="Times New Roman"/>
                <w:color w:val="auto"/>
                <w:kern w:val="0"/>
                <w:sz w:val="24"/>
                <w:lang w:val="en-US" w:eastAsia="zh-CN"/>
              </w:rPr>
              <w:t>和</w:t>
            </w:r>
            <w:r>
              <w:rPr>
                <w:rFonts w:ascii="Times New Roman" w:hAnsi="Times New Roman" w:eastAsia="宋体" w:cs="Times New Roman"/>
                <w:color w:val="auto"/>
                <w:kern w:val="0"/>
                <w:sz w:val="24"/>
              </w:rPr>
              <w:t>生活</w:t>
            </w:r>
            <w:r>
              <w:rPr>
                <w:rFonts w:hint="eastAsia" w:cs="Times New Roman"/>
                <w:color w:val="auto"/>
                <w:kern w:val="0"/>
                <w:sz w:val="24"/>
                <w:lang w:val="en-US" w:eastAsia="zh-CN"/>
              </w:rPr>
              <w:t>废水</w:t>
            </w:r>
            <w:r>
              <w:rPr>
                <w:rFonts w:ascii="Times New Roman" w:hAnsi="Times New Roman" w:eastAsia="宋体" w:cs="Times New Roman"/>
                <w:color w:val="auto"/>
                <w:kern w:val="0"/>
                <w:sz w:val="24"/>
              </w:rPr>
              <w:t>对周边环境的影响</w:t>
            </w:r>
          </w:p>
          <w:p w14:paraId="5EC6806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（3）施工</w:t>
            </w:r>
            <w:r>
              <w:rPr>
                <w:rFonts w:hint="eastAsia" w:cs="Times New Roman"/>
                <w:color w:val="auto"/>
                <w:kern w:val="0"/>
                <w:sz w:val="24"/>
                <w:lang w:val="en-US" w:eastAsia="zh-CN"/>
              </w:rPr>
              <w:t>设备</w:t>
            </w:r>
            <w:r>
              <w:rPr>
                <w:rFonts w:ascii="Times New Roman" w:hAnsi="Times New Roman" w:eastAsia="宋体" w:cs="Times New Roman"/>
                <w:color w:val="auto"/>
                <w:kern w:val="0"/>
                <w:sz w:val="24"/>
              </w:rPr>
              <w:t>和运输车辆</w:t>
            </w:r>
            <w:r>
              <w:rPr>
                <w:rFonts w:hint="eastAsia" w:cs="Times New Roman"/>
                <w:color w:val="auto"/>
                <w:kern w:val="0"/>
                <w:sz w:val="24"/>
                <w:lang w:val="en-US" w:eastAsia="zh-CN"/>
              </w:rPr>
              <w:t>发出的</w:t>
            </w:r>
            <w:r>
              <w:rPr>
                <w:rFonts w:ascii="Times New Roman" w:hAnsi="Times New Roman" w:eastAsia="宋体" w:cs="Times New Roman"/>
                <w:color w:val="auto"/>
                <w:kern w:val="0"/>
                <w:sz w:val="24"/>
              </w:rPr>
              <w:t>噪声对周围环境的影响；</w:t>
            </w:r>
          </w:p>
          <w:p w14:paraId="498BD9D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（4）建筑施工垃圾如不妥善处理易造成水土流失，破坏自然</w:t>
            </w:r>
            <w:r>
              <w:rPr>
                <w:rFonts w:hint="eastAsia" w:cs="Times New Roman"/>
                <w:color w:val="auto"/>
                <w:kern w:val="0"/>
                <w:sz w:val="24"/>
                <w:lang w:val="en-US" w:eastAsia="zh-CN"/>
              </w:rPr>
              <w:t>环境</w:t>
            </w:r>
            <w:r>
              <w:rPr>
                <w:rFonts w:ascii="Times New Roman" w:hAnsi="Times New Roman" w:eastAsia="宋体" w:cs="Times New Roman"/>
                <w:color w:val="auto"/>
                <w:kern w:val="0"/>
                <w:sz w:val="24"/>
              </w:rPr>
              <w:t>等。</w:t>
            </w:r>
          </w:p>
          <w:p w14:paraId="2726DE7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根据施工方案的情况，本评价提出相应的污染防治和环境管理措施，以期妥善地解决工程施工带来的环境问题，减少其对周围环境造成的不良影响。</w:t>
            </w:r>
          </w:p>
          <w:p w14:paraId="510F97EF">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1.大气污染及防治措施</w:t>
            </w:r>
          </w:p>
          <w:p w14:paraId="56B3487D">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1.1施工扬尘</w:t>
            </w:r>
            <w:r>
              <w:rPr>
                <w:rFonts w:hint="eastAsia" w:ascii="Times New Roman" w:hAnsi="Times New Roman" w:eastAsia="宋体" w:cs="Times New Roman"/>
                <w:b/>
                <w:bCs/>
                <w:color w:val="auto"/>
                <w:sz w:val="24"/>
              </w:rPr>
              <w:t>及防治措施</w:t>
            </w:r>
          </w:p>
          <w:p w14:paraId="7A6CB2D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施工扬尘主要来源于土方挖掘、物料运输、堆放、混凝土浇筑等施工环节。这些环节会产生大量粉尘和颗粒物，严重影响空气质量。根据同类施工现场的实测资料，当风速超过2.5m/s时，施工扬尘会使施工现场环境空气中的总悬浮颗粒物（TSP）超标，影响范围为100m之内。</w:t>
            </w:r>
          </w:p>
          <w:p w14:paraId="3C58321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为减轻施工扬尘对区域空气环境产生的不利影响，</w:t>
            </w:r>
            <w:r>
              <w:rPr>
                <w:rFonts w:hint="eastAsia" w:ascii="Times New Roman" w:hAnsi="Times New Roman" w:eastAsia="宋体" w:cs="Times New Roman"/>
                <w:color w:val="auto"/>
                <w:kern w:val="0"/>
                <w:sz w:val="24"/>
              </w:rPr>
              <w:t>施工单位应采取以下措施：施工工地全面落实“六个百分之百”（</w:t>
            </w:r>
            <w:r>
              <w:rPr>
                <w:rFonts w:hint="eastAsia" w:cs="Times New Roman"/>
                <w:color w:val="auto"/>
                <w:kern w:val="0"/>
                <w:sz w:val="24"/>
                <w:lang w:val="en-US" w:eastAsia="zh-CN"/>
              </w:rPr>
              <w:t>建筑工地旁安放挡板</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施工现场进行易起尘作业时开启降尘设施、</w:t>
            </w:r>
            <w:r>
              <w:rPr>
                <w:rFonts w:hint="eastAsia" w:ascii="宋体" w:hAnsi="宋体" w:eastAsia="宋体" w:cs="宋体"/>
                <w:i w:val="0"/>
                <w:iCs w:val="0"/>
                <w:caps w:val="0"/>
                <w:color w:val="191919"/>
                <w:spacing w:val="8"/>
                <w:sz w:val="25"/>
                <w:szCs w:val="25"/>
                <w:shd w:val="clear" w:fill="FFFFFF"/>
              </w:rPr>
              <w:t>施工现场内主要道路及材料加工区地面必须进行硬化处理</w:t>
            </w:r>
            <w:r>
              <w:rPr>
                <w:rFonts w:hint="eastAsia" w:ascii="宋体" w:hAnsi="宋体" w:eastAsia="宋体" w:cs="宋体"/>
                <w:i w:val="0"/>
                <w:iCs w:val="0"/>
                <w:caps w:val="0"/>
                <w:color w:val="191919"/>
                <w:spacing w:val="8"/>
                <w:sz w:val="25"/>
                <w:szCs w:val="25"/>
                <w:shd w:val="clear" w:fill="FFFFFF"/>
                <w:lang w:eastAsia="zh-CN"/>
              </w:rPr>
              <w:t>、</w:t>
            </w:r>
            <w:r>
              <w:rPr>
                <w:rFonts w:hint="eastAsia" w:ascii="宋体" w:hAnsi="宋体" w:eastAsia="宋体" w:cs="宋体"/>
                <w:i w:val="0"/>
                <w:iCs w:val="0"/>
                <w:caps w:val="0"/>
                <w:color w:val="191919"/>
                <w:spacing w:val="8"/>
                <w:sz w:val="25"/>
                <w:szCs w:val="25"/>
                <w:shd w:val="clear" w:fill="FFFFFF"/>
              </w:rPr>
              <w:t>施工现场内建筑原材料集中堆放并进行苫盖</w:t>
            </w:r>
            <w:r>
              <w:rPr>
                <w:rFonts w:hint="eastAsia" w:ascii="宋体" w:hAnsi="宋体" w:eastAsia="宋体" w:cs="宋体"/>
                <w:i w:val="0"/>
                <w:iCs w:val="0"/>
                <w:caps w:val="0"/>
                <w:color w:val="191919"/>
                <w:spacing w:val="8"/>
                <w:sz w:val="25"/>
                <w:szCs w:val="25"/>
                <w:shd w:val="clear" w:fill="FFFFFF"/>
                <w:lang w:eastAsia="zh-CN"/>
              </w:rPr>
              <w:t>、</w:t>
            </w:r>
            <w:r>
              <w:rPr>
                <w:rFonts w:hint="eastAsia" w:ascii="宋体" w:hAnsi="宋体" w:eastAsia="宋体" w:cs="宋体"/>
                <w:i w:val="0"/>
                <w:iCs w:val="0"/>
                <w:caps w:val="0"/>
                <w:color w:val="191919"/>
                <w:spacing w:val="8"/>
                <w:sz w:val="25"/>
                <w:szCs w:val="25"/>
                <w:shd w:val="clear" w:fill="FFFFFF"/>
              </w:rPr>
              <w:t>施工现场出入口设置滚轮式车辆自动清洗设备</w:t>
            </w:r>
            <w:r>
              <w:rPr>
                <w:rFonts w:hint="eastAsia" w:ascii="宋体" w:hAnsi="宋体" w:eastAsia="宋体" w:cs="宋体"/>
                <w:i w:val="0"/>
                <w:iCs w:val="0"/>
                <w:caps w:val="0"/>
                <w:color w:val="191919"/>
                <w:spacing w:val="8"/>
                <w:sz w:val="25"/>
                <w:szCs w:val="25"/>
                <w:shd w:val="clear" w:fill="FFFFFF"/>
                <w:lang w:eastAsia="zh-CN"/>
              </w:rPr>
              <w:t>、</w:t>
            </w:r>
            <w:r>
              <w:rPr>
                <w:rFonts w:hint="eastAsia" w:ascii="宋体" w:hAnsi="宋体" w:eastAsia="宋体" w:cs="宋体"/>
                <w:i w:val="0"/>
                <w:iCs w:val="0"/>
                <w:caps w:val="0"/>
                <w:color w:val="191919"/>
                <w:spacing w:val="8"/>
                <w:sz w:val="25"/>
                <w:szCs w:val="25"/>
                <w:shd w:val="clear" w:fill="FFFFFF"/>
              </w:rPr>
              <w:t>渣土车辆进行清运时采取密闭措施</w:t>
            </w:r>
            <w:r>
              <w:rPr>
                <w:rFonts w:hint="eastAsia" w:ascii="Times New Roman" w:hAnsi="Times New Roman" w:eastAsia="宋体" w:cs="Times New Roman"/>
                <w:color w:val="auto"/>
                <w:kern w:val="0"/>
                <w:sz w:val="24"/>
              </w:rPr>
              <w:t>）。根据《新疆维吾尔自治区大气污染防治条例》</w:t>
            </w:r>
            <w:r>
              <w:rPr>
                <w:rFonts w:hint="eastAsia" w:ascii="Times New Roman" w:hAnsi="Times New Roman" w:eastAsia="宋体" w:cs="Times New Roman"/>
                <w:color w:val="auto"/>
                <w:kern w:val="0"/>
                <w:sz w:val="24"/>
                <w:lang w:val="en-US" w:eastAsia="zh-CN"/>
              </w:rPr>
              <w:t>第三十七条</w:t>
            </w:r>
            <w:r>
              <w:rPr>
                <w:rFonts w:hint="eastAsia" w:ascii="Times New Roman" w:hAnsi="Times New Roman" w:eastAsia="宋体" w:cs="Times New Roman"/>
                <w:color w:val="auto"/>
                <w:kern w:val="0"/>
                <w:sz w:val="24"/>
              </w:rPr>
              <w:t>各级人民政府应当加强对建设施工、矿产资源开采、物料运输的扬尘和沙尘污染的治理，保持道路清洁、控制料堆和渣土堆放，科学合理扩大绿地、水面、湿地、地面铺装和防风固沙绿化面积，防治扬尘污染。第三十八条房屋建筑、市政基础设施建设和城市规划区内水利工程等可能产生扬尘污染活动的施工现场，施工单位应当采取下列防尘措施：</w:t>
            </w:r>
          </w:p>
          <w:p w14:paraId="07F0629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w:t>
            </w:r>
            <w:r>
              <w:rPr>
                <w:rFonts w:hint="eastAsia" w:cs="Times New Roman"/>
                <w:color w:val="auto"/>
                <w:kern w:val="0"/>
                <w:sz w:val="24"/>
                <w:lang w:val="en-US" w:eastAsia="zh-CN"/>
              </w:rPr>
              <w:t>建筑工地旁安放挡板：</w:t>
            </w:r>
            <w:r>
              <w:rPr>
                <w:rFonts w:hint="eastAsia" w:ascii="Times New Roman" w:hAnsi="Times New Roman" w:eastAsia="宋体" w:cs="Times New Roman"/>
                <w:color w:val="auto"/>
                <w:kern w:val="0"/>
                <w:sz w:val="24"/>
              </w:rPr>
              <w:t>建设工程开工前，按照标准在施工现场周边设置围挡，并对围挡进行维护；</w:t>
            </w:r>
          </w:p>
          <w:p w14:paraId="2B78722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②在施工现场出入口公示施工现场负责人、环保监督员、扬尘污染主要控制措施、举报电话等信息；</w:t>
            </w:r>
          </w:p>
          <w:p w14:paraId="7BA647D2">
            <w:pPr>
              <w:pStyle w:val="30"/>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③</w:t>
            </w:r>
            <w:r>
              <w:rPr>
                <w:rFonts w:hint="eastAsia" w:ascii="宋体" w:hAnsi="宋体" w:eastAsia="宋体" w:cs="宋体"/>
                <w:i w:val="0"/>
                <w:iCs w:val="0"/>
                <w:caps w:val="0"/>
                <w:color w:val="191919"/>
                <w:spacing w:val="8"/>
                <w:sz w:val="25"/>
                <w:szCs w:val="25"/>
                <w:shd w:val="clear" w:fill="FFFFFF"/>
              </w:rPr>
              <w:t>施工现场内建筑原材料集中堆放并进行苫盖</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szCs w:val="24"/>
                <w:lang w:val="en-US" w:eastAsia="zh-CN" w:bidi="ar-SA"/>
              </w:rPr>
              <w:t>对其他裸露场地进行覆盖或者临时洒水降尘，对土方进行集中堆放，并采取覆盖或者密闭等措施；</w:t>
            </w:r>
          </w:p>
          <w:p w14:paraId="2A8B19C7">
            <w:pPr>
              <w:pStyle w:val="30"/>
              <w:spacing w:line="360" w:lineRule="auto"/>
              <w:ind w:firstLine="48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④</w:t>
            </w:r>
            <w:r>
              <w:rPr>
                <w:rFonts w:hint="eastAsia" w:ascii="宋体" w:hAnsi="宋体" w:eastAsia="宋体" w:cs="宋体"/>
                <w:i w:val="0"/>
                <w:iCs w:val="0"/>
                <w:caps w:val="0"/>
                <w:color w:val="191919"/>
                <w:spacing w:val="8"/>
                <w:sz w:val="25"/>
                <w:szCs w:val="25"/>
                <w:shd w:val="clear" w:fill="FFFFFF"/>
              </w:rPr>
              <w:t>施工现场出入口设置滚轮式车辆自动清洗设备</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szCs w:val="24"/>
                <w:lang w:val="en-US" w:eastAsia="zh-CN" w:bidi="ar-SA"/>
              </w:rPr>
              <w:t>施工现场出口处应当设置车辆冲洗设施，施工车辆冲洗干净后方可上路行驶；</w:t>
            </w:r>
          </w:p>
          <w:p w14:paraId="74F65424">
            <w:pPr>
              <w:pStyle w:val="30"/>
              <w:spacing w:line="360" w:lineRule="auto"/>
              <w:ind w:firstLine="480"/>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⑤</w:t>
            </w:r>
            <w:r>
              <w:rPr>
                <w:rFonts w:hint="eastAsia" w:ascii="宋体" w:hAnsi="宋体" w:eastAsia="宋体" w:cs="宋体"/>
                <w:i w:val="0"/>
                <w:iCs w:val="0"/>
                <w:caps w:val="0"/>
                <w:color w:val="191919"/>
                <w:spacing w:val="8"/>
                <w:sz w:val="25"/>
                <w:szCs w:val="25"/>
                <w:shd w:val="clear" w:fill="FFFFFF"/>
              </w:rPr>
              <w:t>施工现场内主要道路及材料加工区地面必须进行硬化处理</w:t>
            </w:r>
            <w:r>
              <w:rPr>
                <w:rFonts w:hint="eastAsia" w:ascii="宋体" w:hAnsi="宋体" w:cs="宋体"/>
                <w:i w:val="0"/>
                <w:iCs w:val="0"/>
                <w:caps w:val="0"/>
                <w:color w:val="191919"/>
                <w:spacing w:val="8"/>
                <w:sz w:val="25"/>
                <w:szCs w:val="25"/>
                <w:shd w:val="clear" w:fill="FFFFFF"/>
                <w:lang w:eastAsia="zh-CN"/>
              </w:rPr>
              <w:t>：</w:t>
            </w:r>
            <w:r>
              <w:rPr>
                <w:rFonts w:hint="eastAsia" w:ascii="Times New Roman" w:hAnsi="Times New Roman" w:eastAsia="宋体" w:cs="Times New Roman"/>
                <w:color w:val="auto"/>
                <w:kern w:val="0"/>
                <w:sz w:val="24"/>
                <w:szCs w:val="24"/>
                <w:lang w:val="en-US" w:eastAsia="zh-CN" w:bidi="ar-SA"/>
              </w:rPr>
              <w:t>对施工现场内主要道路和物料堆放场地进行</w:t>
            </w:r>
            <w:r>
              <w:rPr>
                <w:rFonts w:hint="eastAsia" w:cs="Times New Roman"/>
                <w:color w:val="auto"/>
                <w:kern w:val="0"/>
                <w:sz w:val="24"/>
                <w:szCs w:val="24"/>
                <w:lang w:val="en-US" w:eastAsia="zh-CN" w:bidi="ar-SA"/>
              </w:rPr>
              <w:t>地面</w:t>
            </w:r>
            <w:r>
              <w:rPr>
                <w:rFonts w:hint="eastAsia" w:ascii="Times New Roman" w:hAnsi="Times New Roman" w:eastAsia="宋体" w:cs="Times New Roman"/>
                <w:color w:val="auto"/>
                <w:kern w:val="0"/>
                <w:sz w:val="24"/>
                <w:szCs w:val="24"/>
                <w:lang w:val="en-US" w:eastAsia="zh-CN" w:bidi="ar-SA"/>
              </w:rPr>
              <w:t>硬化</w:t>
            </w:r>
            <w:r>
              <w:rPr>
                <w:rFonts w:hint="eastAsia" w:cs="Times New Roman"/>
                <w:color w:val="auto"/>
                <w:kern w:val="0"/>
                <w:sz w:val="24"/>
                <w:szCs w:val="24"/>
                <w:lang w:val="en-US" w:eastAsia="zh-CN" w:bidi="ar-SA"/>
              </w:rPr>
              <w:t>。</w:t>
            </w:r>
          </w:p>
          <w:p w14:paraId="489F3BD2">
            <w:pPr>
              <w:pStyle w:val="30"/>
              <w:spacing w:line="360" w:lineRule="auto"/>
              <w:ind w:firstLine="480"/>
              <w:rPr>
                <w:rFonts w:hint="eastAsia" w:ascii="宋体" w:hAnsi="宋体" w:cs="宋体"/>
                <w:i w:val="0"/>
                <w:iCs w:val="0"/>
                <w:caps w:val="0"/>
                <w:color w:val="191919"/>
                <w:spacing w:val="8"/>
                <w:sz w:val="25"/>
                <w:szCs w:val="25"/>
                <w:shd w:val="clear" w:fill="FFFFFF"/>
                <w:lang w:val="en-US" w:eastAsia="zh-CN"/>
              </w:rPr>
            </w:pPr>
            <w:r>
              <w:rPr>
                <w:rFonts w:hint="eastAsia" w:cs="Times New Roman"/>
                <w:color w:val="auto"/>
                <w:kern w:val="0"/>
                <w:sz w:val="24"/>
                <w:szCs w:val="24"/>
                <w:lang w:val="en-US" w:eastAsia="zh-CN" w:bidi="ar-SA"/>
              </w:rPr>
              <w:t>⑥</w:t>
            </w:r>
            <w:r>
              <w:rPr>
                <w:rFonts w:hint="eastAsia" w:ascii="宋体" w:hAnsi="宋体" w:eastAsia="宋体" w:cs="宋体"/>
                <w:i w:val="0"/>
                <w:iCs w:val="0"/>
                <w:caps w:val="0"/>
                <w:color w:val="191919"/>
                <w:spacing w:val="8"/>
                <w:sz w:val="25"/>
                <w:szCs w:val="25"/>
                <w:shd w:val="clear" w:fill="FFFFFF"/>
              </w:rPr>
              <w:t>渣土车辆进行清运时采取密闭措施</w:t>
            </w:r>
            <w:r>
              <w:rPr>
                <w:rFonts w:hint="eastAsia" w:ascii="宋体" w:hAnsi="宋体" w:cs="宋体"/>
                <w:i w:val="0"/>
                <w:iCs w:val="0"/>
                <w:caps w:val="0"/>
                <w:color w:val="191919"/>
                <w:spacing w:val="8"/>
                <w:sz w:val="25"/>
                <w:szCs w:val="25"/>
                <w:shd w:val="clear" w:fill="FFFFFF"/>
                <w:lang w:eastAsia="zh-CN"/>
              </w:rPr>
              <w:t>：</w:t>
            </w:r>
            <w:r>
              <w:rPr>
                <w:rFonts w:hint="eastAsia" w:ascii="宋体" w:hAnsi="宋体" w:cs="宋体"/>
                <w:i w:val="0"/>
                <w:iCs w:val="0"/>
                <w:caps w:val="0"/>
                <w:color w:val="191919"/>
                <w:spacing w:val="8"/>
                <w:sz w:val="25"/>
                <w:szCs w:val="25"/>
                <w:shd w:val="clear" w:fill="FFFFFF"/>
                <w:lang w:val="en-US" w:eastAsia="zh-CN"/>
              </w:rPr>
              <w:t>运输车辆进行清运时，进行覆盖密闭措施。</w:t>
            </w:r>
          </w:p>
          <w:p w14:paraId="2B7D54A0">
            <w:pPr>
              <w:pStyle w:val="30"/>
              <w:spacing w:line="360" w:lineRule="auto"/>
              <w:ind w:firstLine="480"/>
              <w:rPr>
                <w:rFonts w:hint="default" w:ascii="宋体" w:hAnsi="宋体" w:cs="宋体"/>
                <w:i w:val="0"/>
                <w:iCs w:val="0"/>
                <w:caps w:val="0"/>
                <w:color w:val="191919"/>
                <w:spacing w:val="8"/>
                <w:sz w:val="25"/>
                <w:szCs w:val="25"/>
                <w:shd w:val="clear" w:fill="FFFFFF"/>
                <w:lang w:val="en-US" w:eastAsia="zh-CN"/>
              </w:rPr>
            </w:pPr>
            <w:r>
              <w:rPr>
                <w:rFonts w:hint="eastAsia" w:ascii="宋体" w:hAnsi="宋体" w:cs="宋体"/>
                <w:i w:val="0"/>
                <w:iCs w:val="0"/>
                <w:caps w:val="0"/>
                <w:color w:val="191919"/>
                <w:spacing w:val="8"/>
                <w:sz w:val="25"/>
                <w:szCs w:val="25"/>
                <w:shd w:val="clear" w:fill="FFFFFF"/>
                <w:lang w:val="en-US" w:eastAsia="zh-CN"/>
              </w:rPr>
              <w:t>⑦</w:t>
            </w:r>
            <w:r>
              <w:rPr>
                <w:rFonts w:hint="eastAsia" w:cs="Times New Roman"/>
                <w:color w:val="auto"/>
                <w:kern w:val="0"/>
                <w:sz w:val="24"/>
                <w:lang w:val="en-US" w:eastAsia="zh-CN"/>
              </w:rPr>
              <w:t>施工现场进行易起尘作业时开启降尘设施：在砂石料场周围安装雾炮机，在进行物料运输时进行洒水降尘。</w:t>
            </w:r>
          </w:p>
          <w:p w14:paraId="460E40FE">
            <w:pPr>
              <w:pStyle w:val="30"/>
              <w:spacing w:line="360" w:lineRule="auto"/>
              <w:ind w:firstLine="480"/>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施工期土地硬化方案：建筑面积为3792.54m</w:t>
            </w:r>
            <w:r>
              <w:rPr>
                <w:rFonts w:hint="eastAsia" w:cs="Times New Roman"/>
                <w:color w:val="auto"/>
                <w:kern w:val="0"/>
                <w:sz w:val="24"/>
                <w:szCs w:val="24"/>
                <w:vertAlign w:val="superscript"/>
                <w:lang w:val="en-US" w:eastAsia="zh-CN" w:bidi="ar-SA"/>
              </w:rPr>
              <w:t>2</w:t>
            </w:r>
            <w:r>
              <w:rPr>
                <w:rFonts w:hint="eastAsia" w:cs="Times New Roman"/>
                <w:color w:val="auto"/>
                <w:kern w:val="0"/>
                <w:sz w:val="24"/>
                <w:szCs w:val="24"/>
                <w:vertAlign w:val="baseline"/>
                <w:lang w:val="en-US" w:eastAsia="zh-CN" w:bidi="ar-SA"/>
              </w:rPr>
              <w:t>，绿化面积为1000m</w:t>
            </w:r>
            <w:r>
              <w:rPr>
                <w:rFonts w:hint="eastAsia" w:cs="Times New Roman"/>
                <w:color w:val="auto"/>
                <w:kern w:val="0"/>
                <w:sz w:val="24"/>
                <w:szCs w:val="24"/>
                <w:vertAlign w:val="superscript"/>
                <w:lang w:val="en-US" w:eastAsia="zh-CN" w:bidi="ar-SA"/>
              </w:rPr>
              <w:t>2</w:t>
            </w:r>
            <w:r>
              <w:rPr>
                <w:rFonts w:hint="eastAsia" w:cs="Times New Roman"/>
                <w:color w:val="auto"/>
                <w:kern w:val="0"/>
                <w:sz w:val="24"/>
                <w:szCs w:val="24"/>
                <w:vertAlign w:val="baseline"/>
                <w:lang w:val="en-US" w:eastAsia="zh-CN" w:bidi="ar-SA"/>
              </w:rPr>
              <w:t>，土地硬化面积为20000m</w:t>
            </w:r>
            <w:r>
              <w:rPr>
                <w:rFonts w:hint="eastAsia" w:cs="Times New Roman"/>
                <w:color w:val="auto"/>
                <w:kern w:val="0"/>
                <w:sz w:val="24"/>
                <w:szCs w:val="24"/>
                <w:vertAlign w:val="superscript"/>
                <w:lang w:val="en-US" w:eastAsia="zh-CN" w:bidi="ar-SA"/>
              </w:rPr>
              <w:t>2</w:t>
            </w:r>
            <w:r>
              <w:rPr>
                <w:rFonts w:hint="eastAsia" w:cs="Times New Roman"/>
                <w:color w:val="auto"/>
                <w:kern w:val="0"/>
                <w:sz w:val="24"/>
                <w:szCs w:val="24"/>
                <w:vertAlign w:val="baseline"/>
                <w:lang w:val="en-US" w:eastAsia="zh-CN" w:bidi="ar-SA"/>
              </w:rPr>
              <w:t>。项目区</w:t>
            </w:r>
          </w:p>
          <w:p w14:paraId="738C6547">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1.2施工机械尾气及防治措施</w:t>
            </w:r>
          </w:p>
          <w:p w14:paraId="58FF80FE">
            <w:pPr>
              <w:pStyle w:val="5"/>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施工过程中燃油设备较多，产生大量的燃油废气。定期维护和保养施工机械，是减少尾气排放的重要措施。施工单位应建立完善的机械维护和管理制度，确保机械处于良好的工作状态，减少尾气排放。对燃柴油的大型运输车辆、推土机、挖掘机等要安装尾气净化装置，保证尾气达标排放；运</w:t>
            </w:r>
            <w:r>
              <w:rPr>
                <w:rFonts w:hint="eastAsia" w:ascii="Times New Roman" w:hAnsi="Times New Roman" w:eastAsia="宋体" w:cs="Times New Roman"/>
                <w:color w:val="auto"/>
                <w:kern w:val="0"/>
                <w:sz w:val="24"/>
                <w:szCs w:val="24"/>
                <w:lang w:val="en-US" w:eastAsia="zh-CN" w:bidi="ar-SA"/>
              </w:rPr>
              <w:t>输</w:t>
            </w:r>
            <w:r>
              <w:rPr>
                <w:rFonts w:ascii="Times New Roman" w:hAnsi="Times New Roman" w:eastAsia="宋体" w:cs="Times New Roman"/>
                <w:color w:val="auto"/>
                <w:kern w:val="0"/>
                <w:sz w:val="24"/>
                <w:szCs w:val="24"/>
                <w:lang w:val="en-US" w:eastAsia="zh-CN" w:bidi="ar-SA"/>
              </w:rPr>
              <w:t>车辆禁止超载、不得使用劣质燃料</w:t>
            </w:r>
            <w:r>
              <w:rPr>
                <w:rFonts w:hint="eastAsia" w:ascii="Times New Roman" w:hAnsi="Times New Roman" w:eastAsia="宋体" w:cs="Times New Roman"/>
                <w:color w:val="auto"/>
                <w:kern w:val="0"/>
                <w:sz w:val="24"/>
                <w:szCs w:val="24"/>
                <w:lang w:val="en-US" w:eastAsia="zh-CN" w:bidi="ar-SA"/>
              </w:rPr>
              <w:t>。采取以上措施后，施工期</w:t>
            </w:r>
            <w:r>
              <w:rPr>
                <w:rFonts w:hint="eastAsia" w:cs="Times New Roman"/>
                <w:color w:val="auto"/>
                <w:kern w:val="0"/>
                <w:sz w:val="24"/>
                <w:szCs w:val="24"/>
                <w:lang w:val="en-US" w:eastAsia="zh-CN" w:bidi="ar-SA"/>
              </w:rPr>
              <w:t>对大气环境质量的影响会大大降低</w:t>
            </w:r>
            <w:r>
              <w:rPr>
                <w:rFonts w:hint="eastAsia" w:ascii="Times New Roman" w:hAnsi="Times New Roman" w:eastAsia="宋体" w:cs="Times New Roman"/>
                <w:color w:val="auto"/>
                <w:kern w:val="0"/>
                <w:sz w:val="24"/>
                <w:szCs w:val="24"/>
                <w:lang w:val="en-US" w:eastAsia="zh-CN" w:bidi="ar-SA"/>
              </w:rPr>
              <w:t>。</w:t>
            </w:r>
          </w:p>
          <w:p w14:paraId="12E6EECE">
            <w:pPr>
              <w:spacing w:line="360" w:lineRule="auto"/>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bCs/>
                <w:color w:val="auto"/>
                <w:sz w:val="24"/>
              </w:rPr>
              <w:t>2.水污染及防治措施</w:t>
            </w:r>
          </w:p>
          <w:p w14:paraId="660C186C">
            <w:pPr>
              <w:pStyle w:val="30"/>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施工废水主要有施工机械及运输车辆的清洗水，</w:t>
            </w:r>
            <w:r>
              <w:rPr>
                <w:rFonts w:ascii="Times New Roman" w:hAnsi="Times New Roman" w:eastAsia="宋体" w:cs="Times New Roman"/>
                <w:color w:val="auto"/>
                <w:kern w:val="0"/>
                <w:sz w:val="24"/>
                <w:szCs w:val="24"/>
                <w:lang w:val="en-US" w:eastAsia="zh-CN" w:bidi="ar-SA"/>
              </w:rPr>
              <w:t>施工临建场地清洗废水等</w:t>
            </w:r>
            <w:r>
              <w:rPr>
                <w:rFonts w:hint="eastAsia" w:ascii="Times New Roman" w:hAnsi="Times New Roman" w:eastAsia="宋体" w:cs="Times New Roman"/>
                <w:color w:val="auto"/>
                <w:kern w:val="0"/>
                <w:sz w:val="24"/>
                <w:szCs w:val="24"/>
                <w:lang w:val="en-US" w:eastAsia="zh-CN" w:bidi="ar-SA"/>
              </w:rPr>
              <w:t>，废水中主要污染物为</w:t>
            </w:r>
            <w:r>
              <w:rPr>
                <w:rFonts w:ascii="Times New Roman" w:hAnsi="Times New Roman" w:eastAsia="宋体" w:cs="Times New Roman"/>
                <w:color w:val="auto"/>
                <w:kern w:val="0"/>
                <w:sz w:val="24"/>
                <w:szCs w:val="24"/>
                <w:lang w:val="en-US" w:eastAsia="zh-CN" w:bidi="ar-SA"/>
              </w:rPr>
              <w:t>悬浮物和泥沙</w:t>
            </w:r>
            <w:r>
              <w:rPr>
                <w:rFonts w:hint="eastAsia" w:ascii="Times New Roman" w:hAnsi="Times New Roman" w:eastAsia="宋体" w:cs="Times New Roman"/>
                <w:color w:val="auto"/>
                <w:kern w:val="0"/>
                <w:sz w:val="24"/>
                <w:szCs w:val="24"/>
                <w:lang w:val="en-US" w:eastAsia="zh-CN" w:bidi="ar-SA"/>
              </w:rPr>
              <w:t>，施工废水经集中收集后排入临时废水沉淀池，经沉淀后</w:t>
            </w:r>
            <w:r>
              <w:rPr>
                <w:rFonts w:hint="eastAsia" w:cs="Times New Roman"/>
                <w:color w:val="auto"/>
                <w:kern w:val="0"/>
                <w:sz w:val="24"/>
                <w:szCs w:val="24"/>
                <w:lang w:val="en-US" w:eastAsia="zh-CN" w:bidi="ar-SA"/>
              </w:rPr>
              <w:t>循环利用于施工</w:t>
            </w:r>
            <w:r>
              <w:rPr>
                <w:rFonts w:hint="eastAsia" w:ascii="Times New Roman" w:hAnsi="Times New Roman" w:eastAsia="宋体" w:cs="Times New Roman"/>
                <w:color w:val="auto"/>
                <w:kern w:val="0"/>
                <w:sz w:val="24"/>
                <w:szCs w:val="24"/>
                <w:lang w:val="en-US" w:eastAsia="zh-CN" w:bidi="ar-SA"/>
              </w:rPr>
              <w:t>。</w:t>
            </w:r>
          </w:p>
          <w:p w14:paraId="02F870F5">
            <w:pPr>
              <w:pStyle w:val="30"/>
              <w:spacing w:line="360" w:lineRule="auto"/>
              <w:ind w:firstLine="48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w:t>
            </w:r>
            <w:r>
              <w:rPr>
                <w:rFonts w:hint="eastAsia" w:cs="Times New Roman"/>
                <w:color w:val="auto"/>
                <w:kern w:val="0"/>
                <w:sz w:val="24"/>
                <w:szCs w:val="24"/>
                <w:lang w:val="en-US" w:eastAsia="zh-CN" w:bidi="ar-SA"/>
              </w:rPr>
              <w:t>施工期产生的</w:t>
            </w:r>
            <w:r>
              <w:rPr>
                <w:rFonts w:hint="eastAsia" w:ascii="Times New Roman" w:hAnsi="Times New Roman" w:eastAsia="宋体" w:cs="Times New Roman"/>
                <w:color w:val="auto"/>
                <w:kern w:val="0"/>
                <w:sz w:val="24"/>
                <w:szCs w:val="24"/>
                <w:lang w:val="en-US" w:eastAsia="zh-CN" w:bidi="ar-SA"/>
              </w:rPr>
              <w:t>生活污水经</w:t>
            </w:r>
            <w:r>
              <w:rPr>
                <w:rFonts w:hint="eastAsia" w:cs="Times New Roman"/>
                <w:color w:val="auto"/>
                <w:kern w:val="0"/>
                <w:sz w:val="24"/>
                <w:szCs w:val="24"/>
                <w:lang w:val="en-US" w:eastAsia="zh-CN" w:bidi="ar-SA"/>
              </w:rPr>
              <w:t>地埋式一体化污水处理设施（运营期使用的生活污水处理设施提前安装）。</w:t>
            </w:r>
            <w:r>
              <w:rPr>
                <w:rFonts w:ascii="Times New Roman" w:hAnsi="Times New Roman" w:eastAsia="宋体" w:cs="Times New Roman"/>
                <w:color w:val="auto"/>
                <w:kern w:val="0"/>
                <w:sz w:val="24"/>
                <w:szCs w:val="24"/>
                <w:lang w:val="en-US" w:eastAsia="zh-CN" w:bidi="ar-SA"/>
              </w:rPr>
              <w:t>生活污水</w:t>
            </w:r>
            <w:r>
              <w:rPr>
                <w:rFonts w:hint="eastAsia" w:ascii="Times New Roman" w:hAnsi="Times New Roman" w:eastAsia="宋体" w:cs="Times New Roman"/>
                <w:color w:val="auto"/>
                <w:kern w:val="0"/>
                <w:sz w:val="24"/>
                <w:szCs w:val="24"/>
                <w:lang w:val="en-US" w:eastAsia="zh-CN" w:bidi="ar-SA"/>
              </w:rPr>
              <w:t>主要</w:t>
            </w:r>
            <w:r>
              <w:rPr>
                <w:rFonts w:ascii="Times New Roman" w:hAnsi="Times New Roman" w:eastAsia="宋体" w:cs="Times New Roman"/>
                <w:color w:val="auto"/>
                <w:kern w:val="0"/>
                <w:sz w:val="24"/>
                <w:szCs w:val="24"/>
                <w:lang w:val="en-US" w:eastAsia="zh-CN" w:bidi="ar-SA"/>
              </w:rPr>
              <w:t>来自施工人员排放的生活污水</w:t>
            </w:r>
            <w:r>
              <w:rPr>
                <w:rFonts w:hint="eastAsia" w:ascii="Times New Roman" w:hAnsi="Times New Roman" w:eastAsia="宋体" w:cs="Times New Roman"/>
                <w:color w:val="auto"/>
                <w:kern w:val="0"/>
                <w:sz w:val="24"/>
                <w:szCs w:val="24"/>
                <w:lang w:val="en-US" w:eastAsia="zh-CN" w:bidi="ar-SA"/>
              </w:rPr>
              <w:t>，施工人数以</w:t>
            </w:r>
            <w:r>
              <w:rPr>
                <w:rFonts w:hint="eastAsia" w:cs="Times New Roman"/>
                <w:color w:val="auto"/>
                <w:kern w:val="0"/>
                <w:sz w:val="24"/>
                <w:szCs w:val="24"/>
                <w:lang w:val="en-US" w:eastAsia="zh-CN" w:bidi="ar-SA"/>
              </w:rPr>
              <w:t>50</w:t>
            </w:r>
            <w:r>
              <w:rPr>
                <w:rFonts w:hint="eastAsia" w:ascii="Times New Roman" w:hAnsi="Times New Roman" w:eastAsia="宋体" w:cs="Times New Roman"/>
                <w:color w:val="auto"/>
                <w:kern w:val="0"/>
                <w:sz w:val="24"/>
                <w:szCs w:val="24"/>
                <w:lang w:val="en-US" w:eastAsia="zh-CN" w:bidi="ar-SA"/>
              </w:rPr>
              <w:t>人计，施工生活用水按</w:t>
            </w:r>
            <w:r>
              <w:rPr>
                <w:rFonts w:hint="eastAsia" w:cs="Times New Roman"/>
                <w:color w:val="auto"/>
                <w:kern w:val="0"/>
                <w:sz w:val="24"/>
                <w:szCs w:val="24"/>
                <w:lang w:val="en-US" w:eastAsia="zh-CN" w:bidi="ar-SA"/>
              </w:rPr>
              <w:t>6</w:t>
            </w:r>
            <w:r>
              <w:rPr>
                <w:rFonts w:hint="eastAsia" w:ascii="Times New Roman" w:hAnsi="Times New Roman" w:eastAsia="宋体" w:cs="Times New Roman"/>
                <w:color w:val="auto"/>
                <w:kern w:val="0"/>
                <w:sz w:val="24"/>
                <w:szCs w:val="24"/>
                <w:lang w:val="en-US" w:eastAsia="zh-CN" w:bidi="ar-SA"/>
              </w:rPr>
              <w:t>0L/人·d计，施工期</w:t>
            </w:r>
            <w:r>
              <w:rPr>
                <w:rFonts w:hint="eastAsia" w:cs="Times New Roman"/>
                <w:color w:val="auto"/>
                <w:kern w:val="0"/>
                <w:sz w:val="24"/>
                <w:szCs w:val="24"/>
                <w:lang w:val="en-US" w:eastAsia="zh-CN" w:bidi="ar-SA"/>
              </w:rPr>
              <w:t>90天</w:t>
            </w:r>
            <w:r>
              <w:rPr>
                <w:rFonts w:hint="eastAsia" w:ascii="Times New Roman" w:hAnsi="Times New Roman" w:eastAsia="宋体" w:cs="Times New Roman"/>
                <w:color w:val="auto"/>
                <w:kern w:val="0"/>
                <w:sz w:val="24"/>
                <w:szCs w:val="24"/>
                <w:lang w:val="en-US" w:eastAsia="zh-CN" w:bidi="ar-SA"/>
              </w:rPr>
              <w:t>，用水总量为</w:t>
            </w:r>
            <w:r>
              <w:rPr>
                <w:rFonts w:hint="eastAsia" w:cs="Times New Roman"/>
                <w:color w:val="auto"/>
                <w:kern w:val="0"/>
                <w:sz w:val="24"/>
                <w:szCs w:val="24"/>
                <w:lang w:val="en-US" w:eastAsia="zh-CN" w:bidi="ar-SA"/>
              </w:rPr>
              <w:t>270</w:t>
            </w:r>
            <w:r>
              <w:rPr>
                <w:rFonts w:hint="eastAsia" w:ascii="Times New Roman" w:hAnsi="Times New Roman" w:eastAsia="宋体" w:cs="Times New Roman"/>
                <w:color w:val="auto"/>
                <w:kern w:val="0"/>
                <w:sz w:val="24"/>
                <w:szCs w:val="24"/>
                <w:lang w:val="en-US" w:eastAsia="zh-CN" w:bidi="ar-SA"/>
              </w:rPr>
              <w:t>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，施工生活污水的排放量按施工生活用水量80%计算，则施工期生活污水的排放量为</w:t>
            </w:r>
            <w:r>
              <w:rPr>
                <w:rFonts w:hint="eastAsia" w:cs="Times New Roman"/>
                <w:color w:val="auto"/>
                <w:kern w:val="0"/>
                <w:sz w:val="24"/>
                <w:szCs w:val="24"/>
                <w:lang w:val="en-US" w:eastAsia="zh-CN" w:bidi="ar-SA"/>
              </w:rPr>
              <w:t>216</w:t>
            </w:r>
            <w:r>
              <w:rPr>
                <w:rFonts w:hint="eastAsia" w:ascii="Times New Roman" w:hAnsi="Times New Roman" w:eastAsia="宋体" w:cs="Times New Roman"/>
                <w:color w:val="auto"/>
                <w:kern w:val="0"/>
                <w:sz w:val="24"/>
                <w:szCs w:val="24"/>
                <w:lang w:val="en-US" w:eastAsia="zh-CN" w:bidi="ar-SA"/>
              </w:rPr>
              <w:t>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，本项目生活污水经</w:t>
            </w:r>
            <w:r>
              <w:rPr>
                <w:rFonts w:hint="eastAsia" w:cs="Times New Roman"/>
                <w:color w:val="auto"/>
                <w:kern w:val="0"/>
                <w:sz w:val="24"/>
                <w:szCs w:val="24"/>
                <w:lang w:val="en-US" w:eastAsia="zh-CN" w:bidi="ar-SA"/>
              </w:rPr>
              <w:t>集中收集后，全部排入一体化污水处理设施，处理后用来洒水降尘</w:t>
            </w:r>
            <w:r>
              <w:rPr>
                <w:rFonts w:hint="eastAsia" w:ascii="Times New Roman" w:hAnsi="Times New Roman" w:eastAsia="宋体" w:cs="Times New Roman"/>
                <w:color w:val="auto"/>
                <w:kern w:val="0"/>
                <w:sz w:val="24"/>
                <w:szCs w:val="24"/>
                <w:lang w:val="en-US" w:eastAsia="zh-CN" w:bidi="ar-SA"/>
              </w:rPr>
              <w:t>。</w:t>
            </w:r>
          </w:p>
          <w:p w14:paraId="1C9B1694">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3.噪声污染及防治措施</w:t>
            </w:r>
          </w:p>
          <w:p w14:paraId="017CE375">
            <w:pPr>
              <w:pStyle w:val="30"/>
              <w:spacing w:line="360" w:lineRule="auto"/>
              <w:ind w:firstLine="472" w:firstLineChars="200"/>
              <w:rPr>
                <w:rFonts w:ascii="Times New Roman" w:hAnsi="Times New Roman" w:eastAsia="宋体" w:cs="Times New Roman"/>
                <w:b w:val="0"/>
                <w:color w:val="auto"/>
                <w:kern w:val="0"/>
                <w:sz w:val="24"/>
                <w:szCs w:val="24"/>
                <w:lang w:val="en-US" w:eastAsia="zh-CN" w:bidi="ar-SA"/>
              </w:rPr>
            </w:pPr>
            <w:r>
              <w:rPr>
                <w:rFonts w:hint="eastAsia"/>
                <w:color w:val="auto"/>
                <w:spacing w:val="-2"/>
                <w:lang w:val="en-US" w:eastAsia="zh-CN"/>
              </w:rPr>
              <w:t>施工期内的搅拌机、输送泵、空压机等设备在运行过程中产生的机械噪声。</w:t>
            </w:r>
          </w:p>
          <w:p w14:paraId="571F2F1A">
            <w:pPr>
              <w:pStyle w:val="20"/>
              <w:spacing w:after="0" w:line="360" w:lineRule="auto"/>
              <w:ind w:left="0" w:leftChars="0" w:firstLine="480"/>
            </w:pPr>
            <w:r>
              <w:rPr>
                <w:rFonts w:ascii="Times New Roman" w:hAnsi="Times New Roman" w:eastAsia="宋体" w:cs="Times New Roman"/>
                <w:b w:val="0"/>
                <w:color w:val="auto"/>
                <w:kern w:val="0"/>
                <w:sz w:val="24"/>
                <w:szCs w:val="24"/>
                <w:lang w:val="en-US" w:eastAsia="zh-CN" w:bidi="ar-SA"/>
              </w:rPr>
              <w:t>为减轻施工噪声的环境影响建议采取的措施如下：</w:t>
            </w:r>
          </w:p>
          <w:p w14:paraId="07BBB239">
            <w:pPr>
              <w:pStyle w:val="30"/>
              <w:spacing w:line="360" w:lineRule="auto"/>
              <w:ind w:firstLine="480" w:firstLineChars="200"/>
              <w:rPr>
                <w:rFonts w:ascii="Times New Roman" w:hAnsi="Times New Roman" w:eastAsia="宋体" w:cs="Times New Roman"/>
                <w:b w:val="0"/>
                <w:color w:val="auto"/>
                <w:kern w:val="0"/>
                <w:sz w:val="24"/>
                <w:szCs w:val="24"/>
                <w:lang w:val="en-US" w:eastAsia="zh-CN" w:bidi="ar-SA"/>
              </w:rPr>
            </w:pPr>
            <w:r>
              <w:rPr>
                <w:rFonts w:ascii="Times New Roman" w:hAnsi="Times New Roman" w:eastAsia="宋体" w:cs="Times New Roman"/>
                <w:b w:val="0"/>
                <w:color w:val="auto"/>
                <w:kern w:val="0"/>
                <w:sz w:val="24"/>
                <w:szCs w:val="24"/>
                <w:lang w:val="en-US" w:eastAsia="zh-CN" w:bidi="ar-SA"/>
              </w:rPr>
              <w:t>（</w:t>
            </w:r>
            <w:r>
              <w:rPr>
                <w:rFonts w:hint="eastAsia" w:cs="Times New Roman"/>
                <w:b w:val="0"/>
                <w:color w:val="auto"/>
                <w:kern w:val="0"/>
                <w:sz w:val="24"/>
                <w:szCs w:val="24"/>
                <w:lang w:val="en-US" w:eastAsia="zh-CN" w:bidi="ar-SA"/>
              </w:rPr>
              <w:t>1</w:t>
            </w:r>
            <w:r>
              <w:rPr>
                <w:rFonts w:ascii="Times New Roman" w:hAnsi="Times New Roman" w:eastAsia="宋体" w:cs="Times New Roman"/>
                <w:b w:val="0"/>
                <w:color w:val="auto"/>
                <w:kern w:val="0"/>
                <w:sz w:val="24"/>
                <w:szCs w:val="24"/>
                <w:lang w:val="en-US" w:eastAsia="zh-CN" w:bidi="ar-SA"/>
              </w:rPr>
              <w:t>）在购买设备时，优先选择低噪声、高效率的设备</w:t>
            </w:r>
            <w:r>
              <w:rPr>
                <w:rFonts w:hint="eastAsia" w:ascii="Times New Roman" w:hAnsi="Times New Roman" w:eastAsia="宋体" w:cs="Times New Roman"/>
                <w:b w:val="0"/>
                <w:color w:val="auto"/>
                <w:kern w:val="0"/>
                <w:sz w:val="24"/>
                <w:szCs w:val="24"/>
                <w:lang w:val="en-US" w:eastAsia="zh-CN" w:bidi="ar-SA"/>
              </w:rPr>
              <w:t>设备隔声：对噪声较大的设备进行隔声处理，如安装隔声罩、隔声墙等。对设备基础进行减震设计，减少设备振动产生的噪声。</w:t>
            </w:r>
          </w:p>
          <w:p w14:paraId="51C57CAA">
            <w:pPr>
              <w:pStyle w:val="20"/>
              <w:spacing w:after="0" w:line="360" w:lineRule="auto"/>
              <w:ind w:left="0" w:leftChars="0" w:firstLine="480"/>
              <w:rPr>
                <w:rFonts w:ascii="Times New Roman" w:hAnsi="Times New Roman" w:eastAsia="宋体" w:cs="Times New Roman"/>
                <w:b w:val="0"/>
                <w:color w:val="auto"/>
                <w:kern w:val="0"/>
                <w:sz w:val="24"/>
                <w:szCs w:val="24"/>
                <w:lang w:val="en-US" w:eastAsia="zh-CN" w:bidi="ar-SA"/>
              </w:rPr>
            </w:pPr>
            <w:r>
              <w:rPr>
                <w:rFonts w:ascii="Times New Roman" w:hAnsi="Times New Roman" w:eastAsia="宋体" w:cs="Times New Roman"/>
                <w:b w:val="0"/>
                <w:color w:val="auto"/>
                <w:kern w:val="0"/>
                <w:sz w:val="24"/>
                <w:szCs w:val="24"/>
                <w:lang w:val="en-US" w:eastAsia="zh-CN" w:bidi="ar-SA"/>
              </w:rPr>
              <w:t>（2）在施工作业中必须合理安排各类施工机械的工作时间，对不同施工阶段，按《建筑施工场界环境噪声排放标准》（GB12523-2011）对施工场界进行噪声控制。</w:t>
            </w:r>
          </w:p>
          <w:p w14:paraId="2A5BD5FD">
            <w:pPr>
              <w:pStyle w:val="20"/>
              <w:spacing w:after="0" w:line="360" w:lineRule="auto"/>
              <w:ind w:left="0" w:leftChars="0" w:firstLine="480"/>
              <w:rPr>
                <w:lang w:val="en-US" w:eastAsia="zh-CN"/>
              </w:rPr>
            </w:pPr>
            <w:r>
              <w:rPr>
                <w:rFonts w:ascii="Times New Roman" w:hAnsi="Times New Roman" w:eastAsia="宋体" w:cs="Times New Roman"/>
                <w:color w:val="auto"/>
                <w:kern w:val="0"/>
                <w:sz w:val="24"/>
                <w:szCs w:val="24"/>
                <w:lang w:val="en-US" w:eastAsia="zh-CN" w:bidi="ar-SA"/>
              </w:rPr>
              <w:t>（3）</w:t>
            </w:r>
            <w:r>
              <w:rPr>
                <w:rFonts w:ascii="Times New Roman" w:hAnsi="Times New Roman" w:eastAsia="宋体" w:cs="Times New Roman"/>
                <w:b w:val="0"/>
                <w:color w:val="auto"/>
                <w:kern w:val="0"/>
                <w:sz w:val="24"/>
                <w:szCs w:val="24"/>
                <w:lang w:val="en-US" w:eastAsia="zh-CN" w:bidi="ar-SA"/>
              </w:rPr>
              <w:t>合理安排设备运行时间，避免集中启动产生大量噪声。</w:t>
            </w:r>
            <w:r>
              <w:rPr>
                <w:rFonts w:hint="eastAsia" w:ascii="Times New Roman" w:hAnsi="Times New Roman" w:eastAsia="宋体" w:cs="Times New Roman"/>
                <w:b w:val="0"/>
                <w:color w:val="auto"/>
                <w:kern w:val="0"/>
                <w:sz w:val="24"/>
                <w:szCs w:val="24"/>
                <w:lang w:val="en-US" w:eastAsia="zh-CN" w:bidi="ar-SA"/>
              </w:rPr>
              <w:t>优化物料输送路径，减少物料处理过程中的碰撞和摩擦。</w:t>
            </w:r>
          </w:p>
          <w:p w14:paraId="0C9AD743">
            <w:pPr>
              <w:pStyle w:val="20"/>
              <w:spacing w:after="0" w:line="360" w:lineRule="auto"/>
              <w:ind w:left="0" w:leftChars="0" w:firstLine="480" w:firstLineChars="200"/>
              <w:rPr>
                <w:lang w:val="en-US" w:eastAsia="zh-CN"/>
              </w:rPr>
            </w:pPr>
            <w:r>
              <w:rPr>
                <w:rFonts w:ascii="Times New Roman" w:hAnsi="Times New Roman" w:eastAsia="宋体" w:cs="Times New Roman"/>
                <w:color w:val="auto"/>
                <w:kern w:val="0"/>
                <w:sz w:val="24"/>
                <w:szCs w:val="24"/>
                <w:lang w:val="en-US" w:eastAsia="zh-CN" w:bidi="ar-SA"/>
              </w:rPr>
              <w:t>（4）</w:t>
            </w:r>
            <w:r>
              <w:rPr>
                <w:rFonts w:ascii="Times New Roman" w:hAnsi="Times New Roman" w:eastAsia="宋体" w:cs="Times New Roman"/>
                <w:b w:val="0"/>
                <w:color w:val="auto"/>
                <w:kern w:val="0"/>
                <w:sz w:val="24"/>
                <w:szCs w:val="24"/>
                <w:lang w:val="en-US" w:eastAsia="zh-CN" w:bidi="ar-SA"/>
              </w:rPr>
              <w:t>为工作人员提供符合标准的耳塞、耳罩等防护用品。</w:t>
            </w:r>
            <w:r>
              <w:rPr>
                <w:rFonts w:hint="eastAsia" w:ascii="Times New Roman" w:hAnsi="Times New Roman" w:eastAsia="宋体" w:cs="Times New Roman"/>
                <w:b w:val="0"/>
                <w:color w:val="auto"/>
                <w:kern w:val="0"/>
                <w:sz w:val="24"/>
                <w:szCs w:val="24"/>
                <w:lang w:val="en-US" w:eastAsia="zh-CN" w:bidi="ar-SA"/>
              </w:rPr>
              <w:t>定期对工作人员进行听力检查，确保及时发现听力问题。对工作人员进行噪声污染防护知识培训，提高防护意识。</w:t>
            </w:r>
          </w:p>
          <w:p w14:paraId="544B9C54">
            <w:pPr>
              <w:pStyle w:val="30"/>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w:t>
            </w:r>
            <w:r>
              <w:rPr>
                <w:rFonts w:hint="eastAsia" w:cs="Times New Roman"/>
                <w:color w:val="auto"/>
                <w:kern w:val="0"/>
                <w:sz w:val="24"/>
                <w:szCs w:val="24"/>
                <w:lang w:val="en-US" w:eastAsia="zh-CN" w:bidi="ar-SA"/>
              </w:rPr>
              <w:t>在施工期间按照上述的措施后可以有效地减少噪声的影响</w:t>
            </w:r>
            <w:r>
              <w:rPr>
                <w:rFonts w:hint="eastAsia" w:ascii="Times New Roman" w:hAnsi="Times New Roman" w:eastAsia="宋体" w:cs="Times New Roman"/>
                <w:color w:val="auto"/>
                <w:kern w:val="0"/>
                <w:sz w:val="24"/>
                <w:szCs w:val="24"/>
                <w:lang w:val="en-US" w:eastAsia="zh-CN" w:bidi="ar-SA"/>
              </w:rPr>
              <w:t>，噪声</w:t>
            </w:r>
            <w:r>
              <w:rPr>
                <w:rFonts w:hint="eastAsia" w:cs="Times New Roman"/>
                <w:color w:val="auto"/>
                <w:kern w:val="0"/>
                <w:sz w:val="24"/>
                <w:szCs w:val="24"/>
                <w:lang w:val="en-US" w:eastAsia="zh-CN" w:bidi="ar-SA"/>
              </w:rPr>
              <w:t>无后续污染措施</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施工结束后噪声污染也结束，周围的环境就恢复原来水平。</w:t>
            </w:r>
          </w:p>
          <w:p w14:paraId="5EBD1BBC">
            <w:pPr>
              <w:spacing w:line="360" w:lineRule="auto"/>
              <w:rPr>
                <w:rFonts w:ascii="Times New Roman" w:hAnsi="Times New Roman" w:eastAsia="宋体" w:cs="Times New Roman"/>
                <w:color w:val="auto"/>
                <w:kern w:val="0"/>
                <w:sz w:val="24"/>
              </w:rPr>
            </w:pPr>
            <w:r>
              <w:rPr>
                <w:rFonts w:hint="eastAsia" w:ascii="Times New Roman" w:hAnsi="Times New Roman" w:eastAsia="宋体" w:cs="Times New Roman"/>
                <w:b/>
                <w:bCs/>
                <w:color w:val="auto"/>
                <w:sz w:val="24"/>
              </w:rPr>
              <w:t>4.固体废物防治污染措施</w:t>
            </w:r>
          </w:p>
          <w:p w14:paraId="4474760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生活垃圾：生活垃圾堆放点</w:t>
            </w:r>
            <w:r>
              <w:rPr>
                <w:rFonts w:hint="eastAsia" w:cs="Times New Roman"/>
                <w:color w:val="auto"/>
                <w:kern w:val="0"/>
                <w:sz w:val="24"/>
                <w:lang w:val="en-US" w:eastAsia="zh-CN"/>
              </w:rPr>
              <w:t>统一由环保部门清理</w:t>
            </w:r>
            <w:r>
              <w:rPr>
                <w:rFonts w:hint="eastAsia" w:ascii="Times New Roman" w:hAnsi="Times New Roman" w:eastAsia="宋体" w:cs="Times New Roman"/>
                <w:color w:val="auto"/>
                <w:kern w:val="0"/>
                <w:sz w:val="24"/>
              </w:rPr>
              <w:t>，同时场区应配备固体废弃物清扫、收集工具和垃圾桶等，分类收集，保障施工现场环境。</w:t>
            </w:r>
          </w:p>
          <w:p w14:paraId="6ECFC3F6">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建筑垃圾：其中能回收的应尽可能回收利用，不可回收利用的统一运送至指定的建筑垃圾填埋场填埋处理。</w:t>
            </w:r>
          </w:p>
          <w:p w14:paraId="6712FEF1">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color w:val="auto"/>
                <w:sz w:val="24"/>
                <w:szCs w:val="32"/>
                <w:highlight w:val="none"/>
              </w:rPr>
              <w:t>施工区作业结束后，应及</w:t>
            </w:r>
            <w:r>
              <w:rPr>
                <w:color w:val="auto"/>
                <w:sz w:val="24"/>
                <w:highlight w:val="none"/>
              </w:rPr>
              <w:t>时、全面地进行清场作业，做到施工区内不遗留</w:t>
            </w:r>
            <w:r>
              <w:rPr>
                <w:rFonts w:hint="eastAsia"/>
                <w:color w:val="auto"/>
                <w:sz w:val="24"/>
                <w:highlight w:val="none"/>
                <w:lang w:val="en-US" w:eastAsia="zh-CN"/>
              </w:rPr>
              <w:t>各类</w:t>
            </w:r>
            <w:r>
              <w:rPr>
                <w:color w:val="auto"/>
                <w:sz w:val="24"/>
                <w:highlight w:val="none"/>
              </w:rPr>
              <w:t>垃圾。</w:t>
            </w:r>
          </w:p>
          <w:p w14:paraId="6F2A5BFD">
            <w:pPr>
              <w:adjustRightInd w:val="0"/>
              <w:snapToGrid w:val="0"/>
              <w:spacing w:line="360" w:lineRule="auto"/>
              <w:rPr>
                <w:rFonts w:hint="default" w:ascii="Times New Roman" w:hAnsi="Times New Roman" w:eastAsia="宋体" w:cs="Times New Roman"/>
                <w:b/>
                <w:bCs/>
                <w:color w:val="auto"/>
                <w:spacing w:val="0"/>
                <w:w w:val="100"/>
                <w:kern w:val="2"/>
                <w:sz w:val="24"/>
                <w:szCs w:val="24"/>
                <w:highlight w:val="none"/>
                <w:lang w:val="en-US" w:eastAsia="zh-CN" w:bidi="zh-CN"/>
              </w:rPr>
            </w:pPr>
            <w:r>
              <w:rPr>
                <w:rFonts w:hint="default" w:ascii="Times New Roman" w:hAnsi="Times New Roman" w:eastAsia="宋体" w:cs="Times New Roman"/>
                <w:b/>
                <w:bCs/>
                <w:color w:val="auto"/>
                <w:spacing w:val="0"/>
                <w:w w:val="100"/>
                <w:kern w:val="2"/>
                <w:sz w:val="24"/>
                <w:szCs w:val="24"/>
                <w:highlight w:val="none"/>
                <w:lang w:val="en-US" w:eastAsia="zh-CN" w:bidi="zh-CN"/>
              </w:rPr>
              <w:t>5.生态环境</w:t>
            </w:r>
            <w:r>
              <w:rPr>
                <w:rFonts w:hint="eastAsia" w:cs="Times New Roman"/>
                <w:b/>
                <w:bCs/>
                <w:color w:val="auto"/>
                <w:spacing w:val="0"/>
                <w:w w:val="100"/>
                <w:kern w:val="2"/>
                <w:sz w:val="24"/>
                <w:szCs w:val="24"/>
                <w:highlight w:val="none"/>
                <w:lang w:val="en-US" w:eastAsia="zh-CN" w:bidi="zh-CN"/>
              </w:rPr>
              <w:t>保护措施</w:t>
            </w:r>
          </w:p>
          <w:p w14:paraId="5DC8EDD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pacing w:val="0"/>
                <w:w w:val="100"/>
                <w:sz w:val="24"/>
                <w:highlight w:val="none"/>
                <w:lang w:val="en-US" w:eastAsia="zh-CN"/>
              </w:rPr>
            </w:pPr>
            <w:r>
              <w:rPr>
                <w:rFonts w:hint="eastAsia" w:ascii="Times New Roman" w:hAnsi="Times New Roman" w:eastAsia="宋体" w:cs="Times New Roman"/>
                <w:b/>
                <w:bCs/>
                <w:color w:val="auto"/>
                <w:spacing w:val="0"/>
                <w:w w:val="100"/>
                <w:sz w:val="24"/>
                <w:highlight w:val="none"/>
                <w:lang w:val="en-US" w:eastAsia="zh-CN"/>
              </w:rPr>
              <w:t>5.1生态影响减缓措施</w:t>
            </w:r>
          </w:p>
          <w:p w14:paraId="10A02F91">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生态影响的避免就是采取适当的措施，尽可能在最大程度上避免不利的生态影响。生态影响的避免是对具有重要生态功能的环境予以绝对保护而采取的措施。根据本工程特点，建议以下避让措施：</w:t>
            </w:r>
          </w:p>
          <w:p w14:paraId="376D81C2">
            <w:pPr>
              <w:numPr>
                <w:ilvl w:val="0"/>
                <w:numId w:val="12"/>
              </w:num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优化场内道路的布设，减少施工土石方量和弃渣量，从而减少地面扰动面积。</w:t>
            </w:r>
          </w:p>
          <w:p w14:paraId="62EC6DE4">
            <w:pPr>
              <w:numPr>
                <w:ilvl w:val="0"/>
                <w:numId w:val="12"/>
              </w:numPr>
              <w:autoSpaceDE w:val="0"/>
              <w:autoSpaceDN w:val="0"/>
              <w:adjustRightInd w:val="0"/>
              <w:snapToGrid w:val="0"/>
              <w:spacing w:line="360" w:lineRule="auto"/>
              <w:ind w:left="0" w:leftChars="0" w:firstLine="480" w:firstLineChars="200"/>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lang w:eastAsia="zh-CN"/>
              </w:rPr>
              <w:t>加强施工监理，施工活动要保证在征地红线范围内进行，禁止施工人员越线施工。</w:t>
            </w:r>
          </w:p>
          <w:p w14:paraId="7D0A8800">
            <w:pPr>
              <w:numPr>
                <w:ilvl w:val="0"/>
                <w:numId w:val="12"/>
              </w:numPr>
              <w:autoSpaceDE w:val="0"/>
              <w:autoSpaceDN w:val="0"/>
              <w:adjustRightInd w:val="0"/>
              <w:snapToGrid w:val="0"/>
              <w:spacing w:line="360" w:lineRule="auto"/>
              <w:ind w:left="0" w:leftChars="0" w:firstLine="480" w:firstLineChars="200"/>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lang w:eastAsia="zh-CN"/>
              </w:rPr>
              <w:t>在施工车辆进入施工区过程中，采取控制车速和禁止鸣笛等措施，避免对过路的野生动物造成伤害。施工期间加强堆料场防护，加强施工人员的各类卫生管理，避免生活垃圾、生活污水的直接排放，减少污染，最</w:t>
            </w:r>
            <w:r>
              <w:rPr>
                <w:rFonts w:hint="default" w:ascii="Times New Roman" w:hAnsi="Times New Roman" w:eastAsia="宋体" w:cs="Times New Roman"/>
                <w:color w:val="auto"/>
                <w:spacing w:val="0"/>
                <w:w w:val="100"/>
                <w:sz w:val="24"/>
                <w:szCs w:val="24"/>
                <w:highlight w:val="none"/>
              </w:rPr>
              <w:t>大限度保护动物生境。</w:t>
            </w:r>
          </w:p>
          <w:p w14:paraId="7874C59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lang w:eastAsia="zh-CN"/>
              </w:rPr>
            </w:pPr>
            <w:r>
              <w:rPr>
                <w:rFonts w:hint="eastAsia" w:cs="Times New Roman"/>
                <w:b/>
                <w:bCs/>
                <w:color w:val="auto"/>
                <w:spacing w:val="0"/>
                <w:w w:val="100"/>
                <w:sz w:val="24"/>
                <w:highlight w:val="none"/>
                <w:lang w:val="en-US" w:eastAsia="zh-CN"/>
              </w:rPr>
              <w:t>5</w:t>
            </w:r>
            <w:r>
              <w:rPr>
                <w:rFonts w:hint="default" w:ascii="Times New Roman" w:hAnsi="Times New Roman" w:eastAsia="宋体" w:cs="Times New Roman"/>
                <w:b/>
                <w:bCs/>
                <w:color w:val="auto"/>
                <w:spacing w:val="0"/>
                <w:w w:val="100"/>
                <w:sz w:val="24"/>
                <w:highlight w:val="none"/>
                <w:lang w:val="en-US" w:eastAsia="zh-CN"/>
              </w:rPr>
              <w:t>.2生态环境保护措施</w:t>
            </w:r>
          </w:p>
          <w:p w14:paraId="33BE239C">
            <w:pPr>
              <w:numPr>
                <w:ilvl w:val="0"/>
                <w:numId w:val="13"/>
              </w:numPr>
              <w:autoSpaceDE w:val="0"/>
              <w:autoSpaceDN w:val="0"/>
              <w:adjustRightInd w:val="0"/>
              <w:snapToGrid w:val="0"/>
              <w:spacing w:line="360" w:lineRule="auto"/>
              <w:ind w:left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临时占地回复措施</w:t>
            </w:r>
          </w:p>
          <w:p w14:paraId="394473D7">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val="en-US" w:eastAsia="zh-CN"/>
              </w:rPr>
            </w:pPr>
            <w:r>
              <w:rPr>
                <w:rFonts w:hint="eastAsia" w:ascii="Times New Roman" w:hAnsi="Times New Roman" w:eastAsia="宋体" w:cs="Times New Roman"/>
                <w:color w:val="auto"/>
                <w:kern w:val="0"/>
                <w:sz w:val="24"/>
                <w:lang w:val="en-US" w:eastAsia="zh-CN"/>
              </w:rPr>
              <w:t>①</w:t>
            </w:r>
            <w:r>
              <w:rPr>
                <w:rFonts w:hint="default" w:ascii="Times New Roman" w:hAnsi="Times New Roman" w:eastAsia="宋体" w:cs="Times New Roman"/>
                <w:color w:val="auto"/>
                <w:spacing w:val="0"/>
                <w:w w:val="100"/>
                <w:sz w:val="24"/>
                <w:szCs w:val="24"/>
                <w:highlight w:val="none"/>
                <w:lang w:val="en-US" w:eastAsia="zh-CN"/>
              </w:rPr>
              <w:t>工程施工可充分利用现有道路，在划定的施工场地内进行施工，根据划定的临时施工便道进行运输，不得随意修建临时便道。</w:t>
            </w:r>
          </w:p>
          <w:p w14:paraId="3797D169">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val="en-US" w:eastAsia="zh-CN"/>
              </w:rPr>
            </w:pPr>
            <w:r>
              <w:rPr>
                <w:rFonts w:hint="default" w:ascii="Times New Roman" w:hAnsi="Times New Roman" w:eastAsia="宋体" w:cs="Times New Roman"/>
                <w:color w:val="auto"/>
                <w:spacing w:val="0"/>
                <w:w w:val="100"/>
                <w:sz w:val="24"/>
                <w:szCs w:val="24"/>
                <w:highlight w:val="none"/>
                <w:lang w:val="en-US" w:eastAsia="zh-CN"/>
              </w:rPr>
              <w:t>②控制基础开挖范围</w:t>
            </w:r>
            <w:r>
              <w:rPr>
                <w:rFonts w:hint="eastAsia" w:cs="Times New Roman"/>
                <w:color w:val="auto"/>
                <w:spacing w:val="0"/>
                <w:w w:val="100"/>
                <w:sz w:val="24"/>
                <w:szCs w:val="24"/>
                <w:highlight w:val="none"/>
                <w:lang w:val="en-US" w:eastAsia="zh-CN"/>
              </w:rPr>
              <w:t>，项目</w:t>
            </w:r>
            <w:r>
              <w:rPr>
                <w:rFonts w:hint="default" w:ascii="Times New Roman" w:hAnsi="Times New Roman" w:eastAsia="宋体" w:cs="Times New Roman"/>
                <w:color w:val="auto"/>
                <w:spacing w:val="0"/>
                <w:w w:val="100"/>
                <w:sz w:val="24"/>
                <w:szCs w:val="24"/>
                <w:highlight w:val="none"/>
                <w:lang w:val="en-US" w:eastAsia="zh-CN"/>
              </w:rPr>
              <w:t>在施工过程中必须严格按设计要求进行施工。在确保安全和质量的前提下，尽量减小基础</w:t>
            </w:r>
            <w:r>
              <w:rPr>
                <w:rFonts w:hint="eastAsia" w:cs="Times New Roman"/>
                <w:color w:val="auto"/>
                <w:spacing w:val="0"/>
                <w:w w:val="100"/>
                <w:sz w:val="24"/>
                <w:szCs w:val="24"/>
                <w:highlight w:val="none"/>
                <w:lang w:val="en-US" w:eastAsia="zh-CN"/>
              </w:rPr>
              <w:t>占压</w:t>
            </w:r>
            <w:r>
              <w:rPr>
                <w:rFonts w:hint="default" w:ascii="Times New Roman" w:hAnsi="Times New Roman" w:eastAsia="宋体" w:cs="Times New Roman"/>
                <w:color w:val="auto"/>
                <w:spacing w:val="0"/>
                <w:w w:val="100"/>
                <w:sz w:val="24"/>
                <w:szCs w:val="24"/>
                <w:highlight w:val="none"/>
                <w:lang w:val="en-US" w:eastAsia="zh-CN"/>
              </w:rPr>
              <w:t>的范围，避免不必要的</w:t>
            </w:r>
            <w:r>
              <w:rPr>
                <w:rFonts w:hint="eastAsia" w:cs="Times New Roman"/>
                <w:color w:val="auto"/>
                <w:spacing w:val="0"/>
                <w:w w:val="100"/>
                <w:sz w:val="24"/>
                <w:szCs w:val="24"/>
                <w:highlight w:val="none"/>
                <w:lang w:val="en-US" w:eastAsia="zh-CN"/>
              </w:rPr>
              <w:t>占压</w:t>
            </w:r>
            <w:r>
              <w:rPr>
                <w:rFonts w:hint="default" w:ascii="Times New Roman" w:hAnsi="Times New Roman" w:eastAsia="宋体" w:cs="Times New Roman"/>
                <w:color w:val="auto"/>
                <w:spacing w:val="0"/>
                <w:w w:val="100"/>
                <w:sz w:val="24"/>
                <w:szCs w:val="24"/>
                <w:highlight w:val="none"/>
                <w:lang w:val="en-US" w:eastAsia="zh-CN"/>
              </w:rPr>
              <w:t>和过多的原状土破坏</w:t>
            </w:r>
            <w:r>
              <w:rPr>
                <w:rFonts w:hint="eastAsia" w:cs="Times New Roman"/>
                <w:color w:val="auto"/>
                <w:spacing w:val="0"/>
                <w:w w:val="100"/>
                <w:sz w:val="24"/>
                <w:szCs w:val="24"/>
                <w:highlight w:val="none"/>
                <w:lang w:val="en-US" w:eastAsia="zh-CN"/>
              </w:rPr>
              <w:t>。</w:t>
            </w:r>
          </w:p>
          <w:p w14:paraId="054C6BB8">
            <w:pPr>
              <w:numPr>
                <w:ilvl w:val="0"/>
                <w:numId w:val="13"/>
              </w:numPr>
              <w:autoSpaceDE w:val="0"/>
              <w:autoSpaceDN w:val="0"/>
              <w:adjustRightInd w:val="0"/>
              <w:snapToGrid w:val="0"/>
              <w:spacing w:line="360" w:lineRule="auto"/>
              <w:ind w:leftChars="200"/>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植物保护</w:t>
            </w:r>
            <w:r>
              <w:rPr>
                <w:rFonts w:hint="eastAsia" w:ascii="Times New Roman" w:hAnsi="Times New Roman" w:eastAsia="宋体" w:cs="Times New Roman"/>
                <w:color w:val="auto"/>
                <w:kern w:val="0"/>
                <w:sz w:val="24"/>
                <w:lang w:val="en-US" w:eastAsia="zh-CN"/>
              </w:rPr>
              <w:t>措施</w:t>
            </w:r>
          </w:p>
          <w:p w14:paraId="23EFE088">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eastAsia="zh-CN"/>
              </w:rPr>
            </w:pPr>
            <w:r>
              <w:rPr>
                <w:rFonts w:hint="default" w:ascii="Times New Roman" w:hAnsi="Times New Roman" w:eastAsia="宋体" w:cs="Times New Roman"/>
                <w:color w:val="auto"/>
                <w:spacing w:val="0"/>
                <w:w w:val="100"/>
                <w:sz w:val="24"/>
                <w:szCs w:val="24"/>
                <w:highlight w:val="none"/>
                <w:lang w:val="en-US" w:eastAsia="zh-CN"/>
              </w:rPr>
              <w:t>①</w:t>
            </w:r>
            <w:r>
              <w:rPr>
                <w:rFonts w:hint="default" w:ascii="Times New Roman" w:hAnsi="Times New Roman" w:eastAsia="宋体" w:cs="Times New Roman"/>
                <w:color w:val="auto"/>
                <w:spacing w:val="0"/>
                <w:w w:val="100"/>
                <w:sz w:val="24"/>
                <w:szCs w:val="24"/>
                <w:highlight w:val="none"/>
                <w:lang w:eastAsia="zh-CN"/>
              </w:rPr>
              <w:t>施工期主要采取尽量减少占地、控制施工范围、减少扰动面积</w:t>
            </w:r>
            <w:r>
              <w:rPr>
                <w:rFonts w:hint="eastAsia" w:cs="Times New Roman"/>
                <w:color w:val="auto"/>
                <w:spacing w:val="0"/>
                <w:w w:val="100"/>
                <w:sz w:val="24"/>
                <w:szCs w:val="24"/>
                <w:highlight w:val="none"/>
                <w:lang w:eastAsia="zh-CN"/>
              </w:rPr>
              <w:t>，</w:t>
            </w:r>
            <w:r>
              <w:rPr>
                <w:rFonts w:hint="default" w:ascii="Times New Roman" w:hAnsi="Times New Roman" w:eastAsia="宋体" w:cs="Times New Roman"/>
                <w:color w:val="auto"/>
                <w:spacing w:val="0"/>
                <w:w w:val="100"/>
                <w:sz w:val="24"/>
                <w:szCs w:val="24"/>
                <w:highlight w:val="none"/>
                <w:lang w:eastAsia="zh-CN"/>
              </w:rPr>
              <w:t>严格控制临时占地，减少破坏原地貌、植被的面积。</w:t>
            </w:r>
          </w:p>
          <w:p w14:paraId="4AC732D7">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eastAsia="zh-CN"/>
              </w:rPr>
            </w:pPr>
            <w:r>
              <w:rPr>
                <w:rFonts w:hint="eastAsia" w:cs="Times New Roman"/>
                <w:color w:val="auto"/>
                <w:spacing w:val="0"/>
                <w:w w:val="100"/>
                <w:sz w:val="24"/>
                <w:szCs w:val="24"/>
                <w:highlight w:val="none"/>
                <w:lang w:val="en-US" w:eastAsia="zh-CN"/>
              </w:rPr>
              <w:t>②</w:t>
            </w:r>
            <w:r>
              <w:rPr>
                <w:rFonts w:hint="default" w:ascii="Times New Roman" w:hAnsi="Times New Roman" w:eastAsia="宋体" w:cs="Times New Roman"/>
                <w:color w:val="auto"/>
                <w:spacing w:val="0"/>
                <w:w w:val="100"/>
                <w:sz w:val="24"/>
                <w:szCs w:val="24"/>
                <w:highlight w:val="none"/>
                <w:lang w:val="en-US" w:eastAsia="zh-CN"/>
              </w:rPr>
              <w:t>在工程设计及施工过程中应尽量避开野生植被及保护植物较丰富的区域，减小对野生植物的破坏；施工过程中尽量避开</w:t>
            </w:r>
            <w:r>
              <w:rPr>
                <w:rFonts w:hint="eastAsia" w:cs="Times New Roman"/>
                <w:snapToGrid w:val="0"/>
                <w:color w:val="auto"/>
                <w:spacing w:val="0"/>
                <w:w w:val="100"/>
                <w:kern w:val="0"/>
                <w:sz w:val="24"/>
                <w:szCs w:val="24"/>
                <w:highlight w:val="none"/>
                <w:lang w:val="en-US" w:eastAsia="zh-CN"/>
              </w:rPr>
              <w:t>植被</w:t>
            </w:r>
            <w:r>
              <w:rPr>
                <w:rFonts w:hint="default" w:ascii="Times New Roman" w:hAnsi="Times New Roman" w:eastAsia="宋体" w:cs="Times New Roman"/>
                <w:color w:val="auto"/>
                <w:spacing w:val="0"/>
                <w:w w:val="100"/>
                <w:sz w:val="24"/>
                <w:szCs w:val="24"/>
                <w:highlight w:val="none"/>
                <w:lang w:val="en-US" w:eastAsia="zh-CN"/>
              </w:rPr>
              <w:t>区域。如不能避让，则对植被进行迁地保护，进行移栽</w:t>
            </w:r>
            <w:r>
              <w:rPr>
                <w:rFonts w:hint="eastAsia" w:cs="Times New Roman"/>
                <w:color w:val="auto"/>
                <w:spacing w:val="0"/>
                <w:w w:val="100"/>
                <w:sz w:val="24"/>
                <w:szCs w:val="24"/>
                <w:highlight w:val="none"/>
                <w:lang w:val="en-US" w:eastAsia="zh-CN"/>
              </w:rPr>
              <w:t>。施工结束后</w:t>
            </w:r>
            <w:r>
              <w:rPr>
                <w:rFonts w:hint="default" w:ascii="Times New Roman" w:hAnsi="Times New Roman" w:eastAsia="宋体" w:cs="Times New Roman"/>
                <w:color w:val="auto"/>
                <w:spacing w:val="0"/>
                <w:w w:val="100"/>
                <w:sz w:val="24"/>
                <w:szCs w:val="24"/>
                <w:highlight w:val="none"/>
                <w:lang w:val="en-US" w:eastAsia="zh-CN"/>
              </w:rPr>
              <w:t>建设单位对破坏的区域需进行生态恢复、生态补偿。</w:t>
            </w:r>
          </w:p>
          <w:p w14:paraId="2C1D32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eastAsia="zh-CN"/>
              </w:rPr>
            </w:pPr>
            <w:r>
              <w:rPr>
                <w:rFonts w:hint="eastAsia" w:cs="Times New Roman"/>
                <w:color w:val="auto"/>
                <w:spacing w:val="0"/>
                <w:w w:val="100"/>
                <w:sz w:val="24"/>
                <w:szCs w:val="24"/>
                <w:highlight w:val="none"/>
                <w:lang w:eastAsia="zh-CN"/>
              </w:rPr>
              <w:t>（</w:t>
            </w:r>
            <w:r>
              <w:rPr>
                <w:rFonts w:hint="eastAsia" w:cs="Times New Roman"/>
                <w:color w:val="auto"/>
                <w:spacing w:val="0"/>
                <w:w w:val="100"/>
                <w:sz w:val="24"/>
                <w:szCs w:val="24"/>
                <w:highlight w:val="none"/>
                <w:lang w:val="en-US" w:eastAsia="zh-CN"/>
              </w:rPr>
              <w:t>3）</w:t>
            </w:r>
            <w:r>
              <w:rPr>
                <w:rFonts w:hint="default" w:ascii="Times New Roman" w:hAnsi="Times New Roman" w:eastAsia="宋体" w:cs="Times New Roman"/>
                <w:color w:val="auto"/>
                <w:spacing w:val="0"/>
                <w:w w:val="100"/>
                <w:sz w:val="24"/>
                <w:szCs w:val="24"/>
                <w:highlight w:val="none"/>
                <w:lang w:eastAsia="zh-CN"/>
              </w:rPr>
              <w:t>野生动物保护措施</w:t>
            </w:r>
          </w:p>
          <w:p w14:paraId="6AD772C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rPr>
            </w:pPr>
            <w:r>
              <w:rPr>
                <w:rFonts w:hint="default" w:ascii="Times New Roman" w:hAnsi="Times New Roman" w:eastAsia="宋体" w:cs="Times New Roman"/>
                <w:color w:val="auto"/>
                <w:spacing w:val="0"/>
                <w:w w:val="100"/>
                <w:sz w:val="24"/>
                <w:szCs w:val="24"/>
                <w:highlight w:val="none"/>
                <w:lang w:val="en-US" w:eastAsia="zh-CN"/>
              </w:rPr>
              <w:t>①</w:t>
            </w:r>
            <w:r>
              <w:rPr>
                <w:rFonts w:hint="default" w:ascii="Times New Roman" w:hAnsi="Times New Roman" w:eastAsia="宋体" w:cs="Times New Roman"/>
                <w:color w:val="auto"/>
                <w:spacing w:val="0"/>
                <w:w w:val="100"/>
                <w:sz w:val="24"/>
                <w:szCs w:val="24"/>
                <w:highlight w:val="none"/>
              </w:rPr>
              <w:t>施工前对施工人员进行宣传和教育，严禁发生捕捉伤害野生动物的行为，提高保护野生动的意识。</w:t>
            </w:r>
          </w:p>
          <w:p w14:paraId="3396B5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rPr>
            </w:pPr>
            <w:r>
              <w:rPr>
                <w:rFonts w:hint="default" w:ascii="Times New Roman" w:hAnsi="Times New Roman" w:eastAsia="宋体" w:cs="Times New Roman"/>
                <w:color w:val="auto"/>
                <w:spacing w:val="0"/>
                <w:w w:val="100"/>
                <w:sz w:val="24"/>
                <w:szCs w:val="24"/>
                <w:highlight w:val="none"/>
                <w:lang w:val="en-US" w:eastAsia="zh-CN"/>
              </w:rPr>
              <w:t>②</w:t>
            </w:r>
            <w:r>
              <w:rPr>
                <w:rFonts w:hint="default" w:ascii="Times New Roman" w:hAnsi="Times New Roman" w:eastAsia="宋体" w:cs="Times New Roman"/>
                <w:color w:val="auto"/>
                <w:spacing w:val="0"/>
                <w:w w:val="100"/>
                <w:sz w:val="24"/>
                <w:szCs w:val="24"/>
                <w:highlight w:val="none"/>
              </w:rPr>
              <w:t>选用低噪声的施工设备及工艺，施工活动主要集中在白天进行，减少夜间作业，避免灯光、噪声对夜间动物活动的惊扰。在施工过程中若发现野生动物的活动处，应进行避让和保护，以防影响野生动物的栖息。</w:t>
            </w:r>
          </w:p>
          <w:p w14:paraId="618AA8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eastAsia="zh-CN"/>
              </w:rPr>
            </w:pPr>
            <w:r>
              <w:rPr>
                <w:rFonts w:hint="default" w:ascii="Times New Roman" w:hAnsi="Times New Roman" w:eastAsia="宋体" w:cs="Times New Roman"/>
                <w:color w:val="auto"/>
                <w:spacing w:val="0"/>
                <w:w w:val="100"/>
                <w:sz w:val="24"/>
                <w:szCs w:val="24"/>
                <w:highlight w:val="none"/>
                <w:lang w:val="en-US" w:eastAsia="zh-CN"/>
              </w:rPr>
              <w:t>③</w:t>
            </w:r>
            <w:r>
              <w:rPr>
                <w:rFonts w:hint="default" w:ascii="Times New Roman" w:hAnsi="Times New Roman" w:eastAsia="宋体" w:cs="Times New Roman"/>
                <w:color w:val="auto"/>
                <w:spacing w:val="0"/>
                <w:w w:val="100"/>
                <w:sz w:val="24"/>
                <w:szCs w:val="24"/>
                <w:highlight w:val="none"/>
              </w:rPr>
              <w:t>施工期如发现野生保护动物应采取妥善措施进行保护，不得杀害和损伤保护动物。对受伤的动物应及时联系野生动物保护部门，及时救治。</w:t>
            </w:r>
          </w:p>
          <w:p w14:paraId="7DA21A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val="en-US" w:eastAsia="zh-CN"/>
              </w:rPr>
            </w:pPr>
            <w:r>
              <w:rPr>
                <w:rFonts w:hint="default" w:ascii="Times New Roman" w:hAnsi="Times New Roman" w:eastAsia="宋体" w:cs="Times New Roman"/>
                <w:color w:val="auto"/>
                <w:spacing w:val="0"/>
                <w:w w:val="100"/>
                <w:sz w:val="24"/>
                <w:szCs w:val="24"/>
                <w:highlight w:val="none"/>
                <w:lang w:val="en-US" w:eastAsia="zh-CN"/>
              </w:rPr>
              <w:t>④在施工车辆进入施工区过程中，采取控制车速和禁止鸣笛等措施，避免对过路的野生动物造成伤害。施工期间加强堆料场防护，加强施工人员的各类卫生管理，避免生活垃圾、生活污水的直接排放，减少污染，最大限度保护动物生境。</w:t>
            </w:r>
          </w:p>
          <w:p w14:paraId="041AC128">
            <w:pPr>
              <w:pStyle w:val="13"/>
              <w:rPr>
                <w:rFonts w:hint="default"/>
                <w:lang w:val="en-US" w:eastAsia="zh-CN"/>
              </w:rPr>
            </w:pPr>
          </w:p>
          <w:p w14:paraId="5C33CD67">
            <w:pPr>
              <w:rPr>
                <w:rFonts w:hint="default"/>
                <w:lang w:val="en-US" w:eastAsia="zh-CN"/>
              </w:rPr>
            </w:pPr>
          </w:p>
          <w:p w14:paraId="0167475A">
            <w:pPr>
              <w:pStyle w:val="13"/>
              <w:rPr>
                <w:rFonts w:hint="default"/>
                <w:lang w:val="en-US" w:eastAsia="zh-CN"/>
              </w:rPr>
            </w:pPr>
          </w:p>
          <w:p w14:paraId="2710573B">
            <w:pPr>
              <w:rPr>
                <w:rFonts w:hint="default"/>
                <w:lang w:val="en-US" w:eastAsia="zh-CN"/>
              </w:rPr>
            </w:pPr>
          </w:p>
          <w:p w14:paraId="3F3A27B1">
            <w:pPr>
              <w:pStyle w:val="13"/>
              <w:rPr>
                <w:rFonts w:hint="default"/>
                <w:lang w:val="en-US" w:eastAsia="zh-CN"/>
              </w:rPr>
            </w:pPr>
          </w:p>
          <w:p w14:paraId="25BB50C9">
            <w:pPr>
              <w:rPr>
                <w:rFonts w:hint="default"/>
                <w:lang w:val="en-US" w:eastAsia="zh-CN"/>
              </w:rPr>
            </w:pPr>
          </w:p>
          <w:p w14:paraId="4F231953">
            <w:pPr>
              <w:pStyle w:val="13"/>
              <w:rPr>
                <w:rFonts w:hint="default"/>
                <w:lang w:val="en-US" w:eastAsia="zh-CN"/>
              </w:rPr>
            </w:pPr>
          </w:p>
          <w:p w14:paraId="4B2AE652">
            <w:pPr>
              <w:rPr>
                <w:rFonts w:hint="default"/>
                <w:lang w:val="en-US" w:eastAsia="zh-CN"/>
              </w:rPr>
            </w:pPr>
          </w:p>
          <w:p w14:paraId="129EB796">
            <w:pPr>
              <w:pStyle w:val="13"/>
              <w:rPr>
                <w:rFonts w:hint="default"/>
                <w:lang w:val="en-US" w:eastAsia="zh-CN"/>
              </w:rPr>
            </w:pPr>
          </w:p>
          <w:p w14:paraId="644DD0F3">
            <w:pPr>
              <w:rPr>
                <w:rFonts w:hint="default"/>
                <w:lang w:val="en-US" w:eastAsia="zh-CN"/>
              </w:rPr>
            </w:pPr>
          </w:p>
          <w:p w14:paraId="3CC2ED7B">
            <w:pPr>
              <w:pStyle w:val="13"/>
              <w:rPr>
                <w:rFonts w:hint="default"/>
                <w:lang w:val="en-US" w:eastAsia="zh-CN"/>
              </w:rPr>
            </w:pPr>
          </w:p>
          <w:p w14:paraId="1C0C0E03">
            <w:pPr>
              <w:rPr>
                <w:rFonts w:hint="default"/>
                <w:lang w:val="en-US" w:eastAsia="zh-CN"/>
              </w:rPr>
            </w:pPr>
          </w:p>
          <w:p w14:paraId="69C11268">
            <w:pPr>
              <w:rPr>
                <w:rFonts w:hint="default"/>
                <w:lang w:val="en-US" w:eastAsia="zh-CN"/>
              </w:rPr>
            </w:pPr>
          </w:p>
          <w:p w14:paraId="46F54CEC">
            <w:pPr>
              <w:pStyle w:val="13"/>
              <w:rPr>
                <w:rFonts w:hint="default"/>
                <w:lang w:val="en-US" w:eastAsia="zh-CN"/>
              </w:rPr>
            </w:pPr>
          </w:p>
          <w:p w14:paraId="756406AB">
            <w:pPr>
              <w:pStyle w:val="13"/>
              <w:rPr>
                <w:rFonts w:hint="default" w:eastAsia="宋体"/>
                <w:lang w:val="en-US" w:eastAsia="zh-CN"/>
              </w:rPr>
            </w:pPr>
          </w:p>
          <w:p w14:paraId="1B808C05">
            <w:pPr>
              <w:rPr>
                <w:rFonts w:hint="default" w:eastAsia="宋体"/>
                <w:lang w:val="en-US" w:eastAsia="zh-CN"/>
              </w:rPr>
            </w:pPr>
          </w:p>
          <w:p w14:paraId="0BA35C8B">
            <w:pPr>
              <w:pStyle w:val="13"/>
              <w:rPr>
                <w:rFonts w:hint="default" w:eastAsia="宋体"/>
                <w:lang w:val="en-US" w:eastAsia="zh-CN"/>
              </w:rPr>
            </w:pPr>
          </w:p>
          <w:p w14:paraId="5D9A1D63">
            <w:pPr>
              <w:rPr>
                <w:rFonts w:hint="default" w:eastAsia="宋体"/>
                <w:lang w:val="en-US" w:eastAsia="zh-CN"/>
              </w:rPr>
            </w:pPr>
          </w:p>
          <w:p w14:paraId="1804640F">
            <w:pPr>
              <w:pStyle w:val="13"/>
              <w:rPr>
                <w:rFonts w:hint="default" w:eastAsia="宋体"/>
                <w:lang w:val="en-US" w:eastAsia="zh-CN"/>
              </w:rPr>
            </w:pPr>
          </w:p>
          <w:p w14:paraId="5B2AD48B">
            <w:pPr>
              <w:rPr>
                <w:rFonts w:hint="default" w:eastAsia="宋体"/>
                <w:lang w:val="en-US" w:eastAsia="zh-CN"/>
              </w:rPr>
            </w:pPr>
          </w:p>
          <w:p w14:paraId="14DBB68F">
            <w:pPr>
              <w:pStyle w:val="13"/>
              <w:rPr>
                <w:rFonts w:hint="default" w:eastAsia="宋体"/>
                <w:lang w:val="en-US" w:eastAsia="zh-CN"/>
              </w:rPr>
            </w:pPr>
          </w:p>
          <w:p w14:paraId="4E74C7E0">
            <w:pPr>
              <w:rPr>
                <w:rFonts w:hint="default" w:eastAsia="宋体"/>
                <w:lang w:val="en-US" w:eastAsia="zh-CN"/>
              </w:rPr>
            </w:pPr>
          </w:p>
          <w:p w14:paraId="7EAA7D9F">
            <w:pPr>
              <w:pStyle w:val="13"/>
              <w:rPr>
                <w:rFonts w:hint="default" w:eastAsia="宋体"/>
                <w:lang w:val="en-US" w:eastAsia="zh-CN"/>
              </w:rPr>
            </w:pPr>
          </w:p>
          <w:p w14:paraId="08AAC806">
            <w:pPr>
              <w:rPr>
                <w:rFonts w:hint="default" w:eastAsia="宋体"/>
                <w:lang w:val="en-US" w:eastAsia="zh-CN"/>
              </w:rPr>
            </w:pPr>
          </w:p>
          <w:p w14:paraId="56A66324">
            <w:pPr>
              <w:pStyle w:val="13"/>
              <w:rPr>
                <w:rFonts w:hint="default" w:eastAsia="宋体"/>
                <w:lang w:val="en-US" w:eastAsia="zh-CN"/>
              </w:rPr>
            </w:pPr>
          </w:p>
          <w:p w14:paraId="357B432F">
            <w:pPr>
              <w:rPr>
                <w:rFonts w:hint="default" w:eastAsia="宋体"/>
                <w:lang w:val="en-US" w:eastAsia="zh-CN"/>
              </w:rPr>
            </w:pPr>
          </w:p>
          <w:p w14:paraId="68095767">
            <w:pPr>
              <w:pStyle w:val="13"/>
              <w:rPr>
                <w:rFonts w:hint="default" w:eastAsia="宋体"/>
                <w:lang w:val="en-US" w:eastAsia="zh-CN"/>
              </w:rPr>
            </w:pPr>
          </w:p>
          <w:p w14:paraId="0B54112C">
            <w:pPr>
              <w:pStyle w:val="13"/>
              <w:rPr>
                <w:rFonts w:hint="default"/>
                <w:lang w:val="en-US" w:eastAsia="zh-CN"/>
              </w:rPr>
            </w:pPr>
          </w:p>
        </w:tc>
      </w:tr>
      <w:tr w14:paraId="4A343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75" w:hRule="atLeast"/>
          <w:jc w:val="center"/>
        </w:trPr>
        <w:tc>
          <w:tcPr>
            <w:tcW w:w="746" w:type="dxa"/>
            <w:tcMar>
              <w:left w:w="28" w:type="dxa"/>
              <w:right w:w="28" w:type="dxa"/>
            </w:tcMar>
            <w:vAlign w:val="center"/>
          </w:tcPr>
          <w:p w14:paraId="24F446D1">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14:paraId="0A16810E">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14:paraId="260FE93E">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14:paraId="1EC5B98E">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14:paraId="377B9EB1">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14:paraId="4884541C">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vAlign w:val="center"/>
          </w:tcPr>
          <w:p w14:paraId="0F826BDB">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1.废气</w:t>
            </w:r>
          </w:p>
          <w:p w14:paraId="1697926D">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1.1废气的产排情况</w:t>
            </w:r>
          </w:p>
          <w:p w14:paraId="17C5DA6E">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1.1.1搅拌机产生的粉尘</w:t>
            </w:r>
          </w:p>
          <w:p w14:paraId="2D94EC88">
            <w:pPr>
              <w:widowControl/>
              <w:spacing w:line="360" w:lineRule="auto"/>
              <w:ind w:firstLine="480" w:firstLineChars="200"/>
              <w:jc w:val="left"/>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本项目设置</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条混凝土生产线，配有</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套搅拌设备，生产设备为引进的成套搅拌设备，搅拌设备位于密闭搅拌楼中，</w:t>
            </w:r>
            <w:r>
              <w:rPr>
                <w:rFonts w:hint="eastAsia" w:cs="Times New Roman"/>
                <w:color w:val="auto"/>
                <w:kern w:val="0"/>
                <w:sz w:val="24"/>
                <w:lang w:val="en-US" w:eastAsia="zh-CN"/>
              </w:rPr>
              <w:t>每台</w:t>
            </w:r>
            <w:r>
              <w:rPr>
                <w:rFonts w:hint="eastAsia" w:ascii="Times New Roman" w:hAnsi="Times New Roman" w:eastAsia="宋体" w:cs="Times New Roman"/>
                <w:color w:val="auto"/>
                <w:kern w:val="0"/>
                <w:sz w:val="24"/>
              </w:rPr>
              <w:t>搅拌机自带脉冲布袋除尘器，</w:t>
            </w:r>
            <w:r>
              <w:rPr>
                <w:rFonts w:hint="eastAsia" w:ascii="Times New Roman" w:hAnsi="Times New Roman" w:eastAsia="宋体" w:cs="Times New Roman"/>
                <w:color w:val="auto"/>
                <w:kern w:val="0"/>
                <w:sz w:val="24"/>
                <w:lang w:val="en-US" w:eastAsia="zh-CN"/>
              </w:rPr>
              <w:t>2个搅拌设备，设置2个布袋除尘器。</w:t>
            </w:r>
            <w:r>
              <w:rPr>
                <w:rFonts w:hint="eastAsia" w:ascii="Times New Roman" w:hAnsi="Times New Roman" w:eastAsia="宋体" w:cs="Times New Roman"/>
                <w:color w:val="auto"/>
                <w:kern w:val="0"/>
                <w:sz w:val="24"/>
              </w:rPr>
              <w:t>物料搅拌过程产生的粉尘经搅拌机自带的脉冲布袋除尘器处理</w:t>
            </w:r>
            <w:r>
              <w:rPr>
                <w:rFonts w:hint="eastAsia" w:cs="Times New Roman"/>
                <w:color w:val="auto"/>
                <w:kern w:val="0"/>
                <w:sz w:val="24"/>
                <w:lang w:eastAsia="zh-CN"/>
              </w:rPr>
              <w:t>，</w:t>
            </w:r>
            <w:r>
              <w:rPr>
                <w:rFonts w:hint="eastAsia" w:cs="Times New Roman"/>
                <w:color w:val="auto"/>
                <w:kern w:val="0"/>
                <w:sz w:val="24"/>
                <w:lang w:val="en-US" w:eastAsia="zh-CN"/>
              </w:rPr>
              <w:t>处理过的废气由15m高的排气筒排出，布袋除尘器收集的除尘灰由工作人员定期检查循环利用</w:t>
            </w:r>
            <w:r>
              <w:rPr>
                <w:rFonts w:hint="eastAsia" w:ascii="Times New Roman" w:hAnsi="Times New Roman" w:eastAsia="宋体" w:cs="Times New Roman"/>
                <w:color w:val="auto"/>
                <w:kern w:val="0"/>
                <w:sz w:val="24"/>
              </w:rPr>
              <w:t>。</w:t>
            </w:r>
          </w:p>
          <w:p w14:paraId="6B832686">
            <w:pPr>
              <w:widowControl/>
              <w:spacing w:line="360" w:lineRule="auto"/>
              <w:ind w:firstLine="480" w:firstLineChars="200"/>
              <w:jc w:val="left"/>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根据《排放源统计调查产排污核算方法和系数手册》（3021水泥制品制造（含3022砼结构构件制造、3029其他水泥类似制品制造）行业系数手册）中“3021水泥制品制造（含3022砼结构构件、3029其他水泥类似制品制造）行业系数表”，颗粒物产污系数为0.</w:t>
            </w:r>
            <w:r>
              <w:rPr>
                <w:rFonts w:hint="eastAsia" w:cs="Times New Roman"/>
                <w:color w:val="auto"/>
                <w:kern w:val="0"/>
                <w:sz w:val="24"/>
                <w:lang w:val="en-US" w:eastAsia="zh-CN"/>
              </w:rPr>
              <w:t>523</w:t>
            </w:r>
            <w:r>
              <w:rPr>
                <w:rFonts w:hint="eastAsia" w:ascii="Times New Roman" w:hAnsi="Times New Roman" w:eastAsia="宋体" w:cs="Times New Roman"/>
                <w:color w:val="auto"/>
                <w:kern w:val="0"/>
                <w:sz w:val="24"/>
              </w:rPr>
              <w:t>千克/吨</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产品。本项目建成后年产</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0万立方米混凝土，每立方米混凝土按2.4t计，产生的颗粒物为</w:t>
            </w:r>
            <w:r>
              <w:rPr>
                <w:rFonts w:hint="eastAsia" w:cs="Times New Roman"/>
                <w:color w:val="auto"/>
                <w:kern w:val="0"/>
                <w:sz w:val="24"/>
                <w:lang w:val="en-US" w:eastAsia="zh-CN"/>
              </w:rPr>
              <w:t>251.04</w:t>
            </w:r>
            <w:r>
              <w:rPr>
                <w:rFonts w:hint="eastAsia" w:ascii="Times New Roman" w:hAnsi="Times New Roman" w:eastAsia="宋体" w:cs="Times New Roman"/>
                <w:color w:val="auto"/>
                <w:kern w:val="0"/>
                <w:sz w:val="24"/>
              </w:rPr>
              <w:t>t/a，产生速率</w:t>
            </w:r>
            <w:r>
              <w:rPr>
                <w:rFonts w:hint="eastAsia" w:cs="Times New Roman"/>
                <w:color w:val="auto"/>
                <w:kern w:val="0"/>
                <w:sz w:val="24"/>
                <w:lang w:val="en-US" w:eastAsia="zh-CN"/>
              </w:rPr>
              <w:t>174.33</w:t>
            </w:r>
            <w:r>
              <w:rPr>
                <w:rFonts w:hint="eastAsia" w:ascii="Times New Roman" w:hAnsi="Times New Roman" w:eastAsia="宋体" w:cs="Times New Roman"/>
                <w:color w:val="auto"/>
                <w:kern w:val="0"/>
                <w:sz w:val="24"/>
              </w:rPr>
              <w:t>kg/h，颗粒物经搅拌设备自带脉冲布袋除尘器</w:t>
            </w:r>
            <w:r>
              <w:rPr>
                <w:rFonts w:hint="default" w:ascii="Times New Roman" w:hAnsi="Times New Roman" w:eastAsia="宋体" w:cs="Times New Roman"/>
                <w:color w:val="auto"/>
                <w:kern w:val="0"/>
                <w:sz w:val="24"/>
              </w:rPr>
              <w:t>（</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w:t>
            </w:r>
            <w:r>
              <w:rPr>
                <w:rFonts w:hint="eastAsia" w:cs="Times New Roman"/>
                <w:color w:val="auto"/>
                <w:kern w:val="0"/>
                <w:sz w:val="24"/>
                <w:lang w:val="en-US" w:eastAsia="zh-CN"/>
              </w:rPr>
              <w:t>处理后排放，搅拌颗粒物的排放量为0.753t/a，排放速率为0.52kg/h，风量为30000m</w:t>
            </w:r>
            <w:r>
              <w:rPr>
                <w:rFonts w:hint="eastAsia" w:cs="Times New Roman"/>
                <w:color w:val="auto"/>
                <w:kern w:val="0"/>
                <w:sz w:val="24"/>
                <w:vertAlign w:val="superscript"/>
                <w:lang w:val="en-US" w:eastAsia="zh-CN"/>
              </w:rPr>
              <w:t>2</w:t>
            </w:r>
            <w:r>
              <w:rPr>
                <w:rFonts w:hint="eastAsia" w:cs="Times New Roman"/>
                <w:color w:val="auto"/>
                <w:kern w:val="0"/>
                <w:sz w:val="24"/>
                <w:vertAlign w:val="baseline"/>
                <w:lang w:val="en-US" w:eastAsia="zh-CN"/>
              </w:rPr>
              <w:t>/h，排放浓度为17.33mg/m</w:t>
            </w:r>
            <w:r>
              <w:rPr>
                <w:rFonts w:hint="eastAsia" w:cs="Times New Roman"/>
                <w:color w:val="auto"/>
                <w:kern w:val="0"/>
                <w:sz w:val="24"/>
                <w:vertAlign w:val="superscript"/>
                <w:lang w:val="en-US" w:eastAsia="zh-CN"/>
              </w:rPr>
              <w:t>3</w:t>
            </w:r>
            <w:r>
              <w:rPr>
                <w:rFonts w:hint="eastAsia" w:ascii="Times New Roman" w:hAnsi="Times New Roman" w:eastAsia="宋体" w:cs="Times New Roman"/>
                <w:color w:val="auto"/>
                <w:kern w:val="0"/>
                <w:sz w:val="24"/>
              </w:rPr>
              <w:t>。</w:t>
            </w:r>
          </w:p>
          <w:p w14:paraId="42E36A7B">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1.1.2筒仓粉尘</w:t>
            </w:r>
          </w:p>
          <w:p w14:paraId="438EDD18">
            <w:pPr>
              <w:widowControl/>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本项目设有</w:t>
            </w:r>
            <w:r>
              <w:rPr>
                <w:rFonts w:hint="eastAsia" w:cs="Times New Roman"/>
                <w:color w:val="auto"/>
                <w:kern w:val="0"/>
                <w:sz w:val="24"/>
                <w:lang w:val="en-US" w:eastAsia="zh-CN"/>
              </w:rPr>
              <w:t>5</w:t>
            </w:r>
            <w:r>
              <w:rPr>
                <w:rFonts w:hint="default" w:ascii="Times New Roman" w:hAnsi="Times New Roman" w:eastAsia="宋体" w:cs="Times New Roman"/>
                <w:color w:val="auto"/>
                <w:kern w:val="0"/>
                <w:sz w:val="24"/>
              </w:rPr>
              <w:t>个筒仓，</w:t>
            </w:r>
            <w:r>
              <w:rPr>
                <w:rFonts w:hint="eastAsia" w:ascii="Times New Roman" w:hAnsi="Times New Roman" w:eastAsia="宋体" w:cs="Times New Roman"/>
                <w:color w:val="auto"/>
                <w:kern w:val="0"/>
                <w:sz w:val="24"/>
                <w:lang w:val="en-US" w:eastAsia="zh-CN"/>
              </w:rPr>
              <w:t>每个筒仓顶部均设置脉冲除尘器进行除尘，筒仓共设置5个脉冲布袋除尘器，</w:t>
            </w:r>
            <w:r>
              <w:rPr>
                <w:rFonts w:hint="default" w:ascii="Times New Roman" w:hAnsi="Times New Roman" w:eastAsia="宋体" w:cs="Times New Roman"/>
                <w:color w:val="auto"/>
                <w:kern w:val="0"/>
                <w:sz w:val="24"/>
              </w:rPr>
              <w:t>废气经过滤除尘后</w:t>
            </w:r>
            <w:r>
              <w:rPr>
                <w:rFonts w:hint="eastAsia" w:cs="Times New Roman"/>
                <w:color w:val="auto"/>
                <w:kern w:val="0"/>
                <w:sz w:val="24"/>
                <w:lang w:val="en-US" w:eastAsia="zh-CN"/>
              </w:rPr>
              <w:t>排出</w:t>
            </w:r>
            <w:r>
              <w:rPr>
                <w:rFonts w:hint="default" w:ascii="Times New Roman" w:hAnsi="Times New Roman" w:eastAsia="宋体" w:cs="Times New Roman"/>
                <w:color w:val="auto"/>
                <w:kern w:val="0"/>
                <w:sz w:val="24"/>
              </w:rPr>
              <w:t>。</w:t>
            </w:r>
          </w:p>
          <w:p w14:paraId="3DDEBCBF">
            <w:pPr>
              <w:widowControl/>
              <w:spacing w:line="360" w:lineRule="auto"/>
              <w:ind w:firstLine="480" w:firstLineChars="200"/>
              <w:jc w:val="left"/>
              <w:rPr>
                <w:rFonts w:hint="default" w:ascii="Times New Roman" w:hAnsi="Times New Roman" w:eastAsia="宋体" w:cs="Times New Roman"/>
                <w:color w:val="auto"/>
                <w:kern w:val="0"/>
                <w:sz w:val="24"/>
                <w:vertAlign w:val="baseline"/>
                <w:lang w:val="en-US" w:eastAsia="zh-CN"/>
              </w:rPr>
            </w:pPr>
            <w:r>
              <w:rPr>
                <w:rFonts w:hint="default" w:ascii="Times New Roman" w:hAnsi="Times New Roman" w:eastAsia="宋体" w:cs="Times New Roman"/>
                <w:color w:val="auto"/>
                <w:kern w:val="0"/>
                <w:sz w:val="24"/>
              </w:rPr>
              <w:t>根据《排放源统计调查产排污核算方法和系数手册》（3021水泥制品制造（含3022砼结构构件制造、3029其他水泥类似制品制造）行业系数手册）中“3021水泥制品制造（含3022砼结构构件、3029其他水泥类似制品制造）行业系数表”，颗粒物产污系数为0.1</w:t>
            </w:r>
            <w:r>
              <w:rPr>
                <w:rFonts w:hint="eastAsia" w:cs="Times New Roman"/>
                <w:color w:val="auto"/>
                <w:kern w:val="0"/>
                <w:sz w:val="24"/>
                <w:lang w:val="en-US" w:eastAsia="zh-CN"/>
              </w:rPr>
              <w:t>9</w:t>
            </w:r>
            <w:r>
              <w:rPr>
                <w:rFonts w:hint="default" w:ascii="Times New Roman" w:hAnsi="Times New Roman" w:eastAsia="宋体" w:cs="Times New Roman"/>
                <w:color w:val="auto"/>
                <w:kern w:val="0"/>
                <w:sz w:val="24"/>
              </w:rPr>
              <w:t>千克/吨-产品。筒仓产生的颗粒物总量为</w:t>
            </w:r>
            <w:r>
              <w:rPr>
                <w:rFonts w:hint="eastAsia" w:cs="Times New Roman"/>
                <w:color w:val="auto"/>
                <w:kern w:val="0"/>
                <w:sz w:val="24"/>
                <w:lang w:val="en-US" w:eastAsia="zh-CN"/>
              </w:rPr>
              <w:t>57.2</w:t>
            </w:r>
            <w:r>
              <w:rPr>
                <w:rFonts w:hint="default" w:ascii="Times New Roman" w:hAnsi="Times New Roman" w:eastAsia="宋体" w:cs="Times New Roman"/>
                <w:color w:val="auto"/>
                <w:kern w:val="0"/>
                <w:sz w:val="24"/>
              </w:rPr>
              <w:t>t/a，产生速率</w:t>
            </w:r>
            <w:r>
              <w:rPr>
                <w:rFonts w:hint="eastAsia" w:cs="Times New Roman"/>
                <w:color w:val="auto"/>
                <w:kern w:val="0"/>
                <w:sz w:val="24"/>
                <w:lang w:val="en-US" w:eastAsia="zh-CN"/>
              </w:rPr>
              <w:t>63.3</w:t>
            </w:r>
            <w:r>
              <w:rPr>
                <w:rFonts w:hint="default" w:ascii="Times New Roman" w:hAnsi="Times New Roman" w:eastAsia="宋体" w:cs="Times New Roman"/>
                <w:color w:val="auto"/>
                <w:kern w:val="0"/>
                <w:sz w:val="24"/>
              </w:rPr>
              <w:t>kg/h，筒仓粉尘经脉冲布袋除尘器（</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99.7%）处理后排放，筒仓颗粒物的排放量为</w:t>
            </w:r>
            <w:r>
              <w:rPr>
                <w:rFonts w:hint="eastAsia" w:cs="Times New Roman"/>
                <w:color w:val="auto"/>
                <w:kern w:val="0"/>
                <w:sz w:val="24"/>
                <w:lang w:val="en-US" w:eastAsia="zh-CN"/>
              </w:rPr>
              <w:t>0.19</w:t>
            </w:r>
            <w:r>
              <w:rPr>
                <w:rFonts w:hint="default" w:ascii="Times New Roman" w:hAnsi="Times New Roman" w:eastAsia="宋体" w:cs="Times New Roman"/>
                <w:color w:val="auto"/>
                <w:kern w:val="0"/>
                <w:sz w:val="24"/>
              </w:rPr>
              <w:t>t/a，排放速率为</w:t>
            </w:r>
            <w:r>
              <w:rPr>
                <w:rFonts w:hint="eastAsia" w:cs="Times New Roman"/>
                <w:color w:val="auto"/>
                <w:kern w:val="0"/>
                <w:sz w:val="24"/>
                <w:lang w:val="en-US" w:eastAsia="zh-CN"/>
              </w:rPr>
              <w:t>0.13</w:t>
            </w:r>
            <w:r>
              <w:rPr>
                <w:rFonts w:hint="default" w:ascii="Times New Roman" w:hAnsi="Times New Roman" w:eastAsia="宋体" w:cs="Times New Roman"/>
                <w:color w:val="auto"/>
                <w:kern w:val="0"/>
                <w:sz w:val="24"/>
              </w:rPr>
              <w:t>kg/h。</w:t>
            </w:r>
          </w:p>
          <w:p w14:paraId="2B95D0F9">
            <w:pPr>
              <w:widowControl/>
              <w:spacing w:line="360" w:lineRule="auto"/>
              <w:jc w:val="left"/>
              <w:rPr>
                <w:b/>
                <w:bCs/>
                <w:color w:val="auto"/>
                <w:sz w:val="24"/>
                <w:highlight w:val="yellow"/>
              </w:rPr>
            </w:pPr>
            <w:r>
              <w:rPr>
                <w:rFonts w:hint="eastAsia"/>
                <w:b/>
                <w:bCs/>
                <w:color w:val="auto"/>
                <w:sz w:val="24"/>
              </w:rPr>
              <w:t>1.1.3料场扬尘及装卸扬尘</w:t>
            </w:r>
          </w:p>
          <w:p w14:paraId="1E6B4B1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项目砂石堆场位于厂区</w:t>
            </w:r>
            <w:r>
              <w:rPr>
                <w:rFonts w:hint="eastAsia" w:ascii="Times New Roman" w:hAnsi="Times New Roman" w:eastAsia="宋体" w:cs="Times New Roman"/>
                <w:color w:val="auto"/>
                <w:kern w:val="0"/>
                <w:sz w:val="24"/>
              </w:rPr>
              <w:t>东</w:t>
            </w:r>
            <w:r>
              <w:rPr>
                <w:rFonts w:ascii="Times New Roman" w:hAnsi="Times New Roman" w:eastAsia="宋体" w:cs="Times New Roman"/>
                <w:color w:val="auto"/>
                <w:kern w:val="0"/>
                <w:sz w:val="24"/>
              </w:rPr>
              <w:t>侧，为</w:t>
            </w:r>
            <w:r>
              <w:rPr>
                <w:rFonts w:hint="eastAsia" w:cs="Times New Roman"/>
                <w:color w:val="auto"/>
                <w:kern w:val="0"/>
                <w:sz w:val="24"/>
                <w:lang w:val="en-US" w:eastAsia="zh-CN"/>
              </w:rPr>
              <w:t>半</w:t>
            </w:r>
            <w:r>
              <w:rPr>
                <w:rFonts w:hint="eastAsia" w:ascii="Times New Roman" w:hAnsi="Times New Roman" w:eastAsia="宋体" w:cs="Times New Roman"/>
                <w:color w:val="auto"/>
                <w:kern w:val="0"/>
                <w:sz w:val="24"/>
              </w:rPr>
              <w:t>密闭</w:t>
            </w:r>
            <w:r>
              <w:rPr>
                <w:rFonts w:ascii="Times New Roman" w:hAnsi="Times New Roman" w:eastAsia="宋体" w:cs="Times New Roman"/>
                <w:color w:val="auto"/>
                <w:kern w:val="0"/>
                <w:sz w:val="24"/>
              </w:rPr>
              <w:t>结构。砂石堆场粉尘主要是砂石料中粒径较小的砂粒在风力作用、机械装卸或卸载过程中起尘，</w:t>
            </w:r>
            <w:r>
              <w:rPr>
                <w:rFonts w:hint="eastAsia" w:ascii="Times New Roman" w:hAnsi="Times New Roman" w:eastAsia="宋体" w:cs="Times New Roman"/>
                <w:color w:val="auto"/>
                <w:kern w:val="0"/>
                <w:sz w:val="24"/>
              </w:rPr>
              <w:t>通过对</w:t>
            </w:r>
            <w:r>
              <w:rPr>
                <w:rFonts w:ascii="Times New Roman" w:hAnsi="Times New Roman" w:eastAsia="宋体" w:cs="Times New Roman"/>
                <w:color w:val="auto"/>
                <w:kern w:val="0"/>
                <w:sz w:val="24"/>
              </w:rPr>
              <w:t>料场全覆盖洒水</w:t>
            </w:r>
            <w:r>
              <w:rPr>
                <w:rFonts w:hint="eastAsia" w:ascii="Times New Roman" w:hAnsi="Times New Roman" w:eastAsia="宋体" w:cs="Times New Roman"/>
                <w:color w:val="auto"/>
                <w:kern w:val="0"/>
                <w:sz w:val="24"/>
              </w:rPr>
              <w:t>降尘</w:t>
            </w:r>
            <w:r>
              <w:rPr>
                <w:rFonts w:ascii="Times New Roman" w:hAnsi="Times New Roman" w:eastAsia="宋体" w:cs="Times New Roman"/>
                <w:color w:val="auto"/>
                <w:kern w:val="0"/>
                <w:sz w:val="24"/>
              </w:rPr>
              <w:t>，最大限度减少堆场的起尘量。因此，项目砂石扬尘主要产生于装卸环节。</w:t>
            </w:r>
          </w:p>
          <w:p w14:paraId="6058EB6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根据《扬尘源颗粒物排放清单编制技术指南（试行）》颗粒物产生量采用以下公式来计算</w:t>
            </w:r>
            <w:r>
              <w:rPr>
                <w:rFonts w:ascii="Times New Roman" w:hAnsi="Times New Roman" w:eastAsia="宋体" w:cs="Times New Roman"/>
                <w:color w:val="auto"/>
                <w:kern w:val="0"/>
                <w:sz w:val="24"/>
              </w:rPr>
              <w:t>：</w:t>
            </w:r>
          </w:p>
          <w:p w14:paraId="1D33098F">
            <w:pPr>
              <w:autoSpaceDE w:val="0"/>
              <w:autoSpaceDN w:val="0"/>
              <w:adjustRightInd w:val="0"/>
              <w:snapToGrid w:val="0"/>
              <w:spacing w:line="360" w:lineRule="auto"/>
              <w:jc w:val="center"/>
              <w:rPr>
                <w:rFonts w:ascii="Times New Roman" w:hAnsi="Times New Roman" w:eastAsia="宋体" w:cs="Times New Roman"/>
                <w:color w:val="auto"/>
                <w:kern w:val="0"/>
                <w:sz w:val="24"/>
              </w:rPr>
            </w:pPr>
            <w:r>
              <w:drawing>
                <wp:inline distT="0" distB="0" distL="114300" distR="114300">
                  <wp:extent cx="3840480" cy="617220"/>
                  <wp:effectExtent l="0" t="0" r="7620" b="1143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3840480" cy="617220"/>
                          </a:xfrm>
                          <a:prstGeom prst="rect">
                            <a:avLst/>
                          </a:prstGeom>
                          <a:noFill/>
                          <a:ln>
                            <a:noFill/>
                          </a:ln>
                        </pic:spPr>
                      </pic:pic>
                    </a:graphicData>
                  </a:graphic>
                </wp:inline>
              </w:drawing>
            </w:r>
          </w:p>
          <w:p w14:paraId="4606AD01">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auto"/>
                <w:sz w:val="24"/>
                <w:lang w:val="en-US" w:eastAsia="zh-CN"/>
              </w:rPr>
            </w:pPr>
            <w:r>
              <w:rPr>
                <w:rFonts w:hint="eastAsia"/>
                <w:color w:val="auto"/>
                <w:sz w:val="24"/>
                <w:lang w:val="en-US" w:eastAsia="zh-CN"/>
              </w:rPr>
              <w:t xml:space="preserve">式中： </w:t>
            </w:r>
          </w:p>
          <w:p w14:paraId="657F4214">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auto"/>
                <w:sz w:val="24"/>
                <w:lang w:val="en-US" w:eastAsia="zh-CN"/>
              </w:rPr>
            </w:pPr>
            <w:r>
              <w:rPr>
                <w:rFonts w:hint="eastAsia"/>
                <w:color w:val="auto"/>
                <w:sz w:val="24"/>
                <w:lang w:val="en-US" w:eastAsia="zh-CN"/>
              </w:rPr>
              <w:t>W</w:t>
            </w:r>
            <w:r>
              <w:rPr>
                <w:rFonts w:hint="eastAsia"/>
                <w:color w:val="auto"/>
                <w:sz w:val="24"/>
                <w:vertAlign w:val="subscript"/>
                <w:lang w:val="en-US" w:eastAsia="zh-CN"/>
              </w:rPr>
              <w:t>Y</w:t>
            </w:r>
            <w:r>
              <w:rPr>
                <w:rFonts w:hint="eastAsia"/>
                <w:color w:val="auto"/>
                <w:sz w:val="24"/>
                <w:vertAlign w:val="baseline"/>
                <w:lang w:val="en-US" w:eastAsia="zh-CN"/>
              </w:rPr>
              <w:t>——</w:t>
            </w:r>
            <w:r>
              <w:rPr>
                <w:rFonts w:hint="eastAsia"/>
                <w:color w:val="auto"/>
                <w:sz w:val="24"/>
                <w:lang w:val="en-US" w:eastAsia="zh-CN"/>
              </w:rPr>
              <w:t xml:space="preserve">堆场扬尘源中颗粒物总排放量，t/a。 </w:t>
            </w:r>
          </w:p>
          <w:p w14:paraId="78FE40BB">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auto"/>
                <w:sz w:val="24"/>
                <w:lang w:val="en-US" w:eastAsia="zh-CN"/>
              </w:rPr>
            </w:pPr>
            <w:r>
              <w:rPr>
                <w:rFonts w:hint="eastAsia"/>
                <w:color w:val="auto"/>
                <w:sz w:val="24"/>
                <w:lang w:val="en-US" w:eastAsia="zh-CN"/>
              </w:rPr>
              <w:t>E</w:t>
            </w:r>
            <w:r>
              <w:rPr>
                <w:rFonts w:hint="eastAsia"/>
                <w:color w:val="auto"/>
                <w:sz w:val="24"/>
                <w:vertAlign w:val="subscript"/>
                <w:lang w:val="en-US" w:eastAsia="zh-CN"/>
              </w:rPr>
              <w:t>h</w:t>
            </w:r>
            <w:r>
              <w:rPr>
                <w:rFonts w:hint="eastAsia"/>
                <w:color w:val="auto"/>
                <w:sz w:val="24"/>
                <w:vertAlign w:val="baseline"/>
                <w:lang w:val="en-US" w:eastAsia="zh-CN"/>
              </w:rPr>
              <w:t>——</w:t>
            </w:r>
            <w:r>
              <w:rPr>
                <w:rFonts w:hint="eastAsia"/>
                <w:color w:val="auto"/>
                <w:sz w:val="24"/>
                <w:lang w:val="en-US" w:eastAsia="zh-CN"/>
              </w:rPr>
              <w:t xml:space="preserve">堆场装卸运输过程的扬尘颗粒物排放系数，kg/t。 </w:t>
            </w:r>
          </w:p>
          <w:p w14:paraId="70635730">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auto"/>
                <w:sz w:val="24"/>
                <w:lang w:val="en-US" w:eastAsia="zh-CN"/>
              </w:rPr>
            </w:pPr>
            <w:r>
              <w:rPr>
                <w:rFonts w:hint="eastAsia"/>
                <w:color w:val="auto"/>
                <w:sz w:val="24"/>
                <w:lang w:val="en-US" w:eastAsia="zh-CN"/>
              </w:rPr>
              <w:t>m</w:t>
            </w:r>
            <w:r>
              <w:rPr>
                <w:rFonts w:hint="eastAsia"/>
                <w:color w:val="auto"/>
                <w:sz w:val="24"/>
                <w:vertAlign w:val="baseline"/>
                <w:lang w:val="en-US" w:eastAsia="zh-CN"/>
              </w:rPr>
              <w:t>——</w:t>
            </w:r>
            <w:r>
              <w:rPr>
                <w:rFonts w:hint="eastAsia"/>
                <w:color w:val="auto"/>
                <w:sz w:val="24"/>
                <w:lang w:val="en-US" w:eastAsia="zh-CN"/>
              </w:rPr>
              <w:t>每年料堆物料装卸总次数；计7200。</w:t>
            </w:r>
          </w:p>
          <w:p w14:paraId="06C1F9CF">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auto"/>
                <w:sz w:val="24"/>
                <w:lang w:val="en-US" w:eastAsia="zh-CN"/>
              </w:rPr>
            </w:pPr>
            <w:r>
              <w:rPr>
                <w:rFonts w:hint="eastAsia"/>
                <w:color w:val="auto"/>
                <w:sz w:val="24"/>
                <w:lang w:val="en-US" w:eastAsia="zh-CN"/>
              </w:rPr>
              <w:t>G</w:t>
            </w:r>
            <w:r>
              <w:rPr>
                <w:rFonts w:hint="eastAsia"/>
                <w:color w:val="auto"/>
                <w:sz w:val="24"/>
                <w:vertAlign w:val="subscript"/>
                <w:lang w:val="en-US" w:eastAsia="zh-CN"/>
              </w:rPr>
              <w:t>Yi</w:t>
            </w:r>
            <w:r>
              <w:rPr>
                <w:rFonts w:hint="eastAsia"/>
                <w:color w:val="auto"/>
                <w:sz w:val="24"/>
                <w:vertAlign w:val="baseline"/>
                <w:lang w:val="en-US" w:eastAsia="zh-CN"/>
              </w:rPr>
              <w:t>——</w:t>
            </w:r>
            <w:r>
              <w:rPr>
                <w:rFonts w:hint="eastAsia"/>
                <w:color w:val="auto"/>
                <w:sz w:val="24"/>
                <w:lang w:val="en-US" w:eastAsia="zh-CN"/>
              </w:rPr>
              <w:t xml:space="preserve">第i次装卸过程的物料装卸量，t；计39.28。 </w:t>
            </w:r>
          </w:p>
          <w:p w14:paraId="68879EDD">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auto"/>
                <w:sz w:val="24"/>
                <w:vertAlign w:val="baseline"/>
                <w:lang w:val="en-US" w:eastAsia="zh-CN"/>
              </w:rPr>
            </w:pPr>
            <w:r>
              <w:rPr>
                <w:rFonts w:hint="eastAsia"/>
                <w:color w:val="auto"/>
                <w:sz w:val="24"/>
                <w:lang w:val="en-US" w:eastAsia="zh-CN"/>
              </w:rPr>
              <w:t>E</w:t>
            </w:r>
            <w:r>
              <w:rPr>
                <w:rFonts w:hint="eastAsia"/>
                <w:color w:val="auto"/>
                <w:sz w:val="24"/>
                <w:vertAlign w:val="subscript"/>
                <w:lang w:val="en-US" w:eastAsia="zh-CN"/>
              </w:rPr>
              <w:t>w</w:t>
            </w:r>
            <w:r>
              <w:rPr>
                <w:rFonts w:hint="eastAsia"/>
                <w:color w:val="auto"/>
                <w:sz w:val="24"/>
                <w:vertAlign w:val="baseline"/>
                <w:lang w:val="en-US" w:eastAsia="zh-CN"/>
              </w:rPr>
              <w:t>——</w:t>
            </w:r>
            <w:r>
              <w:rPr>
                <w:rFonts w:hint="eastAsia"/>
                <w:color w:val="auto"/>
                <w:sz w:val="24"/>
                <w:lang w:val="en-US" w:eastAsia="zh-CN"/>
              </w:rPr>
              <w:t>料堆受到风蚀作用的颗粒物排放系数，kg/m</w:t>
            </w:r>
            <w:r>
              <w:rPr>
                <w:rFonts w:hint="eastAsia"/>
                <w:color w:val="auto"/>
                <w:sz w:val="24"/>
                <w:vertAlign w:val="superscript"/>
                <w:lang w:val="en-US" w:eastAsia="zh-CN"/>
              </w:rPr>
              <w:t>2</w:t>
            </w:r>
            <w:r>
              <w:rPr>
                <w:rFonts w:hint="eastAsia"/>
                <w:color w:val="auto"/>
                <w:sz w:val="24"/>
                <w:vertAlign w:val="baseline"/>
                <w:lang w:val="en-US" w:eastAsia="zh-CN"/>
              </w:rPr>
              <w:t>；由于料场东西南三面遮挡，顶棚覆盖，且木垒县主导风向为南风，因此料堆收到风蚀作用较小，计为0。</w:t>
            </w:r>
          </w:p>
          <w:p w14:paraId="184A7B63">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auto"/>
                <w:sz w:val="24"/>
                <w:vertAlign w:val="baseline"/>
                <w:lang w:val="en-US" w:eastAsia="zh-CN"/>
              </w:rPr>
            </w:pPr>
            <w:r>
              <w:rPr>
                <w:rFonts w:hint="eastAsia"/>
                <w:color w:val="auto"/>
                <w:sz w:val="24"/>
                <w:lang w:val="en-US" w:eastAsia="zh-CN"/>
              </w:rPr>
              <w:t>A</w:t>
            </w:r>
            <w:r>
              <w:rPr>
                <w:rFonts w:hint="eastAsia"/>
                <w:color w:val="auto"/>
                <w:sz w:val="24"/>
                <w:vertAlign w:val="subscript"/>
                <w:lang w:val="en-US" w:eastAsia="zh-CN"/>
              </w:rPr>
              <w:t>Y</w:t>
            </w:r>
            <w:r>
              <w:rPr>
                <w:rFonts w:hint="eastAsia"/>
                <w:color w:val="auto"/>
                <w:sz w:val="24"/>
                <w:vertAlign w:val="baseline"/>
                <w:lang w:val="en-US" w:eastAsia="zh-CN"/>
              </w:rPr>
              <w:t>——</w:t>
            </w:r>
            <w:r>
              <w:rPr>
                <w:rFonts w:hint="eastAsia"/>
                <w:color w:val="auto"/>
                <w:sz w:val="24"/>
                <w:lang w:val="en-US" w:eastAsia="zh-CN"/>
              </w:rPr>
              <w:t>料堆表面积，m</w:t>
            </w:r>
            <w:r>
              <w:rPr>
                <w:rFonts w:hint="eastAsia"/>
                <w:color w:val="auto"/>
                <w:sz w:val="24"/>
                <w:vertAlign w:val="superscript"/>
                <w:lang w:val="en-US" w:eastAsia="zh-CN"/>
              </w:rPr>
              <w:t>2</w:t>
            </w:r>
            <w:r>
              <w:rPr>
                <w:rFonts w:hint="eastAsia"/>
                <w:color w:val="auto"/>
                <w:sz w:val="24"/>
                <w:vertAlign w:val="baseline"/>
                <w:lang w:val="en-US" w:eastAsia="zh-CN"/>
              </w:rPr>
              <w:t>；计2000</w:t>
            </w:r>
            <w:bookmarkStart w:id="7" w:name="_GoBack"/>
            <w:bookmarkEnd w:id="7"/>
            <w:r>
              <w:rPr>
                <w:rFonts w:hint="eastAsia"/>
                <w:color w:val="auto"/>
                <w:sz w:val="24"/>
                <w:vertAlign w:val="baseline"/>
                <w:lang w:val="en-US" w:eastAsia="zh-CN"/>
              </w:rPr>
              <w:t>。</w:t>
            </w:r>
          </w:p>
          <w:p w14:paraId="464A32EA">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auto"/>
                <w:sz w:val="24"/>
                <w:lang w:val="en-US" w:eastAsia="zh-CN"/>
              </w:rPr>
            </w:pPr>
            <w:r>
              <w:rPr>
                <w:rFonts w:hint="eastAsia"/>
                <w:color w:val="auto"/>
                <w:sz w:val="24"/>
                <w:lang w:val="en-US" w:eastAsia="zh-CN"/>
              </w:rPr>
              <w:t>堆场装卸运输过程的扬尘颗粒物排放系数的估算公式如下：</w:t>
            </w:r>
          </w:p>
          <w:p w14:paraId="034C9C2F">
            <w:pPr>
              <w:pStyle w:val="6"/>
              <w:ind w:left="0" w:leftChars="0" w:firstLine="0" w:firstLineChars="0"/>
              <w:jc w:val="center"/>
              <w:rPr>
                <w:rFonts w:hint="default"/>
                <w:lang w:val="en-US" w:eastAsia="zh-CN"/>
              </w:rPr>
            </w:pPr>
            <w:r>
              <w:drawing>
                <wp:inline distT="0" distB="0" distL="114300" distR="114300">
                  <wp:extent cx="3101340" cy="967740"/>
                  <wp:effectExtent l="0" t="0" r="3810"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101340" cy="967740"/>
                          </a:xfrm>
                          <a:prstGeom prst="rect">
                            <a:avLst/>
                          </a:prstGeom>
                          <a:noFill/>
                          <a:ln>
                            <a:noFill/>
                          </a:ln>
                        </pic:spPr>
                      </pic:pic>
                    </a:graphicData>
                  </a:graphic>
                </wp:inline>
              </w:drawing>
            </w:r>
          </w:p>
          <w:p w14:paraId="60A91BCF">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auto"/>
                <w:sz w:val="24"/>
                <w:lang w:val="en-US" w:eastAsia="zh-CN"/>
              </w:rPr>
            </w:pPr>
            <w:r>
              <w:rPr>
                <w:rFonts w:hint="eastAsia"/>
                <w:color w:val="auto"/>
                <w:sz w:val="24"/>
                <w:lang w:val="en-US" w:eastAsia="zh-CN"/>
              </w:rPr>
              <w:t>式中：</w:t>
            </w:r>
          </w:p>
          <w:p w14:paraId="73D46604">
            <w:pPr>
              <w:pStyle w:val="6"/>
              <w:ind w:left="0" w:leftChars="0" w:firstLine="480" w:firstLineChars="200"/>
              <w:rPr>
                <w:rStyle w:val="43"/>
                <w:rFonts w:hint="default" w:eastAsia="宋体" w:cs="Times New Roman"/>
                <w:color w:val="auto"/>
                <w:kern w:val="0"/>
                <w:lang w:val="en-US" w:eastAsia="zh-CN" w:bidi="ar-SA"/>
              </w:rPr>
            </w:pPr>
            <w:r>
              <w:rPr>
                <w:rStyle w:val="43"/>
                <w:rFonts w:hint="default" w:eastAsia="宋体" w:cs="Times New Roman"/>
                <w:color w:val="auto"/>
                <w:kern w:val="0"/>
                <w:lang w:val="en-US" w:eastAsia="zh-CN" w:bidi="ar-SA"/>
              </w:rPr>
              <w:t>E</w:t>
            </w:r>
            <w:r>
              <w:rPr>
                <w:rStyle w:val="43"/>
                <w:rFonts w:hint="default" w:eastAsia="宋体" w:cs="Times New Roman"/>
                <w:color w:val="auto"/>
                <w:kern w:val="0"/>
                <w:vertAlign w:val="subscript"/>
                <w:lang w:val="en-US" w:eastAsia="zh-CN" w:bidi="ar-SA"/>
              </w:rPr>
              <w:t>h</w:t>
            </w:r>
            <w:r>
              <w:rPr>
                <w:rStyle w:val="43"/>
                <w:rFonts w:hint="eastAsia" w:eastAsia="宋体" w:cs="Times New Roman"/>
                <w:color w:val="auto"/>
                <w:kern w:val="0"/>
                <w:vertAlign w:val="baseline"/>
                <w:lang w:val="en-US" w:eastAsia="zh-CN" w:bidi="ar-SA"/>
              </w:rPr>
              <w:t>——</w:t>
            </w:r>
            <w:r>
              <w:rPr>
                <w:rStyle w:val="43"/>
                <w:rFonts w:hint="default" w:eastAsia="宋体" w:cs="Times New Roman"/>
                <w:color w:val="auto"/>
                <w:kern w:val="0"/>
                <w:lang w:val="en-US" w:eastAsia="zh-CN" w:bidi="ar-SA"/>
              </w:rPr>
              <w:t>堆场装卸扬尘的排放系数，kg/t</w:t>
            </w:r>
            <w:r>
              <w:rPr>
                <w:rStyle w:val="43"/>
                <w:rFonts w:hint="eastAsia" w:eastAsia="宋体" w:cs="Times New Roman"/>
                <w:color w:val="auto"/>
                <w:kern w:val="0"/>
                <w:lang w:val="en-US" w:eastAsia="zh-CN" w:bidi="ar-SA"/>
              </w:rPr>
              <w:t>。</w:t>
            </w:r>
          </w:p>
          <w:p w14:paraId="60843E3D">
            <w:pPr>
              <w:pStyle w:val="6"/>
              <w:ind w:left="0" w:leftChars="0" w:firstLine="480" w:firstLineChars="200"/>
              <w:rPr>
                <w:rStyle w:val="43"/>
                <w:rFonts w:hint="default" w:eastAsia="宋体" w:cs="Times New Roman"/>
                <w:color w:val="auto"/>
                <w:kern w:val="0"/>
                <w:lang w:val="en-US" w:eastAsia="zh-CN" w:bidi="ar-SA"/>
              </w:rPr>
            </w:pPr>
            <w:r>
              <w:rPr>
                <w:rStyle w:val="43"/>
                <w:rFonts w:hint="default" w:eastAsia="宋体" w:cs="Times New Roman"/>
                <w:color w:val="auto"/>
                <w:kern w:val="0"/>
                <w:lang w:val="en-US" w:eastAsia="zh-CN" w:bidi="ar-SA"/>
              </w:rPr>
              <w:t>k</w:t>
            </w:r>
            <w:r>
              <w:rPr>
                <w:rStyle w:val="43"/>
                <w:rFonts w:hint="default" w:eastAsia="宋体" w:cs="Times New Roman"/>
                <w:color w:val="auto"/>
                <w:kern w:val="0"/>
                <w:vertAlign w:val="subscript"/>
                <w:lang w:val="en-US" w:eastAsia="zh-CN" w:bidi="ar-SA"/>
              </w:rPr>
              <w:t>i</w:t>
            </w:r>
            <w:r>
              <w:rPr>
                <w:rStyle w:val="43"/>
                <w:rFonts w:hint="eastAsia" w:eastAsia="宋体" w:cs="Times New Roman"/>
                <w:color w:val="auto"/>
                <w:kern w:val="0"/>
                <w:vertAlign w:val="baseline"/>
                <w:lang w:val="en-US" w:eastAsia="zh-CN" w:bidi="ar-SA"/>
              </w:rPr>
              <w:t>——</w:t>
            </w:r>
            <w:r>
              <w:rPr>
                <w:rStyle w:val="43"/>
                <w:rFonts w:hint="default" w:eastAsia="宋体" w:cs="Times New Roman"/>
                <w:color w:val="auto"/>
                <w:kern w:val="0"/>
                <w:lang w:val="en-US" w:eastAsia="zh-CN" w:bidi="ar-SA"/>
              </w:rPr>
              <w:t>物料的粒度乘数</w:t>
            </w:r>
            <w:r>
              <w:rPr>
                <w:rStyle w:val="43"/>
                <w:rFonts w:hint="eastAsia" w:eastAsia="宋体" w:cs="Times New Roman"/>
                <w:color w:val="auto"/>
                <w:kern w:val="0"/>
                <w:lang w:val="en-US" w:eastAsia="zh-CN" w:bidi="ar-SA"/>
              </w:rPr>
              <w:t>；计0.74</w:t>
            </w:r>
            <w:r>
              <w:rPr>
                <w:rFonts w:hint="eastAsia"/>
                <w:color w:val="auto"/>
                <w:sz w:val="24"/>
                <w:vertAlign w:val="baseline"/>
                <w:lang w:val="en-US" w:eastAsia="zh-CN"/>
              </w:rPr>
              <w:t>。</w:t>
            </w:r>
          </w:p>
          <w:p w14:paraId="4EA611AD">
            <w:pPr>
              <w:pStyle w:val="6"/>
              <w:ind w:left="0" w:leftChars="0" w:firstLine="480" w:firstLineChars="200"/>
              <w:rPr>
                <w:rStyle w:val="43"/>
                <w:rFonts w:hint="default" w:eastAsia="宋体" w:cs="Times New Roman"/>
                <w:color w:val="auto"/>
                <w:kern w:val="0"/>
                <w:lang w:val="en-US" w:eastAsia="zh-CN" w:bidi="ar-SA"/>
              </w:rPr>
            </w:pPr>
            <w:r>
              <w:rPr>
                <w:rStyle w:val="43"/>
                <w:rFonts w:hint="default" w:eastAsia="宋体" w:cs="Times New Roman"/>
                <w:color w:val="auto"/>
                <w:kern w:val="0"/>
                <w:lang w:val="en-US" w:eastAsia="zh-CN" w:bidi="ar-SA"/>
              </w:rPr>
              <w:t>u</w:t>
            </w:r>
            <w:r>
              <w:rPr>
                <w:rStyle w:val="43"/>
                <w:rFonts w:hint="eastAsia" w:eastAsia="宋体" w:cs="Times New Roman"/>
                <w:color w:val="auto"/>
                <w:kern w:val="0"/>
                <w:lang w:val="en-US" w:eastAsia="zh-CN" w:bidi="ar-SA"/>
              </w:rPr>
              <w:t>——</w:t>
            </w:r>
            <w:r>
              <w:rPr>
                <w:rStyle w:val="43"/>
                <w:rFonts w:hint="default" w:eastAsia="宋体" w:cs="Times New Roman"/>
                <w:color w:val="auto"/>
                <w:kern w:val="0"/>
                <w:lang w:val="en-US" w:eastAsia="zh-CN" w:bidi="ar-SA"/>
              </w:rPr>
              <w:t>地面平均风速，m/s</w:t>
            </w:r>
            <w:r>
              <w:rPr>
                <w:rStyle w:val="43"/>
                <w:rFonts w:hint="eastAsia" w:eastAsia="宋体" w:cs="Times New Roman"/>
                <w:color w:val="auto"/>
                <w:kern w:val="0"/>
                <w:lang w:val="en-US" w:eastAsia="zh-CN" w:bidi="ar-SA"/>
              </w:rPr>
              <w:t>；平均风速2~4</w:t>
            </w:r>
            <w:r>
              <w:rPr>
                <w:rStyle w:val="43"/>
                <w:rFonts w:hint="default" w:eastAsia="宋体" w:cs="Times New Roman"/>
                <w:color w:val="auto"/>
                <w:kern w:val="0"/>
                <w:lang w:val="en-US" w:eastAsia="zh-CN" w:bidi="ar-SA"/>
              </w:rPr>
              <w:t xml:space="preserve"> m/s</w:t>
            </w:r>
            <w:r>
              <w:rPr>
                <w:rStyle w:val="43"/>
                <w:rFonts w:hint="eastAsia" w:eastAsia="宋体" w:cs="Times New Roman"/>
                <w:color w:val="auto"/>
                <w:kern w:val="0"/>
                <w:lang w:val="en-US" w:eastAsia="zh-CN" w:bidi="ar-SA"/>
              </w:rPr>
              <w:t>，取3</w:t>
            </w:r>
            <w:r>
              <w:rPr>
                <w:rFonts w:hint="eastAsia"/>
                <w:color w:val="auto"/>
                <w:sz w:val="24"/>
                <w:vertAlign w:val="baseline"/>
                <w:lang w:val="en-US" w:eastAsia="zh-CN"/>
              </w:rPr>
              <w:t>。</w:t>
            </w:r>
          </w:p>
          <w:p w14:paraId="28652273">
            <w:pPr>
              <w:pStyle w:val="6"/>
              <w:ind w:left="0" w:leftChars="0" w:firstLine="480" w:firstLineChars="200"/>
              <w:rPr>
                <w:rStyle w:val="43"/>
                <w:rFonts w:hint="default" w:eastAsia="宋体" w:cs="Times New Roman"/>
                <w:color w:val="auto"/>
                <w:kern w:val="0"/>
                <w:lang w:val="en-US" w:eastAsia="zh-CN" w:bidi="ar-SA"/>
              </w:rPr>
            </w:pPr>
            <w:r>
              <w:rPr>
                <w:rStyle w:val="43"/>
                <w:rFonts w:hint="default" w:eastAsia="宋体" w:cs="Times New Roman"/>
                <w:color w:val="auto"/>
                <w:kern w:val="0"/>
                <w:lang w:val="en-US" w:eastAsia="zh-CN" w:bidi="ar-SA"/>
              </w:rPr>
              <w:t>M</w:t>
            </w:r>
            <w:r>
              <w:rPr>
                <w:rStyle w:val="43"/>
                <w:rFonts w:hint="eastAsia" w:eastAsia="宋体" w:cs="Times New Roman"/>
                <w:color w:val="auto"/>
                <w:kern w:val="0"/>
                <w:lang w:val="en-US" w:eastAsia="zh-CN" w:bidi="ar-SA"/>
              </w:rPr>
              <w:t>——</w:t>
            </w:r>
            <w:r>
              <w:rPr>
                <w:rStyle w:val="43"/>
                <w:rFonts w:hint="default" w:eastAsia="宋体" w:cs="Times New Roman"/>
                <w:color w:val="auto"/>
                <w:kern w:val="0"/>
                <w:lang w:val="en-US" w:eastAsia="zh-CN" w:bidi="ar-SA"/>
              </w:rPr>
              <w:t>物料含水率，</w:t>
            </w:r>
            <w:r>
              <w:rPr>
                <w:rStyle w:val="43"/>
                <w:rFonts w:hint="eastAsia" w:eastAsia="宋体" w:cs="Times New Roman"/>
                <w:color w:val="auto"/>
                <w:kern w:val="0"/>
                <w:lang w:val="en-US" w:eastAsia="zh-CN" w:bidi="ar-SA"/>
              </w:rPr>
              <w:t>%；计2.5</w:t>
            </w:r>
            <w:r>
              <w:rPr>
                <w:rFonts w:hint="eastAsia"/>
                <w:color w:val="auto"/>
                <w:sz w:val="24"/>
                <w:vertAlign w:val="baseline"/>
                <w:lang w:val="en-US" w:eastAsia="zh-CN"/>
              </w:rPr>
              <w:t>。</w:t>
            </w:r>
          </w:p>
          <w:p w14:paraId="0B05EBB7">
            <w:pPr>
              <w:pStyle w:val="6"/>
              <w:ind w:left="0" w:leftChars="0" w:firstLine="480" w:firstLineChars="200"/>
              <w:rPr>
                <w:rFonts w:hint="default"/>
                <w:lang w:val="en-US" w:eastAsia="zh-CN"/>
              </w:rPr>
            </w:pPr>
            <w:r>
              <w:rPr>
                <w:rStyle w:val="43"/>
                <w:rFonts w:hint="eastAsia" w:eastAsia="宋体" w:cs="Times New Roman"/>
                <w:color w:val="auto"/>
                <w:kern w:val="0"/>
                <w:lang w:val="en-US" w:eastAsia="zh-CN" w:bidi="ar-SA"/>
              </w:rPr>
              <w:t>η——</w:t>
            </w:r>
            <w:r>
              <w:rPr>
                <w:rStyle w:val="43"/>
                <w:rFonts w:hint="default" w:eastAsia="宋体" w:cs="Times New Roman"/>
                <w:color w:val="auto"/>
                <w:kern w:val="0"/>
                <w:lang w:val="en-US" w:eastAsia="zh-CN" w:bidi="ar-SA"/>
              </w:rPr>
              <w:t>污染控制技术对扬尘的去除效率，%</w:t>
            </w:r>
            <w:r>
              <w:rPr>
                <w:rStyle w:val="43"/>
                <w:rFonts w:hint="eastAsia" w:eastAsia="宋体" w:cs="Times New Roman"/>
                <w:color w:val="auto"/>
                <w:kern w:val="0"/>
                <w:lang w:val="en-US" w:eastAsia="zh-CN" w:bidi="ar-SA"/>
              </w:rPr>
              <w:t>；计90</w:t>
            </w:r>
            <w:r>
              <w:rPr>
                <w:rFonts w:hint="eastAsia"/>
                <w:color w:val="auto"/>
                <w:sz w:val="24"/>
                <w:vertAlign w:val="baseline"/>
                <w:lang w:val="en-US" w:eastAsia="zh-CN"/>
              </w:rPr>
              <w:t>。</w:t>
            </w:r>
          </w:p>
          <w:p w14:paraId="6EC9F0EC">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Style w:val="43"/>
                <w:rFonts w:hint="default"/>
                <w:color w:val="auto"/>
                <w:sz w:val="24"/>
                <w:szCs w:val="24"/>
                <w:lang w:val="en-US" w:eastAsia="zh-CN"/>
              </w:rPr>
            </w:pPr>
            <w:r>
              <w:rPr>
                <w:rFonts w:hint="eastAsia"/>
                <w:color w:val="auto"/>
                <w:sz w:val="24"/>
                <w:lang w:val="en-US" w:eastAsia="zh-CN"/>
              </w:rPr>
              <w:t>根据上公式计算，物料堆存过程产生的颗粒物为0.037</w:t>
            </w:r>
            <w:r>
              <w:rPr>
                <w:rFonts w:hint="eastAsia"/>
                <w:color w:val="auto"/>
                <w:sz w:val="24"/>
                <w:highlight w:val="none"/>
                <w:lang w:val="en-US" w:eastAsia="zh-CN"/>
              </w:rPr>
              <w:t>t/a</w:t>
            </w:r>
            <w:r>
              <w:rPr>
                <w:rFonts w:hint="eastAsia"/>
                <w:color w:val="auto"/>
                <w:sz w:val="24"/>
                <w:vertAlign w:val="baseline"/>
                <w:lang w:val="en-US" w:eastAsia="zh-CN"/>
              </w:rPr>
              <w:t>。</w:t>
            </w:r>
          </w:p>
          <w:p w14:paraId="1C4A43CF">
            <w:pPr>
              <w:snapToGrid w:val="0"/>
              <w:spacing w:line="360" w:lineRule="auto"/>
              <w:rPr>
                <w:rStyle w:val="43"/>
                <w:rFonts w:hint="eastAsia"/>
                <w:color w:val="auto"/>
                <w:sz w:val="24"/>
                <w:szCs w:val="24"/>
                <w:lang w:val="en-US" w:eastAsia="zh-CN"/>
              </w:rPr>
            </w:pPr>
            <w:r>
              <w:rPr>
                <w:rStyle w:val="43"/>
                <w:rFonts w:hint="eastAsia"/>
                <w:color w:val="auto"/>
                <w:sz w:val="24"/>
                <w:szCs w:val="24"/>
                <w:lang w:val="en-US" w:eastAsia="zh-CN"/>
              </w:rPr>
              <w:t>本项目砂石料堆场要求地面全部硬化，砂石料场采取三面彩钢板围挡，钢结构拱形顶棚，项目原料采用篷布覆盖，并定期洒</w:t>
            </w:r>
            <w:r>
              <w:rPr>
                <w:rStyle w:val="43"/>
                <w:rFonts w:hint="eastAsia" w:eastAsia="宋体" w:cs="Times New Roman"/>
                <w:color w:val="auto"/>
                <w:sz w:val="24"/>
                <w:szCs w:val="24"/>
                <w:lang w:val="en-US" w:eastAsia="zh-CN"/>
              </w:rPr>
              <w:t>水降尘，颗粒物控制措施控制效率可达到90%，堆场类型为半封闭式，控制效率可达60%，经上述公式计算粉</w:t>
            </w:r>
            <w:r>
              <w:rPr>
                <w:rStyle w:val="43"/>
                <w:rFonts w:hint="eastAsia"/>
                <w:color w:val="auto"/>
                <w:sz w:val="24"/>
                <w:szCs w:val="24"/>
                <w:lang w:val="en-US" w:eastAsia="zh-CN"/>
              </w:rPr>
              <w:t>尘无组织排放量为0.037t/a。环评要求对于物料装卸过程中产生的扬尘，要加强管理，定期洒水降尘，采用定点装卸，在装卸原料时应尽量平缓，减少粉尘的散出。同时建设单位制定严格操作规程，加强管理，健全文明生产制度并落实，加强绿化，改善厂区内环境，尽可能减少无组织排放量。</w:t>
            </w:r>
          </w:p>
          <w:p w14:paraId="2382C624">
            <w:pPr>
              <w:snapToGrid w:val="0"/>
              <w:spacing w:line="360" w:lineRule="auto"/>
              <w:rPr>
                <w:b/>
                <w:bCs/>
                <w:color w:val="auto"/>
                <w:sz w:val="24"/>
                <w:szCs w:val="22"/>
              </w:rPr>
            </w:pPr>
            <w:r>
              <w:rPr>
                <w:rFonts w:hint="eastAsia"/>
                <w:b/>
                <w:bCs/>
                <w:color w:val="auto"/>
                <w:sz w:val="24"/>
                <w:szCs w:val="22"/>
              </w:rPr>
              <w:t>1.1.4</w:t>
            </w:r>
            <w:r>
              <w:rPr>
                <w:b/>
                <w:bCs/>
                <w:color w:val="auto"/>
                <w:sz w:val="24"/>
                <w:szCs w:val="22"/>
              </w:rPr>
              <w:t>运输车辆道路扬尘</w:t>
            </w:r>
          </w:p>
          <w:p w14:paraId="34B2E70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汽车道路扬尘量按经验公式估算：</w:t>
            </w:r>
          </w:p>
          <w:p w14:paraId="03883AFD">
            <w:pPr>
              <w:widowControl/>
              <w:jc w:val="center"/>
              <w:rPr>
                <w:color w:val="auto"/>
              </w:rPr>
            </w:pPr>
            <w:r>
              <w:rPr>
                <w:color w:val="auto"/>
                <w:kern w:val="0"/>
                <w:sz w:val="24"/>
              </w:rPr>
              <w:drawing>
                <wp:inline distT="0" distB="0" distL="114300" distR="114300">
                  <wp:extent cx="2115820" cy="547370"/>
                  <wp:effectExtent l="0" t="0" r="17780" b="5080"/>
                  <wp:docPr id="2" name="图片 3" descr="IMG_256"/>
                  <wp:cNvGraphicFramePr/>
                  <a:graphic xmlns:a="http://schemas.openxmlformats.org/drawingml/2006/main">
                    <a:graphicData uri="http://schemas.openxmlformats.org/drawingml/2006/picture">
                      <pic:pic xmlns:pic="http://schemas.openxmlformats.org/drawingml/2006/picture">
                        <pic:nvPicPr>
                          <pic:cNvPr id="2" name="图片 3" descr="IMG_256"/>
                          <pic:cNvPicPr/>
                        </pic:nvPicPr>
                        <pic:blipFill>
                          <a:blip r:embed="rId11"/>
                          <a:stretch>
                            <a:fillRect/>
                          </a:stretch>
                        </pic:blipFill>
                        <pic:spPr>
                          <a:xfrm>
                            <a:off x="0" y="0"/>
                            <a:ext cx="2115820" cy="547370"/>
                          </a:xfrm>
                          <a:prstGeom prst="rect">
                            <a:avLst/>
                          </a:prstGeom>
                          <a:noFill/>
                          <a:ln>
                            <a:noFill/>
                          </a:ln>
                        </pic:spPr>
                      </pic:pic>
                    </a:graphicData>
                  </a:graphic>
                </wp:inline>
              </w:drawing>
            </w:r>
          </w:p>
          <w:p w14:paraId="054D2260">
            <w:pPr>
              <w:snapToGrid w:val="0"/>
              <w:spacing w:line="360" w:lineRule="auto"/>
              <w:ind w:firstLine="480" w:firstLineChars="200"/>
              <w:rPr>
                <w:bCs/>
                <w:color w:val="auto"/>
                <w:kern w:val="24"/>
                <w:sz w:val="24"/>
              </w:rPr>
            </w:pPr>
            <w:r>
              <w:rPr>
                <w:bCs/>
                <w:color w:val="auto"/>
                <w:kern w:val="24"/>
                <w:sz w:val="24"/>
              </w:rPr>
              <w:t>式中：Q</w:t>
            </w:r>
            <w:r>
              <w:rPr>
                <w:rFonts w:hint="eastAsia"/>
                <w:bCs/>
                <w:color w:val="auto"/>
                <w:kern w:val="24"/>
                <w:sz w:val="24"/>
              </w:rPr>
              <w:t>--</w:t>
            </w:r>
            <w:r>
              <w:rPr>
                <w:bCs/>
                <w:color w:val="auto"/>
                <w:kern w:val="24"/>
                <w:sz w:val="24"/>
              </w:rPr>
              <w:t xml:space="preserve"> 汽车行驶的扬尘量，kg/km·辆；</w:t>
            </w:r>
          </w:p>
          <w:p w14:paraId="5BEC01B7">
            <w:pPr>
              <w:snapToGrid w:val="0"/>
              <w:spacing w:line="360" w:lineRule="auto"/>
              <w:ind w:firstLine="1200" w:firstLineChars="500"/>
              <w:rPr>
                <w:bCs/>
                <w:color w:val="auto"/>
                <w:kern w:val="24"/>
                <w:sz w:val="24"/>
              </w:rPr>
            </w:pPr>
            <w:r>
              <w:rPr>
                <w:bCs/>
                <w:color w:val="auto"/>
                <w:kern w:val="24"/>
                <w:sz w:val="24"/>
              </w:rPr>
              <w:t>V</w:t>
            </w:r>
            <w:r>
              <w:rPr>
                <w:rFonts w:hint="eastAsia"/>
                <w:bCs/>
                <w:color w:val="auto"/>
                <w:kern w:val="24"/>
                <w:sz w:val="24"/>
              </w:rPr>
              <w:t>--</w:t>
            </w:r>
            <w:r>
              <w:rPr>
                <w:bCs/>
                <w:color w:val="auto"/>
                <w:kern w:val="24"/>
                <w:sz w:val="24"/>
              </w:rPr>
              <w:t xml:space="preserve"> 汽车速度，km/h；</w:t>
            </w:r>
          </w:p>
          <w:p w14:paraId="038C6D5E">
            <w:pPr>
              <w:snapToGrid w:val="0"/>
              <w:spacing w:line="360" w:lineRule="auto"/>
              <w:ind w:firstLine="1200" w:firstLineChars="500"/>
              <w:rPr>
                <w:bCs/>
                <w:color w:val="auto"/>
                <w:kern w:val="24"/>
                <w:sz w:val="24"/>
              </w:rPr>
            </w:pPr>
            <w:r>
              <w:rPr>
                <w:bCs/>
                <w:color w:val="auto"/>
                <w:kern w:val="24"/>
                <w:sz w:val="24"/>
              </w:rPr>
              <w:t>W</w:t>
            </w:r>
            <w:r>
              <w:rPr>
                <w:rFonts w:hint="eastAsia"/>
                <w:bCs/>
                <w:color w:val="auto"/>
                <w:kern w:val="24"/>
                <w:sz w:val="24"/>
              </w:rPr>
              <w:t>--</w:t>
            </w:r>
            <w:r>
              <w:rPr>
                <w:bCs/>
                <w:color w:val="auto"/>
                <w:kern w:val="24"/>
                <w:sz w:val="24"/>
              </w:rPr>
              <w:t xml:space="preserve"> 汽车载重量，t；</w:t>
            </w:r>
          </w:p>
          <w:p w14:paraId="0065239C">
            <w:pPr>
              <w:snapToGrid w:val="0"/>
              <w:spacing w:line="360" w:lineRule="auto"/>
              <w:ind w:firstLine="1200" w:firstLineChars="500"/>
              <w:rPr>
                <w:rFonts w:hint="default" w:eastAsia="宋体"/>
                <w:bCs/>
                <w:color w:val="auto"/>
                <w:kern w:val="24"/>
                <w:sz w:val="24"/>
                <w:lang w:val="en-US" w:eastAsia="zh-CN"/>
              </w:rPr>
            </w:pPr>
            <w:r>
              <w:rPr>
                <w:bCs/>
                <w:color w:val="auto"/>
                <w:kern w:val="24"/>
                <w:sz w:val="24"/>
              </w:rPr>
              <w:t>P</w:t>
            </w:r>
            <w:r>
              <w:rPr>
                <w:rFonts w:hint="eastAsia"/>
                <w:bCs/>
                <w:color w:val="auto"/>
                <w:kern w:val="24"/>
                <w:sz w:val="24"/>
              </w:rPr>
              <w:t>--</w:t>
            </w:r>
            <w:r>
              <w:rPr>
                <w:bCs/>
                <w:color w:val="auto"/>
                <w:kern w:val="24"/>
                <w:sz w:val="24"/>
              </w:rPr>
              <w:t xml:space="preserve"> 道路表面粉尘量，kg/m</w:t>
            </w:r>
            <w:r>
              <w:rPr>
                <w:bCs/>
                <w:color w:val="auto"/>
                <w:kern w:val="24"/>
                <w:sz w:val="24"/>
                <w:vertAlign w:val="superscript"/>
              </w:rPr>
              <w:t>2</w:t>
            </w:r>
            <w:r>
              <w:rPr>
                <w:bCs/>
                <w:color w:val="auto"/>
                <w:kern w:val="24"/>
                <w:sz w:val="24"/>
              </w:rPr>
              <w:t xml:space="preserve"> 。</w:t>
            </w:r>
            <w:r>
              <w:rPr>
                <w:rFonts w:hint="eastAsia"/>
                <w:bCs/>
                <w:color w:val="auto"/>
                <w:kern w:val="24"/>
                <w:sz w:val="24"/>
                <w:lang w:val="en-US" w:eastAsia="zh-CN"/>
              </w:rPr>
              <w:t>取0.2</w:t>
            </w:r>
          </w:p>
          <w:p w14:paraId="6CBD92D8">
            <w:pPr>
              <w:pStyle w:val="41"/>
              <w:wordWrap w:val="0"/>
              <w:topLinePunct/>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运输车辆在厂区内行驶的距离为100m，</w:t>
            </w:r>
            <w:r>
              <w:rPr>
                <w:rFonts w:hint="eastAsia" w:cs="Times New Roman"/>
                <w:color w:val="auto"/>
                <w:kern w:val="0"/>
                <w:sz w:val="24"/>
                <w:szCs w:val="24"/>
                <w:lang w:val="en-US" w:eastAsia="zh-CN" w:bidi="ar-SA"/>
              </w:rPr>
              <w:t>车的均速为10km/h，车的平均质量为40t，经计算</w:t>
            </w:r>
            <w:r>
              <w:rPr>
                <w:rFonts w:ascii="Times New Roman" w:hAnsi="Times New Roman" w:eastAsia="宋体" w:cs="Times New Roman"/>
                <w:color w:val="auto"/>
                <w:kern w:val="0"/>
                <w:sz w:val="24"/>
                <w:szCs w:val="24"/>
                <w:lang w:val="en-US" w:eastAsia="zh-CN" w:bidi="ar-SA"/>
              </w:rPr>
              <w:t>汽车扬尘量按照</w:t>
            </w:r>
            <w:r>
              <w:rPr>
                <w:rFonts w:hint="eastAsia" w:ascii="Times New Roman" w:hAnsi="Times New Roman" w:eastAsia="宋体" w:cs="Times New Roman"/>
                <w:color w:val="auto"/>
                <w:kern w:val="0"/>
                <w:sz w:val="24"/>
                <w:szCs w:val="24"/>
                <w:lang w:val="en-US" w:eastAsia="zh-CN" w:bidi="ar-SA"/>
              </w:rPr>
              <w:t>0.56</w:t>
            </w:r>
            <w:r>
              <w:rPr>
                <w:rFonts w:ascii="Times New Roman" w:hAnsi="Times New Roman" w:eastAsia="宋体" w:cs="Times New Roman"/>
                <w:color w:val="auto"/>
                <w:kern w:val="0"/>
                <w:sz w:val="24"/>
                <w:szCs w:val="24"/>
                <w:lang w:val="en-US" w:eastAsia="zh-CN" w:bidi="ar-SA"/>
              </w:rPr>
              <w:t>kg（kg/km·辆）计。则汽车在厂区内行驶过程的扬尘量见表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1</w:t>
            </w:r>
            <w:r>
              <w:rPr>
                <w:rFonts w:ascii="Times New Roman" w:hAnsi="Times New Roman" w:eastAsia="宋体" w:cs="Times New Roman"/>
                <w:color w:val="auto"/>
                <w:kern w:val="0"/>
                <w:sz w:val="24"/>
                <w:szCs w:val="24"/>
                <w:lang w:val="en-US" w:eastAsia="zh-CN" w:bidi="ar-SA"/>
              </w:rPr>
              <w:t>。</w:t>
            </w:r>
          </w:p>
          <w:p w14:paraId="46EB2E21">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4-</w:t>
            </w:r>
            <w:r>
              <w:rPr>
                <w:rFonts w:hint="eastAsia" w:cs="Times New Roman"/>
                <w:color w:val="auto"/>
                <w:lang w:val="en-US" w:eastAsia="zh-CN"/>
              </w:rPr>
              <w:t>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车辆行驶扬尘量</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637"/>
              <w:gridCol w:w="1639"/>
              <w:gridCol w:w="1639"/>
              <w:gridCol w:w="1639"/>
            </w:tblGrid>
            <w:tr w14:paraId="6235C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4" w:type="pct"/>
                  <w:tcBorders>
                    <w:bottom w:val="single" w:color="auto" w:sz="12" w:space="0"/>
                  </w:tcBorders>
                  <w:vAlign w:val="center"/>
                </w:tcPr>
                <w:p w14:paraId="6465290D">
                  <w:pPr>
                    <w:pStyle w:val="36"/>
                    <w:rPr>
                      <w:b/>
                      <w:bCs/>
                      <w:color w:val="auto"/>
                      <w:sz w:val="21"/>
                      <w:szCs w:val="21"/>
                    </w:rPr>
                  </w:pPr>
                  <w:r>
                    <w:rPr>
                      <w:b/>
                      <w:bCs/>
                      <w:color w:val="auto"/>
                      <w:sz w:val="21"/>
                      <w:szCs w:val="21"/>
                    </w:rPr>
                    <w:t>项目</w:t>
                  </w:r>
                </w:p>
              </w:tc>
              <w:tc>
                <w:tcPr>
                  <w:tcW w:w="1030" w:type="pct"/>
                  <w:tcBorders>
                    <w:bottom w:val="single" w:color="auto" w:sz="12" w:space="0"/>
                  </w:tcBorders>
                  <w:vAlign w:val="center"/>
                </w:tcPr>
                <w:p w14:paraId="7B4196DD">
                  <w:pPr>
                    <w:pStyle w:val="36"/>
                    <w:rPr>
                      <w:b/>
                      <w:bCs/>
                      <w:color w:val="auto"/>
                      <w:sz w:val="21"/>
                      <w:szCs w:val="21"/>
                    </w:rPr>
                  </w:pPr>
                  <w:r>
                    <w:rPr>
                      <w:b/>
                      <w:bCs/>
                      <w:color w:val="auto"/>
                      <w:sz w:val="21"/>
                      <w:szCs w:val="21"/>
                    </w:rPr>
                    <w:t>运输量</w:t>
                  </w:r>
                </w:p>
              </w:tc>
              <w:tc>
                <w:tcPr>
                  <w:tcW w:w="1031" w:type="pct"/>
                  <w:tcBorders>
                    <w:bottom w:val="single" w:color="auto" w:sz="12" w:space="0"/>
                  </w:tcBorders>
                  <w:vAlign w:val="center"/>
                </w:tcPr>
                <w:p w14:paraId="6BED522D">
                  <w:pPr>
                    <w:pStyle w:val="36"/>
                    <w:rPr>
                      <w:b/>
                      <w:bCs/>
                      <w:color w:val="auto"/>
                      <w:sz w:val="21"/>
                      <w:szCs w:val="21"/>
                    </w:rPr>
                  </w:pPr>
                  <w:r>
                    <w:rPr>
                      <w:b/>
                      <w:bCs/>
                      <w:color w:val="auto"/>
                      <w:sz w:val="21"/>
                      <w:szCs w:val="21"/>
                    </w:rPr>
                    <w:t>单次运输量</w:t>
                  </w:r>
                </w:p>
              </w:tc>
              <w:tc>
                <w:tcPr>
                  <w:tcW w:w="1031" w:type="pct"/>
                  <w:tcBorders>
                    <w:bottom w:val="single" w:color="auto" w:sz="12" w:space="0"/>
                  </w:tcBorders>
                  <w:vAlign w:val="center"/>
                </w:tcPr>
                <w:p w14:paraId="72A20971">
                  <w:pPr>
                    <w:pStyle w:val="36"/>
                    <w:rPr>
                      <w:b/>
                      <w:bCs/>
                      <w:color w:val="auto"/>
                      <w:sz w:val="21"/>
                      <w:szCs w:val="21"/>
                    </w:rPr>
                  </w:pPr>
                  <w:r>
                    <w:rPr>
                      <w:b/>
                      <w:bCs/>
                      <w:color w:val="auto"/>
                      <w:sz w:val="21"/>
                      <w:szCs w:val="21"/>
                    </w:rPr>
                    <w:t>运输次数（次）</w:t>
                  </w:r>
                </w:p>
              </w:tc>
              <w:tc>
                <w:tcPr>
                  <w:tcW w:w="1031" w:type="pct"/>
                  <w:tcBorders>
                    <w:bottom w:val="single" w:color="auto" w:sz="12" w:space="0"/>
                  </w:tcBorders>
                  <w:vAlign w:val="center"/>
                </w:tcPr>
                <w:p w14:paraId="6C7E3979">
                  <w:pPr>
                    <w:pStyle w:val="36"/>
                    <w:rPr>
                      <w:b/>
                      <w:bCs/>
                      <w:color w:val="auto"/>
                      <w:sz w:val="21"/>
                      <w:szCs w:val="21"/>
                    </w:rPr>
                  </w:pPr>
                  <w:r>
                    <w:rPr>
                      <w:b/>
                      <w:bCs/>
                      <w:color w:val="auto"/>
                      <w:sz w:val="21"/>
                      <w:szCs w:val="21"/>
                    </w:rPr>
                    <w:t>扬尘量（t）</w:t>
                  </w:r>
                </w:p>
              </w:tc>
            </w:tr>
            <w:tr w14:paraId="57B3D5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4" w:type="pct"/>
                  <w:tcBorders>
                    <w:top w:val="single" w:color="auto" w:sz="12" w:space="0"/>
                    <w:tl2br w:val="nil"/>
                    <w:tr2bl w:val="nil"/>
                  </w:tcBorders>
                  <w:vAlign w:val="center"/>
                </w:tcPr>
                <w:p w14:paraId="2FBE660B">
                  <w:pPr>
                    <w:pStyle w:val="36"/>
                    <w:rPr>
                      <w:color w:val="auto"/>
                      <w:sz w:val="21"/>
                      <w:szCs w:val="21"/>
                    </w:rPr>
                  </w:pPr>
                  <w:r>
                    <w:rPr>
                      <w:color w:val="auto"/>
                      <w:sz w:val="21"/>
                      <w:szCs w:val="21"/>
                    </w:rPr>
                    <w:t>成品混凝土</w:t>
                  </w:r>
                </w:p>
              </w:tc>
              <w:tc>
                <w:tcPr>
                  <w:tcW w:w="1030" w:type="pct"/>
                  <w:tcBorders>
                    <w:top w:val="single" w:color="auto" w:sz="12" w:space="0"/>
                    <w:tl2br w:val="nil"/>
                    <w:tr2bl w:val="nil"/>
                  </w:tcBorders>
                  <w:vAlign w:val="center"/>
                </w:tcPr>
                <w:p w14:paraId="18DE1B75">
                  <w:pPr>
                    <w:pStyle w:val="36"/>
                    <w:rPr>
                      <w:color w:val="auto"/>
                      <w:sz w:val="21"/>
                      <w:szCs w:val="21"/>
                    </w:rPr>
                  </w:pPr>
                  <w:r>
                    <w:rPr>
                      <w:rFonts w:hint="eastAsia"/>
                      <w:color w:val="auto"/>
                      <w:sz w:val="21"/>
                      <w:szCs w:val="21"/>
                      <w:lang w:val="en-US" w:eastAsia="zh-CN"/>
                    </w:rPr>
                    <w:t>2</w:t>
                  </w:r>
                  <w:r>
                    <w:rPr>
                      <w:rFonts w:hint="eastAsia"/>
                      <w:color w:val="auto"/>
                      <w:sz w:val="21"/>
                      <w:szCs w:val="21"/>
                    </w:rPr>
                    <w:t>0万m</w:t>
                  </w:r>
                  <w:r>
                    <w:rPr>
                      <w:rFonts w:hint="eastAsia"/>
                      <w:color w:val="auto"/>
                      <w:sz w:val="21"/>
                      <w:szCs w:val="21"/>
                      <w:vertAlign w:val="superscript"/>
                    </w:rPr>
                    <w:t>3</w:t>
                  </w:r>
                  <w:r>
                    <w:rPr>
                      <w:color w:val="auto"/>
                      <w:sz w:val="21"/>
                      <w:szCs w:val="21"/>
                    </w:rPr>
                    <w:t>/a</w:t>
                  </w:r>
                </w:p>
              </w:tc>
              <w:tc>
                <w:tcPr>
                  <w:tcW w:w="1031" w:type="pct"/>
                  <w:tcBorders>
                    <w:top w:val="single" w:color="auto" w:sz="12" w:space="0"/>
                    <w:tl2br w:val="nil"/>
                    <w:tr2bl w:val="nil"/>
                  </w:tcBorders>
                  <w:vAlign w:val="center"/>
                </w:tcPr>
                <w:p w14:paraId="18FA1633">
                  <w:pPr>
                    <w:pStyle w:val="36"/>
                    <w:rPr>
                      <w:color w:val="auto"/>
                      <w:sz w:val="21"/>
                      <w:szCs w:val="21"/>
                    </w:rPr>
                  </w:pPr>
                  <w:r>
                    <w:rPr>
                      <w:color w:val="auto"/>
                      <w:sz w:val="21"/>
                      <w:szCs w:val="21"/>
                    </w:rPr>
                    <w:t>20m</w:t>
                  </w:r>
                  <w:r>
                    <w:rPr>
                      <w:color w:val="auto"/>
                      <w:sz w:val="21"/>
                      <w:szCs w:val="21"/>
                      <w:vertAlign w:val="superscript"/>
                    </w:rPr>
                    <w:t>3</w:t>
                  </w:r>
                </w:p>
              </w:tc>
              <w:tc>
                <w:tcPr>
                  <w:tcW w:w="1639" w:type="dxa"/>
                  <w:tcBorders>
                    <w:top w:val="single" w:color="auto" w:sz="12" w:space="0"/>
                    <w:tl2br w:val="nil"/>
                    <w:tr2bl w:val="nil"/>
                  </w:tcBorders>
                  <w:vAlign w:val="center"/>
                </w:tcPr>
                <w:p w14:paraId="09B56E2C">
                  <w:pPr>
                    <w:widowControl/>
                    <w:jc w:val="center"/>
                    <w:textAlignment w:val="center"/>
                    <w:rPr>
                      <w:color w:val="auto"/>
                      <w:sz w:val="21"/>
                      <w:szCs w:val="21"/>
                    </w:rPr>
                  </w:pPr>
                  <w:r>
                    <w:rPr>
                      <w:rFonts w:hint="eastAsia"/>
                      <w:color w:val="auto"/>
                      <w:kern w:val="0"/>
                      <w:sz w:val="21"/>
                      <w:szCs w:val="21"/>
                      <w:lang w:val="en-US" w:eastAsia="zh-CN" w:bidi="ar"/>
                    </w:rPr>
                    <w:t>2</w:t>
                  </w:r>
                  <w:r>
                    <w:rPr>
                      <w:color w:val="auto"/>
                      <w:kern w:val="0"/>
                      <w:sz w:val="21"/>
                      <w:szCs w:val="21"/>
                      <w:lang w:bidi="ar"/>
                    </w:rPr>
                    <w:t>0000</w:t>
                  </w:r>
                </w:p>
              </w:tc>
              <w:tc>
                <w:tcPr>
                  <w:tcW w:w="1639" w:type="dxa"/>
                  <w:tcBorders>
                    <w:top w:val="single" w:color="auto" w:sz="12" w:space="0"/>
                    <w:tl2br w:val="nil"/>
                    <w:tr2bl w:val="nil"/>
                  </w:tcBorders>
                  <w:vAlign w:val="center"/>
                </w:tcPr>
                <w:p w14:paraId="197A6FA8">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1.12</w:t>
                  </w:r>
                </w:p>
              </w:tc>
            </w:tr>
            <w:tr w14:paraId="7D019A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89" w:type="dxa"/>
                  <w:tcBorders>
                    <w:tl2br w:val="nil"/>
                    <w:tr2bl w:val="nil"/>
                  </w:tcBorders>
                  <w:vAlign w:val="center"/>
                </w:tcPr>
                <w:p w14:paraId="354AFFBF">
                  <w:pPr>
                    <w:adjustRightInd w:val="0"/>
                    <w:snapToGrid w:val="0"/>
                    <w:jc w:val="center"/>
                    <w:rPr>
                      <w:color w:val="auto"/>
                      <w:sz w:val="21"/>
                      <w:szCs w:val="21"/>
                    </w:rPr>
                  </w:pPr>
                  <w:r>
                    <w:rPr>
                      <w:color w:val="auto"/>
                      <w:sz w:val="21"/>
                      <w:szCs w:val="21"/>
                    </w:rPr>
                    <w:t>水泥</w:t>
                  </w:r>
                </w:p>
              </w:tc>
              <w:tc>
                <w:tcPr>
                  <w:tcW w:w="1030" w:type="pct"/>
                  <w:tcBorders>
                    <w:tl2br w:val="nil"/>
                    <w:tr2bl w:val="nil"/>
                  </w:tcBorders>
                  <w:vAlign w:val="center"/>
                </w:tcPr>
                <w:p w14:paraId="5BDD24F1">
                  <w:pPr>
                    <w:pStyle w:val="36"/>
                    <w:rPr>
                      <w:color w:val="auto"/>
                      <w:sz w:val="21"/>
                      <w:szCs w:val="21"/>
                    </w:rPr>
                  </w:pPr>
                  <w:r>
                    <w:rPr>
                      <w:rFonts w:hint="eastAsia"/>
                      <w:color w:val="auto"/>
                      <w:sz w:val="21"/>
                      <w:szCs w:val="21"/>
                      <w:lang w:val="en-US" w:eastAsia="zh-CN"/>
                    </w:rPr>
                    <w:t>85600</w:t>
                  </w:r>
                  <w:r>
                    <w:rPr>
                      <w:color w:val="auto"/>
                      <w:sz w:val="21"/>
                      <w:szCs w:val="21"/>
                    </w:rPr>
                    <w:t>t/a</w:t>
                  </w:r>
                </w:p>
              </w:tc>
              <w:tc>
                <w:tcPr>
                  <w:tcW w:w="1031" w:type="pct"/>
                  <w:tcBorders>
                    <w:tl2br w:val="nil"/>
                    <w:tr2bl w:val="nil"/>
                  </w:tcBorders>
                  <w:vAlign w:val="center"/>
                </w:tcPr>
                <w:p w14:paraId="5C33B274">
                  <w:pPr>
                    <w:pStyle w:val="36"/>
                    <w:rPr>
                      <w:color w:val="auto"/>
                      <w:sz w:val="21"/>
                      <w:szCs w:val="21"/>
                    </w:rPr>
                  </w:pPr>
                  <w:r>
                    <w:rPr>
                      <w:color w:val="auto"/>
                      <w:sz w:val="21"/>
                      <w:szCs w:val="21"/>
                    </w:rPr>
                    <w:t>40t</w:t>
                  </w:r>
                </w:p>
              </w:tc>
              <w:tc>
                <w:tcPr>
                  <w:tcW w:w="1639" w:type="dxa"/>
                  <w:tcBorders>
                    <w:tl2br w:val="nil"/>
                    <w:tr2bl w:val="nil"/>
                  </w:tcBorders>
                  <w:vAlign w:val="center"/>
                </w:tcPr>
                <w:p w14:paraId="3E39AEF7">
                  <w:pPr>
                    <w:widowControl/>
                    <w:jc w:val="center"/>
                    <w:textAlignment w:val="center"/>
                    <w:rPr>
                      <w:rFonts w:hint="default"/>
                      <w:color w:val="auto"/>
                      <w:sz w:val="21"/>
                      <w:szCs w:val="21"/>
                      <w:lang w:val="en-US"/>
                    </w:rPr>
                  </w:pPr>
                  <w:r>
                    <w:rPr>
                      <w:rFonts w:hint="eastAsia"/>
                      <w:color w:val="auto"/>
                      <w:kern w:val="0"/>
                      <w:sz w:val="21"/>
                      <w:szCs w:val="21"/>
                      <w:lang w:val="en-US" w:eastAsia="zh-CN" w:bidi="ar"/>
                    </w:rPr>
                    <w:t>2140</w:t>
                  </w:r>
                </w:p>
              </w:tc>
              <w:tc>
                <w:tcPr>
                  <w:tcW w:w="1639" w:type="dxa"/>
                  <w:tcBorders>
                    <w:tl2br w:val="nil"/>
                    <w:tr2bl w:val="nil"/>
                  </w:tcBorders>
                  <w:vAlign w:val="center"/>
                </w:tcPr>
                <w:p w14:paraId="1C467EB7">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120</w:t>
                  </w:r>
                </w:p>
              </w:tc>
            </w:tr>
            <w:tr w14:paraId="57D4CE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622C1B0D">
                  <w:pPr>
                    <w:adjustRightInd w:val="0"/>
                    <w:snapToGrid w:val="0"/>
                    <w:jc w:val="center"/>
                    <w:rPr>
                      <w:color w:val="auto"/>
                      <w:sz w:val="21"/>
                      <w:szCs w:val="21"/>
                    </w:rPr>
                  </w:pPr>
                  <w:r>
                    <w:rPr>
                      <w:rFonts w:hint="eastAsia"/>
                      <w:color w:val="auto"/>
                      <w:sz w:val="21"/>
                      <w:szCs w:val="21"/>
                    </w:rPr>
                    <w:t>粉煤灰</w:t>
                  </w:r>
                </w:p>
              </w:tc>
              <w:tc>
                <w:tcPr>
                  <w:tcW w:w="1030" w:type="pct"/>
                  <w:tcBorders>
                    <w:tl2br w:val="nil"/>
                    <w:tr2bl w:val="nil"/>
                  </w:tcBorders>
                  <w:vAlign w:val="center"/>
                </w:tcPr>
                <w:p w14:paraId="322C56E7">
                  <w:pPr>
                    <w:pStyle w:val="36"/>
                    <w:rPr>
                      <w:color w:val="auto"/>
                      <w:sz w:val="21"/>
                      <w:szCs w:val="21"/>
                    </w:rPr>
                  </w:pPr>
                  <w:r>
                    <w:rPr>
                      <w:rFonts w:hint="eastAsia"/>
                      <w:color w:val="auto"/>
                      <w:sz w:val="21"/>
                      <w:szCs w:val="21"/>
                      <w:lang w:val="en-US" w:eastAsia="zh-CN"/>
                    </w:rPr>
                    <w:t>43400</w:t>
                  </w:r>
                  <w:r>
                    <w:rPr>
                      <w:color w:val="auto"/>
                      <w:sz w:val="21"/>
                      <w:szCs w:val="21"/>
                    </w:rPr>
                    <w:t>t/a</w:t>
                  </w:r>
                </w:p>
              </w:tc>
              <w:tc>
                <w:tcPr>
                  <w:tcW w:w="1031" w:type="pct"/>
                  <w:tcBorders>
                    <w:tl2br w:val="nil"/>
                    <w:tr2bl w:val="nil"/>
                  </w:tcBorders>
                  <w:vAlign w:val="center"/>
                </w:tcPr>
                <w:p w14:paraId="1529792D">
                  <w:pPr>
                    <w:pStyle w:val="36"/>
                    <w:rPr>
                      <w:color w:val="auto"/>
                      <w:sz w:val="21"/>
                      <w:szCs w:val="21"/>
                    </w:rPr>
                  </w:pPr>
                  <w:r>
                    <w:rPr>
                      <w:color w:val="auto"/>
                      <w:sz w:val="21"/>
                      <w:szCs w:val="21"/>
                    </w:rPr>
                    <w:t>40t</w:t>
                  </w:r>
                </w:p>
              </w:tc>
              <w:tc>
                <w:tcPr>
                  <w:tcW w:w="1639" w:type="dxa"/>
                  <w:tcBorders>
                    <w:tl2br w:val="nil"/>
                    <w:tr2bl w:val="nil"/>
                  </w:tcBorders>
                  <w:vAlign w:val="center"/>
                </w:tcPr>
                <w:p w14:paraId="722B8B2A">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1085</w:t>
                  </w:r>
                </w:p>
              </w:tc>
              <w:tc>
                <w:tcPr>
                  <w:tcW w:w="1639" w:type="dxa"/>
                  <w:tcBorders>
                    <w:tl2br w:val="nil"/>
                    <w:tr2bl w:val="nil"/>
                  </w:tcBorders>
                  <w:vAlign w:val="center"/>
                </w:tcPr>
                <w:p w14:paraId="1A265EC9">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061</w:t>
                  </w:r>
                </w:p>
              </w:tc>
            </w:tr>
            <w:tr w14:paraId="598444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4991023F">
                  <w:pPr>
                    <w:adjustRightInd w:val="0"/>
                    <w:snapToGrid w:val="0"/>
                    <w:jc w:val="center"/>
                    <w:rPr>
                      <w:color w:val="auto"/>
                      <w:sz w:val="21"/>
                      <w:szCs w:val="21"/>
                    </w:rPr>
                  </w:pPr>
                  <w:r>
                    <w:rPr>
                      <w:color w:val="auto"/>
                      <w:sz w:val="21"/>
                      <w:szCs w:val="21"/>
                    </w:rPr>
                    <w:t>砂子</w:t>
                  </w:r>
                </w:p>
              </w:tc>
              <w:tc>
                <w:tcPr>
                  <w:tcW w:w="1030" w:type="pct"/>
                  <w:tcBorders>
                    <w:tl2br w:val="nil"/>
                    <w:tr2bl w:val="nil"/>
                  </w:tcBorders>
                  <w:vAlign w:val="center"/>
                </w:tcPr>
                <w:p w14:paraId="41B0A16B">
                  <w:pPr>
                    <w:pStyle w:val="36"/>
                    <w:rPr>
                      <w:color w:val="auto"/>
                      <w:sz w:val="21"/>
                      <w:szCs w:val="21"/>
                    </w:rPr>
                  </w:pPr>
                  <w:r>
                    <w:rPr>
                      <w:rFonts w:hint="eastAsia"/>
                      <w:color w:val="auto"/>
                      <w:sz w:val="21"/>
                      <w:szCs w:val="21"/>
                      <w:lang w:val="en-US" w:eastAsia="zh-CN"/>
                    </w:rPr>
                    <w:t>125000</w:t>
                  </w:r>
                  <w:r>
                    <w:rPr>
                      <w:color w:val="auto"/>
                      <w:sz w:val="21"/>
                      <w:szCs w:val="21"/>
                    </w:rPr>
                    <w:t>t/a</w:t>
                  </w:r>
                </w:p>
              </w:tc>
              <w:tc>
                <w:tcPr>
                  <w:tcW w:w="1031" w:type="pct"/>
                  <w:tcBorders>
                    <w:tl2br w:val="nil"/>
                    <w:tr2bl w:val="nil"/>
                  </w:tcBorders>
                  <w:vAlign w:val="center"/>
                </w:tcPr>
                <w:p w14:paraId="0B33693E">
                  <w:pPr>
                    <w:pStyle w:val="36"/>
                    <w:rPr>
                      <w:color w:val="auto"/>
                      <w:sz w:val="21"/>
                      <w:szCs w:val="21"/>
                    </w:rPr>
                  </w:pPr>
                  <w:r>
                    <w:rPr>
                      <w:color w:val="auto"/>
                      <w:sz w:val="21"/>
                      <w:szCs w:val="21"/>
                    </w:rPr>
                    <w:t>40t</w:t>
                  </w:r>
                </w:p>
              </w:tc>
              <w:tc>
                <w:tcPr>
                  <w:tcW w:w="1639" w:type="dxa"/>
                  <w:tcBorders>
                    <w:tl2br w:val="nil"/>
                    <w:tr2bl w:val="nil"/>
                  </w:tcBorders>
                  <w:vAlign w:val="center"/>
                </w:tcPr>
                <w:p w14:paraId="4A239EFE">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3125</w:t>
                  </w:r>
                </w:p>
              </w:tc>
              <w:tc>
                <w:tcPr>
                  <w:tcW w:w="1639" w:type="dxa"/>
                  <w:tcBorders>
                    <w:tl2br w:val="nil"/>
                    <w:tr2bl w:val="nil"/>
                  </w:tcBorders>
                  <w:vAlign w:val="center"/>
                </w:tcPr>
                <w:p w14:paraId="38EFCA57">
                  <w:pPr>
                    <w:widowControl/>
                    <w:jc w:val="center"/>
                    <w:textAlignment w:val="center"/>
                    <w:rPr>
                      <w:rFonts w:hint="default" w:eastAsia="宋体"/>
                      <w:color w:val="auto"/>
                      <w:sz w:val="21"/>
                      <w:szCs w:val="21"/>
                      <w:lang w:val="en-US" w:eastAsia="zh-CN"/>
                    </w:rPr>
                  </w:pPr>
                  <w:r>
                    <w:rPr>
                      <w:color w:val="auto"/>
                      <w:kern w:val="0"/>
                      <w:sz w:val="21"/>
                      <w:szCs w:val="21"/>
                      <w:lang w:bidi="ar"/>
                    </w:rPr>
                    <w:t>0.1</w:t>
                  </w:r>
                  <w:r>
                    <w:rPr>
                      <w:rFonts w:hint="eastAsia"/>
                      <w:color w:val="auto"/>
                      <w:kern w:val="0"/>
                      <w:sz w:val="21"/>
                      <w:szCs w:val="21"/>
                      <w:lang w:val="en-US" w:eastAsia="zh-CN" w:bidi="ar"/>
                    </w:rPr>
                    <w:t>75</w:t>
                  </w:r>
                </w:p>
              </w:tc>
            </w:tr>
            <w:tr w14:paraId="24905F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4E387833">
                  <w:pPr>
                    <w:adjustRightInd w:val="0"/>
                    <w:snapToGrid w:val="0"/>
                    <w:jc w:val="center"/>
                    <w:rPr>
                      <w:color w:val="auto"/>
                      <w:sz w:val="21"/>
                      <w:szCs w:val="21"/>
                    </w:rPr>
                  </w:pPr>
                  <w:r>
                    <w:rPr>
                      <w:color w:val="auto"/>
                      <w:sz w:val="21"/>
                      <w:szCs w:val="21"/>
                    </w:rPr>
                    <w:t>碎石</w:t>
                  </w:r>
                </w:p>
              </w:tc>
              <w:tc>
                <w:tcPr>
                  <w:tcW w:w="1030" w:type="pct"/>
                  <w:tcBorders>
                    <w:tl2br w:val="nil"/>
                    <w:tr2bl w:val="nil"/>
                  </w:tcBorders>
                  <w:vAlign w:val="center"/>
                </w:tcPr>
                <w:p w14:paraId="45FD89B5">
                  <w:pPr>
                    <w:pStyle w:val="36"/>
                    <w:rPr>
                      <w:color w:val="auto"/>
                      <w:sz w:val="21"/>
                      <w:szCs w:val="21"/>
                    </w:rPr>
                  </w:pPr>
                  <w:r>
                    <w:rPr>
                      <w:rFonts w:hint="eastAsia"/>
                      <w:color w:val="auto"/>
                      <w:sz w:val="21"/>
                      <w:szCs w:val="21"/>
                      <w:lang w:val="en-US" w:eastAsia="zh-CN"/>
                    </w:rPr>
                    <w:t>175000</w:t>
                  </w:r>
                  <w:r>
                    <w:rPr>
                      <w:color w:val="auto"/>
                      <w:sz w:val="21"/>
                      <w:szCs w:val="21"/>
                    </w:rPr>
                    <w:t>t/a</w:t>
                  </w:r>
                </w:p>
              </w:tc>
              <w:tc>
                <w:tcPr>
                  <w:tcW w:w="1031" w:type="pct"/>
                  <w:tcBorders>
                    <w:tl2br w:val="nil"/>
                    <w:tr2bl w:val="nil"/>
                  </w:tcBorders>
                  <w:vAlign w:val="center"/>
                </w:tcPr>
                <w:p w14:paraId="60D12E3D">
                  <w:pPr>
                    <w:pStyle w:val="36"/>
                    <w:rPr>
                      <w:color w:val="auto"/>
                      <w:sz w:val="21"/>
                      <w:szCs w:val="21"/>
                    </w:rPr>
                  </w:pPr>
                  <w:r>
                    <w:rPr>
                      <w:color w:val="auto"/>
                      <w:sz w:val="21"/>
                      <w:szCs w:val="21"/>
                    </w:rPr>
                    <w:t>40t</w:t>
                  </w:r>
                </w:p>
              </w:tc>
              <w:tc>
                <w:tcPr>
                  <w:tcW w:w="1639" w:type="dxa"/>
                  <w:tcBorders>
                    <w:tl2br w:val="nil"/>
                    <w:tr2bl w:val="nil"/>
                  </w:tcBorders>
                  <w:vAlign w:val="center"/>
                </w:tcPr>
                <w:p w14:paraId="115A240C">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4375</w:t>
                  </w:r>
                </w:p>
              </w:tc>
              <w:tc>
                <w:tcPr>
                  <w:tcW w:w="1639" w:type="dxa"/>
                  <w:tcBorders>
                    <w:tl2br w:val="nil"/>
                    <w:tr2bl w:val="nil"/>
                  </w:tcBorders>
                  <w:vAlign w:val="center"/>
                </w:tcPr>
                <w:p w14:paraId="5F40524B">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245</w:t>
                  </w:r>
                </w:p>
              </w:tc>
            </w:tr>
            <w:tr w14:paraId="2BDFD3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0D87984C">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减水剂</w:t>
                  </w:r>
                </w:p>
              </w:tc>
              <w:tc>
                <w:tcPr>
                  <w:tcW w:w="1030" w:type="pct"/>
                  <w:tcBorders>
                    <w:tl2br w:val="nil"/>
                    <w:tr2bl w:val="nil"/>
                  </w:tcBorders>
                  <w:vAlign w:val="center"/>
                </w:tcPr>
                <w:p w14:paraId="1A96D6A3">
                  <w:pPr>
                    <w:pStyle w:val="36"/>
                    <w:rPr>
                      <w:color w:val="auto"/>
                      <w:sz w:val="21"/>
                      <w:szCs w:val="21"/>
                    </w:rPr>
                  </w:pPr>
                  <w:r>
                    <w:rPr>
                      <w:rFonts w:hint="eastAsia"/>
                      <w:color w:val="auto"/>
                      <w:sz w:val="21"/>
                      <w:szCs w:val="21"/>
                      <w:lang w:val="en-US" w:eastAsia="zh-CN"/>
                    </w:rPr>
                    <w:t>7500</w:t>
                  </w:r>
                  <w:r>
                    <w:rPr>
                      <w:color w:val="auto"/>
                      <w:sz w:val="21"/>
                      <w:szCs w:val="21"/>
                    </w:rPr>
                    <w:t>t/a</w:t>
                  </w:r>
                </w:p>
              </w:tc>
              <w:tc>
                <w:tcPr>
                  <w:tcW w:w="1031" w:type="pct"/>
                  <w:tcBorders>
                    <w:tl2br w:val="nil"/>
                    <w:tr2bl w:val="nil"/>
                  </w:tcBorders>
                  <w:vAlign w:val="center"/>
                </w:tcPr>
                <w:p w14:paraId="5668AA2F">
                  <w:pPr>
                    <w:pStyle w:val="36"/>
                    <w:rPr>
                      <w:color w:val="auto"/>
                      <w:sz w:val="21"/>
                      <w:szCs w:val="21"/>
                    </w:rPr>
                  </w:pPr>
                  <w:r>
                    <w:rPr>
                      <w:rFonts w:hint="eastAsia"/>
                      <w:color w:val="auto"/>
                      <w:sz w:val="21"/>
                      <w:szCs w:val="21"/>
                    </w:rPr>
                    <w:t>40t</w:t>
                  </w:r>
                </w:p>
              </w:tc>
              <w:tc>
                <w:tcPr>
                  <w:tcW w:w="1639" w:type="dxa"/>
                  <w:tcBorders>
                    <w:tl2br w:val="nil"/>
                    <w:tr2bl w:val="nil"/>
                  </w:tcBorders>
                  <w:vAlign w:val="center"/>
                </w:tcPr>
                <w:p w14:paraId="6CC6C0EE">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188</w:t>
                  </w:r>
                </w:p>
              </w:tc>
              <w:tc>
                <w:tcPr>
                  <w:tcW w:w="1639" w:type="dxa"/>
                  <w:tcBorders>
                    <w:tl2br w:val="nil"/>
                    <w:tr2bl w:val="nil"/>
                  </w:tcBorders>
                  <w:vAlign w:val="center"/>
                </w:tcPr>
                <w:p w14:paraId="53D87867">
                  <w:pPr>
                    <w:widowControl/>
                    <w:jc w:val="center"/>
                    <w:textAlignment w:val="center"/>
                    <w:rPr>
                      <w:rFonts w:hint="default" w:eastAsia="宋体"/>
                      <w:color w:val="auto"/>
                      <w:sz w:val="21"/>
                      <w:szCs w:val="21"/>
                      <w:lang w:val="en-US" w:eastAsia="zh-CN"/>
                    </w:rPr>
                  </w:pPr>
                  <w:r>
                    <w:rPr>
                      <w:color w:val="auto"/>
                      <w:kern w:val="0"/>
                      <w:sz w:val="21"/>
                      <w:szCs w:val="21"/>
                      <w:lang w:bidi="ar"/>
                    </w:rPr>
                    <w:t>0.</w:t>
                  </w:r>
                  <w:r>
                    <w:rPr>
                      <w:rFonts w:hint="eastAsia"/>
                      <w:color w:val="auto"/>
                      <w:kern w:val="0"/>
                      <w:sz w:val="21"/>
                      <w:szCs w:val="21"/>
                      <w:lang w:val="en-US" w:eastAsia="zh-CN" w:bidi="ar"/>
                    </w:rPr>
                    <w:t>011</w:t>
                  </w:r>
                </w:p>
              </w:tc>
            </w:tr>
            <w:tr w14:paraId="225353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1C215B32">
                  <w:pPr>
                    <w:adjustRightInd w:val="0"/>
                    <w:snapToGrid w:val="0"/>
                    <w:jc w:val="center"/>
                    <w:rPr>
                      <w:rFonts w:hint="eastAsia" w:eastAsia="宋体"/>
                      <w:color w:val="auto"/>
                      <w:sz w:val="21"/>
                      <w:szCs w:val="21"/>
                      <w:lang w:val="en-US" w:eastAsia="zh-CN"/>
                    </w:rPr>
                  </w:pPr>
                  <w:r>
                    <w:rPr>
                      <w:rFonts w:hint="eastAsia"/>
                      <w:color w:val="auto"/>
                      <w:sz w:val="21"/>
                      <w:szCs w:val="21"/>
                      <w:lang w:val="en-US" w:eastAsia="zh-CN"/>
                    </w:rPr>
                    <w:t>缓凝剂</w:t>
                  </w:r>
                </w:p>
              </w:tc>
              <w:tc>
                <w:tcPr>
                  <w:tcW w:w="1030" w:type="pct"/>
                  <w:tcBorders>
                    <w:tl2br w:val="nil"/>
                    <w:tr2bl w:val="nil"/>
                  </w:tcBorders>
                  <w:vAlign w:val="center"/>
                </w:tcPr>
                <w:p w14:paraId="5B58D764">
                  <w:pPr>
                    <w:pStyle w:val="36"/>
                    <w:rPr>
                      <w:rFonts w:hint="default"/>
                      <w:color w:val="auto"/>
                      <w:sz w:val="21"/>
                      <w:szCs w:val="21"/>
                      <w:lang w:val="en-US" w:eastAsia="zh-CN"/>
                    </w:rPr>
                  </w:pPr>
                  <w:r>
                    <w:rPr>
                      <w:rFonts w:hint="eastAsia"/>
                      <w:color w:val="auto"/>
                      <w:sz w:val="21"/>
                      <w:szCs w:val="21"/>
                      <w:lang w:val="en-US" w:eastAsia="zh-CN"/>
                    </w:rPr>
                    <w:t>7500t/a</w:t>
                  </w:r>
                </w:p>
              </w:tc>
              <w:tc>
                <w:tcPr>
                  <w:tcW w:w="1031" w:type="pct"/>
                  <w:tcBorders>
                    <w:tl2br w:val="nil"/>
                    <w:tr2bl w:val="nil"/>
                  </w:tcBorders>
                  <w:vAlign w:val="center"/>
                </w:tcPr>
                <w:p w14:paraId="0718123E">
                  <w:pPr>
                    <w:pStyle w:val="36"/>
                    <w:rPr>
                      <w:rFonts w:hint="default" w:eastAsia="宋体"/>
                      <w:color w:val="auto"/>
                      <w:sz w:val="21"/>
                      <w:szCs w:val="21"/>
                      <w:lang w:val="en-US" w:eastAsia="zh-CN"/>
                    </w:rPr>
                  </w:pPr>
                  <w:r>
                    <w:rPr>
                      <w:rFonts w:hint="eastAsia"/>
                      <w:color w:val="auto"/>
                      <w:sz w:val="21"/>
                      <w:szCs w:val="21"/>
                      <w:lang w:val="en-US" w:eastAsia="zh-CN"/>
                    </w:rPr>
                    <w:t>40t</w:t>
                  </w:r>
                </w:p>
              </w:tc>
              <w:tc>
                <w:tcPr>
                  <w:tcW w:w="1639" w:type="dxa"/>
                  <w:tcBorders>
                    <w:tl2br w:val="nil"/>
                    <w:tr2bl w:val="nil"/>
                  </w:tcBorders>
                  <w:vAlign w:val="center"/>
                </w:tcPr>
                <w:p w14:paraId="65C323D1">
                  <w:pPr>
                    <w:widowControl/>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188</w:t>
                  </w:r>
                </w:p>
              </w:tc>
              <w:tc>
                <w:tcPr>
                  <w:tcW w:w="1639" w:type="dxa"/>
                  <w:tcBorders>
                    <w:tl2br w:val="nil"/>
                    <w:tr2bl w:val="nil"/>
                  </w:tcBorders>
                  <w:vAlign w:val="center"/>
                </w:tcPr>
                <w:p w14:paraId="2EE6546A">
                  <w:pPr>
                    <w:widowControl/>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0.011</w:t>
                  </w:r>
                </w:p>
              </w:tc>
            </w:tr>
            <w:tr w14:paraId="3D5D6F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0FAF6AB0">
                  <w:pPr>
                    <w:adjustRightInd w:val="0"/>
                    <w:snapToGrid w:val="0"/>
                    <w:jc w:val="center"/>
                    <w:rPr>
                      <w:color w:val="auto"/>
                      <w:sz w:val="21"/>
                      <w:szCs w:val="21"/>
                    </w:rPr>
                  </w:pPr>
                  <w:r>
                    <w:rPr>
                      <w:rFonts w:hint="eastAsia"/>
                      <w:color w:val="auto"/>
                      <w:sz w:val="21"/>
                      <w:szCs w:val="21"/>
                    </w:rPr>
                    <w:t>合计</w:t>
                  </w:r>
                </w:p>
              </w:tc>
              <w:tc>
                <w:tcPr>
                  <w:tcW w:w="1030" w:type="pct"/>
                  <w:tcBorders>
                    <w:tl2br w:val="nil"/>
                    <w:tr2bl w:val="nil"/>
                  </w:tcBorders>
                  <w:vAlign w:val="center"/>
                </w:tcPr>
                <w:p w14:paraId="5B23CB42">
                  <w:pPr>
                    <w:pStyle w:val="36"/>
                    <w:rPr>
                      <w:color w:val="auto"/>
                      <w:sz w:val="21"/>
                      <w:szCs w:val="21"/>
                    </w:rPr>
                  </w:pPr>
                  <w:r>
                    <w:rPr>
                      <w:rFonts w:hint="eastAsia"/>
                      <w:color w:val="auto"/>
                      <w:sz w:val="21"/>
                      <w:szCs w:val="21"/>
                    </w:rPr>
                    <w:t>/</w:t>
                  </w:r>
                </w:p>
              </w:tc>
              <w:tc>
                <w:tcPr>
                  <w:tcW w:w="1031" w:type="pct"/>
                  <w:tcBorders>
                    <w:tl2br w:val="nil"/>
                    <w:tr2bl w:val="nil"/>
                  </w:tcBorders>
                  <w:vAlign w:val="center"/>
                </w:tcPr>
                <w:p w14:paraId="42E1CCD8">
                  <w:pPr>
                    <w:pStyle w:val="36"/>
                    <w:rPr>
                      <w:color w:val="auto"/>
                      <w:sz w:val="21"/>
                      <w:szCs w:val="21"/>
                    </w:rPr>
                  </w:pPr>
                  <w:r>
                    <w:rPr>
                      <w:rFonts w:hint="eastAsia"/>
                      <w:color w:val="auto"/>
                      <w:sz w:val="21"/>
                      <w:szCs w:val="21"/>
                    </w:rPr>
                    <w:t>/</w:t>
                  </w:r>
                </w:p>
              </w:tc>
              <w:tc>
                <w:tcPr>
                  <w:tcW w:w="1639" w:type="dxa"/>
                  <w:tcBorders>
                    <w:tl2br w:val="nil"/>
                    <w:tr2bl w:val="nil"/>
                  </w:tcBorders>
                  <w:vAlign w:val="center"/>
                </w:tcPr>
                <w:p w14:paraId="30C1CD89">
                  <w:pPr>
                    <w:widowControl/>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31101</w:t>
                  </w:r>
                </w:p>
              </w:tc>
              <w:tc>
                <w:tcPr>
                  <w:tcW w:w="1639" w:type="dxa"/>
                  <w:tcBorders>
                    <w:tl2br w:val="nil"/>
                    <w:tr2bl w:val="nil"/>
                  </w:tcBorders>
                  <w:vAlign w:val="center"/>
                </w:tcPr>
                <w:p w14:paraId="034E0B09">
                  <w:pPr>
                    <w:widowControl/>
                    <w:jc w:val="center"/>
                    <w:textAlignment w:val="center"/>
                    <w:rPr>
                      <w:rFonts w:hint="default" w:eastAsia="宋体"/>
                      <w:color w:val="auto"/>
                      <w:sz w:val="21"/>
                      <w:szCs w:val="21"/>
                      <w:lang w:val="en-US" w:eastAsia="zh-CN"/>
                    </w:rPr>
                  </w:pPr>
                  <w:r>
                    <w:rPr>
                      <w:color w:val="auto"/>
                      <w:kern w:val="0"/>
                      <w:sz w:val="21"/>
                      <w:szCs w:val="21"/>
                      <w:lang w:bidi="ar"/>
                    </w:rPr>
                    <w:t>1.</w:t>
                  </w:r>
                  <w:r>
                    <w:rPr>
                      <w:rFonts w:hint="eastAsia"/>
                      <w:color w:val="auto"/>
                      <w:kern w:val="0"/>
                      <w:sz w:val="21"/>
                      <w:szCs w:val="21"/>
                      <w:lang w:val="en-US" w:eastAsia="zh-CN" w:bidi="ar"/>
                    </w:rPr>
                    <w:t>743</w:t>
                  </w:r>
                </w:p>
              </w:tc>
            </w:tr>
          </w:tbl>
          <w:p w14:paraId="709EBFA3">
            <w:pPr>
              <w:pStyle w:val="5"/>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根据上式计算出：本项目厂区内运输扬尘起尘量为</w:t>
            </w:r>
            <w:r>
              <w:rPr>
                <w:rFonts w:hint="eastAsia" w:ascii="Times New Roman" w:hAnsi="Times New Roman" w:eastAsia="宋体" w:cs="Times New Roman"/>
                <w:color w:val="auto"/>
                <w:kern w:val="0"/>
                <w:sz w:val="24"/>
                <w:szCs w:val="24"/>
                <w:lang w:val="en-US" w:eastAsia="zh-CN" w:bidi="ar-SA"/>
              </w:rPr>
              <w:t>1.</w:t>
            </w:r>
            <w:r>
              <w:rPr>
                <w:rFonts w:hint="eastAsia" w:cs="Times New Roman"/>
                <w:color w:val="auto"/>
                <w:kern w:val="0"/>
                <w:sz w:val="24"/>
                <w:szCs w:val="24"/>
                <w:lang w:val="en-US" w:eastAsia="zh-CN" w:bidi="ar-SA"/>
              </w:rPr>
              <w:t>743t</w:t>
            </w:r>
            <w:r>
              <w:rPr>
                <w:rFonts w:ascii="Times New Roman" w:hAnsi="Times New Roman" w:eastAsia="宋体" w:cs="Times New Roman"/>
                <w:color w:val="auto"/>
                <w:kern w:val="0"/>
                <w:sz w:val="24"/>
                <w:szCs w:val="24"/>
                <w:lang w:val="en-US" w:eastAsia="zh-CN" w:bidi="ar-SA"/>
              </w:rPr>
              <w:t>/a。为了最大限度减小原材料及成品运输对外环境带来的不利影响，评价要求采取以下措施：</w:t>
            </w:r>
          </w:p>
          <w:p w14:paraId="40113E3A">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a</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及时对厂区地面</w:t>
            </w:r>
            <w:r>
              <w:rPr>
                <w:rFonts w:hint="eastAsia" w:ascii="Times New Roman" w:hAnsi="Times New Roman" w:eastAsia="宋体" w:cs="Times New Roman"/>
                <w:color w:val="auto"/>
                <w:kern w:val="0"/>
                <w:sz w:val="24"/>
                <w:szCs w:val="24"/>
                <w:lang w:val="en-US" w:eastAsia="zh-CN" w:bidi="ar-SA"/>
              </w:rPr>
              <w:t>及运输道路</w:t>
            </w:r>
            <w:r>
              <w:rPr>
                <w:rFonts w:ascii="Times New Roman" w:hAnsi="Times New Roman" w:eastAsia="宋体" w:cs="Times New Roman"/>
                <w:color w:val="auto"/>
                <w:kern w:val="0"/>
                <w:sz w:val="24"/>
                <w:szCs w:val="24"/>
                <w:lang w:val="en-US" w:eastAsia="zh-CN" w:bidi="ar-SA"/>
              </w:rPr>
              <w:t>进行洒水降尘、清扫；</w:t>
            </w:r>
          </w:p>
          <w:p w14:paraId="745E8144">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b</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汽车进出厂区要减速慢行；</w:t>
            </w:r>
          </w:p>
          <w:p w14:paraId="261CB4CE">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c</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砂石运输车辆要封闭遮盖，粉料采用密闭罐车运输，减小原料的散落。</w:t>
            </w:r>
          </w:p>
          <w:p w14:paraId="4B57D5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经采取以上措施后可大大减小运输道路扬尘，扬尘量减少</w:t>
            </w:r>
            <w:r>
              <w:rPr>
                <w:rFonts w:hint="eastAsia" w:cs="Times New Roman"/>
                <w:color w:val="auto"/>
                <w:kern w:val="0"/>
                <w:sz w:val="24"/>
                <w:szCs w:val="24"/>
                <w:lang w:val="en-US" w:eastAsia="zh-CN" w:bidi="ar-SA"/>
              </w:rPr>
              <w:t>74</w:t>
            </w:r>
            <w:r>
              <w:rPr>
                <w:rFonts w:ascii="Times New Roman" w:hAnsi="Times New Roman" w:eastAsia="宋体" w:cs="Times New Roman"/>
                <w:color w:val="auto"/>
                <w:kern w:val="0"/>
                <w:sz w:val="24"/>
                <w:szCs w:val="24"/>
                <w:lang w:val="en-US" w:eastAsia="zh-CN" w:bidi="ar-SA"/>
              </w:rPr>
              <w:t>%左右，即道路扬尘排放量约为0.</w:t>
            </w:r>
            <w:r>
              <w:rPr>
                <w:rFonts w:hint="eastAsia" w:cs="Times New Roman"/>
                <w:color w:val="auto"/>
                <w:kern w:val="0"/>
                <w:sz w:val="24"/>
                <w:szCs w:val="24"/>
                <w:lang w:val="en-US" w:eastAsia="zh-CN" w:bidi="ar-SA"/>
              </w:rPr>
              <w:t>453</w:t>
            </w:r>
            <w:r>
              <w:rPr>
                <w:rFonts w:ascii="Times New Roman" w:hAnsi="Times New Roman" w:eastAsia="宋体" w:cs="Times New Roman"/>
                <w:color w:val="auto"/>
                <w:kern w:val="0"/>
                <w:sz w:val="24"/>
                <w:szCs w:val="24"/>
                <w:lang w:val="en-US" w:eastAsia="zh-CN" w:bidi="ar-SA"/>
              </w:rPr>
              <w:t>t/a。</w:t>
            </w:r>
          </w:p>
          <w:p w14:paraId="0CAC5F22">
            <w:pPr>
              <w:widowControl/>
              <w:spacing w:line="360" w:lineRule="auto"/>
              <w:jc w:val="left"/>
              <w:rPr>
                <w:b/>
                <w:color w:val="auto"/>
                <w:sz w:val="24"/>
              </w:rPr>
            </w:pPr>
            <w:r>
              <w:rPr>
                <w:rFonts w:hint="eastAsia"/>
                <w:b/>
                <w:color w:val="auto"/>
                <w:sz w:val="24"/>
              </w:rPr>
              <w:t>1.1.</w:t>
            </w:r>
            <w:r>
              <w:rPr>
                <w:rFonts w:hint="eastAsia"/>
                <w:b/>
                <w:color w:val="auto"/>
                <w:sz w:val="24"/>
                <w:lang w:val="en-US" w:eastAsia="zh-CN"/>
              </w:rPr>
              <w:t>5</w:t>
            </w:r>
            <w:r>
              <w:rPr>
                <w:rFonts w:hint="eastAsia"/>
                <w:b/>
                <w:color w:val="auto"/>
                <w:sz w:val="24"/>
              </w:rPr>
              <w:t>食堂油烟</w:t>
            </w:r>
          </w:p>
          <w:p w14:paraId="47ED72B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42</w:t>
            </w:r>
            <w:r>
              <w:rPr>
                <w:rFonts w:ascii="Times New Roman" w:hAnsi="Times New Roman" w:eastAsia="宋体" w:cs="Times New Roman"/>
                <w:color w:val="auto"/>
                <w:kern w:val="0"/>
                <w:sz w:val="24"/>
              </w:rPr>
              <w:t>人，生产期为</w:t>
            </w:r>
            <w:r>
              <w:rPr>
                <w:rFonts w:hint="eastAsia" w:cs="Times New Roman"/>
                <w:color w:val="auto"/>
                <w:kern w:val="0"/>
                <w:sz w:val="24"/>
                <w:lang w:val="en-US" w:eastAsia="zh-CN"/>
              </w:rPr>
              <w:t>180</w:t>
            </w:r>
            <w:r>
              <w:rPr>
                <w:rFonts w:ascii="Times New Roman" w:hAnsi="Times New Roman" w:eastAsia="宋体" w:cs="Times New Roman"/>
                <w:color w:val="auto"/>
                <w:kern w:val="0"/>
                <w:sz w:val="24"/>
              </w:rPr>
              <w:t>d，经类比调查，食用油消耗系数按5kg/（100人·d）计，则食用油消耗量为</w:t>
            </w:r>
            <w:r>
              <w:rPr>
                <w:rFonts w:hint="eastAsia" w:cs="Times New Roman"/>
                <w:color w:val="auto"/>
                <w:kern w:val="0"/>
                <w:sz w:val="24"/>
                <w:lang w:val="en-US" w:eastAsia="zh-CN"/>
              </w:rPr>
              <w:t>378</w:t>
            </w:r>
            <w:r>
              <w:rPr>
                <w:rFonts w:hint="eastAsia" w:ascii="Times New Roman" w:hAnsi="Times New Roman" w:eastAsia="宋体" w:cs="Times New Roman"/>
                <w:color w:val="auto"/>
                <w:kern w:val="0"/>
                <w:sz w:val="24"/>
              </w:rPr>
              <w:t>kg/a（</w:t>
            </w:r>
            <w:r>
              <w:rPr>
                <w:rFonts w:hint="eastAsia" w:cs="Times New Roman"/>
                <w:color w:val="auto"/>
                <w:kern w:val="0"/>
                <w:sz w:val="24"/>
                <w:lang w:val="en-US" w:eastAsia="zh-CN"/>
              </w:rPr>
              <w:t>2.1</w:t>
            </w:r>
            <w:r>
              <w:rPr>
                <w:rFonts w:hint="eastAsia" w:ascii="Times New Roman" w:hAnsi="Times New Roman" w:eastAsia="宋体" w:cs="Times New Roman"/>
                <w:color w:val="auto"/>
                <w:kern w:val="0"/>
                <w:sz w:val="24"/>
              </w:rPr>
              <w:t>kg/d）</w:t>
            </w:r>
            <w:r>
              <w:rPr>
                <w:rFonts w:ascii="Times New Roman" w:hAnsi="Times New Roman" w:eastAsia="宋体" w:cs="Times New Roman"/>
                <w:color w:val="auto"/>
                <w:kern w:val="0"/>
                <w:sz w:val="24"/>
              </w:rPr>
              <w:t>。不同的烧炸工况，油烟气中烟气浓度及挥发量均有所不同，油的挥发量占总耗油量的2%</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4%之间</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本项目烹饪过程中的挥发量取4%，则油烟的产生量为</w:t>
            </w:r>
            <w:r>
              <w:rPr>
                <w:rFonts w:hint="eastAsia" w:cs="Times New Roman"/>
                <w:color w:val="auto"/>
                <w:kern w:val="0"/>
                <w:sz w:val="24"/>
                <w:lang w:val="en-US" w:eastAsia="zh-CN"/>
              </w:rPr>
              <w:t>15.12</w:t>
            </w:r>
            <w:r>
              <w:rPr>
                <w:rFonts w:hint="eastAsia" w:ascii="Times New Roman" w:hAnsi="Times New Roman" w:eastAsia="宋体" w:cs="Times New Roman"/>
                <w:color w:val="auto"/>
                <w:kern w:val="0"/>
                <w:sz w:val="24"/>
              </w:rPr>
              <w:t>kg/</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0.08</w:t>
            </w:r>
            <w:r>
              <w:rPr>
                <w:rFonts w:hint="eastAsia" w:ascii="Times New Roman" w:hAnsi="Times New Roman" w:eastAsia="宋体" w:cs="Times New Roman"/>
                <w:color w:val="auto"/>
                <w:kern w:val="0"/>
                <w:sz w:val="24"/>
              </w:rPr>
              <w:t>kg/d）</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通过集气罩收集</w:t>
            </w:r>
            <w:r>
              <w:rPr>
                <w:rFonts w:ascii="Times New Roman" w:hAnsi="Times New Roman" w:eastAsia="宋体" w:cs="Times New Roman"/>
                <w:color w:val="auto"/>
                <w:kern w:val="0"/>
                <w:sz w:val="24"/>
              </w:rPr>
              <w:t>（收集效率≥9</w:t>
            </w:r>
            <w:r>
              <w:rPr>
                <w:rFonts w:hint="eastAsia" w:ascii="Times New Roman" w:hAnsi="Times New Roman" w:eastAsia="宋体" w:cs="Times New Roman"/>
                <w:color w:val="auto"/>
                <w:kern w:val="0"/>
                <w:sz w:val="24"/>
              </w:rPr>
              <w:t>0</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，则油烟的收集量为</w:t>
            </w:r>
            <w:r>
              <w:rPr>
                <w:rFonts w:hint="eastAsia" w:cs="Times New Roman"/>
                <w:color w:val="auto"/>
                <w:kern w:val="0"/>
                <w:sz w:val="24"/>
                <w:lang w:val="en-US" w:eastAsia="zh-CN"/>
              </w:rPr>
              <w:t>13.61</w:t>
            </w:r>
            <w:r>
              <w:rPr>
                <w:rFonts w:hint="eastAsia" w:ascii="Times New Roman" w:hAnsi="Times New Roman" w:eastAsia="宋体" w:cs="Times New Roman"/>
                <w:color w:val="auto"/>
                <w:kern w:val="0"/>
                <w:sz w:val="24"/>
              </w:rPr>
              <w:t>kg</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按日高峰5小时计，则高峰期油烟</w:t>
            </w:r>
            <w:r>
              <w:rPr>
                <w:rFonts w:hint="eastAsia" w:ascii="Times New Roman" w:hAnsi="Times New Roman" w:eastAsia="宋体" w:cs="Times New Roman"/>
                <w:color w:val="auto"/>
                <w:kern w:val="0"/>
                <w:sz w:val="24"/>
              </w:rPr>
              <w:t>的排放速率</w:t>
            </w:r>
            <w:r>
              <w:rPr>
                <w:rFonts w:ascii="Times New Roman" w:hAnsi="Times New Roman" w:eastAsia="宋体" w:cs="Times New Roman"/>
                <w:color w:val="auto"/>
                <w:kern w:val="0"/>
                <w:sz w:val="24"/>
              </w:rPr>
              <w:t>为</w:t>
            </w:r>
            <w:r>
              <w:rPr>
                <w:rFonts w:hint="eastAsia" w:ascii="Times New Roman" w:hAnsi="Times New Roman" w:eastAsia="宋体" w:cs="Times New Roman"/>
                <w:color w:val="auto"/>
                <w:kern w:val="0"/>
                <w:sz w:val="24"/>
              </w:rPr>
              <w:t>0.0</w:t>
            </w:r>
            <w:r>
              <w:rPr>
                <w:rFonts w:hint="eastAsia" w:cs="Times New Roman"/>
                <w:color w:val="auto"/>
                <w:kern w:val="0"/>
                <w:sz w:val="24"/>
                <w:lang w:val="en-US" w:eastAsia="zh-CN"/>
              </w:rPr>
              <w:t>151</w:t>
            </w:r>
            <w:r>
              <w:rPr>
                <w:rFonts w:ascii="Times New Roman" w:hAnsi="Times New Roman" w:eastAsia="宋体" w:cs="Times New Roman"/>
                <w:color w:val="auto"/>
                <w:kern w:val="0"/>
                <w:sz w:val="24"/>
              </w:rPr>
              <w:t>kg/h，油烟</w:t>
            </w:r>
            <w:r>
              <w:rPr>
                <w:rFonts w:hint="eastAsia" w:ascii="Times New Roman" w:hAnsi="Times New Roman" w:eastAsia="宋体" w:cs="Times New Roman"/>
                <w:color w:val="auto"/>
                <w:kern w:val="0"/>
                <w:sz w:val="24"/>
              </w:rPr>
              <w:t>排放</w:t>
            </w:r>
            <w:r>
              <w:rPr>
                <w:rFonts w:ascii="Times New Roman" w:hAnsi="Times New Roman" w:eastAsia="宋体" w:cs="Times New Roman"/>
                <w:color w:val="auto"/>
                <w:kern w:val="0"/>
                <w:sz w:val="24"/>
              </w:rPr>
              <w:t>浓度为</w:t>
            </w:r>
            <w:r>
              <w:rPr>
                <w:rFonts w:hint="eastAsia" w:cs="Times New Roman"/>
                <w:color w:val="auto"/>
                <w:kern w:val="0"/>
                <w:sz w:val="24"/>
                <w:lang w:val="en-US" w:eastAsia="zh-CN"/>
              </w:rPr>
              <w:t>3.02</w:t>
            </w:r>
            <w:r>
              <w:rPr>
                <w:rFonts w:ascii="Times New Roman" w:hAnsi="Times New Roman" w:eastAsia="宋体" w:cs="Times New Roman"/>
                <w:color w:val="auto"/>
                <w:kern w:val="0"/>
                <w:sz w:val="24"/>
              </w:rPr>
              <w:t>mg/m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（按风量</w:t>
            </w:r>
            <w:r>
              <w:rPr>
                <w:rFonts w:hint="eastAsia" w:ascii="Times New Roman" w:hAnsi="Times New Roman" w:eastAsia="宋体" w:cs="Times New Roman"/>
                <w:color w:val="auto"/>
                <w:kern w:val="0"/>
                <w:sz w:val="24"/>
              </w:rPr>
              <w:t>5000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/h计），超过《饮食业油烟排放标准（试行）》（GB 18483-2001）中油烟最高允许排放浓度2mg/m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，需安装国家认可的单位检测合格的油烟净化设施（油烟净化效率≥</w:t>
            </w:r>
            <w:r>
              <w:rPr>
                <w:rFonts w:hint="eastAsia" w:ascii="Times New Roman" w:hAnsi="Times New Roman" w:eastAsia="宋体" w:cs="Times New Roman"/>
                <w:color w:val="auto"/>
                <w:kern w:val="0"/>
                <w:sz w:val="24"/>
              </w:rPr>
              <w:t>60</w:t>
            </w:r>
            <w:r>
              <w:rPr>
                <w:rFonts w:ascii="Times New Roman" w:hAnsi="Times New Roman" w:eastAsia="宋体" w:cs="Times New Roman"/>
                <w:color w:val="auto"/>
                <w:kern w:val="0"/>
                <w:sz w:val="24"/>
              </w:rPr>
              <w:t>%），经净化的食堂油烟从专用烟道引至屋顶排出，则油烟的排放量为</w:t>
            </w:r>
            <w:r>
              <w:rPr>
                <w:rFonts w:hint="eastAsia" w:cs="Times New Roman"/>
                <w:color w:val="auto"/>
                <w:kern w:val="0"/>
                <w:sz w:val="24"/>
                <w:lang w:val="en-US" w:eastAsia="zh-CN"/>
              </w:rPr>
              <w:t>5.444</w:t>
            </w:r>
            <w:r>
              <w:rPr>
                <w:rFonts w:hint="eastAsia" w:ascii="Times New Roman" w:hAnsi="Times New Roman" w:eastAsia="宋体" w:cs="Times New Roman"/>
                <w:color w:val="auto"/>
                <w:kern w:val="0"/>
                <w:sz w:val="24"/>
              </w:rPr>
              <w:t>kg</w:t>
            </w:r>
            <w:r>
              <w:rPr>
                <w:rFonts w:ascii="Times New Roman" w:hAnsi="Times New Roman" w:eastAsia="宋体" w:cs="Times New Roman"/>
                <w:color w:val="auto"/>
                <w:kern w:val="0"/>
                <w:sz w:val="24"/>
              </w:rPr>
              <w:t>/a，高峰期油烟</w:t>
            </w:r>
            <w:r>
              <w:rPr>
                <w:rFonts w:hint="eastAsia" w:ascii="Times New Roman" w:hAnsi="Times New Roman" w:eastAsia="宋体" w:cs="Times New Roman"/>
                <w:color w:val="auto"/>
                <w:kern w:val="0"/>
                <w:sz w:val="24"/>
              </w:rPr>
              <w:t>排放</w:t>
            </w:r>
            <w:r>
              <w:rPr>
                <w:rFonts w:ascii="Times New Roman" w:hAnsi="Times New Roman" w:eastAsia="宋体" w:cs="Times New Roman"/>
                <w:color w:val="auto"/>
                <w:kern w:val="0"/>
                <w:sz w:val="24"/>
              </w:rPr>
              <w:t>浓度为</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208</w:t>
            </w:r>
            <w:r>
              <w:rPr>
                <w:rFonts w:ascii="Times New Roman" w:hAnsi="Times New Roman" w:eastAsia="宋体" w:cs="Times New Roman"/>
                <w:color w:val="auto"/>
                <w:kern w:val="0"/>
                <w:sz w:val="24"/>
              </w:rPr>
              <w:t>mg/m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排放速率为</w:t>
            </w:r>
            <w:r>
              <w:rPr>
                <w:rFonts w:hint="eastAsia" w:cs="Times New Roman"/>
                <w:color w:val="auto"/>
                <w:kern w:val="0"/>
                <w:sz w:val="24"/>
                <w:lang w:val="en-US" w:eastAsia="zh-CN"/>
              </w:rPr>
              <w:t>0.006</w:t>
            </w:r>
            <w:r>
              <w:rPr>
                <w:rFonts w:ascii="Times New Roman" w:hAnsi="Times New Roman" w:eastAsia="宋体" w:cs="Times New Roman"/>
                <w:color w:val="auto"/>
                <w:kern w:val="0"/>
                <w:sz w:val="24"/>
              </w:rPr>
              <w:t>kg/h。</w:t>
            </w:r>
          </w:p>
          <w:p w14:paraId="1C872E6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本项目废气产排具体情况见表4-</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w:t>
            </w:r>
          </w:p>
          <w:p w14:paraId="7309AAA1">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2</w:t>
            </w:r>
            <w:r>
              <w:rPr>
                <w:rFonts w:hint="eastAsia" w:ascii="Times New Roman" w:hAnsi="Times New Roman" w:eastAsia="宋体" w:cs="Times New Roman"/>
                <w:color w:val="auto"/>
              </w:rPr>
              <w:t xml:space="preserve">    本项目废气产排情况一览表</w:t>
            </w:r>
          </w:p>
          <w:tbl>
            <w:tblPr>
              <w:tblStyle w:val="22"/>
              <w:tblW w:w="767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08"/>
              <w:gridCol w:w="398"/>
              <w:gridCol w:w="545"/>
              <w:gridCol w:w="695"/>
              <w:gridCol w:w="647"/>
              <w:gridCol w:w="1056"/>
              <w:gridCol w:w="404"/>
              <w:gridCol w:w="606"/>
              <w:gridCol w:w="576"/>
              <w:gridCol w:w="489"/>
              <w:gridCol w:w="744"/>
              <w:gridCol w:w="802"/>
            </w:tblGrid>
            <w:tr w14:paraId="20DC78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461" w:type="pct"/>
                  <w:vMerge w:val="restart"/>
                  <w:vAlign w:val="center"/>
                </w:tcPr>
                <w:p w14:paraId="3C366EFF">
                  <w:pPr>
                    <w:pStyle w:val="44"/>
                    <w:spacing w:before="24" w:after="24" w:line="240" w:lineRule="auto"/>
                    <w:jc w:val="center"/>
                    <w:rPr>
                      <w:rFonts w:ascii="Times New Roman"/>
                      <w:b/>
                      <w:bCs/>
                      <w:color w:val="auto"/>
                      <w:sz w:val="21"/>
                      <w:szCs w:val="21"/>
                    </w:rPr>
                  </w:pPr>
                  <w:r>
                    <w:rPr>
                      <w:rFonts w:hint="eastAsia" w:ascii="Times New Roman"/>
                      <w:b/>
                      <w:bCs/>
                      <w:color w:val="auto"/>
                      <w:sz w:val="21"/>
                      <w:szCs w:val="21"/>
                    </w:rPr>
                    <w:t>产排污环节</w:t>
                  </w:r>
                </w:p>
              </w:tc>
              <w:tc>
                <w:tcPr>
                  <w:tcW w:w="259" w:type="pct"/>
                  <w:vMerge w:val="restart"/>
                  <w:vAlign w:val="center"/>
                </w:tcPr>
                <w:p w14:paraId="1A3C30F1">
                  <w:pPr>
                    <w:pStyle w:val="44"/>
                    <w:spacing w:before="24" w:after="24" w:line="240" w:lineRule="auto"/>
                    <w:jc w:val="center"/>
                    <w:rPr>
                      <w:rFonts w:ascii="Times New Roman"/>
                      <w:b/>
                      <w:bCs/>
                      <w:color w:val="auto"/>
                      <w:sz w:val="21"/>
                      <w:szCs w:val="21"/>
                    </w:rPr>
                  </w:pPr>
                  <w:r>
                    <w:rPr>
                      <w:rFonts w:hint="eastAsia" w:ascii="Times New Roman"/>
                      <w:b/>
                      <w:bCs/>
                      <w:color w:val="auto"/>
                      <w:sz w:val="21"/>
                      <w:szCs w:val="21"/>
                    </w:rPr>
                    <w:t>排放形式</w:t>
                  </w:r>
                </w:p>
              </w:tc>
              <w:tc>
                <w:tcPr>
                  <w:tcW w:w="355" w:type="pct"/>
                  <w:vMerge w:val="restart"/>
                  <w:vAlign w:val="center"/>
                </w:tcPr>
                <w:p w14:paraId="66F16019">
                  <w:pPr>
                    <w:pStyle w:val="44"/>
                    <w:spacing w:before="24" w:after="24" w:line="240" w:lineRule="auto"/>
                    <w:jc w:val="center"/>
                    <w:rPr>
                      <w:rFonts w:ascii="Times New Roman"/>
                      <w:b/>
                      <w:bCs/>
                      <w:color w:val="auto"/>
                      <w:sz w:val="21"/>
                      <w:szCs w:val="21"/>
                    </w:rPr>
                  </w:pPr>
                  <w:r>
                    <w:rPr>
                      <w:rFonts w:ascii="Times New Roman"/>
                      <w:b/>
                      <w:bCs/>
                      <w:color w:val="auto"/>
                      <w:sz w:val="21"/>
                      <w:szCs w:val="21"/>
                    </w:rPr>
                    <w:t>污染物</w:t>
                  </w:r>
                </w:p>
              </w:tc>
              <w:tc>
                <w:tcPr>
                  <w:tcW w:w="453" w:type="pct"/>
                  <w:vMerge w:val="restart"/>
                  <w:vAlign w:val="center"/>
                </w:tcPr>
                <w:p w14:paraId="5D629974">
                  <w:pPr>
                    <w:pStyle w:val="44"/>
                    <w:spacing w:before="24" w:after="24" w:line="240" w:lineRule="auto"/>
                    <w:jc w:val="center"/>
                    <w:rPr>
                      <w:rFonts w:ascii="Times New Roman"/>
                      <w:b/>
                      <w:bCs/>
                      <w:color w:val="auto"/>
                      <w:sz w:val="21"/>
                      <w:szCs w:val="21"/>
                    </w:rPr>
                  </w:pPr>
                  <w:r>
                    <w:rPr>
                      <w:rFonts w:ascii="Times New Roman"/>
                      <w:b/>
                      <w:bCs/>
                      <w:color w:val="auto"/>
                      <w:sz w:val="21"/>
                      <w:szCs w:val="21"/>
                    </w:rPr>
                    <w:t>产生量</w:t>
                  </w:r>
                </w:p>
                <w:p w14:paraId="525D2793">
                  <w:pPr>
                    <w:jc w:val="center"/>
                    <w:rPr>
                      <w:b/>
                      <w:bCs/>
                      <w:color w:val="auto"/>
                      <w:sz w:val="21"/>
                      <w:szCs w:val="21"/>
                    </w:rPr>
                  </w:pPr>
                  <w:r>
                    <w:rPr>
                      <w:b/>
                      <w:bCs/>
                      <w:color w:val="auto"/>
                      <w:sz w:val="21"/>
                      <w:szCs w:val="21"/>
                    </w:rPr>
                    <w:t>t/a</w:t>
                  </w:r>
                </w:p>
              </w:tc>
              <w:tc>
                <w:tcPr>
                  <w:tcW w:w="421" w:type="pct"/>
                  <w:vMerge w:val="restart"/>
                  <w:vAlign w:val="center"/>
                </w:tcPr>
                <w:p w14:paraId="42D2FEE6">
                  <w:pPr>
                    <w:jc w:val="center"/>
                    <w:rPr>
                      <w:b/>
                      <w:bCs/>
                      <w:color w:val="auto"/>
                      <w:sz w:val="21"/>
                      <w:szCs w:val="21"/>
                    </w:rPr>
                  </w:pPr>
                  <w:r>
                    <w:rPr>
                      <w:b/>
                      <w:bCs/>
                      <w:color w:val="auto"/>
                      <w:sz w:val="21"/>
                      <w:szCs w:val="21"/>
                    </w:rPr>
                    <w:t>产生速率kg/h</w:t>
                  </w:r>
                </w:p>
              </w:tc>
              <w:tc>
                <w:tcPr>
                  <w:tcW w:w="951" w:type="pct"/>
                  <w:gridSpan w:val="2"/>
                  <w:tcBorders>
                    <w:bottom w:val="single" w:color="auto" w:sz="12" w:space="0"/>
                  </w:tcBorders>
                  <w:vAlign w:val="center"/>
                </w:tcPr>
                <w:p w14:paraId="180A9A71">
                  <w:pPr>
                    <w:pStyle w:val="44"/>
                    <w:spacing w:before="24" w:after="24" w:line="240" w:lineRule="auto"/>
                    <w:jc w:val="center"/>
                    <w:rPr>
                      <w:rFonts w:hint="default" w:ascii="Times New Roman" w:eastAsia="宋体"/>
                      <w:b/>
                      <w:bCs/>
                      <w:color w:val="auto"/>
                      <w:sz w:val="21"/>
                      <w:szCs w:val="21"/>
                      <w:lang w:val="en-US" w:eastAsia="zh-CN"/>
                    </w:rPr>
                  </w:pPr>
                  <w:r>
                    <w:rPr>
                      <w:rFonts w:hint="eastAsia" w:ascii="Times New Roman"/>
                      <w:b/>
                      <w:bCs/>
                      <w:color w:val="auto"/>
                      <w:sz w:val="21"/>
                      <w:szCs w:val="21"/>
                      <w:lang w:val="en-US" w:eastAsia="zh-CN"/>
                    </w:rPr>
                    <w:t>污染防治设施</w:t>
                  </w:r>
                </w:p>
              </w:tc>
              <w:tc>
                <w:tcPr>
                  <w:tcW w:w="395" w:type="pct"/>
                  <w:vMerge w:val="restart"/>
                  <w:vAlign w:val="center"/>
                </w:tcPr>
                <w:p w14:paraId="39C8C590">
                  <w:pPr>
                    <w:pStyle w:val="44"/>
                    <w:spacing w:before="24" w:after="24" w:line="240" w:lineRule="auto"/>
                    <w:jc w:val="center"/>
                    <w:rPr>
                      <w:rFonts w:ascii="Times New Roman"/>
                      <w:b/>
                      <w:bCs/>
                      <w:color w:val="auto"/>
                      <w:sz w:val="21"/>
                      <w:szCs w:val="21"/>
                    </w:rPr>
                  </w:pPr>
                  <w:r>
                    <w:rPr>
                      <w:rFonts w:hint="eastAsia" w:ascii="Times New Roman"/>
                      <w:b/>
                      <w:bCs/>
                      <w:color w:val="auto"/>
                      <w:sz w:val="21"/>
                      <w:szCs w:val="21"/>
                    </w:rPr>
                    <w:t>收集</w:t>
                  </w:r>
                  <w:r>
                    <w:rPr>
                      <w:rFonts w:ascii="Times New Roman"/>
                      <w:b/>
                      <w:bCs/>
                      <w:color w:val="auto"/>
                      <w:sz w:val="21"/>
                      <w:szCs w:val="21"/>
                    </w:rPr>
                    <w:t>效率</w:t>
                  </w:r>
                </w:p>
              </w:tc>
              <w:tc>
                <w:tcPr>
                  <w:tcW w:w="375" w:type="pct"/>
                  <w:vMerge w:val="restart"/>
                  <w:vAlign w:val="center"/>
                </w:tcPr>
                <w:p w14:paraId="594A9C4A">
                  <w:pPr>
                    <w:pStyle w:val="44"/>
                    <w:spacing w:before="24" w:after="24" w:line="240" w:lineRule="auto"/>
                    <w:jc w:val="center"/>
                    <w:rPr>
                      <w:rFonts w:ascii="Times New Roman"/>
                      <w:b/>
                      <w:bCs/>
                      <w:color w:val="auto"/>
                      <w:sz w:val="21"/>
                      <w:szCs w:val="21"/>
                    </w:rPr>
                  </w:pPr>
                  <w:r>
                    <w:rPr>
                      <w:rFonts w:ascii="Times New Roman"/>
                      <w:b/>
                      <w:bCs/>
                      <w:color w:val="auto"/>
                      <w:sz w:val="21"/>
                      <w:szCs w:val="21"/>
                    </w:rPr>
                    <w:t>排放量t/a</w:t>
                  </w:r>
                </w:p>
              </w:tc>
              <w:tc>
                <w:tcPr>
                  <w:tcW w:w="318" w:type="pct"/>
                  <w:vMerge w:val="restart"/>
                  <w:vAlign w:val="center"/>
                </w:tcPr>
                <w:p w14:paraId="0F6BFB94">
                  <w:pPr>
                    <w:pStyle w:val="44"/>
                    <w:spacing w:before="24" w:after="24" w:line="240" w:lineRule="auto"/>
                    <w:jc w:val="center"/>
                    <w:rPr>
                      <w:rFonts w:ascii="Times New Roman"/>
                      <w:b/>
                      <w:bCs/>
                      <w:color w:val="auto"/>
                      <w:sz w:val="21"/>
                      <w:szCs w:val="21"/>
                    </w:rPr>
                  </w:pPr>
                  <w:r>
                    <w:rPr>
                      <w:rFonts w:ascii="Times New Roman"/>
                      <w:b/>
                      <w:bCs/>
                      <w:color w:val="auto"/>
                      <w:sz w:val="21"/>
                      <w:szCs w:val="21"/>
                    </w:rPr>
                    <w:t>排放浓度mg/m</w:t>
                  </w:r>
                  <w:r>
                    <w:rPr>
                      <w:rFonts w:ascii="Times New Roman"/>
                      <w:b/>
                      <w:bCs/>
                      <w:color w:val="auto"/>
                      <w:sz w:val="21"/>
                      <w:szCs w:val="21"/>
                      <w:vertAlign w:val="superscript"/>
                    </w:rPr>
                    <w:t>3</w:t>
                  </w:r>
                </w:p>
              </w:tc>
              <w:tc>
                <w:tcPr>
                  <w:tcW w:w="485" w:type="pct"/>
                  <w:vMerge w:val="restart"/>
                  <w:vAlign w:val="center"/>
                </w:tcPr>
                <w:p w14:paraId="551F1C6F">
                  <w:pPr>
                    <w:pStyle w:val="44"/>
                    <w:spacing w:before="24" w:after="24" w:line="240" w:lineRule="auto"/>
                    <w:jc w:val="center"/>
                    <w:rPr>
                      <w:rFonts w:ascii="Times New Roman"/>
                      <w:b/>
                      <w:bCs/>
                      <w:color w:val="auto"/>
                      <w:sz w:val="21"/>
                      <w:szCs w:val="21"/>
                    </w:rPr>
                  </w:pPr>
                  <w:r>
                    <w:rPr>
                      <w:rFonts w:ascii="Times New Roman"/>
                      <w:b/>
                      <w:bCs/>
                      <w:color w:val="auto"/>
                      <w:sz w:val="21"/>
                      <w:szCs w:val="21"/>
                    </w:rPr>
                    <w:t>排放速率kg/h</w:t>
                  </w:r>
                </w:p>
              </w:tc>
              <w:tc>
                <w:tcPr>
                  <w:tcW w:w="522" w:type="pct"/>
                  <w:vMerge w:val="restart"/>
                  <w:vAlign w:val="center"/>
                </w:tcPr>
                <w:p w14:paraId="76E50BBF">
                  <w:pPr>
                    <w:pStyle w:val="44"/>
                    <w:spacing w:before="24" w:after="24" w:line="240" w:lineRule="auto"/>
                    <w:jc w:val="center"/>
                    <w:rPr>
                      <w:rFonts w:hint="default" w:ascii="Times New Roman" w:eastAsia="宋体"/>
                      <w:b/>
                      <w:bCs/>
                      <w:color w:val="auto"/>
                      <w:sz w:val="21"/>
                      <w:szCs w:val="21"/>
                      <w:lang w:val="en-US" w:eastAsia="zh-CN"/>
                    </w:rPr>
                  </w:pPr>
                  <w:r>
                    <w:rPr>
                      <w:rFonts w:hint="eastAsia" w:ascii="Times New Roman"/>
                      <w:b/>
                      <w:bCs/>
                      <w:color w:val="auto"/>
                      <w:sz w:val="21"/>
                      <w:szCs w:val="21"/>
                      <w:lang w:val="en-US" w:eastAsia="zh-CN"/>
                    </w:rPr>
                    <w:t>标准限值mg/m³</w:t>
                  </w:r>
                </w:p>
              </w:tc>
            </w:tr>
            <w:tr w14:paraId="01E78B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75" w:hRule="atLeast"/>
                <w:jc w:val="center"/>
              </w:trPr>
              <w:tc>
                <w:tcPr>
                  <w:tcW w:w="461" w:type="pct"/>
                  <w:vMerge w:val="continue"/>
                  <w:tcBorders>
                    <w:bottom w:val="single" w:color="auto" w:sz="12" w:space="0"/>
                  </w:tcBorders>
                  <w:vAlign w:val="center"/>
                </w:tcPr>
                <w:p w14:paraId="2CCE7257">
                  <w:pPr>
                    <w:pStyle w:val="44"/>
                    <w:spacing w:before="24" w:after="24" w:line="240" w:lineRule="auto"/>
                    <w:jc w:val="center"/>
                    <w:rPr>
                      <w:color w:val="auto"/>
                    </w:rPr>
                  </w:pPr>
                </w:p>
              </w:tc>
              <w:tc>
                <w:tcPr>
                  <w:tcW w:w="259" w:type="pct"/>
                  <w:vMerge w:val="continue"/>
                  <w:tcBorders>
                    <w:bottom w:val="single" w:color="auto" w:sz="12" w:space="0"/>
                  </w:tcBorders>
                  <w:vAlign w:val="center"/>
                </w:tcPr>
                <w:p w14:paraId="52C64B52">
                  <w:pPr>
                    <w:pStyle w:val="44"/>
                    <w:spacing w:before="24" w:after="24" w:line="240" w:lineRule="auto"/>
                    <w:jc w:val="center"/>
                    <w:rPr>
                      <w:color w:val="auto"/>
                    </w:rPr>
                  </w:pPr>
                </w:p>
              </w:tc>
              <w:tc>
                <w:tcPr>
                  <w:tcW w:w="355" w:type="pct"/>
                  <w:vMerge w:val="continue"/>
                  <w:tcBorders>
                    <w:bottom w:val="single" w:color="auto" w:sz="12" w:space="0"/>
                  </w:tcBorders>
                  <w:vAlign w:val="center"/>
                </w:tcPr>
                <w:p w14:paraId="0EEB1185">
                  <w:pPr>
                    <w:pStyle w:val="44"/>
                    <w:spacing w:before="24" w:after="24" w:line="240" w:lineRule="auto"/>
                    <w:jc w:val="center"/>
                    <w:rPr>
                      <w:color w:val="auto"/>
                    </w:rPr>
                  </w:pPr>
                </w:p>
              </w:tc>
              <w:tc>
                <w:tcPr>
                  <w:tcW w:w="453" w:type="pct"/>
                  <w:vMerge w:val="continue"/>
                  <w:tcBorders>
                    <w:bottom w:val="single" w:color="auto" w:sz="12" w:space="0"/>
                  </w:tcBorders>
                  <w:vAlign w:val="center"/>
                </w:tcPr>
                <w:p w14:paraId="11712D1D">
                  <w:pPr>
                    <w:pStyle w:val="44"/>
                    <w:spacing w:before="24" w:after="24" w:line="240" w:lineRule="auto"/>
                    <w:jc w:val="center"/>
                    <w:rPr>
                      <w:color w:val="auto"/>
                    </w:rPr>
                  </w:pPr>
                </w:p>
              </w:tc>
              <w:tc>
                <w:tcPr>
                  <w:tcW w:w="421" w:type="pct"/>
                  <w:vMerge w:val="continue"/>
                  <w:tcBorders>
                    <w:bottom w:val="single" w:color="auto" w:sz="12" w:space="0"/>
                  </w:tcBorders>
                  <w:vAlign w:val="center"/>
                </w:tcPr>
                <w:p w14:paraId="7AD4A873">
                  <w:pPr>
                    <w:pStyle w:val="44"/>
                    <w:spacing w:before="24" w:after="24" w:line="240" w:lineRule="auto"/>
                    <w:jc w:val="center"/>
                    <w:rPr>
                      <w:color w:val="auto"/>
                    </w:rPr>
                  </w:pPr>
                </w:p>
              </w:tc>
              <w:tc>
                <w:tcPr>
                  <w:tcW w:w="688" w:type="pct"/>
                  <w:tcBorders>
                    <w:bottom w:val="single" w:color="auto" w:sz="12" w:space="0"/>
                  </w:tcBorders>
                  <w:vAlign w:val="center"/>
                </w:tcPr>
                <w:p w14:paraId="5D0444B3">
                  <w:pPr>
                    <w:pStyle w:val="44"/>
                    <w:spacing w:before="24" w:after="24" w:line="240" w:lineRule="auto"/>
                    <w:jc w:val="center"/>
                    <w:rPr>
                      <w:rFonts w:hint="default" w:ascii="Times New Roman"/>
                      <w:b/>
                      <w:bCs/>
                      <w:color w:val="auto"/>
                      <w:sz w:val="21"/>
                      <w:szCs w:val="21"/>
                      <w:lang w:val="en-US" w:eastAsia="zh-CN"/>
                    </w:rPr>
                  </w:pPr>
                  <w:r>
                    <w:rPr>
                      <w:rFonts w:hint="eastAsia" w:ascii="Times New Roman"/>
                      <w:b/>
                      <w:bCs/>
                      <w:color w:val="auto"/>
                      <w:sz w:val="21"/>
                      <w:szCs w:val="21"/>
                      <w:lang w:val="en-US" w:eastAsia="zh-CN"/>
                    </w:rPr>
                    <w:t>名称及工艺</w:t>
                  </w:r>
                </w:p>
              </w:tc>
              <w:tc>
                <w:tcPr>
                  <w:tcW w:w="263" w:type="pct"/>
                  <w:tcBorders>
                    <w:bottom w:val="single" w:color="auto" w:sz="12" w:space="0"/>
                  </w:tcBorders>
                  <w:vAlign w:val="center"/>
                </w:tcPr>
                <w:p w14:paraId="1201453E">
                  <w:pPr>
                    <w:pStyle w:val="44"/>
                    <w:spacing w:before="24" w:after="24" w:line="240" w:lineRule="auto"/>
                    <w:jc w:val="center"/>
                    <w:rPr>
                      <w:rFonts w:hint="default" w:ascii="Times New Roman"/>
                      <w:b/>
                      <w:bCs/>
                      <w:color w:val="auto"/>
                      <w:sz w:val="21"/>
                      <w:szCs w:val="21"/>
                      <w:lang w:val="en-US" w:eastAsia="zh-CN"/>
                    </w:rPr>
                  </w:pPr>
                  <w:r>
                    <w:rPr>
                      <w:rFonts w:hint="eastAsia" w:ascii="Times New Roman"/>
                      <w:b/>
                      <w:bCs/>
                      <w:color w:val="auto"/>
                      <w:sz w:val="21"/>
                      <w:szCs w:val="21"/>
                      <w:lang w:val="en-US" w:eastAsia="zh-CN"/>
                    </w:rPr>
                    <w:t>是否为可行技术</w:t>
                  </w:r>
                </w:p>
              </w:tc>
              <w:tc>
                <w:tcPr>
                  <w:tcW w:w="395" w:type="pct"/>
                  <w:vMerge w:val="continue"/>
                  <w:tcBorders>
                    <w:bottom w:val="single" w:color="auto" w:sz="12" w:space="0"/>
                  </w:tcBorders>
                  <w:vAlign w:val="center"/>
                </w:tcPr>
                <w:p w14:paraId="6500D3B5">
                  <w:pPr>
                    <w:pStyle w:val="44"/>
                    <w:spacing w:before="24" w:after="24" w:line="240" w:lineRule="auto"/>
                    <w:jc w:val="center"/>
                    <w:rPr>
                      <w:rFonts w:hint="eastAsia" w:ascii="Times New Roman"/>
                      <w:b/>
                      <w:bCs/>
                      <w:color w:val="auto"/>
                      <w:sz w:val="21"/>
                      <w:szCs w:val="21"/>
                      <w:lang w:val="en-US" w:eastAsia="zh-CN"/>
                    </w:rPr>
                  </w:pPr>
                </w:p>
              </w:tc>
              <w:tc>
                <w:tcPr>
                  <w:tcW w:w="375" w:type="pct"/>
                  <w:vMerge w:val="continue"/>
                  <w:tcBorders>
                    <w:bottom w:val="single" w:color="auto" w:sz="12" w:space="0"/>
                  </w:tcBorders>
                  <w:vAlign w:val="center"/>
                </w:tcPr>
                <w:p w14:paraId="18AA0AD5">
                  <w:pPr>
                    <w:pStyle w:val="44"/>
                    <w:spacing w:before="24" w:after="24" w:line="240" w:lineRule="auto"/>
                    <w:jc w:val="center"/>
                    <w:rPr>
                      <w:rFonts w:hint="eastAsia" w:ascii="Times New Roman"/>
                      <w:b/>
                      <w:bCs/>
                      <w:color w:val="auto"/>
                      <w:sz w:val="21"/>
                      <w:szCs w:val="21"/>
                      <w:lang w:val="en-US" w:eastAsia="zh-CN"/>
                    </w:rPr>
                  </w:pPr>
                </w:p>
              </w:tc>
              <w:tc>
                <w:tcPr>
                  <w:tcW w:w="318" w:type="pct"/>
                  <w:vMerge w:val="continue"/>
                  <w:tcBorders>
                    <w:bottom w:val="single" w:color="auto" w:sz="12" w:space="0"/>
                  </w:tcBorders>
                  <w:vAlign w:val="center"/>
                </w:tcPr>
                <w:p w14:paraId="11FB411D">
                  <w:pPr>
                    <w:pStyle w:val="44"/>
                    <w:spacing w:before="24" w:after="24" w:line="240" w:lineRule="auto"/>
                    <w:jc w:val="center"/>
                    <w:rPr>
                      <w:rFonts w:hint="eastAsia" w:ascii="Times New Roman"/>
                      <w:b/>
                      <w:bCs/>
                      <w:color w:val="auto"/>
                      <w:sz w:val="21"/>
                      <w:szCs w:val="21"/>
                      <w:lang w:val="en-US" w:eastAsia="zh-CN"/>
                    </w:rPr>
                  </w:pPr>
                </w:p>
              </w:tc>
              <w:tc>
                <w:tcPr>
                  <w:tcW w:w="485" w:type="pct"/>
                  <w:vMerge w:val="continue"/>
                  <w:tcBorders>
                    <w:bottom w:val="single" w:color="auto" w:sz="12" w:space="0"/>
                  </w:tcBorders>
                  <w:vAlign w:val="center"/>
                </w:tcPr>
                <w:p w14:paraId="68933CBE">
                  <w:pPr>
                    <w:pStyle w:val="44"/>
                    <w:spacing w:before="24" w:after="24" w:line="240" w:lineRule="auto"/>
                    <w:jc w:val="center"/>
                    <w:rPr>
                      <w:rFonts w:hint="eastAsia" w:ascii="Times New Roman"/>
                      <w:b/>
                      <w:bCs/>
                      <w:color w:val="auto"/>
                      <w:sz w:val="21"/>
                      <w:szCs w:val="21"/>
                      <w:lang w:val="en-US" w:eastAsia="zh-CN"/>
                    </w:rPr>
                  </w:pPr>
                </w:p>
              </w:tc>
              <w:tc>
                <w:tcPr>
                  <w:tcW w:w="522" w:type="pct"/>
                  <w:vMerge w:val="continue"/>
                  <w:tcBorders>
                    <w:bottom w:val="single" w:color="auto" w:sz="12" w:space="0"/>
                  </w:tcBorders>
                  <w:vAlign w:val="center"/>
                </w:tcPr>
                <w:p w14:paraId="216B6A5C">
                  <w:pPr>
                    <w:pStyle w:val="44"/>
                    <w:spacing w:before="24" w:after="24" w:line="240" w:lineRule="auto"/>
                    <w:jc w:val="center"/>
                    <w:rPr>
                      <w:rFonts w:hint="eastAsia" w:ascii="Times New Roman"/>
                      <w:b/>
                      <w:bCs/>
                      <w:color w:val="auto"/>
                      <w:sz w:val="21"/>
                      <w:szCs w:val="21"/>
                      <w:lang w:val="en-US" w:eastAsia="zh-CN"/>
                    </w:rPr>
                  </w:pPr>
                </w:p>
              </w:tc>
            </w:tr>
            <w:tr w14:paraId="0B09EF7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33" w:hRule="atLeast"/>
                <w:jc w:val="center"/>
              </w:trPr>
              <w:tc>
                <w:tcPr>
                  <w:tcW w:w="461" w:type="pct"/>
                  <w:tcBorders>
                    <w:top w:val="single" w:color="auto" w:sz="12" w:space="0"/>
                    <w:tl2br w:val="nil"/>
                    <w:tr2bl w:val="nil"/>
                  </w:tcBorders>
                  <w:vAlign w:val="center"/>
                </w:tcPr>
                <w:p w14:paraId="5504C252">
                  <w:pPr>
                    <w:pStyle w:val="44"/>
                    <w:spacing w:before="24" w:after="24" w:line="240" w:lineRule="auto"/>
                    <w:jc w:val="center"/>
                    <w:rPr>
                      <w:rFonts w:hint="eastAsia" w:ascii="Times New Roman" w:eastAsia="宋体"/>
                      <w:color w:val="auto"/>
                      <w:sz w:val="21"/>
                      <w:szCs w:val="21"/>
                      <w:lang w:eastAsia="zh-CN"/>
                    </w:rPr>
                  </w:pPr>
                  <w:r>
                    <w:rPr>
                      <w:rFonts w:hint="eastAsia" w:ascii="Times New Roman"/>
                      <w:color w:val="auto"/>
                      <w:sz w:val="21"/>
                      <w:szCs w:val="21"/>
                      <w:lang w:val="en-US" w:eastAsia="zh-CN"/>
                    </w:rPr>
                    <w:t>筒仓粉尘</w:t>
                  </w:r>
                </w:p>
              </w:tc>
              <w:tc>
                <w:tcPr>
                  <w:tcW w:w="259" w:type="pct"/>
                  <w:vMerge w:val="restart"/>
                  <w:tcBorders>
                    <w:top w:val="single" w:color="auto" w:sz="12" w:space="0"/>
                    <w:tl2br w:val="nil"/>
                    <w:tr2bl w:val="nil"/>
                  </w:tcBorders>
                  <w:vAlign w:val="center"/>
                </w:tcPr>
                <w:p w14:paraId="0D72147F">
                  <w:pPr>
                    <w:pStyle w:val="44"/>
                    <w:spacing w:before="24" w:after="24" w:line="240" w:lineRule="auto"/>
                    <w:jc w:val="center"/>
                    <w:rPr>
                      <w:rFonts w:ascii="Times New Roman"/>
                      <w:color w:val="auto"/>
                      <w:sz w:val="21"/>
                      <w:szCs w:val="21"/>
                    </w:rPr>
                  </w:pPr>
                  <w:r>
                    <w:rPr>
                      <w:rFonts w:hint="eastAsia" w:ascii="Times New Roman"/>
                      <w:color w:val="auto"/>
                      <w:sz w:val="21"/>
                      <w:szCs w:val="21"/>
                    </w:rPr>
                    <w:t>无组织</w:t>
                  </w:r>
                </w:p>
              </w:tc>
              <w:tc>
                <w:tcPr>
                  <w:tcW w:w="355" w:type="pct"/>
                  <w:tcBorders>
                    <w:top w:val="single" w:color="auto" w:sz="12" w:space="0"/>
                    <w:tl2br w:val="nil"/>
                    <w:tr2bl w:val="nil"/>
                  </w:tcBorders>
                  <w:vAlign w:val="center"/>
                </w:tcPr>
                <w:p w14:paraId="2BB4BDA8">
                  <w:pPr>
                    <w:pStyle w:val="44"/>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53" w:type="pct"/>
                  <w:tcBorders>
                    <w:top w:val="single" w:color="auto" w:sz="12" w:space="0"/>
                    <w:tl2br w:val="nil"/>
                    <w:tr2bl w:val="nil"/>
                  </w:tcBorders>
                  <w:vAlign w:val="center"/>
                </w:tcPr>
                <w:p w14:paraId="5E93F9BC">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57.2</w:t>
                  </w:r>
                </w:p>
              </w:tc>
              <w:tc>
                <w:tcPr>
                  <w:tcW w:w="421" w:type="pct"/>
                  <w:tcBorders>
                    <w:top w:val="single" w:color="auto" w:sz="12" w:space="0"/>
                    <w:tl2br w:val="nil"/>
                    <w:tr2bl w:val="nil"/>
                  </w:tcBorders>
                  <w:vAlign w:val="center"/>
                </w:tcPr>
                <w:p w14:paraId="38CCF90E">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63.3</w:t>
                  </w:r>
                </w:p>
              </w:tc>
              <w:tc>
                <w:tcPr>
                  <w:tcW w:w="688" w:type="pct"/>
                  <w:tcBorders>
                    <w:top w:val="single" w:color="auto" w:sz="12" w:space="0"/>
                    <w:tl2br w:val="nil"/>
                    <w:tr2bl w:val="nil"/>
                  </w:tcBorders>
                  <w:vAlign w:val="center"/>
                </w:tcPr>
                <w:p w14:paraId="612A1FE1">
                  <w:pPr>
                    <w:pStyle w:val="44"/>
                    <w:spacing w:before="24" w:after="24" w:line="240" w:lineRule="auto"/>
                    <w:jc w:val="center"/>
                    <w:rPr>
                      <w:rFonts w:hint="default" w:ascii="Times New Roman" w:eastAsia="宋体"/>
                      <w:color w:val="auto"/>
                      <w:sz w:val="21"/>
                      <w:szCs w:val="21"/>
                      <w:lang w:val="en-US" w:eastAsia="zh-CN"/>
                    </w:rPr>
                  </w:pPr>
                  <w:r>
                    <w:rPr>
                      <w:rFonts w:ascii="Times New Roman"/>
                      <w:color w:val="auto"/>
                      <w:sz w:val="21"/>
                      <w:szCs w:val="21"/>
                    </w:rPr>
                    <w:t>脉冲布袋除尘器</w:t>
                  </w:r>
                  <w:r>
                    <w:rPr>
                      <w:rFonts w:hint="eastAsia" w:ascii="Times New Roman"/>
                      <w:color w:val="auto"/>
                      <w:sz w:val="21"/>
                      <w:szCs w:val="21"/>
                      <w:lang w:val="en-US" w:eastAsia="zh-CN"/>
                    </w:rPr>
                    <w:t>+管道通回搅拌机</w:t>
                  </w:r>
                </w:p>
              </w:tc>
              <w:tc>
                <w:tcPr>
                  <w:tcW w:w="263" w:type="pct"/>
                  <w:tcBorders>
                    <w:top w:val="single" w:color="auto" w:sz="12" w:space="0"/>
                    <w:tl2br w:val="nil"/>
                    <w:tr2bl w:val="nil"/>
                  </w:tcBorders>
                  <w:vAlign w:val="center"/>
                </w:tcPr>
                <w:p w14:paraId="48910130">
                  <w:pPr>
                    <w:pStyle w:val="44"/>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395" w:type="pct"/>
                  <w:tcBorders>
                    <w:top w:val="single" w:color="auto" w:sz="12" w:space="0"/>
                    <w:tl2br w:val="nil"/>
                    <w:tr2bl w:val="nil"/>
                  </w:tcBorders>
                  <w:vAlign w:val="center"/>
                </w:tcPr>
                <w:p w14:paraId="35FD6077">
                  <w:pPr>
                    <w:jc w:val="center"/>
                    <w:rPr>
                      <w:color w:val="auto"/>
                      <w:sz w:val="21"/>
                      <w:szCs w:val="21"/>
                    </w:rPr>
                  </w:pPr>
                  <w:r>
                    <w:rPr>
                      <w:rFonts w:hint="eastAsia"/>
                      <w:color w:val="auto"/>
                      <w:sz w:val="21"/>
                      <w:szCs w:val="21"/>
                    </w:rPr>
                    <w:t>/</w:t>
                  </w:r>
                </w:p>
              </w:tc>
              <w:tc>
                <w:tcPr>
                  <w:tcW w:w="375" w:type="pct"/>
                  <w:tcBorders>
                    <w:top w:val="single" w:color="auto" w:sz="12" w:space="0"/>
                    <w:tl2br w:val="nil"/>
                    <w:tr2bl w:val="nil"/>
                  </w:tcBorders>
                  <w:vAlign w:val="center"/>
                </w:tcPr>
                <w:p w14:paraId="2CD5A86F">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0.19</w:t>
                  </w:r>
                </w:p>
              </w:tc>
              <w:tc>
                <w:tcPr>
                  <w:tcW w:w="318" w:type="pct"/>
                  <w:tcBorders>
                    <w:top w:val="single" w:color="auto" w:sz="12" w:space="0"/>
                    <w:tl2br w:val="nil"/>
                    <w:tr2bl w:val="nil"/>
                  </w:tcBorders>
                  <w:vAlign w:val="center"/>
                </w:tcPr>
                <w:p w14:paraId="0194E280">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w:t>
                  </w:r>
                </w:p>
              </w:tc>
              <w:tc>
                <w:tcPr>
                  <w:tcW w:w="485" w:type="pct"/>
                  <w:tcBorders>
                    <w:top w:val="single" w:color="auto" w:sz="12" w:space="0"/>
                    <w:tl2br w:val="nil"/>
                    <w:tr2bl w:val="nil"/>
                  </w:tcBorders>
                  <w:vAlign w:val="center"/>
                </w:tcPr>
                <w:p w14:paraId="4116F9DC">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0.13</w:t>
                  </w:r>
                </w:p>
              </w:tc>
              <w:tc>
                <w:tcPr>
                  <w:tcW w:w="522" w:type="pct"/>
                  <w:tcBorders>
                    <w:top w:val="single" w:color="auto" w:sz="12" w:space="0"/>
                    <w:tl2br w:val="nil"/>
                    <w:tr2bl w:val="nil"/>
                  </w:tcBorders>
                  <w:vAlign w:val="center"/>
                </w:tcPr>
                <w:p w14:paraId="078BD6C3">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14:paraId="257655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461" w:type="pct"/>
                  <w:tcBorders>
                    <w:tl2br w:val="nil"/>
                    <w:tr2bl w:val="nil"/>
                  </w:tcBorders>
                  <w:vAlign w:val="center"/>
                </w:tcPr>
                <w:p w14:paraId="4708CB16">
                  <w:pPr>
                    <w:pStyle w:val="44"/>
                    <w:spacing w:before="24" w:after="24" w:line="240" w:lineRule="auto"/>
                    <w:jc w:val="center"/>
                    <w:rPr>
                      <w:rFonts w:ascii="Times New Roman"/>
                      <w:color w:val="auto"/>
                      <w:sz w:val="21"/>
                      <w:szCs w:val="21"/>
                    </w:rPr>
                  </w:pPr>
                  <w:r>
                    <w:rPr>
                      <w:rFonts w:hint="eastAsia" w:ascii="Times New Roman"/>
                      <w:color w:val="auto"/>
                      <w:sz w:val="21"/>
                      <w:szCs w:val="21"/>
                    </w:rPr>
                    <w:t>料</w:t>
                  </w:r>
                  <w:r>
                    <w:rPr>
                      <w:rFonts w:hint="eastAsia" w:ascii="Times New Roman"/>
                      <w:color w:val="auto"/>
                      <w:sz w:val="21"/>
                      <w:szCs w:val="21"/>
                      <w:lang w:val="en-US" w:eastAsia="zh-CN"/>
                    </w:rPr>
                    <w:t>场</w:t>
                  </w:r>
                  <w:r>
                    <w:rPr>
                      <w:rFonts w:hint="eastAsia" w:ascii="Times New Roman"/>
                      <w:color w:val="auto"/>
                      <w:sz w:val="21"/>
                      <w:szCs w:val="21"/>
                    </w:rPr>
                    <w:t>扬尘及装卸扬尘</w:t>
                  </w:r>
                </w:p>
              </w:tc>
              <w:tc>
                <w:tcPr>
                  <w:tcW w:w="259" w:type="pct"/>
                  <w:vMerge w:val="continue"/>
                  <w:tcBorders>
                    <w:tl2br w:val="nil"/>
                    <w:tr2bl w:val="nil"/>
                  </w:tcBorders>
                  <w:vAlign w:val="center"/>
                </w:tcPr>
                <w:p w14:paraId="7E790606">
                  <w:pPr>
                    <w:pStyle w:val="44"/>
                    <w:spacing w:before="24" w:after="24" w:line="240" w:lineRule="auto"/>
                    <w:jc w:val="center"/>
                    <w:rPr>
                      <w:rFonts w:ascii="Times New Roman"/>
                      <w:color w:val="auto"/>
                      <w:sz w:val="21"/>
                      <w:szCs w:val="21"/>
                    </w:rPr>
                  </w:pPr>
                </w:p>
              </w:tc>
              <w:tc>
                <w:tcPr>
                  <w:tcW w:w="355" w:type="pct"/>
                  <w:tcBorders>
                    <w:tl2br w:val="nil"/>
                    <w:tr2bl w:val="nil"/>
                  </w:tcBorders>
                  <w:vAlign w:val="center"/>
                </w:tcPr>
                <w:p w14:paraId="5E3C139D">
                  <w:pPr>
                    <w:pStyle w:val="44"/>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53" w:type="pct"/>
                  <w:tcBorders>
                    <w:tl2br w:val="nil"/>
                    <w:tr2bl w:val="nil"/>
                  </w:tcBorders>
                  <w:vAlign w:val="center"/>
                </w:tcPr>
                <w:p w14:paraId="259B2A49">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39.286</w:t>
                  </w:r>
                </w:p>
              </w:tc>
              <w:tc>
                <w:tcPr>
                  <w:tcW w:w="421" w:type="pct"/>
                  <w:tcBorders>
                    <w:tl2br w:val="nil"/>
                    <w:tr2bl w:val="nil"/>
                  </w:tcBorders>
                  <w:vAlign w:val="center"/>
                </w:tcPr>
                <w:p w14:paraId="23FE72A7">
                  <w:pPr>
                    <w:jc w:val="center"/>
                    <w:rPr>
                      <w:rFonts w:hint="default" w:eastAsia="宋体"/>
                      <w:color w:val="auto"/>
                      <w:sz w:val="21"/>
                      <w:szCs w:val="21"/>
                      <w:lang w:val="en-US" w:eastAsia="zh-CN"/>
                    </w:rPr>
                  </w:pPr>
                  <w:r>
                    <w:rPr>
                      <w:rFonts w:hint="eastAsia"/>
                      <w:color w:val="auto"/>
                      <w:sz w:val="21"/>
                      <w:szCs w:val="21"/>
                      <w:lang w:val="en-US" w:eastAsia="zh-CN"/>
                    </w:rPr>
                    <w:t>27.28</w:t>
                  </w:r>
                </w:p>
              </w:tc>
              <w:tc>
                <w:tcPr>
                  <w:tcW w:w="688" w:type="pct"/>
                  <w:tcBorders>
                    <w:tl2br w:val="nil"/>
                    <w:tr2bl w:val="nil"/>
                  </w:tcBorders>
                  <w:vAlign w:val="center"/>
                </w:tcPr>
                <w:p w14:paraId="6A7CD982">
                  <w:pPr>
                    <w:pStyle w:val="44"/>
                    <w:spacing w:before="24" w:after="24" w:line="240" w:lineRule="auto"/>
                    <w:jc w:val="center"/>
                    <w:rPr>
                      <w:rFonts w:ascii="Times New Roman"/>
                      <w:color w:val="auto"/>
                      <w:sz w:val="21"/>
                      <w:szCs w:val="21"/>
                    </w:rPr>
                  </w:pPr>
                  <w:r>
                    <w:rPr>
                      <w:rFonts w:hint="eastAsia" w:ascii="Times New Roman"/>
                      <w:color w:val="auto"/>
                      <w:sz w:val="21"/>
                      <w:szCs w:val="21"/>
                      <w:lang w:val="en-US" w:eastAsia="zh-CN"/>
                    </w:rPr>
                    <w:t>料场半封闭+篷布</w:t>
                  </w:r>
                  <w:r>
                    <w:rPr>
                      <w:rFonts w:hint="eastAsia" w:ascii="Times New Roman"/>
                      <w:color w:val="auto"/>
                      <w:sz w:val="21"/>
                      <w:szCs w:val="21"/>
                    </w:rPr>
                    <w:t>覆盖洒水降尘</w:t>
                  </w:r>
                </w:p>
              </w:tc>
              <w:tc>
                <w:tcPr>
                  <w:tcW w:w="263" w:type="pct"/>
                  <w:tcBorders>
                    <w:tl2br w:val="nil"/>
                    <w:tr2bl w:val="nil"/>
                  </w:tcBorders>
                  <w:vAlign w:val="center"/>
                </w:tcPr>
                <w:p w14:paraId="499C9203">
                  <w:pPr>
                    <w:pStyle w:val="44"/>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395" w:type="pct"/>
                  <w:tcBorders>
                    <w:tl2br w:val="nil"/>
                    <w:tr2bl w:val="nil"/>
                  </w:tcBorders>
                  <w:vAlign w:val="center"/>
                </w:tcPr>
                <w:p w14:paraId="6867EDB3">
                  <w:pPr>
                    <w:pStyle w:val="44"/>
                    <w:spacing w:before="24" w:after="24" w:line="240" w:lineRule="auto"/>
                    <w:jc w:val="center"/>
                    <w:rPr>
                      <w:rFonts w:ascii="Times New Roman"/>
                      <w:color w:val="auto"/>
                      <w:sz w:val="21"/>
                      <w:szCs w:val="21"/>
                    </w:rPr>
                  </w:pPr>
                  <w:r>
                    <w:rPr>
                      <w:rFonts w:hint="eastAsia" w:ascii="Times New Roman"/>
                      <w:color w:val="auto"/>
                      <w:sz w:val="21"/>
                      <w:szCs w:val="21"/>
                    </w:rPr>
                    <w:t>/</w:t>
                  </w:r>
                </w:p>
              </w:tc>
              <w:tc>
                <w:tcPr>
                  <w:tcW w:w="375" w:type="pct"/>
                  <w:tcBorders>
                    <w:tl2br w:val="nil"/>
                    <w:tr2bl w:val="nil"/>
                  </w:tcBorders>
                  <w:vAlign w:val="center"/>
                </w:tcPr>
                <w:p w14:paraId="139F7B48">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0.037</w:t>
                  </w:r>
                </w:p>
              </w:tc>
              <w:tc>
                <w:tcPr>
                  <w:tcW w:w="318" w:type="pct"/>
                  <w:tcBorders>
                    <w:tl2br w:val="nil"/>
                    <w:tr2bl w:val="nil"/>
                  </w:tcBorders>
                  <w:vAlign w:val="center"/>
                </w:tcPr>
                <w:p w14:paraId="555FF852">
                  <w:pPr>
                    <w:pStyle w:val="44"/>
                    <w:spacing w:before="24" w:after="24" w:line="240" w:lineRule="auto"/>
                    <w:jc w:val="center"/>
                    <w:rPr>
                      <w:rFonts w:ascii="Times New Roman"/>
                      <w:color w:val="auto"/>
                      <w:sz w:val="21"/>
                      <w:szCs w:val="21"/>
                    </w:rPr>
                  </w:pPr>
                  <w:r>
                    <w:rPr>
                      <w:rFonts w:hint="eastAsia" w:ascii="Times New Roman"/>
                      <w:color w:val="auto"/>
                      <w:sz w:val="21"/>
                      <w:szCs w:val="21"/>
                    </w:rPr>
                    <w:t>/</w:t>
                  </w:r>
                </w:p>
              </w:tc>
              <w:tc>
                <w:tcPr>
                  <w:tcW w:w="485" w:type="pct"/>
                  <w:tcBorders>
                    <w:tl2br w:val="nil"/>
                    <w:tr2bl w:val="nil"/>
                  </w:tcBorders>
                  <w:vAlign w:val="center"/>
                </w:tcPr>
                <w:p w14:paraId="05EC27FD">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0.025</w:t>
                  </w:r>
                </w:p>
              </w:tc>
              <w:tc>
                <w:tcPr>
                  <w:tcW w:w="522" w:type="pct"/>
                  <w:tcBorders>
                    <w:tl2br w:val="nil"/>
                    <w:tr2bl w:val="nil"/>
                  </w:tcBorders>
                  <w:vAlign w:val="center"/>
                </w:tcPr>
                <w:p w14:paraId="741B4F9F">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14:paraId="0D5D63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1" w:hRule="atLeast"/>
                <w:jc w:val="center"/>
              </w:trPr>
              <w:tc>
                <w:tcPr>
                  <w:tcW w:w="461" w:type="pct"/>
                  <w:tcBorders>
                    <w:tl2br w:val="nil"/>
                    <w:tr2bl w:val="nil"/>
                  </w:tcBorders>
                  <w:vAlign w:val="center"/>
                </w:tcPr>
                <w:p w14:paraId="17CFBB6F">
                  <w:pPr>
                    <w:pStyle w:val="44"/>
                    <w:spacing w:before="24" w:after="24" w:line="240" w:lineRule="auto"/>
                    <w:jc w:val="center"/>
                    <w:rPr>
                      <w:rFonts w:ascii="Times New Roman"/>
                      <w:color w:val="auto"/>
                      <w:sz w:val="21"/>
                      <w:szCs w:val="21"/>
                    </w:rPr>
                  </w:pPr>
                  <w:r>
                    <w:rPr>
                      <w:rFonts w:ascii="Times New Roman"/>
                      <w:color w:val="auto"/>
                      <w:sz w:val="21"/>
                      <w:szCs w:val="21"/>
                    </w:rPr>
                    <w:t>运输车辆道路扬尘</w:t>
                  </w:r>
                </w:p>
              </w:tc>
              <w:tc>
                <w:tcPr>
                  <w:tcW w:w="259" w:type="pct"/>
                  <w:vMerge w:val="continue"/>
                  <w:tcBorders>
                    <w:tl2br w:val="nil"/>
                    <w:tr2bl w:val="nil"/>
                  </w:tcBorders>
                  <w:vAlign w:val="center"/>
                </w:tcPr>
                <w:p w14:paraId="72D7C847">
                  <w:pPr>
                    <w:pStyle w:val="44"/>
                    <w:spacing w:before="24" w:after="24" w:line="240" w:lineRule="auto"/>
                    <w:jc w:val="center"/>
                    <w:rPr>
                      <w:rFonts w:ascii="Times New Roman"/>
                      <w:color w:val="auto"/>
                      <w:sz w:val="21"/>
                      <w:szCs w:val="21"/>
                    </w:rPr>
                  </w:pPr>
                </w:p>
              </w:tc>
              <w:tc>
                <w:tcPr>
                  <w:tcW w:w="355" w:type="pct"/>
                  <w:tcBorders>
                    <w:tl2br w:val="nil"/>
                    <w:tr2bl w:val="nil"/>
                  </w:tcBorders>
                  <w:vAlign w:val="center"/>
                </w:tcPr>
                <w:p w14:paraId="6D3DA22A">
                  <w:pPr>
                    <w:pStyle w:val="44"/>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53" w:type="pct"/>
                  <w:tcBorders>
                    <w:tl2br w:val="nil"/>
                    <w:tr2bl w:val="nil"/>
                  </w:tcBorders>
                  <w:vAlign w:val="center"/>
                </w:tcPr>
                <w:p w14:paraId="00A1FF76">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rPr>
                    <w:t>1.</w:t>
                  </w:r>
                  <w:r>
                    <w:rPr>
                      <w:rFonts w:hint="eastAsia" w:ascii="Times New Roman"/>
                      <w:color w:val="auto"/>
                      <w:sz w:val="21"/>
                      <w:szCs w:val="21"/>
                      <w:lang w:val="en-US" w:eastAsia="zh-CN"/>
                    </w:rPr>
                    <w:t>743</w:t>
                  </w:r>
                </w:p>
              </w:tc>
              <w:tc>
                <w:tcPr>
                  <w:tcW w:w="421" w:type="pct"/>
                  <w:tcBorders>
                    <w:tl2br w:val="nil"/>
                    <w:tr2bl w:val="nil"/>
                  </w:tcBorders>
                  <w:vAlign w:val="center"/>
                </w:tcPr>
                <w:p w14:paraId="21969DD9">
                  <w:pPr>
                    <w:jc w:val="center"/>
                    <w:rPr>
                      <w:rFonts w:hint="default" w:eastAsia="宋体"/>
                      <w:color w:val="auto"/>
                      <w:sz w:val="21"/>
                      <w:szCs w:val="21"/>
                      <w:lang w:val="en-US" w:eastAsia="zh-CN"/>
                    </w:rPr>
                  </w:pPr>
                  <w:r>
                    <w:rPr>
                      <w:rFonts w:hint="eastAsia"/>
                      <w:color w:val="auto"/>
                      <w:sz w:val="21"/>
                      <w:szCs w:val="21"/>
                      <w:lang w:val="en-US" w:eastAsia="zh-CN"/>
                    </w:rPr>
                    <w:t>1.21</w:t>
                  </w:r>
                </w:p>
              </w:tc>
              <w:tc>
                <w:tcPr>
                  <w:tcW w:w="688" w:type="pct"/>
                  <w:tcBorders>
                    <w:tl2br w:val="nil"/>
                    <w:tr2bl w:val="nil"/>
                  </w:tcBorders>
                  <w:vAlign w:val="center"/>
                </w:tcPr>
                <w:p w14:paraId="626EECCF">
                  <w:pPr>
                    <w:pStyle w:val="44"/>
                    <w:spacing w:before="24" w:after="24" w:line="240" w:lineRule="auto"/>
                    <w:jc w:val="center"/>
                    <w:rPr>
                      <w:rFonts w:ascii="Times New Roman"/>
                      <w:color w:val="auto"/>
                      <w:sz w:val="21"/>
                      <w:szCs w:val="21"/>
                    </w:rPr>
                  </w:pPr>
                  <w:r>
                    <w:rPr>
                      <w:rFonts w:hint="eastAsia" w:ascii="Times New Roman"/>
                      <w:color w:val="auto"/>
                      <w:sz w:val="21"/>
                      <w:szCs w:val="21"/>
                    </w:rPr>
                    <w:t>封闭运输+车辆、道路清洗+洒水降尘</w:t>
                  </w:r>
                </w:p>
              </w:tc>
              <w:tc>
                <w:tcPr>
                  <w:tcW w:w="263" w:type="pct"/>
                  <w:tcBorders>
                    <w:tl2br w:val="nil"/>
                    <w:tr2bl w:val="nil"/>
                  </w:tcBorders>
                  <w:vAlign w:val="center"/>
                </w:tcPr>
                <w:p w14:paraId="47617934">
                  <w:pPr>
                    <w:pStyle w:val="44"/>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395" w:type="pct"/>
                  <w:tcBorders>
                    <w:tl2br w:val="nil"/>
                    <w:tr2bl w:val="nil"/>
                  </w:tcBorders>
                  <w:vAlign w:val="center"/>
                </w:tcPr>
                <w:p w14:paraId="21184AED">
                  <w:pPr>
                    <w:pStyle w:val="44"/>
                    <w:spacing w:before="24" w:after="24" w:line="240" w:lineRule="auto"/>
                    <w:jc w:val="center"/>
                    <w:rPr>
                      <w:rFonts w:ascii="Times New Roman"/>
                      <w:color w:val="auto"/>
                      <w:sz w:val="21"/>
                      <w:szCs w:val="21"/>
                    </w:rPr>
                  </w:pPr>
                  <w:r>
                    <w:rPr>
                      <w:rFonts w:hint="eastAsia" w:ascii="Times New Roman"/>
                      <w:color w:val="auto"/>
                      <w:sz w:val="21"/>
                      <w:szCs w:val="21"/>
                    </w:rPr>
                    <w:t>/</w:t>
                  </w:r>
                </w:p>
              </w:tc>
              <w:tc>
                <w:tcPr>
                  <w:tcW w:w="375" w:type="pct"/>
                  <w:tcBorders>
                    <w:tl2br w:val="nil"/>
                    <w:tr2bl w:val="nil"/>
                  </w:tcBorders>
                  <w:vAlign w:val="center"/>
                </w:tcPr>
                <w:p w14:paraId="1010342E">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0.453</w:t>
                  </w:r>
                </w:p>
              </w:tc>
              <w:tc>
                <w:tcPr>
                  <w:tcW w:w="318" w:type="pct"/>
                  <w:tcBorders>
                    <w:tl2br w:val="nil"/>
                    <w:tr2bl w:val="nil"/>
                  </w:tcBorders>
                  <w:vAlign w:val="center"/>
                </w:tcPr>
                <w:p w14:paraId="355BDB4C">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w:t>
                  </w:r>
                </w:p>
              </w:tc>
              <w:tc>
                <w:tcPr>
                  <w:tcW w:w="485" w:type="pct"/>
                  <w:tcBorders>
                    <w:tl2br w:val="nil"/>
                    <w:tr2bl w:val="nil"/>
                  </w:tcBorders>
                  <w:vAlign w:val="center"/>
                </w:tcPr>
                <w:p w14:paraId="481669FA">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rPr>
                    <w:t>0.</w:t>
                  </w:r>
                  <w:r>
                    <w:rPr>
                      <w:rFonts w:hint="eastAsia" w:ascii="Times New Roman"/>
                      <w:color w:val="auto"/>
                      <w:sz w:val="21"/>
                      <w:szCs w:val="21"/>
                      <w:lang w:val="en-US" w:eastAsia="zh-CN"/>
                    </w:rPr>
                    <w:t>315</w:t>
                  </w:r>
                </w:p>
              </w:tc>
              <w:tc>
                <w:tcPr>
                  <w:tcW w:w="522" w:type="pct"/>
                  <w:tcBorders>
                    <w:tl2br w:val="nil"/>
                    <w:tr2bl w:val="nil"/>
                  </w:tcBorders>
                  <w:vAlign w:val="center"/>
                </w:tcPr>
                <w:p w14:paraId="7BC5525A">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14:paraId="5E387F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461" w:type="pct"/>
                  <w:tcBorders>
                    <w:tl2br w:val="nil"/>
                    <w:tr2bl w:val="nil"/>
                  </w:tcBorders>
                  <w:vAlign w:val="center"/>
                </w:tcPr>
                <w:p w14:paraId="61D0D288">
                  <w:pPr>
                    <w:pStyle w:val="44"/>
                    <w:spacing w:before="24" w:after="24" w:line="240" w:lineRule="auto"/>
                    <w:jc w:val="center"/>
                    <w:rPr>
                      <w:rFonts w:ascii="Times New Roman"/>
                      <w:color w:val="auto"/>
                      <w:sz w:val="21"/>
                      <w:szCs w:val="21"/>
                    </w:rPr>
                  </w:pPr>
                  <w:r>
                    <w:rPr>
                      <w:rFonts w:hint="eastAsia" w:ascii="Times New Roman"/>
                      <w:color w:val="auto"/>
                      <w:sz w:val="21"/>
                      <w:szCs w:val="21"/>
                    </w:rPr>
                    <w:t>食堂油烟</w:t>
                  </w:r>
                </w:p>
              </w:tc>
              <w:tc>
                <w:tcPr>
                  <w:tcW w:w="259" w:type="pct"/>
                  <w:vMerge w:val="restart"/>
                  <w:tcBorders>
                    <w:tl2br w:val="nil"/>
                    <w:tr2bl w:val="nil"/>
                  </w:tcBorders>
                  <w:vAlign w:val="center"/>
                </w:tcPr>
                <w:p w14:paraId="33D8C099">
                  <w:pPr>
                    <w:pStyle w:val="44"/>
                    <w:spacing w:before="24" w:after="24" w:line="240" w:lineRule="auto"/>
                    <w:jc w:val="center"/>
                    <w:rPr>
                      <w:rFonts w:ascii="Times New Roman"/>
                      <w:color w:val="auto"/>
                      <w:sz w:val="21"/>
                      <w:szCs w:val="21"/>
                    </w:rPr>
                  </w:pPr>
                  <w:r>
                    <w:rPr>
                      <w:rFonts w:hint="eastAsia" w:ascii="Times New Roman"/>
                      <w:color w:val="auto"/>
                      <w:sz w:val="21"/>
                      <w:szCs w:val="21"/>
                    </w:rPr>
                    <w:t>有组织</w:t>
                  </w:r>
                </w:p>
              </w:tc>
              <w:tc>
                <w:tcPr>
                  <w:tcW w:w="355" w:type="pct"/>
                  <w:tcBorders>
                    <w:tl2br w:val="nil"/>
                    <w:tr2bl w:val="nil"/>
                  </w:tcBorders>
                  <w:vAlign w:val="center"/>
                </w:tcPr>
                <w:p w14:paraId="7F865ACD">
                  <w:pPr>
                    <w:pStyle w:val="44"/>
                    <w:spacing w:before="24" w:after="24" w:line="240" w:lineRule="auto"/>
                    <w:jc w:val="center"/>
                    <w:rPr>
                      <w:rFonts w:ascii="Times New Roman"/>
                      <w:color w:val="auto"/>
                      <w:sz w:val="21"/>
                      <w:szCs w:val="21"/>
                    </w:rPr>
                  </w:pPr>
                  <w:r>
                    <w:rPr>
                      <w:rFonts w:hint="eastAsia" w:ascii="Times New Roman"/>
                      <w:color w:val="auto"/>
                      <w:sz w:val="21"/>
                      <w:szCs w:val="21"/>
                    </w:rPr>
                    <w:t>油烟</w:t>
                  </w:r>
                </w:p>
              </w:tc>
              <w:tc>
                <w:tcPr>
                  <w:tcW w:w="453" w:type="pct"/>
                  <w:tcBorders>
                    <w:tl2br w:val="nil"/>
                    <w:tr2bl w:val="nil"/>
                  </w:tcBorders>
                  <w:vAlign w:val="center"/>
                </w:tcPr>
                <w:p w14:paraId="3C6607D5">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0.015</w:t>
                  </w:r>
                </w:p>
              </w:tc>
              <w:tc>
                <w:tcPr>
                  <w:tcW w:w="421" w:type="pct"/>
                  <w:tcBorders>
                    <w:tl2br w:val="nil"/>
                    <w:tr2bl w:val="nil"/>
                  </w:tcBorders>
                  <w:vAlign w:val="center"/>
                </w:tcPr>
                <w:p w14:paraId="785F6DA1">
                  <w:pPr>
                    <w:jc w:val="center"/>
                    <w:rPr>
                      <w:rFonts w:hint="default" w:eastAsia="宋体"/>
                      <w:color w:val="auto"/>
                      <w:sz w:val="21"/>
                      <w:szCs w:val="21"/>
                      <w:lang w:val="en-US" w:eastAsia="zh-CN"/>
                    </w:rPr>
                  </w:pPr>
                  <w:r>
                    <w:rPr>
                      <w:rFonts w:hint="eastAsia"/>
                      <w:color w:val="auto"/>
                      <w:sz w:val="21"/>
                      <w:szCs w:val="21"/>
                    </w:rPr>
                    <w:t>0.0</w:t>
                  </w:r>
                  <w:r>
                    <w:rPr>
                      <w:rFonts w:hint="eastAsia"/>
                      <w:color w:val="auto"/>
                      <w:sz w:val="21"/>
                      <w:szCs w:val="21"/>
                      <w:lang w:val="en-US" w:eastAsia="zh-CN"/>
                    </w:rPr>
                    <w:t>15</w:t>
                  </w:r>
                </w:p>
              </w:tc>
              <w:tc>
                <w:tcPr>
                  <w:tcW w:w="688" w:type="pct"/>
                  <w:tcBorders>
                    <w:tl2br w:val="nil"/>
                    <w:tr2bl w:val="nil"/>
                  </w:tcBorders>
                  <w:vAlign w:val="center"/>
                </w:tcPr>
                <w:p w14:paraId="6ABA2F56">
                  <w:pPr>
                    <w:pStyle w:val="44"/>
                    <w:spacing w:before="24" w:after="24" w:line="240" w:lineRule="auto"/>
                    <w:jc w:val="center"/>
                    <w:rPr>
                      <w:rFonts w:ascii="Times New Roman"/>
                      <w:color w:val="auto"/>
                      <w:sz w:val="21"/>
                      <w:szCs w:val="21"/>
                    </w:rPr>
                  </w:pPr>
                  <w:r>
                    <w:rPr>
                      <w:rFonts w:hint="eastAsia" w:ascii="Times New Roman"/>
                      <w:color w:val="auto"/>
                      <w:sz w:val="21"/>
                      <w:szCs w:val="21"/>
                    </w:rPr>
                    <w:t>集气罩+油烟净化器+专用烟道</w:t>
                  </w:r>
                </w:p>
              </w:tc>
              <w:tc>
                <w:tcPr>
                  <w:tcW w:w="263" w:type="pct"/>
                  <w:tcBorders>
                    <w:tl2br w:val="nil"/>
                    <w:tr2bl w:val="nil"/>
                  </w:tcBorders>
                  <w:vAlign w:val="center"/>
                </w:tcPr>
                <w:p w14:paraId="309B9D68">
                  <w:pPr>
                    <w:pStyle w:val="44"/>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395" w:type="pct"/>
                  <w:tcBorders>
                    <w:tl2br w:val="nil"/>
                    <w:tr2bl w:val="nil"/>
                  </w:tcBorders>
                  <w:vAlign w:val="center"/>
                </w:tcPr>
                <w:p w14:paraId="38FC2223">
                  <w:pPr>
                    <w:pStyle w:val="44"/>
                    <w:spacing w:before="24" w:after="24" w:line="240" w:lineRule="auto"/>
                    <w:jc w:val="center"/>
                    <w:rPr>
                      <w:rFonts w:ascii="Times New Roman"/>
                      <w:color w:val="auto"/>
                      <w:sz w:val="21"/>
                      <w:szCs w:val="21"/>
                    </w:rPr>
                  </w:pPr>
                  <w:r>
                    <w:rPr>
                      <w:rFonts w:hint="eastAsia" w:ascii="Times New Roman"/>
                      <w:color w:val="auto"/>
                      <w:sz w:val="21"/>
                      <w:szCs w:val="21"/>
                    </w:rPr>
                    <w:t>90%</w:t>
                  </w:r>
                </w:p>
              </w:tc>
              <w:tc>
                <w:tcPr>
                  <w:tcW w:w="375" w:type="pct"/>
                  <w:tcBorders>
                    <w:tl2br w:val="nil"/>
                    <w:tr2bl w:val="nil"/>
                  </w:tcBorders>
                  <w:vAlign w:val="center"/>
                </w:tcPr>
                <w:p w14:paraId="7F49E139">
                  <w:pPr>
                    <w:pStyle w:val="44"/>
                    <w:spacing w:before="24" w:after="24" w:line="240" w:lineRule="auto"/>
                    <w:jc w:val="center"/>
                    <w:rPr>
                      <w:rFonts w:hint="default" w:ascii="Times New Roman"/>
                      <w:color w:val="auto"/>
                      <w:sz w:val="21"/>
                      <w:szCs w:val="21"/>
                      <w:lang w:val="en-US"/>
                    </w:rPr>
                  </w:pPr>
                  <w:r>
                    <w:rPr>
                      <w:rFonts w:hint="eastAsia" w:ascii="Times New Roman"/>
                      <w:color w:val="auto"/>
                      <w:sz w:val="21"/>
                      <w:szCs w:val="21"/>
                      <w:lang w:val="en-US" w:eastAsia="zh-CN"/>
                    </w:rPr>
                    <w:t>0.005</w:t>
                  </w:r>
                </w:p>
              </w:tc>
              <w:tc>
                <w:tcPr>
                  <w:tcW w:w="318" w:type="pct"/>
                  <w:tcBorders>
                    <w:tl2br w:val="nil"/>
                    <w:tr2bl w:val="nil"/>
                  </w:tcBorders>
                  <w:vAlign w:val="center"/>
                </w:tcPr>
                <w:p w14:paraId="3EFBF25A">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1.208</w:t>
                  </w:r>
                </w:p>
              </w:tc>
              <w:tc>
                <w:tcPr>
                  <w:tcW w:w="485" w:type="pct"/>
                  <w:tcBorders>
                    <w:tl2br w:val="nil"/>
                    <w:tr2bl w:val="nil"/>
                  </w:tcBorders>
                  <w:vAlign w:val="center"/>
                </w:tcPr>
                <w:p w14:paraId="5DFBC963">
                  <w:pPr>
                    <w:pStyle w:val="44"/>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rPr>
                    <w:t>0.00</w:t>
                  </w:r>
                  <w:r>
                    <w:rPr>
                      <w:rFonts w:hint="eastAsia" w:ascii="Times New Roman"/>
                      <w:color w:val="auto"/>
                      <w:sz w:val="21"/>
                      <w:szCs w:val="21"/>
                      <w:lang w:val="en-US" w:eastAsia="zh-CN"/>
                    </w:rPr>
                    <w:t>6</w:t>
                  </w:r>
                </w:p>
              </w:tc>
              <w:tc>
                <w:tcPr>
                  <w:tcW w:w="522" w:type="pct"/>
                  <w:tcBorders>
                    <w:tl2br w:val="nil"/>
                    <w:tr2bl w:val="nil"/>
                  </w:tcBorders>
                  <w:vAlign w:val="center"/>
                </w:tcPr>
                <w:p w14:paraId="39A5283F">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r>
            <w:tr w14:paraId="01029A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461" w:type="pct"/>
                  <w:tcBorders>
                    <w:tl2br w:val="nil"/>
                    <w:tr2bl w:val="nil"/>
                  </w:tcBorders>
                  <w:vAlign w:val="center"/>
                </w:tcPr>
                <w:p w14:paraId="4DF48D59">
                  <w:pPr>
                    <w:pStyle w:val="44"/>
                    <w:spacing w:before="24" w:after="24" w:line="240" w:lineRule="auto"/>
                    <w:jc w:val="center"/>
                    <w:rPr>
                      <w:rFonts w:hint="eastAsia" w:ascii="Times New Roman" w:eastAsia="宋体"/>
                      <w:color w:val="auto"/>
                      <w:sz w:val="21"/>
                      <w:szCs w:val="21"/>
                      <w:lang w:eastAsia="zh-CN"/>
                    </w:rPr>
                  </w:pPr>
                  <w:r>
                    <w:rPr>
                      <w:rFonts w:hint="eastAsia" w:ascii="Times New Roman"/>
                      <w:color w:val="auto"/>
                      <w:sz w:val="21"/>
                      <w:szCs w:val="21"/>
                      <w:lang w:val="en-US" w:eastAsia="zh-CN"/>
                    </w:rPr>
                    <w:t>搅拌粉尘</w:t>
                  </w:r>
                </w:p>
              </w:tc>
              <w:tc>
                <w:tcPr>
                  <w:tcW w:w="259" w:type="pct"/>
                  <w:vMerge w:val="continue"/>
                  <w:tcBorders>
                    <w:tl2br w:val="nil"/>
                    <w:tr2bl w:val="nil"/>
                  </w:tcBorders>
                  <w:vAlign w:val="center"/>
                </w:tcPr>
                <w:p w14:paraId="7D0C583E">
                  <w:pPr>
                    <w:pStyle w:val="44"/>
                    <w:spacing w:before="24" w:after="24" w:line="240" w:lineRule="auto"/>
                    <w:jc w:val="center"/>
                    <w:rPr>
                      <w:rFonts w:ascii="Times New Roman"/>
                      <w:color w:val="auto"/>
                      <w:sz w:val="21"/>
                      <w:szCs w:val="21"/>
                    </w:rPr>
                  </w:pPr>
                </w:p>
              </w:tc>
              <w:tc>
                <w:tcPr>
                  <w:tcW w:w="355" w:type="pct"/>
                  <w:tcBorders>
                    <w:tl2br w:val="nil"/>
                    <w:tr2bl w:val="nil"/>
                  </w:tcBorders>
                  <w:vAlign w:val="center"/>
                </w:tcPr>
                <w:p w14:paraId="484BE6B1">
                  <w:pPr>
                    <w:pStyle w:val="44"/>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53" w:type="pct"/>
                  <w:tcBorders>
                    <w:tl2br w:val="nil"/>
                    <w:tr2bl w:val="nil"/>
                  </w:tcBorders>
                  <w:vAlign w:val="center"/>
                </w:tcPr>
                <w:p w14:paraId="4012E16D">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251.04</w:t>
                  </w:r>
                </w:p>
              </w:tc>
              <w:tc>
                <w:tcPr>
                  <w:tcW w:w="421" w:type="pct"/>
                  <w:tcBorders>
                    <w:tl2br w:val="nil"/>
                    <w:tr2bl w:val="nil"/>
                  </w:tcBorders>
                  <w:vAlign w:val="center"/>
                </w:tcPr>
                <w:p w14:paraId="2B1200CA">
                  <w:pPr>
                    <w:jc w:val="center"/>
                    <w:rPr>
                      <w:rFonts w:hint="default" w:eastAsia="宋体"/>
                      <w:color w:val="auto"/>
                      <w:sz w:val="21"/>
                      <w:szCs w:val="21"/>
                      <w:lang w:val="en-US" w:eastAsia="zh-CN"/>
                    </w:rPr>
                  </w:pPr>
                  <w:r>
                    <w:rPr>
                      <w:rFonts w:hint="eastAsia"/>
                      <w:color w:val="auto"/>
                      <w:sz w:val="21"/>
                      <w:szCs w:val="21"/>
                      <w:lang w:val="en-US" w:eastAsia="zh-CN"/>
                    </w:rPr>
                    <w:t>174.33</w:t>
                  </w:r>
                </w:p>
              </w:tc>
              <w:tc>
                <w:tcPr>
                  <w:tcW w:w="688" w:type="pct"/>
                  <w:tcBorders>
                    <w:tl2br w:val="nil"/>
                    <w:tr2bl w:val="nil"/>
                  </w:tcBorders>
                  <w:vAlign w:val="center"/>
                </w:tcPr>
                <w:p w14:paraId="56158EFA">
                  <w:pPr>
                    <w:pStyle w:val="44"/>
                    <w:spacing w:before="24" w:after="24" w:line="240" w:lineRule="auto"/>
                    <w:jc w:val="center"/>
                    <w:rPr>
                      <w:rFonts w:ascii="Times New Roman"/>
                      <w:color w:val="auto"/>
                      <w:sz w:val="21"/>
                      <w:szCs w:val="21"/>
                    </w:rPr>
                  </w:pPr>
                  <w:r>
                    <w:rPr>
                      <w:rFonts w:hint="eastAsia" w:ascii="Times New Roman"/>
                      <w:color w:val="auto"/>
                      <w:sz w:val="21"/>
                      <w:szCs w:val="21"/>
                    </w:rPr>
                    <w:t>脉冲布袋除尘器</w:t>
                  </w:r>
                </w:p>
              </w:tc>
              <w:tc>
                <w:tcPr>
                  <w:tcW w:w="263" w:type="pct"/>
                  <w:tcBorders>
                    <w:tl2br w:val="nil"/>
                    <w:tr2bl w:val="nil"/>
                  </w:tcBorders>
                  <w:vAlign w:val="center"/>
                </w:tcPr>
                <w:p w14:paraId="6F9B2C6B">
                  <w:pPr>
                    <w:pStyle w:val="44"/>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395" w:type="pct"/>
                  <w:tcBorders>
                    <w:tl2br w:val="nil"/>
                    <w:tr2bl w:val="nil"/>
                  </w:tcBorders>
                  <w:vAlign w:val="center"/>
                </w:tcPr>
                <w:p w14:paraId="6BB0E563">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100%</w:t>
                  </w:r>
                </w:p>
              </w:tc>
              <w:tc>
                <w:tcPr>
                  <w:tcW w:w="375" w:type="pct"/>
                  <w:tcBorders>
                    <w:tl2br w:val="nil"/>
                    <w:tr2bl w:val="nil"/>
                  </w:tcBorders>
                  <w:vAlign w:val="center"/>
                </w:tcPr>
                <w:p w14:paraId="6E314DC7">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0.753</w:t>
                  </w:r>
                </w:p>
              </w:tc>
              <w:tc>
                <w:tcPr>
                  <w:tcW w:w="318" w:type="pct"/>
                  <w:tcBorders>
                    <w:tl2br w:val="nil"/>
                    <w:tr2bl w:val="nil"/>
                  </w:tcBorders>
                  <w:vAlign w:val="center"/>
                </w:tcPr>
                <w:p w14:paraId="6096662E">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17.33</w:t>
                  </w:r>
                </w:p>
              </w:tc>
              <w:tc>
                <w:tcPr>
                  <w:tcW w:w="485" w:type="pct"/>
                  <w:tcBorders>
                    <w:tl2br w:val="nil"/>
                    <w:tr2bl w:val="nil"/>
                  </w:tcBorders>
                  <w:vAlign w:val="center"/>
                </w:tcPr>
                <w:p w14:paraId="44891E0B">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0.13</w:t>
                  </w:r>
                </w:p>
              </w:tc>
              <w:tc>
                <w:tcPr>
                  <w:tcW w:w="522" w:type="pct"/>
                  <w:tcBorders>
                    <w:tl2br w:val="nil"/>
                    <w:tr2bl w:val="nil"/>
                  </w:tcBorders>
                  <w:vAlign w:val="center"/>
                </w:tcPr>
                <w:p w14:paraId="5EFF1E32">
                  <w:pPr>
                    <w:pStyle w:val="44"/>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r>
          </w:tbl>
          <w:p w14:paraId="7A828AB6">
            <w:pPr>
              <w:widowControl/>
              <w:spacing w:line="360" w:lineRule="auto"/>
              <w:jc w:val="left"/>
              <w:rPr>
                <w:rFonts w:hint="default"/>
                <w:b/>
                <w:bCs/>
                <w:color w:val="auto"/>
                <w:sz w:val="24"/>
                <w:lang w:val="en-US" w:eastAsia="zh-CN"/>
              </w:rPr>
            </w:pPr>
            <w:r>
              <w:rPr>
                <w:rFonts w:hint="eastAsia"/>
                <w:b/>
                <w:bCs/>
                <w:color w:val="auto"/>
                <w:sz w:val="24"/>
                <w:lang w:val="en-US" w:eastAsia="zh-CN"/>
              </w:rPr>
              <w:t>1.2 非正常工况分析</w:t>
            </w:r>
          </w:p>
          <w:p w14:paraId="046C08CE">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val="en-US" w:eastAsia="zh-CN"/>
              </w:rPr>
            </w:pPr>
            <w:r>
              <w:rPr>
                <w:rFonts w:hint="eastAsia"/>
                <w:color w:val="auto"/>
                <w:lang w:val="en-US" w:eastAsia="zh-CN"/>
              </w:rPr>
              <w:t>根据《环境音响评价技术导则 大气环境》（HJ2.2-2018），非正常排放包括设备检修、污染物排放控制措施达不到应有效率和工艺设备运转异常等。本项目非正常工况主要为袋式除尘装置破损和管道破损，本项目颗粒物的产生情况和排放情况，具体见下表</w:t>
            </w:r>
          </w:p>
          <w:p w14:paraId="37197D47">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bCs/>
                <w:color w:val="auto"/>
                <w:sz w:val="21"/>
                <w:szCs w:val="21"/>
                <w:lang w:val="en-US" w:eastAsia="zh-CN"/>
              </w:rPr>
            </w:pPr>
            <w:r>
              <w:rPr>
                <w:rFonts w:hint="eastAsia"/>
                <w:b/>
                <w:bCs/>
                <w:color w:val="auto"/>
                <w:sz w:val="21"/>
                <w:szCs w:val="21"/>
                <w:lang w:val="en-US" w:eastAsia="zh-CN"/>
              </w:rPr>
              <w:t>表4-3    非正常工况下废气污染物排放情况一览表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882"/>
              <w:gridCol w:w="869"/>
              <w:gridCol w:w="1110"/>
              <w:gridCol w:w="1202"/>
              <w:gridCol w:w="970"/>
              <w:gridCol w:w="791"/>
              <w:gridCol w:w="995"/>
              <w:gridCol w:w="1124"/>
            </w:tblGrid>
            <w:tr w14:paraId="7CDE81B2">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555" w:type="pct"/>
                  <w:tcBorders>
                    <w:bottom w:val="single" w:color="auto" w:sz="12" w:space="0"/>
                    <w:tl2br w:val="nil"/>
                    <w:tr2bl w:val="nil"/>
                  </w:tcBorders>
                  <w:vAlign w:val="center"/>
                </w:tcPr>
                <w:p w14:paraId="113DBD1C">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污染物</w:t>
                  </w:r>
                </w:p>
              </w:tc>
              <w:tc>
                <w:tcPr>
                  <w:tcW w:w="547" w:type="pct"/>
                  <w:tcBorders>
                    <w:bottom w:val="single" w:color="auto" w:sz="12" w:space="0"/>
                    <w:tl2br w:val="nil"/>
                    <w:tr2bl w:val="nil"/>
                  </w:tcBorders>
                  <w:vAlign w:val="center"/>
                </w:tcPr>
                <w:p w14:paraId="017D20FF">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排放源</w:t>
                  </w:r>
                </w:p>
              </w:tc>
              <w:tc>
                <w:tcPr>
                  <w:tcW w:w="698" w:type="pct"/>
                  <w:tcBorders>
                    <w:bottom w:val="single" w:color="auto" w:sz="12" w:space="0"/>
                    <w:tl2br w:val="nil"/>
                    <w:tr2bl w:val="nil"/>
                  </w:tcBorders>
                  <w:vAlign w:val="center"/>
                </w:tcPr>
                <w:p w14:paraId="58FD0DB4">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污染物产生量kg/a</w:t>
                  </w:r>
                </w:p>
              </w:tc>
              <w:tc>
                <w:tcPr>
                  <w:tcW w:w="756" w:type="pct"/>
                  <w:tcBorders>
                    <w:bottom w:val="single" w:color="auto" w:sz="12" w:space="0"/>
                    <w:tl2br w:val="nil"/>
                    <w:tr2bl w:val="nil"/>
                  </w:tcBorders>
                  <w:vAlign w:val="center"/>
                </w:tcPr>
                <w:p w14:paraId="0B6C71E7">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排放浓度（mg/m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610" w:type="pct"/>
                  <w:tcBorders>
                    <w:bottom w:val="single" w:color="auto" w:sz="12" w:space="0"/>
                    <w:tl2br w:val="nil"/>
                    <w:tr2bl w:val="nil"/>
                  </w:tcBorders>
                  <w:vAlign w:val="center"/>
                </w:tcPr>
                <w:p w14:paraId="56161993">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达标情况</w:t>
                  </w:r>
                </w:p>
              </w:tc>
              <w:tc>
                <w:tcPr>
                  <w:tcW w:w="497" w:type="pct"/>
                  <w:tcBorders>
                    <w:bottom w:val="single" w:color="auto" w:sz="12" w:space="0"/>
                    <w:tl2br w:val="nil"/>
                    <w:tr2bl w:val="nil"/>
                  </w:tcBorders>
                  <w:vAlign w:val="center"/>
                </w:tcPr>
                <w:p w14:paraId="04E424D5">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持续时间</w:t>
                  </w:r>
                </w:p>
              </w:tc>
              <w:tc>
                <w:tcPr>
                  <w:tcW w:w="626" w:type="pct"/>
                  <w:tcBorders>
                    <w:bottom w:val="single" w:color="auto" w:sz="12" w:space="0"/>
                    <w:tl2br w:val="nil"/>
                    <w:tr2bl w:val="nil"/>
                  </w:tcBorders>
                  <w:vAlign w:val="center"/>
                </w:tcPr>
                <w:p w14:paraId="2B5DEAD4">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发生频率</w:t>
                  </w:r>
                </w:p>
              </w:tc>
              <w:tc>
                <w:tcPr>
                  <w:tcW w:w="707" w:type="pct"/>
                  <w:tcBorders>
                    <w:bottom w:val="single" w:color="auto" w:sz="12" w:space="0"/>
                    <w:tl2br w:val="nil"/>
                    <w:tr2bl w:val="nil"/>
                  </w:tcBorders>
                  <w:vAlign w:val="center"/>
                </w:tcPr>
                <w:p w14:paraId="5961CE3F">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lang w:val="en-US" w:eastAsia="zh-CN"/>
                    </w:rPr>
                  </w:pPr>
                  <w:r>
                    <w:rPr>
                      <w:rFonts w:hint="eastAsia"/>
                      <w:color w:val="auto"/>
                      <w:sz w:val="21"/>
                      <w:szCs w:val="21"/>
                      <w:lang w:val="en-US" w:eastAsia="zh-CN"/>
                    </w:rPr>
                    <w:t>应对措施</w:t>
                  </w:r>
                </w:p>
              </w:tc>
            </w:tr>
            <w:tr w14:paraId="52B0F5FC">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555" w:type="pct"/>
                  <w:tcBorders>
                    <w:top w:val="single" w:color="auto" w:sz="12" w:space="0"/>
                    <w:left w:val="single" w:color="auto" w:sz="4" w:space="0"/>
                    <w:bottom w:val="single" w:color="auto" w:sz="4" w:space="0"/>
                  </w:tcBorders>
                  <w:vAlign w:val="center"/>
                </w:tcPr>
                <w:p w14:paraId="1E72D747">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颗粒物</w:t>
                  </w:r>
                </w:p>
              </w:tc>
              <w:tc>
                <w:tcPr>
                  <w:tcW w:w="547" w:type="pct"/>
                  <w:tcBorders>
                    <w:top w:val="single" w:color="auto" w:sz="12" w:space="0"/>
                    <w:bottom w:val="single" w:color="auto" w:sz="4" w:space="0"/>
                  </w:tcBorders>
                  <w:vAlign w:val="center"/>
                </w:tcPr>
                <w:p w14:paraId="6E6920BC">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DA001</w:t>
                  </w:r>
                </w:p>
              </w:tc>
              <w:tc>
                <w:tcPr>
                  <w:tcW w:w="698" w:type="pct"/>
                  <w:tcBorders>
                    <w:top w:val="single" w:color="auto" w:sz="12" w:space="0"/>
                    <w:bottom w:val="single" w:color="auto" w:sz="4" w:space="0"/>
                  </w:tcBorders>
                  <w:vAlign w:val="center"/>
                </w:tcPr>
                <w:p w14:paraId="59BF7AE2">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174.33</w:t>
                  </w:r>
                </w:p>
              </w:tc>
              <w:tc>
                <w:tcPr>
                  <w:tcW w:w="756" w:type="pct"/>
                  <w:tcBorders>
                    <w:top w:val="single" w:color="auto" w:sz="12" w:space="0"/>
                    <w:bottom w:val="single" w:color="auto" w:sz="4" w:space="0"/>
                  </w:tcBorders>
                  <w:vAlign w:val="center"/>
                </w:tcPr>
                <w:p w14:paraId="121AC3DE">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174330</w:t>
                  </w:r>
                </w:p>
              </w:tc>
              <w:tc>
                <w:tcPr>
                  <w:tcW w:w="610" w:type="pct"/>
                  <w:tcBorders>
                    <w:top w:val="single" w:color="auto" w:sz="12" w:space="0"/>
                    <w:bottom w:val="single" w:color="auto" w:sz="4" w:space="0"/>
                  </w:tcBorders>
                  <w:vAlign w:val="center"/>
                </w:tcPr>
                <w:p w14:paraId="46F5AE10">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超标</w:t>
                  </w:r>
                </w:p>
              </w:tc>
              <w:tc>
                <w:tcPr>
                  <w:tcW w:w="497" w:type="pct"/>
                  <w:tcBorders>
                    <w:top w:val="single" w:color="auto" w:sz="12" w:space="0"/>
                    <w:bottom w:val="single" w:color="auto" w:sz="4" w:space="0"/>
                  </w:tcBorders>
                  <w:vAlign w:val="center"/>
                </w:tcPr>
                <w:p w14:paraId="40A542F4">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＜1h</w:t>
                  </w:r>
                </w:p>
              </w:tc>
              <w:tc>
                <w:tcPr>
                  <w:tcW w:w="626" w:type="pct"/>
                  <w:tcBorders>
                    <w:top w:val="single" w:color="auto" w:sz="12" w:space="0"/>
                    <w:bottom w:val="single" w:color="auto" w:sz="4" w:space="0"/>
                  </w:tcBorders>
                  <w:vAlign w:val="center"/>
                </w:tcPr>
                <w:p w14:paraId="2C61D7F2">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1次/a</w:t>
                  </w:r>
                </w:p>
              </w:tc>
              <w:tc>
                <w:tcPr>
                  <w:tcW w:w="707" w:type="pct"/>
                  <w:tcBorders>
                    <w:top w:val="single" w:color="auto" w:sz="12" w:space="0"/>
                    <w:bottom w:val="single" w:color="auto" w:sz="4" w:space="0"/>
                    <w:right w:val="single" w:color="auto" w:sz="4" w:space="0"/>
                  </w:tcBorders>
                  <w:vAlign w:val="center"/>
                </w:tcPr>
                <w:p w14:paraId="31D884C1">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立即停产，紧急维修</w:t>
                  </w:r>
                </w:p>
              </w:tc>
            </w:tr>
            <w:tr w14:paraId="7625F718">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555" w:type="pct"/>
                  <w:tcBorders>
                    <w:top w:val="single" w:color="auto" w:sz="4" w:space="0"/>
                    <w:tl2br w:val="nil"/>
                    <w:tr2bl w:val="nil"/>
                  </w:tcBorders>
                  <w:vAlign w:val="center"/>
                </w:tcPr>
                <w:p w14:paraId="7767538F">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颗粒物</w:t>
                  </w:r>
                </w:p>
              </w:tc>
              <w:tc>
                <w:tcPr>
                  <w:tcW w:w="547" w:type="pct"/>
                  <w:tcBorders>
                    <w:top w:val="single" w:color="auto" w:sz="4" w:space="0"/>
                    <w:tl2br w:val="nil"/>
                    <w:tr2bl w:val="nil"/>
                  </w:tcBorders>
                  <w:vAlign w:val="center"/>
                </w:tcPr>
                <w:p w14:paraId="64BAADE6">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筒仓口</w:t>
                  </w:r>
                </w:p>
              </w:tc>
              <w:tc>
                <w:tcPr>
                  <w:tcW w:w="698" w:type="pct"/>
                  <w:tcBorders>
                    <w:top w:val="single" w:color="auto" w:sz="4" w:space="0"/>
                    <w:tl2br w:val="nil"/>
                    <w:tr2bl w:val="nil"/>
                  </w:tcBorders>
                  <w:vAlign w:val="center"/>
                </w:tcPr>
                <w:p w14:paraId="1461C406">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40</w:t>
                  </w:r>
                </w:p>
              </w:tc>
              <w:tc>
                <w:tcPr>
                  <w:tcW w:w="756" w:type="pct"/>
                  <w:tcBorders>
                    <w:top w:val="single" w:color="auto" w:sz="4" w:space="0"/>
                    <w:tl2br w:val="nil"/>
                    <w:tr2bl w:val="nil"/>
                  </w:tcBorders>
                  <w:vAlign w:val="center"/>
                </w:tcPr>
                <w:p w14:paraId="7921F19F">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w:t>
                  </w:r>
                </w:p>
              </w:tc>
              <w:tc>
                <w:tcPr>
                  <w:tcW w:w="610" w:type="pct"/>
                  <w:tcBorders>
                    <w:top w:val="single" w:color="auto" w:sz="4" w:space="0"/>
                    <w:tl2br w:val="nil"/>
                    <w:tr2bl w:val="nil"/>
                  </w:tcBorders>
                  <w:vAlign w:val="center"/>
                </w:tcPr>
                <w:p w14:paraId="57A60340">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超标</w:t>
                  </w:r>
                </w:p>
              </w:tc>
              <w:tc>
                <w:tcPr>
                  <w:tcW w:w="497" w:type="pct"/>
                  <w:tcBorders>
                    <w:top w:val="single" w:color="auto" w:sz="4" w:space="0"/>
                    <w:tl2br w:val="nil"/>
                    <w:tr2bl w:val="nil"/>
                  </w:tcBorders>
                  <w:vAlign w:val="center"/>
                </w:tcPr>
                <w:p w14:paraId="4EC8FF33">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＜1h</w:t>
                  </w:r>
                </w:p>
              </w:tc>
              <w:tc>
                <w:tcPr>
                  <w:tcW w:w="626" w:type="pct"/>
                  <w:tcBorders>
                    <w:top w:val="single" w:color="auto" w:sz="4" w:space="0"/>
                    <w:tl2br w:val="nil"/>
                    <w:tr2bl w:val="nil"/>
                  </w:tcBorders>
                  <w:vAlign w:val="center"/>
                </w:tcPr>
                <w:p w14:paraId="74544162">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1次/a</w:t>
                  </w:r>
                </w:p>
              </w:tc>
              <w:tc>
                <w:tcPr>
                  <w:tcW w:w="707" w:type="pct"/>
                  <w:tcBorders>
                    <w:top w:val="single" w:color="auto" w:sz="4" w:space="0"/>
                    <w:tl2br w:val="nil"/>
                    <w:tr2bl w:val="nil"/>
                  </w:tcBorders>
                  <w:vAlign w:val="center"/>
                </w:tcPr>
                <w:p w14:paraId="2B15AA2C">
                  <w:pPr>
                    <w:pStyle w:val="5"/>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停机，紧急维修</w:t>
                  </w:r>
                </w:p>
              </w:tc>
            </w:tr>
          </w:tbl>
          <w:p w14:paraId="057277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由表4-3可知，非正常工况下颗粒物排放浓度超标，对环境的影响和危害较大，因此需设置污染治理措施以减少非正常工况下污染物对环境的影响程度，除采用先进成熟的工艺技术和设备外，生产中还应加强管理，严格控制规程，提高工人素质，精心操作，防患于未然，将非正常排放控制到最小，一旦发生非正常生产排放，应及时进行检修。并采取相应措施进行污染物集中处理，确保事故状态后，污染物对环境的影响程度降到最低。</w:t>
            </w:r>
          </w:p>
          <w:p w14:paraId="4A81D70F">
            <w:pPr>
              <w:spacing w:line="360" w:lineRule="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1.3 排放口设置情况</w:t>
            </w:r>
          </w:p>
          <w:p w14:paraId="53B3C12C">
            <w:pPr>
              <w:spacing w:line="360" w:lineRule="auto"/>
              <w:ind w:firstLine="480" w:firstLineChars="200"/>
              <w:rPr>
                <w:color w:val="auto"/>
                <w:sz w:val="24"/>
                <w:szCs w:val="24"/>
              </w:rPr>
            </w:pPr>
            <w:r>
              <w:rPr>
                <w:color w:val="auto"/>
                <w:sz w:val="24"/>
                <w:szCs w:val="24"/>
              </w:rPr>
              <w:t>本项目共设置1个有组织废气排放口，本项目有组织废气排放口基本情况见表4-</w:t>
            </w:r>
            <w:r>
              <w:rPr>
                <w:rFonts w:hint="eastAsia"/>
                <w:color w:val="auto"/>
                <w:sz w:val="24"/>
                <w:szCs w:val="24"/>
                <w:lang w:val="en-US" w:eastAsia="zh-CN"/>
              </w:rPr>
              <w:t>4</w:t>
            </w:r>
            <w:r>
              <w:rPr>
                <w:color w:val="auto"/>
                <w:sz w:val="24"/>
                <w:szCs w:val="24"/>
              </w:rPr>
              <w:t>。</w:t>
            </w:r>
          </w:p>
          <w:p w14:paraId="25E8ECD9">
            <w:pPr>
              <w:pStyle w:val="45"/>
              <w:spacing w:line="240" w:lineRule="auto"/>
              <w:ind w:firstLine="405"/>
              <w:rPr>
                <w:color w:val="auto"/>
                <w:szCs w:val="21"/>
              </w:rPr>
            </w:pPr>
            <w:r>
              <w:rPr>
                <w:rFonts w:hint="eastAsia"/>
                <w:b/>
                <w:bCs/>
                <w:color w:val="auto"/>
                <w:szCs w:val="21"/>
              </w:rPr>
              <w:t>表4-</w:t>
            </w:r>
            <w:r>
              <w:rPr>
                <w:rFonts w:hint="eastAsia"/>
                <w:b/>
                <w:bCs/>
                <w:color w:val="auto"/>
                <w:szCs w:val="21"/>
                <w:lang w:val="en-US" w:eastAsia="zh-CN"/>
              </w:rPr>
              <w:t>4</w:t>
            </w:r>
            <w:r>
              <w:rPr>
                <w:rFonts w:hint="eastAsia"/>
                <w:b/>
                <w:bCs/>
                <w:color w:val="auto"/>
                <w:szCs w:val="21"/>
              </w:rPr>
              <w:t xml:space="preserve">    废气排放口设置一览表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15"/>
              <w:gridCol w:w="875"/>
              <w:gridCol w:w="807"/>
              <w:gridCol w:w="800"/>
              <w:gridCol w:w="670"/>
              <w:gridCol w:w="649"/>
              <w:gridCol w:w="782"/>
              <w:gridCol w:w="407"/>
              <w:gridCol w:w="613"/>
              <w:gridCol w:w="718"/>
            </w:tblGrid>
            <w:tr w14:paraId="24911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pct"/>
                  <w:vMerge w:val="restart"/>
                  <w:vAlign w:val="center"/>
                </w:tcPr>
                <w:p w14:paraId="627902C7">
                  <w:pPr>
                    <w:pStyle w:val="32"/>
                    <w:rPr>
                      <w:b/>
                      <w:bCs w:val="0"/>
                      <w:color w:val="auto"/>
                      <w:spacing w:val="-10"/>
                      <w:sz w:val="24"/>
                      <w:szCs w:val="24"/>
                    </w:rPr>
                  </w:pPr>
                  <w:r>
                    <w:rPr>
                      <w:b/>
                      <w:bCs w:val="0"/>
                      <w:color w:val="auto"/>
                      <w:spacing w:val="-10"/>
                      <w:sz w:val="24"/>
                      <w:szCs w:val="24"/>
                    </w:rPr>
                    <w:t>排放口名称及编号</w:t>
                  </w:r>
                </w:p>
              </w:tc>
              <w:tc>
                <w:tcPr>
                  <w:tcW w:w="1063" w:type="pct"/>
                  <w:gridSpan w:val="2"/>
                  <w:vAlign w:val="center"/>
                </w:tcPr>
                <w:p w14:paraId="38B84AC8">
                  <w:pPr>
                    <w:pStyle w:val="32"/>
                    <w:rPr>
                      <w:b/>
                      <w:bCs w:val="0"/>
                      <w:color w:val="auto"/>
                      <w:spacing w:val="-10"/>
                      <w:sz w:val="24"/>
                      <w:szCs w:val="24"/>
                    </w:rPr>
                  </w:pPr>
                  <w:r>
                    <w:rPr>
                      <w:b/>
                      <w:bCs w:val="0"/>
                      <w:color w:val="auto"/>
                      <w:spacing w:val="-10"/>
                      <w:sz w:val="24"/>
                      <w:szCs w:val="24"/>
                    </w:rPr>
                    <w:t>排气筒底部中心坐标</w:t>
                  </w:r>
                </w:p>
              </w:tc>
              <w:tc>
                <w:tcPr>
                  <w:tcW w:w="1840" w:type="pct"/>
                  <w:gridSpan w:val="4"/>
                  <w:vAlign w:val="center"/>
                </w:tcPr>
                <w:p w14:paraId="5D384072">
                  <w:pPr>
                    <w:pStyle w:val="32"/>
                    <w:rPr>
                      <w:b/>
                      <w:bCs w:val="0"/>
                      <w:color w:val="auto"/>
                      <w:spacing w:val="-10"/>
                      <w:sz w:val="24"/>
                      <w:szCs w:val="24"/>
                    </w:rPr>
                  </w:pPr>
                  <w:r>
                    <w:rPr>
                      <w:b/>
                      <w:bCs w:val="0"/>
                      <w:color w:val="auto"/>
                      <w:spacing w:val="-10"/>
                      <w:sz w:val="24"/>
                      <w:szCs w:val="24"/>
                    </w:rPr>
                    <w:t>排气筒参数</w:t>
                  </w:r>
                </w:p>
              </w:tc>
              <w:tc>
                <w:tcPr>
                  <w:tcW w:w="748" w:type="pct"/>
                  <w:gridSpan w:val="2"/>
                  <w:vAlign w:val="center"/>
                </w:tcPr>
                <w:p w14:paraId="4B08B23C">
                  <w:pPr>
                    <w:pStyle w:val="32"/>
                    <w:rPr>
                      <w:b/>
                      <w:bCs w:val="0"/>
                      <w:color w:val="auto"/>
                      <w:spacing w:val="-10"/>
                      <w:sz w:val="24"/>
                      <w:szCs w:val="24"/>
                    </w:rPr>
                  </w:pPr>
                  <w:r>
                    <w:rPr>
                      <w:b/>
                      <w:bCs w:val="0"/>
                      <w:color w:val="auto"/>
                      <w:spacing w:val="-10"/>
                      <w:sz w:val="24"/>
                      <w:szCs w:val="24"/>
                    </w:rPr>
                    <w:t>运行参数</w:t>
                  </w:r>
                </w:p>
              </w:tc>
              <w:tc>
                <w:tcPr>
                  <w:tcW w:w="837" w:type="pct"/>
                  <w:gridSpan w:val="2"/>
                  <w:vAlign w:val="center"/>
                </w:tcPr>
                <w:p w14:paraId="614B6B18">
                  <w:pPr>
                    <w:pStyle w:val="32"/>
                    <w:rPr>
                      <w:b/>
                      <w:bCs w:val="0"/>
                      <w:color w:val="auto"/>
                      <w:spacing w:val="-10"/>
                      <w:sz w:val="24"/>
                      <w:szCs w:val="24"/>
                    </w:rPr>
                  </w:pPr>
                  <w:r>
                    <w:rPr>
                      <w:b/>
                      <w:bCs w:val="0"/>
                      <w:color w:val="auto"/>
                      <w:spacing w:val="-10"/>
                      <w:sz w:val="24"/>
                      <w:szCs w:val="24"/>
                    </w:rPr>
                    <w:t>运行参数</w:t>
                  </w:r>
                </w:p>
              </w:tc>
            </w:tr>
            <w:tr w14:paraId="3006C0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pct"/>
                  <w:vMerge w:val="continue"/>
                  <w:tcBorders>
                    <w:bottom w:val="single" w:color="auto" w:sz="12" w:space="0"/>
                  </w:tcBorders>
                  <w:vAlign w:val="center"/>
                </w:tcPr>
                <w:p w14:paraId="49E72B0B">
                  <w:pPr>
                    <w:pStyle w:val="32"/>
                    <w:rPr>
                      <w:b/>
                      <w:bCs w:val="0"/>
                      <w:color w:val="auto"/>
                      <w:spacing w:val="-10"/>
                      <w:sz w:val="24"/>
                      <w:szCs w:val="24"/>
                    </w:rPr>
                  </w:pPr>
                </w:p>
              </w:tc>
              <w:tc>
                <w:tcPr>
                  <w:tcW w:w="512" w:type="pct"/>
                  <w:tcBorders>
                    <w:bottom w:val="single" w:color="auto" w:sz="12" w:space="0"/>
                  </w:tcBorders>
                  <w:vAlign w:val="center"/>
                </w:tcPr>
                <w:p w14:paraId="03B4519C">
                  <w:pPr>
                    <w:pStyle w:val="32"/>
                    <w:rPr>
                      <w:b/>
                      <w:bCs w:val="0"/>
                      <w:color w:val="auto"/>
                      <w:spacing w:val="-10"/>
                      <w:sz w:val="24"/>
                      <w:szCs w:val="24"/>
                    </w:rPr>
                  </w:pPr>
                  <w:r>
                    <w:rPr>
                      <w:b/>
                      <w:bCs w:val="0"/>
                      <w:color w:val="auto"/>
                      <w:spacing w:val="-10"/>
                      <w:sz w:val="24"/>
                      <w:szCs w:val="24"/>
                    </w:rPr>
                    <w:t>经度</w:t>
                  </w:r>
                </w:p>
              </w:tc>
              <w:tc>
                <w:tcPr>
                  <w:tcW w:w="550" w:type="pct"/>
                  <w:tcBorders>
                    <w:bottom w:val="single" w:color="auto" w:sz="12" w:space="0"/>
                  </w:tcBorders>
                  <w:vAlign w:val="center"/>
                </w:tcPr>
                <w:p w14:paraId="280BE924">
                  <w:pPr>
                    <w:pStyle w:val="32"/>
                    <w:rPr>
                      <w:b/>
                      <w:bCs w:val="0"/>
                      <w:color w:val="auto"/>
                      <w:spacing w:val="-10"/>
                      <w:sz w:val="24"/>
                      <w:szCs w:val="24"/>
                    </w:rPr>
                  </w:pPr>
                  <w:r>
                    <w:rPr>
                      <w:b/>
                      <w:bCs w:val="0"/>
                      <w:color w:val="auto"/>
                      <w:spacing w:val="-10"/>
                      <w:sz w:val="24"/>
                      <w:szCs w:val="24"/>
                    </w:rPr>
                    <w:t>纬度</w:t>
                  </w:r>
                </w:p>
              </w:tc>
              <w:tc>
                <w:tcPr>
                  <w:tcW w:w="507" w:type="pct"/>
                  <w:tcBorders>
                    <w:bottom w:val="single" w:color="auto" w:sz="12" w:space="0"/>
                  </w:tcBorders>
                  <w:vAlign w:val="center"/>
                </w:tcPr>
                <w:p w14:paraId="3D08C01E">
                  <w:pPr>
                    <w:pStyle w:val="32"/>
                    <w:rPr>
                      <w:b/>
                      <w:bCs w:val="0"/>
                      <w:color w:val="auto"/>
                      <w:spacing w:val="-10"/>
                      <w:sz w:val="24"/>
                      <w:szCs w:val="24"/>
                    </w:rPr>
                  </w:pPr>
                  <w:r>
                    <w:rPr>
                      <w:b/>
                      <w:bCs w:val="0"/>
                      <w:color w:val="auto"/>
                      <w:sz w:val="24"/>
                      <w:szCs w:val="24"/>
                    </w:rPr>
                    <w:t>排气筒高度(m)</w:t>
                  </w:r>
                </w:p>
              </w:tc>
              <w:tc>
                <w:tcPr>
                  <w:tcW w:w="503" w:type="pct"/>
                  <w:tcBorders>
                    <w:bottom w:val="single" w:color="auto" w:sz="12" w:space="0"/>
                  </w:tcBorders>
                  <w:vAlign w:val="center"/>
                </w:tcPr>
                <w:p w14:paraId="283A80CC">
                  <w:pPr>
                    <w:pStyle w:val="32"/>
                    <w:rPr>
                      <w:b/>
                      <w:bCs w:val="0"/>
                      <w:color w:val="auto"/>
                      <w:spacing w:val="-10"/>
                      <w:sz w:val="24"/>
                      <w:szCs w:val="24"/>
                    </w:rPr>
                  </w:pPr>
                  <w:r>
                    <w:rPr>
                      <w:b/>
                      <w:bCs w:val="0"/>
                      <w:color w:val="auto"/>
                      <w:spacing w:val="-10"/>
                      <w:sz w:val="24"/>
                      <w:szCs w:val="24"/>
                    </w:rPr>
                    <w:t>排气筒出口</w:t>
                  </w:r>
                  <w:r>
                    <w:rPr>
                      <w:rFonts w:hint="eastAsia"/>
                      <w:b/>
                      <w:bCs w:val="0"/>
                      <w:color w:val="auto"/>
                      <w:spacing w:val="-10"/>
                      <w:sz w:val="24"/>
                      <w:szCs w:val="24"/>
                      <w:lang w:eastAsia="zh-CN"/>
                    </w:rPr>
                    <w:t>内径</w:t>
                  </w:r>
                  <w:r>
                    <w:rPr>
                      <w:b/>
                      <w:bCs w:val="0"/>
                      <w:color w:val="auto"/>
                      <w:spacing w:val="-10"/>
                      <w:sz w:val="24"/>
                      <w:szCs w:val="24"/>
                    </w:rPr>
                    <w:t>(m)</w:t>
                  </w:r>
                </w:p>
              </w:tc>
              <w:tc>
                <w:tcPr>
                  <w:tcW w:w="421" w:type="pct"/>
                  <w:tcBorders>
                    <w:bottom w:val="single" w:color="auto" w:sz="12" w:space="0"/>
                  </w:tcBorders>
                  <w:vAlign w:val="center"/>
                </w:tcPr>
                <w:p w14:paraId="4424859F">
                  <w:pPr>
                    <w:pStyle w:val="32"/>
                    <w:rPr>
                      <w:b/>
                      <w:bCs w:val="0"/>
                      <w:color w:val="auto"/>
                      <w:spacing w:val="-10"/>
                      <w:sz w:val="24"/>
                      <w:szCs w:val="24"/>
                    </w:rPr>
                  </w:pPr>
                  <w:r>
                    <w:rPr>
                      <w:b/>
                      <w:bCs w:val="0"/>
                      <w:color w:val="auto"/>
                      <w:spacing w:val="-10"/>
                      <w:sz w:val="24"/>
                      <w:szCs w:val="24"/>
                    </w:rPr>
                    <w:t>烟气流速(m/s)</w:t>
                  </w:r>
                </w:p>
              </w:tc>
              <w:tc>
                <w:tcPr>
                  <w:tcW w:w="408" w:type="pct"/>
                  <w:tcBorders>
                    <w:bottom w:val="single" w:color="auto" w:sz="12" w:space="0"/>
                  </w:tcBorders>
                  <w:vAlign w:val="center"/>
                </w:tcPr>
                <w:p w14:paraId="19AE206A">
                  <w:pPr>
                    <w:pStyle w:val="32"/>
                    <w:rPr>
                      <w:b/>
                      <w:bCs w:val="0"/>
                      <w:color w:val="auto"/>
                      <w:spacing w:val="-10"/>
                      <w:sz w:val="24"/>
                      <w:szCs w:val="24"/>
                    </w:rPr>
                  </w:pPr>
                  <w:r>
                    <w:rPr>
                      <w:b/>
                      <w:bCs w:val="0"/>
                      <w:color w:val="auto"/>
                      <w:spacing w:val="-10"/>
                      <w:sz w:val="24"/>
                      <w:szCs w:val="24"/>
                    </w:rPr>
                    <w:t>烟气温度(℃)</w:t>
                  </w:r>
                </w:p>
              </w:tc>
              <w:tc>
                <w:tcPr>
                  <w:tcW w:w="492" w:type="pct"/>
                  <w:tcBorders>
                    <w:bottom w:val="single" w:color="auto" w:sz="12" w:space="0"/>
                  </w:tcBorders>
                  <w:vAlign w:val="center"/>
                </w:tcPr>
                <w:p w14:paraId="633BA2C5">
                  <w:pPr>
                    <w:pStyle w:val="32"/>
                    <w:rPr>
                      <w:b/>
                      <w:bCs w:val="0"/>
                      <w:color w:val="auto"/>
                      <w:spacing w:val="-10"/>
                      <w:sz w:val="24"/>
                      <w:szCs w:val="24"/>
                    </w:rPr>
                  </w:pPr>
                  <w:r>
                    <w:rPr>
                      <w:b/>
                      <w:bCs w:val="0"/>
                      <w:color w:val="auto"/>
                      <w:spacing w:val="-10"/>
                      <w:sz w:val="24"/>
                      <w:szCs w:val="24"/>
                    </w:rPr>
                    <w:t>年排放小时数(h)</w:t>
                  </w:r>
                </w:p>
              </w:tc>
              <w:tc>
                <w:tcPr>
                  <w:tcW w:w="256" w:type="pct"/>
                  <w:tcBorders>
                    <w:bottom w:val="single" w:color="auto" w:sz="12" w:space="0"/>
                  </w:tcBorders>
                  <w:vAlign w:val="center"/>
                </w:tcPr>
                <w:p w14:paraId="3A49ECAB">
                  <w:pPr>
                    <w:pStyle w:val="32"/>
                    <w:rPr>
                      <w:b/>
                      <w:bCs w:val="0"/>
                      <w:color w:val="auto"/>
                      <w:spacing w:val="-10"/>
                      <w:sz w:val="24"/>
                      <w:szCs w:val="24"/>
                    </w:rPr>
                  </w:pPr>
                  <w:r>
                    <w:rPr>
                      <w:b/>
                      <w:bCs w:val="0"/>
                      <w:color w:val="auto"/>
                      <w:spacing w:val="-10"/>
                      <w:sz w:val="24"/>
                      <w:szCs w:val="24"/>
                    </w:rPr>
                    <w:t>排放工况</w:t>
                  </w:r>
                </w:p>
              </w:tc>
              <w:tc>
                <w:tcPr>
                  <w:tcW w:w="385" w:type="pct"/>
                  <w:tcBorders>
                    <w:bottom w:val="single" w:color="auto" w:sz="12" w:space="0"/>
                  </w:tcBorders>
                  <w:vAlign w:val="center"/>
                </w:tcPr>
                <w:p w14:paraId="295503FF">
                  <w:pPr>
                    <w:pStyle w:val="32"/>
                    <w:rPr>
                      <w:b/>
                      <w:bCs w:val="0"/>
                      <w:color w:val="auto"/>
                      <w:spacing w:val="-10"/>
                      <w:sz w:val="24"/>
                      <w:szCs w:val="24"/>
                    </w:rPr>
                  </w:pPr>
                  <w:r>
                    <w:rPr>
                      <w:b/>
                      <w:bCs w:val="0"/>
                      <w:color w:val="auto"/>
                      <w:spacing w:val="-10"/>
                      <w:sz w:val="24"/>
                      <w:szCs w:val="24"/>
                    </w:rPr>
                    <w:t>污染源名称</w:t>
                  </w:r>
                </w:p>
              </w:tc>
              <w:tc>
                <w:tcPr>
                  <w:tcW w:w="451" w:type="pct"/>
                  <w:tcBorders>
                    <w:bottom w:val="single" w:color="auto" w:sz="12" w:space="0"/>
                  </w:tcBorders>
                  <w:vAlign w:val="center"/>
                </w:tcPr>
                <w:p w14:paraId="1241C6FB">
                  <w:pPr>
                    <w:pStyle w:val="32"/>
                    <w:rPr>
                      <w:b/>
                      <w:bCs w:val="0"/>
                      <w:color w:val="auto"/>
                      <w:spacing w:val="-10"/>
                      <w:sz w:val="24"/>
                      <w:szCs w:val="24"/>
                    </w:rPr>
                  </w:pPr>
                  <w:r>
                    <w:rPr>
                      <w:b/>
                      <w:bCs w:val="0"/>
                      <w:color w:val="auto"/>
                      <w:spacing w:val="-10"/>
                      <w:sz w:val="24"/>
                      <w:szCs w:val="24"/>
                    </w:rPr>
                    <w:t>污染物排放速率(kg/h)</w:t>
                  </w:r>
                </w:p>
              </w:tc>
            </w:tr>
            <w:tr w14:paraId="187DBB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pct"/>
                  <w:tcBorders>
                    <w:top w:val="single" w:color="auto" w:sz="12" w:space="0"/>
                    <w:tl2br w:val="nil"/>
                    <w:tr2bl w:val="nil"/>
                  </w:tcBorders>
                  <w:vAlign w:val="center"/>
                </w:tcPr>
                <w:p w14:paraId="4AEA1F3D">
                  <w:pPr>
                    <w:pStyle w:val="32"/>
                    <w:rPr>
                      <w:color w:val="auto"/>
                      <w:spacing w:val="-10"/>
                      <w:sz w:val="24"/>
                      <w:szCs w:val="24"/>
                    </w:rPr>
                  </w:pPr>
                  <w:r>
                    <w:rPr>
                      <w:rFonts w:hint="eastAsia"/>
                      <w:color w:val="auto"/>
                      <w:spacing w:val="-10"/>
                      <w:sz w:val="24"/>
                      <w:szCs w:val="24"/>
                    </w:rPr>
                    <w:t>D</w:t>
                  </w:r>
                  <w:r>
                    <w:rPr>
                      <w:color w:val="auto"/>
                      <w:spacing w:val="-10"/>
                      <w:sz w:val="24"/>
                      <w:szCs w:val="24"/>
                    </w:rPr>
                    <w:t>A001</w:t>
                  </w:r>
                </w:p>
              </w:tc>
              <w:tc>
                <w:tcPr>
                  <w:tcW w:w="512" w:type="pct"/>
                  <w:tcBorders>
                    <w:top w:val="single" w:color="auto" w:sz="12" w:space="0"/>
                    <w:tl2br w:val="nil"/>
                    <w:tr2bl w:val="nil"/>
                  </w:tcBorders>
                  <w:vAlign w:val="center"/>
                </w:tcPr>
                <w:p w14:paraId="5F271C0E">
                  <w:pPr>
                    <w:pStyle w:val="32"/>
                    <w:rPr>
                      <w:color w:val="auto"/>
                      <w:spacing w:val="-10"/>
                      <w:sz w:val="24"/>
                      <w:szCs w:val="24"/>
                    </w:rPr>
                  </w:pPr>
                  <w:r>
                    <w:rPr>
                      <w:rFonts w:hint="eastAsia"/>
                      <w:color w:val="auto"/>
                      <w:spacing w:val="-10"/>
                      <w:sz w:val="24"/>
                      <w:szCs w:val="24"/>
                    </w:rPr>
                    <w:t>90°</w:t>
                  </w:r>
                  <w:r>
                    <w:rPr>
                      <w:rFonts w:hint="eastAsia"/>
                      <w:color w:val="auto"/>
                      <w:spacing w:val="-10"/>
                      <w:sz w:val="24"/>
                      <w:szCs w:val="24"/>
                      <w:lang w:val="en-US" w:eastAsia="zh-CN"/>
                    </w:rPr>
                    <w:t>34</w:t>
                  </w:r>
                  <w:r>
                    <w:rPr>
                      <w:rFonts w:hint="eastAsia"/>
                      <w:color w:val="auto"/>
                      <w:spacing w:val="-10"/>
                      <w:sz w:val="24"/>
                      <w:szCs w:val="24"/>
                    </w:rPr>
                    <w:t>′</w:t>
                  </w:r>
                  <w:r>
                    <w:rPr>
                      <w:rFonts w:hint="eastAsia"/>
                      <w:color w:val="auto"/>
                      <w:spacing w:val="-10"/>
                      <w:sz w:val="24"/>
                      <w:szCs w:val="24"/>
                      <w:lang w:val="en-US" w:eastAsia="zh-CN"/>
                    </w:rPr>
                    <w:t>47.875</w:t>
                  </w:r>
                  <w:r>
                    <w:rPr>
                      <w:rFonts w:hint="eastAsia"/>
                      <w:color w:val="auto"/>
                      <w:spacing w:val="-10"/>
                      <w:sz w:val="24"/>
                      <w:szCs w:val="24"/>
                    </w:rPr>
                    <w:t>″</w:t>
                  </w:r>
                </w:p>
              </w:tc>
              <w:tc>
                <w:tcPr>
                  <w:tcW w:w="550" w:type="pct"/>
                  <w:tcBorders>
                    <w:top w:val="single" w:color="auto" w:sz="12" w:space="0"/>
                    <w:tl2br w:val="nil"/>
                    <w:tr2bl w:val="nil"/>
                  </w:tcBorders>
                  <w:vAlign w:val="center"/>
                </w:tcPr>
                <w:p w14:paraId="48990985">
                  <w:pPr>
                    <w:pStyle w:val="32"/>
                    <w:rPr>
                      <w:color w:val="auto"/>
                      <w:spacing w:val="-10"/>
                      <w:sz w:val="24"/>
                      <w:szCs w:val="24"/>
                    </w:rPr>
                  </w:pPr>
                  <w:r>
                    <w:rPr>
                      <w:rFonts w:hint="eastAsia"/>
                      <w:color w:val="auto"/>
                      <w:sz w:val="24"/>
                      <w:szCs w:val="24"/>
                    </w:rPr>
                    <w:t>44°</w:t>
                  </w:r>
                  <w:r>
                    <w:rPr>
                      <w:rFonts w:hint="eastAsia"/>
                      <w:color w:val="auto"/>
                      <w:sz w:val="24"/>
                      <w:szCs w:val="24"/>
                      <w:lang w:val="en-US" w:eastAsia="zh-CN"/>
                    </w:rPr>
                    <w:t>18</w:t>
                  </w:r>
                  <w:r>
                    <w:rPr>
                      <w:rFonts w:hint="eastAsia"/>
                      <w:color w:val="auto"/>
                      <w:sz w:val="24"/>
                      <w:szCs w:val="24"/>
                    </w:rPr>
                    <w:t>′</w:t>
                  </w:r>
                  <w:r>
                    <w:rPr>
                      <w:rFonts w:hint="eastAsia"/>
                      <w:color w:val="auto"/>
                      <w:sz w:val="24"/>
                      <w:szCs w:val="24"/>
                      <w:lang w:val="en-US" w:eastAsia="zh-CN"/>
                    </w:rPr>
                    <w:t>29.903</w:t>
                  </w:r>
                  <w:r>
                    <w:rPr>
                      <w:rFonts w:hint="eastAsia"/>
                      <w:color w:val="auto"/>
                      <w:sz w:val="24"/>
                      <w:szCs w:val="24"/>
                    </w:rPr>
                    <w:t>″</w:t>
                  </w:r>
                </w:p>
              </w:tc>
              <w:tc>
                <w:tcPr>
                  <w:tcW w:w="507" w:type="pct"/>
                  <w:tcBorders>
                    <w:top w:val="single" w:color="auto" w:sz="12" w:space="0"/>
                    <w:tl2br w:val="nil"/>
                    <w:tr2bl w:val="nil"/>
                  </w:tcBorders>
                  <w:vAlign w:val="center"/>
                </w:tcPr>
                <w:p w14:paraId="11073328">
                  <w:pPr>
                    <w:pStyle w:val="32"/>
                    <w:rPr>
                      <w:rFonts w:hint="default" w:eastAsia="宋体"/>
                      <w:color w:val="auto"/>
                      <w:spacing w:val="-10"/>
                      <w:sz w:val="24"/>
                      <w:szCs w:val="24"/>
                      <w:lang w:val="en-US" w:eastAsia="zh-CN"/>
                    </w:rPr>
                  </w:pPr>
                  <w:r>
                    <w:rPr>
                      <w:rFonts w:hint="eastAsia"/>
                      <w:color w:val="auto"/>
                      <w:spacing w:val="-10"/>
                      <w:sz w:val="24"/>
                      <w:szCs w:val="24"/>
                      <w:lang w:val="en-US" w:eastAsia="zh-CN"/>
                    </w:rPr>
                    <w:t>15</w:t>
                  </w:r>
                </w:p>
              </w:tc>
              <w:tc>
                <w:tcPr>
                  <w:tcW w:w="503" w:type="pct"/>
                  <w:tcBorders>
                    <w:top w:val="single" w:color="auto" w:sz="12" w:space="0"/>
                    <w:tl2br w:val="nil"/>
                    <w:tr2bl w:val="nil"/>
                  </w:tcBorders>
                  <w:vAlign w:val="center"/>
                </w:tcPr>
                <w:p w14:paraId="759B5E33">
                  <w:pPr>
                    <w:pStyle w:val="32"/>
                    <w:rPr>
                      <w:rFonts w:hint="default"/>
                      <w:color w:val="auto"/>
                      <w:spacing w:val="-10"/>
                      <w:sz w:val="24"/>
                      <w:szCs w:val="24"/>
                      <w:lang w:val="en-US"/>
                    </w:rPr>
                  </w:pPr>
                  <w:r>
                    <w:rPr>
                      <w:color w:val="auto"/>
                      <w:spacing w:val="-10"/>
                      <w:sz w:val="24"/>
                      <w:szCs w:val="24"/>
                    </w:rPr>
                    <w:t>0.</w:t>
                  </w:r>
                  <w:r>
                    <w:rPr>
                      <w:rFonts w:hint="eastAsia"/>
                      <w:color w:val="auto"/>
                      <w:spacing w:val="-10"/>
                      <w:sz w:val="24"/>
                      <w:szCs w:val="24"/>
                      <w:lang w:val="en-US" w:eastAsia="zh-CN"/>
                    </w:rPr>
                    <w:t>768</w:t>
                  </w:r>
                </w:p>
              </w:tc>
              <w:tc>
                <w:tcPr>
                  <w:tcW w:w="421" w:type="pct"/>
                  <w:tcBorders>
                    <w:top w:val="single" w:color="auto" w:sz="12" w:space="0"/>
                    <w:tl2br w:val="nil"/>
                    <w:tr2bl w:val="nil"/>
                  </w:tcBorders>
                  <w:vAlign w:val="center"/>
                </w:tcPr>
                <w:p w14:paraId="3FE855B8">
                  <w:pPr>
                    <w:pStyle w:val="32"/>
                    <w:rPr>
                      <w:rFonts w:hint="default" w:eastAsia="宋体"/>
                      <w:color w:val="auto"/>
                      <w:spacing w:val="-10"/>
                      <w:sz w:val="24"/>
                      <w:szCs w:val="24"/>
                      <w:lang w:val="en-US" w:eastAsia="zh-CN"/>
                    </w:rPr>
                  </w:pPr>
                  <w:r>
                    <w:rPr>
                      <w:rFonts w:hint="eastAsia"/>
                      <w:color w:val="auto"/>
                      <w:spacing w:val="-10"/>
                      <w:sz w:val="24"/>
                      <w:szCs w:val="24"/>
                      <w:lang w:val="en-US" w:eastAsia="zh-CN"/>
                    </w:rPr>
                    <w:t>15</w:t>
                  </w:r>
                </w:p>
              </w:tc>
              <w:tc>
                <w:tcPr>
                  <w:tcW w:w="408" w:type="pct"/>
                  <w:tcBorders>
                    <w:top w:val="single" w:color="auto" w:sz="12" w:space="0"/>
                    <w:tl2br w:val="nil"/>
                    <w:tr2bl w:val="nil"/>
                  </w:tcBorders>
                  <w:vAlign w:val="center"/>
                </w:tcPr>
                <w:p w14:paraId="10D7E98C">
                  <w:pPr>
                    <w:pStyle w:val="32"/>
                    <w:rPr>
                      <w:rFonts w:hint="default" w:eastAsia="宋体"/>
                      <w:color w:val="auto"/>
                      <w:spacing w:val="-10"/>
                      <w:sz w:val="24"/>
                      <w:szCs w:val="24"/>
                      <w:lang w:val="en-US" w:eastAsia="zh-CN"/>
                    </w:rPr>
                  </w:pPr>
                  <w:r>
                    <w:rPr>
                      <w:rFonts w:hint="eastAsia"/>
                      <w:color w:val="auto"/>
                      <w:spacing w:val="-10"/>
                      <w:sz w:val="24"/>
                      <w:szCs w:val="24"/>
                      <w:lang w:val="en-US" w:eastAsia="zh-CN"/>
                    </w:rPr>
                    <w:t>25</w:t>
                  </w:r>
                </w:p>
              </w:tc>
              <w:tc>
                <w:tcPr>
                  <w:tcW w:w="492" w:type="pct"/>
                  <w:tcBorders>
                    <w:top w:val="single" w:color="auto" w:sz="12" w:space="0"/>
                    <w:tl2br w:val="nil"/>
                    <w:tr2bl w:val="nil"/>
                  </w:tcBorders>
                  <w:vAlign w:val="center"/>
                </w:tcPr>
                <w:p w14:paraId="0153667E">
                  <w:pPr>
                    <w:pStyle w:val="32"/>
                    <w:rPr>
                      <w:rFonts w:hint="default" w:eastAsia="宋体"/>
                      <w:color w:val="auto"/>
                      <w:spacing w:val="-10"/>
                      <w:sz w:val="24"/>
                      <w:szCs w:val="24"/>
                      <w:lang w:val="en-US" w:eastAsia="zh-CN"/>
                    </w:rPr>
                  </w:pPr>
                  <w:r>
                    <w:rPr>
                      <w:rFonts w:hint="eastAsia"/>
                      <w:color w:val="auto"/>
                      <w:spacing w:val="-10"/>
                      <w:sz w:val="24"/>
                      <w:szCs w:val="24"/>
                      <w:lang w:val="en-US" w:eastAsia="zh-CN"/>
                    </w:rPr>
                    <w:t>1440</w:t>
                  </w:r>
                </w:p>
              </w:tc>
              <w:tc>
                <w:tcPr>
                  <w:tcW w:w="256" w:type="pct"/>
                  <w:tcBorders>
                    <w:top w:val="single" w:color="auto" w:sz="12" w:space="0"/>
                    <w:tl2br w:val="nil"/>
                    <w:tr2bl w:val="nil"/>
                  </w:tcBorders>
                  <w:vAlign w:val="center"/>
                </w:tcPr>
                <w:p w14:paraId="2AF65DB3">
                  <w:pPr>
                    <w:pStyle w:val="32"/>
                    <w:rPr>
                      <w:color w:val="auto"/>
                      <w:spacing w:val="-10"/>
                      <w:sz w:val="24"/>
                      <w:szCs w:val="24"/>
                    </w:rPr>
                  </w:pPr>
                  <w:r>
                    <w:rPr>
                      <w:color w:val="auto"/>
                      <w:spacing w:val="-10"/>
                      <w:sz w:val="24"/>
                      <w:szCs w:val="24"/>
                    </w:rPr>
                    <w:t>正常</w:t>
                  </w:r>
                </w:p>
              </w:tc>
              <w:tc>
                <w:tcPr>
                  <w:tcW w:w="385" w:type="pct"/>
                  <w:tcBorders>
                    <w:top w:val="single" w:color="auto" w:sz="12" w:space="0"/>
                    <w:tl2br w:val="nil"/>
                    <w:tr2bl w:val="nil"/>
                  </w:tcBorders>
                  <w:vAlign w:val="center"/>
                </w:tcPr>
                <w:p w14:paraId="04DADDD3">
                  <w:pPr>
                    <w:pStyle w:val="32"/>
                    <w:rPr>
                      <w:color w:val="auto"/>
                      <w:spacing w:val="-10"/>
                      <w:sz w:val="24"/>
                      <w:szCs w:val="24"/>
                    </w:rPr>
                  </w:pPr>
                  <w:r>
                    <w:rPr>
                      <w:color w:val="auto"/>
                      <w:sz w:val="24"/>
                      <w:szCs w:val="24"/>
                    </w:rPr>
                    <w:t>颗粒物</w:t>
                  </w:r>
                </w:p>
              </w:tc>
              <w:tc>
                <w:tcPr>
                  <w:tcW w:w="451" w:type="pct"/>
                  <w:tcBorders>
                    <w:top w:val="single" w:color="auto" w:sz="12" w:space="0"/>
                    <w:tl2br w:val="nil"/>
                    <w:tr2bl w:val="nil"/>
                  </w:tcBorders>
                  <w:vAlign w:val="center"/>
                </w:tcPr>
                <w:p w14:paraId="1B7A7FE0">
                  <w:pPr>
                    <w:pStyle w:val="32"/>
                    <w:rPr>
                      <w:rFonts w:hint="default" w:eastAsia="宋体"/>
                      <w:color w:val="auto"/>
                      <w:spacing w:val="-10"/>
                      <w:sz w:val="24"/>
                      <w:szCs w:val="24"/>
                      <w:lang w:val="en-US" w:eastAsia="zh-CN"/>
                    </w:rPr>
                  </w:pPr>
                  <w:r>
                    <w:rPr>
                      <w:rFonts w:hint="eastAsia"/>
                      <w:color w:val="auto"/>
                      <w:spacing w:val="-10"/>
                      <w:sz w:val="24"/>
                      <w:szCs w:val="24"/>
                      <w:lang w:val="en-US" w:eastAsia="zh-CN"/>
                    </w:rPr>
                    <w:t>0.13</w:t>
                  </w:r>
                </w:p>
              </w:tc>
            </w:tr>
          </w:tbl>
          <w:p w14:paraId="6DEBC81B">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hint="eastAsia" w:cs="Times New Roman"/>
                <w:b/>
                <w:bCs/>
                <w:color w:val="auto"/>
                <w:sz w:val="24"/>
                <w:lang w:val="en-US" w:eastAsia="zh-CN"/>
              </w:rPr>
              <w:t xml:space="preserve">4 </w:t>
            </w:r>
            <w:r>
              <w:rPr>
                <w:rFonts w:hint="eastAsia" w:ascii="Times New Roman" w:hAnsi="Times New Roman" w:eastAsia="宋体" w:cs="Times New Roman"/>
                <w:b/>
                <w:bCs/>
                <w:color w:val="auto"/>
                <w:sz w:val="24"/>
              </w:rPr>
              <w:t>废气</w:t>
            </w:r>
            <w:r>
              <w:rPr>
                <w:rFonts w:ascii="Times New Roman" w:hAnsi="Times New Roman" w:eastAsia="宋体" w:cs="Times New Roman"/>
                <w:b/>
                <w:bCs/>
                <w:color w:val="auto"/>
                <w:sz w:val="24"/>
              </w:rPr>
              <w:t>治理措施的可行性分析</w:t>
            </w:r>
          </w:p>
          <w:p w14:paraId="1084E1C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产生的大气污染物主要是颗粒物，本项目料场全封闭，全覆盖洒水降尘；物料装卸及厂区道路运输及时清扫，洒水降尘；物料输送采取封闭廊道；搅拌设备位于密闭搅拌楼中，搅拌机拌料时需加水搅拌，由于物料含水率较高，搅拌过程基本不产生粉尘，但砂石、粉料落入搅拌机内</w:t>
            </w:r>
            <w:r>
              <w:rPr>
                <w:rFonts w:hint="eastAsia" w:ascii="Times New Roman" w:hAnsi="Times New Roman" w:eastAsia="宋体" w:cs="Times New Roman"/>
                <w:color w:val="auto"/>
                <w:kern w:val="0"/>
                <w:sz w:val="24"/>
                <w:lang w:eastAsia="zh-CN"/>
              </w:rPr>
              <w:t>时会</w:t>
            </w:r>
            <w:r>
              <w:rPr>
                <w:rFonts w:hint="eastAsia" w:ascii="Times New Roman" w:hAnsi="Times New Roman" w:eastAsia="宋体" w:cs="Times New Roman"/>
                <w:color w:val="auto"/>
                <w:kern w:val="0"/>
                <w:sz w:val="24"/>
              </w:rPr>
              <w:t>产生少量的装料粉尘，物料搅拌过程产生的粉尘经搅拌机自带的脉冲布袋除尘器处理后</w:t>
            </w:r>
            <w:r>
              <w:rPr>
                <w:rFonts w:hint="eastAsia" w:cs="Times New Roman"/>
                <w:color w:val="auto"/>
                <w:kern w:val="0"/>
                <w:sz w:val="24"/>
                <w:lang w:val="en-US" w:eastAsia="zh-CN"/>
              </w:rPr>
              <w:t>通过管道通回搅拌机内</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水泥、粉煤灰等粉料分别由专用罐车运输进厂，通过罐车自带的管道以负压吸入料斗，再以压缩空气（正压）通过管道吸入散装粉料仓，整个输送过程在密闭的管道中完成，在散装水泥及粉煤灰落入圆筒仓内时，其筒仓内的空气将从</w:t>
            </w:r>
            <w:r>
              <w:rPr>
                <w:rFonts w:hint="eastAsia" w:ascii="Times New Roman" w:hAnsi="Times New Roman" w:eastAsia="宋体" w:cs="Times New Roman"/>
                <w:color w:val="auto"/>
                <w:kern w:val="0"/>
                <w:sz w:val="24"/>
              </w:rPr>
              <w:t>离地呼吸孔口</w:t>
            </w:r>
            <w:r>
              <w:rPr>
                <w:rFonts w:ascii="Times New Roman" w:hAnsi="Times New Roman" w:eastAsia="宋体" w:cs="Times New Roman"/>
                <w:color w:val="auto"/>
                <w:kern w:val="0"/>
                <w:sz w:val="24"/>
              </w:rPr>
              <w:t>排出并带出部分粉尘</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各粉料仓</w:t>
            </w:r>
            <w:r>
              <w:rPr>
                <w:rFonts w:hint="eastAsia" w:ascii="Times New Roman" w:hAnsi="Times New Roman" w:eastAsia="宋体" w:cs="Times New Roman"/>
                <w:color w:val="auto"/>
                <w:kern w:val="0"/>
                <w:sz w:val="24"/>
              </w:rPr>
              <w:t>安装脉冲布袋</w:t>
            </w:r>
            <w:r>
              <w:rPr>
                <w:rFonts w:ascii="Times New Roman" w:hAnsi="Times New Roman" w:eastAsia="宋体" w:cs="Times New Roman"/>
                <w:color w:val="auto"/>
                <w:kern w:val="0"/>
                <w:sz w:val="24"/>
              </w:rPr>
              <w:t>除尘器，含尘废气经过除尘后排放</w:t>
            </w:r>
            <w:r>
              <w:rPr>
                <w:rFonts w:hint="eastAsia" w:ascii="Times New Roman" w:hAnsi="Times New Roman" w:eastAsia="宋体" w:cs="Times New Roman"/>
                <w:color w:val="auto"/>
                <w:kern w:val="0"/>
                <w:sz w:val="24"/>
              </w:rPr>
              <w:t>。</w:t>
            </w:r>
          </w:p>
          <w:p w14:paraId="68A0A34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lang w:val="en-US" w:eastAsia="zh-CN"/>
              </w:rPr>
              <w:t xml:space="preserve">排污许可证申请与核发技术规范 </w:t>
            </w:r>
            <w:r>
              <w:rPr>
                <w:rFonts w:hint="eastAsia" w:ascii="Times New Roman" w:hAnsi="Times New Roman" w:eastAsia="宋体" w:cs="Times New Roman"/>
                <w:color w:val="auto"/>
                <w:sz w:val="24"/>
                <w:szCs w:val="24"/>
                <w:lang w:val="en-US" w:eastAsia="zh-CN"/>
              </w:rPr>
              <w:t>总则》（HJ942-2018）中的废气污染治理措施，</w:t>
            </w:r>
            <w:r>
              <w:rPr>
                <w:rFonts w:hint="eastAsia" w:ascii="Times New Roman" w:hAnsi="Times New Roman" w:eastAsia="宋体" w:cs="Times New Roman"/>
                <w:color w:val="auto"/>
                <w:kern w:val="0"/>
                <w:sz w:val="24"/>
              </w:rPr>
              <w:t>脉冲布袋除尘器除尘技术属可行技术，故本项目的颗粒物处理措施可行。</w:t>
            </w:r>
          </w:p>
          <w:p w14:paraId="63EEC3FB">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rPr>
            </w:pPr>
            <w:r>
              <w:rPr>
                <w:rFonts w:hint="eastAsia"/>
                <w:b/>
                <w:bCs/>
                <w:color w:val="auto"/>
                <w:sz w:val="24"/>
              </w:rPr>
              <w:t>1.</w:t>
            </w:r>
            <w:r>
              <w:rPr>
                <w:rFonts w:hint="eastAsia"/>
                <w:b/>
                <w:bCs/>
                <w:color w:val="auto"/>
                <w:sz w:val="24"/>
                <w:lang w:val="en-US" w:eastAsia="zh-CN"/>
              </w:rPr>
              <w:t xml:space="preserve">5 </w:t>
            </w:r>
            <w:r>
              <w:rPr>
                <w:rFonts w:hint="eastAsia"/>
                <w:b/>
                <w:bCs/>
                <w:color w:val="auto"/>
                <w:sz w:val="24"/>
              </w:rPr>
              <w:t>废气监测计划</w:t>
            </w:r>
          </w:p>
          <w:p w14:paraId="1AC8340A">
            <w:pPr>
              <w:pStyle w:val="5"/>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根据《排污单位自行监测技术指南 总则》（HJ819-2017），本项目废气监测内容</w:t>
            </w:r>
            <w:r>
              <w:rPr>
                <w:rFonts w:hint="eastAsia" w:ascii="Times New Roman" w:hAnsi="Times New Roman" w:eastAsia="宋体" w:cs="Times New Roman"/>
                <w:color w:val="auto"/>
                <w:kern w:val="0"/>
                <w:sz w:val="24"/>
                <w:szCs w:val="24"/>
                <w:lang w:val="en-US" w:eastAsia="zh-CN" w:bidi="ar-SA"/>
              </w:rPr>
              <w:t>见</w:t>
            </w:r>
            <w:r>
              <w:rPr>
                <w:rFonts w:ascii="Times New Roman" w:hAnsi="Times New Roman" w:eastAsia="宋体" w:cs="Times New Roman"/>
                <w:color w:val="auto"/>
                <w:kern w:val="0"/>
                <w:sz w:val="24"/>
                <w:szCs w:val="24"/>
                <w:lang w:val="en-US" w:eastAsia="zh-CN" w:bidi="ar-SA"/>
              </w:rPr>
              <w:t>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5</w:t>
            </w:r>
            <w:r>
              <w:rPr>
                <w:rFonts w:ascii="Times New Roman" w:hAnsi="Times New Roman" w:eastAsia="宋体" w:cs="Times New Roman"/>
                <w:color w:val="auto"/>
                <w:kern w:val="0"/>
                <w:sz w:val="24"/>
                <w:szCs w:val="24"/>
                <w:lang w:val="en-US" w:eastAsia="zh-CN" w:bidi="ar-SA"/>
              </w:rPr>
              <w:t>。</w:t>
            </w:r>
          </w:p>
          <w:p w14:paraId="18168293">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5</w:t>
            </w:r>
            <w:r>
              <w:rPr>
                <w:rFonts w:hint="eastAsia" w:ascii="Times New Roman" w:hAnsi="Times New Roman" w:eastAsia="宋体" w:cs="Times New Roman"/>
                <w:color w:val="auto"/>
              </w:rPr>
              <w:t xml:space="preserve">    废气监测计划</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96"/>
              <w:gridCol w:w="1420"/>
              <w:gridCol w:w="1704"/>
              <w:gridCol w:w="1420"/>
            </w:tblGrid>
            <w:tr w14:paraId="44C86E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tcBorders>
                    <w:bottom w:val="single" w:color="auto" w:sz="12" w:space="0"/>
                  </w:tcBorders>
                  <w:vAlign w:val="center"/>
                </w:tcPr>
                <w:p w14:paraId="47CDF673">
                  <w:pPr>
                    <w:overflowPunct w:val="0"/>
                    <w:adjustRightInd w:val="0"/>
                    <w:snapToGrid w:val="0"/>
                    <w:jc w:val="center"/>
                    <w:rPr>
                      <w:b/>
                      <w:color w:val="auto"/>
                      <w:sz w:val="21"/>
                      <w:szCs w:val="21"/>
                    </w:rPr>
                  </w:pPr>
                  <w:r>
                    <w:rPr>
                      <w:b/>
                      <w:color w:val="auto"/>
                      <w:sz w:val="21"/>
                      <w:szCs w:val="21"/>
                    </w:rPr>
                    <w:t>污染源类别</w:t>
                  </w:r>
                </w:p>
              </w:tc>
              <w:tc>
                <w:tcPr>
                  <w:tcW w:w="1067" w:type="pct"/>
                  <w:tcBorders>
                    <w:bottom w:val="single" w:color="auto" w:sz="12" w:space="0"/>
                  </w:tcBorders>
                  <w:vAlign w:val="center"/>
                </w:tcPr>
                <w:p w14:paraId="595D6F6C">
                  <w:pPr>
                    <w:overflowPunct w:val="0"/>
                    <w:adjustRightInd w:val="0"/>
                    <w:snapToGrid w:val="0"/>
                    <w:jc w:val="center"/>
                    <w:rPr>
                      <w:b/>
                      <w:color w:val="auto"/>
                      <w:sz w:val="21"/>
                      <w:szCs w:val="21"/>
                    </w:rPr>
                  </w:pPr>
                  <w:r>
                    <w:rPr>
                      <w:b/>
                      <w:color w:val="auto"/>
                      <w:sz w:val="21"/>
                      <w:szCs w:val="21"/>
                    </w:rPr>
                    <w:t>监测位置</w:t>
                  </w:r>
                </w:p>
              </w:tc>
              <w:tc>
                <w:tcPr>
                  <w:tcW w:w="893" w:type="pct"/>
                  <w:tcBorders>
                    <w:bottom w:val="single" w:color="auto" w:sz="12" w:space="0"/>
                  </w:tcBorders>
                  <w:vAlign w:val="center"/>
                </w:tcPr>
                <w:p w14:paraId="4D0FE03C">
                  <w:pPr>
                    <w:overflowPunct w:val="0"/>
                    <w:adjustRightInd w:val="0"/>
                    <w:snapToGrid w:val="0"/>
                    <w:jc w:val="center"/>
                    <w:rPr>
                      <w:b/>
                      <w:color w:val="auto"/>
                      <w:sz w:val="21"/>
                      <w:szCs w:val="21"/>
                    </w:rPr>
                  </w:pPr>
                  <w:r>
                    <w:rPr>
                      <w:b/>
                      <w:color w:val="auto"/>
                      <w:sz w:val="21"/>
                      <w:szCs w:val="21"/>
                    </w:rPr>
                    <w:t>监测项目</w:t>
                  </w:r>
                </w:p>
              </w:tc>
              <w:tc>
                <w:tcPr>
                  <w:tcW w:w="1072" w:type="pct"/>
                  <w:tcBorders>
                    <w:bottom w:val="single" w:color="auto" w:sz="12" w:space="0"/>
                  </w:tcBorders>
                  <w:vAlign w:val="center"/>
                </w:tcPr>
                <w:p w14:paraId="545730C4">
                  <w:pPr>
                    <w:overflowPunct w:val="0"/>
                    <w:adjustRightInd w:val="0"/>
                    <w:snapToGrid w:val="0"/>
                    <w:jc w:val="center"/>
                    <w:rPr>
                      <w:b/>
                      <w:color w:val="auto"/>
                      <w:sz w:val="21"/>
                      <w:szCs w:val="21"/>
                      <w:highlight w:val="none"/>
                    </w:rPr>
                  </w:pPr>
                  <w:r>
                    <w:rPr>
                      <w:b/>
                      <w:color w:val="auto"/>
                      <w:sz w:val="21"/>
                      <w:szCs w:val="21"/>
                      <w:highlight w:val="none"/>
                    </w:rPr>
                    <w:t>监测频率</w:t>
                  </w:r>
                </w:p>
              </w:tc>
              <w:tc>
                <w:tcPr>
                  <w:tcW w:w="893" w:type="pct"/>
                  <w:tcBorders>
                    <w:bottom w:val="single" w:color="auto" w:sz="12" w:space="0"/>
                  </w:tcBorders>
                  <w:vAlign w:val="center"/>
                </w:tcPr>
                <w:p w14:paraId="0EA99F01">
                  <w:pPr>
                    <w:overflowPunct w:val="0"/>
                    <w:adjustRightInd w:val="0"/>
                    <w:snapToGrid w:val="0"/>
                    <w:jc w:val="center"/>
                    <w:rPr>
                      <w:b/>
                      <w:color w:val="auto"/>
                      <w:sz w:val="21"/>
                      <w:szCs w:val="21"/>
                    </w:rPr>
                  </w:pPr>
                  <w:r>
                    <w:rPr>
                      <w:b/>
                      <w:color w:val="auto"/>
                      <w:sz w:val="21"/>
                      <w:szCs w:val="21"/>
                    </w:rPr>
                    <w:t>标准限值</w:t>
                  </w:r>
                </w:p>
              </w:tc>
            </w:tr>
            <w:tr w14:paraId="691DB5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72" w:type="pct"/>
                  <w:vAlign w:val="center"/>
                </w:tcPr>
                <w:p w14:paraId="2DCF7ABE">
                  <w:pPr>
                    <w:overflowPunct w:val="0"/>
                    <w:adjustRightInd w:val="0"/>
                    <w:snapToGrid w:val="0"/>
                    <w:jc w:val="center"/>
                    <w:rPr>
                      <w:bCs/>
                      <w:color w:val="auto"/>
                      <w:sz w:val="21"/>
                      <w:szCs w:val="21"/>
                    </w:rPr>
                  </w:pPr>
                  <w:r>
                    <w:rPr>
                      <w:bCs/>
                      <w:color w:val="auto"/>
                      <w:sz w:val="21"/>
                      <w:szCs w:val="21"/>
                    </w:rPr>
                    <w:t>无组织</w:t>
                  </w:r>
                </w:p>
              </w:tc>
              <w:tc>
                <w:tcPr>
                  <w:tcW w:w="1067" w:type="pct"/>
                  <w:vAlign w:val="center"/>
                </w:tcPr>
                <w:p w14:paraId="52499B34">
                  <w:pPr>
                    <w:overflowPunct w:val="0"/>
                    <w:adjustRightInd w:val="0"/>
                    <w:snapToGrid w:val="0"/>
                    <w:jc w:val="center"/>
                    <w:rPr>
                      <w:bCs/>
                      <w:color w:val="auto"/>
                      <w:sz w:val="21"/>
                      <w:szCs w:val="21"/>
                    </w:rPr>
                  </w:pPr>
                  <w:r>
                    <w:rPr>
                      <w:bCs/>
                      <w:color w:val="auto"/>
                      <w:sz w:val="21"/>
                      <w:szCs w:val="21"/>
                    </w:rPr>
                    <w:t>厂界</w:t>
                  </w:r>
                </w:p>
              </w:tc>
              <w:tc>
                <w:tcPr>
                  <w:tcW w:w="893" w:type="pct"/>
                  <w:vAlign w:val="center"/>
                </w:tcPr>
                <w:p w14:paraId="18F0F16E">
                  <w:pPr>
                    <w:overflowPunct w:val="0"/>
                    <w:adjustRightInd w:val="0"/>
                    <w:snapToGrid w:val="0"/>
                    <w:jc w:val="center"/>
                    <w:rPr>
                      <w:bCs/>
                      <w:color w:val="auto"/>
                      <w:sz w:val="21"/>
                      <w:szCs w:val="21"/>
                    </w:rPr>
                  </w:pPr>
                  <w:r>
                    <w:rPr>
                      <w:bCs/>
                      <w:color w:val="auto"/>
                      <w:sz w:val="21"/>
                      <w:szCs w:val="21"/>
                    </w:rPr>
                    <w:t>颗粒物</w:t>
                  </w:r>
                </w:p>
              </w:tc>
              <w:tc>
                <w:tcPr>
                  <w:tcW w:w="1072" w:type="pct"/>
                  <w:vAlign w:val="center"/>
                </w:tcPr>
                <w:p w14:paraId="1C363ADD">
                  <w:pPr>
                    <w:overflowPunct w:val="0"/>
                    <w:adjustRightInd w:val="0"/>
                    <w:snapToGrid w:val="0"/>
                    <w:jc w:val="center"/>
                    <w:rPr>
                      <w:bCs/>
                      <w:color w:val="auto"/>
                      <w:sz w:val="21"/>
                      <w:szCs w:val="21"/>
                      <w:highlight w:val="none"/>
                    </w:rPr>
                  </w:pPr>
                  <w:r>
                    <w:rPr>
                      <w:bCs/>
                      <w:color w:val="auto"/>
                      <w:sz w:val="21"/>
                      <w:szCs w:val="21"/>
                      <w:highlight w:val="none"/>
                    </w:rPr>
                    <w:t>1次/每</w:t>
                  </w:r>
                  <w:r>
                    <w:rPr>
                      <w:rFonts w:hint="eastAsia"/>
                      <w:bCs/>
                      <w:color w:val="auto"/>
                      <w:sz w:val="21"/>
                      <w:szCs w:val="21"/>
                      <w:highlight w:val="none"/>
                      <w:lang w:val="en-US" w:eastAsia="zh-CN"/>
                    </w:rPr>
                    <w:t>半</w:t>
                  </w:r>
                  <w:r>
                    <w:rPr>
                      <w:bCs/>
                      <w:color w:val="auto"/>
                      <w:sz w:val="21"/>
                      <w:szCs w:val="21"/>
                      <w:highlight w:val="none"/>
                    </w:rPr>
                    <w:t>年</w:t>
                  </w:r>
                </w:p>
              </w:tc>
              <w:tc>
                <w:tcPr>
                  <w:tcW w:w="893" w:type="pct"/>
                  <w:vAlign w:val="center"/>
                </w:tcPr>
                <w:p w14:paraId="0B8BBDB5">
                  <w:pPr>
                    <w:overflowPunct w:val="0"/>
                    <w:adjustRightInd w:val="0"/>
                    <w:snapToGrid w:val="0"/>
                    <w:jc w:val="center"/>
                    <w:rPr>
                      <w:bCs/>
                      <w:color w:val="auto"/>
                      <w:sz w:val="21"/>
                      <w:szCs w:val="21"/>
                    </w:rPr>
                  </w:pPr>
                  <w:r>
                    <w:rPr>
                      <w:rFonts w:hint="eastAsia"/>
                      <w:bCs/>
                      <w:color w:val="auto"/>
                      <w:sz w:val="21"/>
                      <w:szCs w:val="21"/>
                      <w:lang w:val="en-US" w:eastAsia="zh-CN"/>
                    </w:rPr>
                    <w:t>0.5</w:t>
                  </w:r>
                  <w:r>
                    <w:rPr>
                      <w:bCs/>
                      <w:color w:val="auto"/>
                      <w:sz w:val="21"/>
                      <w:szCs w:val="21"/>
                    </w:rPr>
                    <w:t>mg/m</w:t>
                  </w:r>
                  <w:r>
                    <w:rPr>
                      <w:bCs/>
                      <w:color w:val="auto"/>
                      <w:sz w:val="21"/>
                      <w:szCs w:val="21"/>
                      <w:vertAlign w:val="superscript"/>
                    </w:rPr>
                    <w:t>3</w:t>
                  </w:r>
                </w:p>
              </w:tc>
            </w:tr>
            <w:tr w14:paraId="4F4CDF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72" w:type="pct"/>
                  <w:vAlign w:val="center"/>
                </w:tcPr>
                <w:p w14:paraId="6B3D9B7D">
                  <w:pPr>
                    <w:overflowPunct w:val="0"/>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有组织</w:t>
                  </w:r>
                </w:p>
              </w:tc>
              <w:tc>
                <w:tcPr>
                  <w:tcW w:w="1067" w:type="pct"/>
                  <w:vAlign w:val="center"/>
                </w:tcPr>
                <w:p w14:paraId="6312DEC2">
                  <w:pPr>
                    <w:overflowPunct w:val="0"/>
                    <w:adjustRightInd w:val="0"/>
                    <w:snapToGrid w:val="0"/>
                    <w:jc w:val="center"/>
                    <w:rPr>
                      <w:rFonts w:hint="default" w:eastAsia="宋体"/>
                      <w:bCs/>
                      <w:color w:val="auto"/>
                      <w:sz w:val="21"/>
                      <w:szCs w:val="21"/>
                      <w:lang w:val="en-US" w:eastAsia="zh-CN"/>
                    </w:rPr>
                  </w:pPr>
                  <w:r>
                    <w:rPr>
                      <w:rFonts w:hint="eastAsia"/>
                      <w:bCs/>
                      <w:color w:val="auto"/>
                      <w:sz w:val="21"/>
                      <w:szCs w:val="21"/>
                      <w:lang w:val="en-US" w:eastAsia="zh-CN"/>
                    </w:rPr>
                    <w:t>DA001</w:t>
                  </w:r>
                </w:p>
              </w:tc>
              <w:tc>
                <w:tcPr>
                  <w:tcW w:w="893" w:type="pct"/>
                  <w:vAlign w:val="center"/>
                </w:tcPr>
                <w:p w14:paraId="48FCFBD9">
                  <w:pPr>
                    <w:overflowPunct w:val="0"/>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颗粒物</w:t>
                  </w:r>
                </w:p>
              </w:tc>
              <w:tc>
                <w:tcPr>
                  <w:tcW w:w="1072" w:type="pct"/>
                  <w:vAlign w:val="center"/>
                </w:tcPr>
                <w:p w14:paraId="275880C7">
                  <w:pPr>
                    <w:overflowPunct w:val="0"/>
                    <w:adjustRightInd w:val="0"/>
                    <w:snapToGrid w:val="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1次/每半年</w:t>
                  </w:r>
                </w:p>
              </w:tc>
              <w:tc>
                <w:tcPr>
                  <w:tcW w:w="893" w:type="pct"/>
                  <w:vAlign w:val="center"/>
                </w:tcPr>
                <w:p w14:paraId="51BA6D6E">
                  <w:pPr>
                    <w:overflowPunct w:val="0"/>
                    <w:adjustRightInd w:val="0"/>
                    <w:snapToGrid w:val="0"/>
                    <w:jc w:val="center"/>
                    <w:rPr>
                      <w:rFonts w:hint="default"/>
                      <w:bCs/>
                      <w:color w:val="auto"/>
                      <w:sz w:val="21"/>
                      <w:szCs w:val="21"/>
                      <w:vertAlign w:val="baseline"/>
                      <w:lang w:val="en-US" w:eastAsia="zh-CN"/>
                    </w:rPr>
                  </w:pPr>
                  <w:r>
                    <w:rPr>
                      <w:rFonts w:hint="eastAsia"/>
                      <w:bCs/>
                      <w:color w:val="auto"/>
                      <w:sz w:val="21"/>
                      <w:szCs w:val="21"/>
                      <w:lang w:val="en-US" w:eastAsia="zh-CN"/>
                    </w:rPr>
                    <w:t>20mg/m</w:t>
                  </w:r>
                  <w:r>
                    <w:rPr>
                      <w:rFonts w:hint="eastAsia"/>
                      <w:bCs/>
                      <w:color w:val="auto"/>
                      <w:sz w:val="21"/>
                      <w:szCs w:val="21"/>
                      <w:vertAlign w:val="superscript"/>
                      <w:lang w:val="en-US" w:eastAsia="zh-CN"/>
                    </w:rPr>
                    <w:t>3</w:t>
                  </w:r>
                </w:p>
              </w:tc>
            </w:tr>
          </w:tbl>
          <w:p w14:paraId="40035FAC">
            <w:pPr>
              <w:pStyle w:val="18"/>
              <w:keepNext w:val="0"/>
              <w:keepLines w:val="0"/>
              <w:pageBreakBefore w:val="0"/>
              <w:widowControl w:val="0"/>
              <w:kinsoku/>
              <w:wordWrap/>
              <w:overflowPunct/>
              <w:topLinePunct w:val="0"/>
              <w:autoSpaceDE/>
              <w:autoSpaceDN/>
              <w:bidi w:val="0"/>
              <w:adjustRightInd/>
              <w:snapToGrid/>
              <w:spacing w:before="157" w:beforeLines="50"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综上所述，本项目产生的废气污染物可以满足《水泥工业大气污染物排放标准》（GB4915-2013）中表3大气污染物无组织排放限值要求，对周围环境影响较小。</w:t>
            </w:r>
          </w:p>
          <w:p w14:paraId="344B6459">
            <w:pPr>
              <w:pStyle w:val="18"/>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废水</w:t>
            </w:r>
          </w:p>
          <w:p w14:paraId="57F0ADEF">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本项目废水污染主要来源于生产废水和职工日常生活所产生的生活污水。</w:t>
            </w:r>
          </w:p>
          <w:p w14:paraId="2950CDC9">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生产废水</w:t>
            </w:r>
          </w:p>
          <w:p w14:paraId="4015F2F5">
            <w:pPr>
              <w:spacing w:line="360" w:lineRule="auto"/>
              <w:ind w:firstLine="480" w:firstLineChars="200"/>
              <w:rPr>
                <w:color w:val="auto"/>
                <w:sz w:val="24"/>
              </w:rPr>
            </w:pPr>
            <w:r>
              <w:rPr>
                <w:rFonts w:hint="eastAsia" w:ascii="Times New Roman" w:hAnsi="Times New Roman" w:eastAsia="宋体" w:cs="Times New Roman"/>
                <w:color w:val="auto"/>
                <w:kern w:val="0"/>
                <w:sz w:val="24"/>
              </w:rPr>
              <w:t>搅拌系统在停止使用或改换搅拌不同型号混凝土作业时，需对盛装混凝土的罐体进行必要的清洗，将附着在罐体内的混凝土清洗干净；同时砼运输车罐体也要进行清洗。厂区每次清洗用水大约</w:t>
            </w:r>
            <w:r>
              <w:rPr>
                <w:rFonts w:hint="eastAsia" w:cs="Times New Roman"/>
                <w:color w:val="auto"/>
                <w:kern w:val="0"/>
                <w:sz w:val="24"/>
                <w:lang w:val="en-US" w:eastAsia="zh-CN"/>
              </w:rPr>
              <w:t>5</w:t>
            </w:r>
            <w:r>
              <w:rPr>
                <w:rFonts w:hint="eastAsia" w:ascii="Times New Roman" w:hAnsi="Times New Roman" w:eastAsia="宋体" w:cs="Times New Roman"/>
                <w:color w:val="auto"/>
                <w:kern w:val="0"/>
                <w:sz w:val="24"/>
              </w:rPr>
              <w:t>m³/次，平均每天清洗1～2次（按2次计算），</w:t>
            </w:r>
            <w:r>
              <w:rPr>
                <w:rFonts w:ascii="Times New Roman" w:hAnsi="Times New Roman" w:eastAsia="宋体" w:cs="Times New Roman"/>
                <w:color w:val="auto"/>
                <w:kern w:val="0"/>
                <w:sz w:val="24"/>
              </w:rPr>
              <w:t>清洗用水总量约</w:t>
            </w:r>
            <w:r>
              <w:rPr>
                <w:rFonts w:hint="eastAsia" w:cs="Times New Roman"/>
                <w:color w:val="auto"/>
                <w:kern w:val="0"/>
                <w:sz w:val="24"/>
                <w:lang w:val="en-US" w:eastAsia="zh-CN"/>
              </w:rPr>
              <w:t>1800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d），生产废水主要污染</w:t>
            </w:r>
            <w:r>
              <w:rPr>
                <w:rFonts w:hint="eastAsia" w:cs="Times New Roman"/>
                <w:color w:val="auto"/>
                <w:kern w:val="0"/>
                <w:sz w:val="24"/>
                <w:lang w:val="en-US" w:eastAsia="zh-CN"/>
              </w:rPr>
              <w:t>因子为悬浮物</w:t>
            </w:r>
            <w:r>
              <w:rPr>
                <w:rFonts w:hint="eastAsia" w:ascii="Times New Roman" w:hAnsi="Times New Roman" w:eastAsia="宋体" w:cs="Times New Roman"/>
                <w:color w:val="auto"/>
                <w:kern w:val="0"/>
                <w:sz w:val="24"/>
              </w:rPr>
              <w:t>。生产废水收集全部排入</w:t>
            </w:r>
            <w:r>
              <w:rPr>
                <w:rFonts w:hint="eastAsia" w:cs="Times New Roman"/>
                <w:color w:val="auto"/>
                <w:kern w:val="0"/>
                <w:sz w:val="24"/>
                <w:lang w:val="en-US" w:eastAsia="zh-CN"/>
              </w:rPr>
              <w:t>3</w:t>
            </w:r>
            <w:r>
              <w:rPr>
                <w:rFonts w:hint="eastAsia" w:ascii="Times New Roman" w:hAnsi="Times New Roman" w:eastAsia="宋体" w:cs="Times New Roman"/>
                <w:color w:val="auto"/>
                <w:kern w:val="0"/>
                <w:sz w:val="24"/>
              </w:rPr>
              <w:t>0m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三级沉淀池处理，上清液全部回用不外排，废料沉降在沉淀池池底，废料中主要固体为砂子和石子，池底废料定期清理，回收利用。</w:t>
            </w:r>
          </w:p>
          <w:p w14:paraId="2E14E392">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2.2</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生活污水</w:t>
            </w:r>
          </w:p>
          <w:p w14:paraId="2D3877B4">
            <w:pPr>
              <w:adjustRightInd w:val="0"/>
              <w:snapToGrid w:val="0"/>
              <w:spacing w:line="360" w:lineRule="auto"/>
              <w:ind w:firstLine="480" w:firstLineChars="200"/>
              <w:rPr>
                <w:color w:val="auto"/>
                <w:sz w:val="24"/>
              </w:rPr>
            </w:pPr>
            <w:r>
              <w:rPr>
                <w:rFonts w:hint="eastAsia" w:ascii="Times New Roman" w:hAnsi="Times New Roman" w:eastAsia="宋体" w:cs="Times New Roman"/>
                <w:color w:val="auto"/>
                <w:kern w:val="0"/>
                <w:sz w:val="24"/>
              </w:rPr>
              <w:t>根据工程分析，项目</w:t>
            </w:r>
            <w:r>
              <w:rPr>
                <w:rFonts w:ascii="Times New Roman" w:hAnsi="Times New Roman" w:eastAsia="宋体" w:cs="Times New Roman"/>
                <w:color w:val="auto"/>
                <w:kern w:val="0"/>
                <w:sz w:val="24"/>
              </w:rPr>
              <w:t>生活用水量为</w:t>
            </w:r>
            <w:r>
              <w:rPr>
                <w:rFonts w:hint="eastAsia" w:cs="Times New Roman"/>
                <w:color w:val="auto"/>
                <w:kern w:val="0"/>
                <w:sz w:val="24"/>
                <w:lang w:val="en-US" w:eastAsia="zh-CN"/>
              </w:rPr>
              <w:t>453.6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2.4</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d），生活污水排水总量为</w:t>
            </w:r>
            <w:r>
              <w:rPr>
                <w:rFonts w:hint="eastAsia" w:cs="Times New Roman"/>
                <w:color w:val="auto"/>
                <w:kern w:val="0"/>
                <w:sz w:val="24"/>
                <w:lang w:val="en-US" w:eastAsia="zh-CN"/>
              </w:rPr>
              <w:t>362.88</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1.92</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hint="eastAsia" w:cs="Times New Roman"/>
                <w:color w:val="auto"/>
                <w:kern w:val="0"/>
                <w:sz w:val="24"/>
                <w:lang w:val="en-US" w:eastAsia="zh-CN"/>
              </w:rPr>
              <w:t>经一体化污水处理设施，</w:t>
            </w:r>
            <w:r>
              <w:rPr>
                <w:rFonts w:hint="eastAsia" w:ascii="Times New Roman" w:hAnsi="Times New Roman" w:eastAsia="宋体" w:cs="Times New Roman"/>
                <w:color w:val="auto"/>
                <w:kern w:val="0"/>
                <w:sz w:val="24"/>
              </w:rPr>
              <w:t>生活污水经一体化污水处理系统处理达标后用于</w:t>
            </w:r>
            <w:r>
              <w:rPr>
                <w:rFonts w:hint="eastAsia" w:cs="Times New Roman"/>
                <w:color w:val="auto"/>
                <w:kern w:val="0"/>
                <w:sz w:val="24"/>
                <w:lang w:val="en-US" w:eastAsia="zh-CN"/>
              </w:rPr>
              <w:t>厂区绿化</w:t>
            </w:r>
            <w:r>
              <w:rPr>
                <w:rFonts w:hint="eastAsia" w:ascii="Times New Roman" w:hAnsi="Times New Roman" w:eastAsia="宋体" w:cs="Times New Roman"/>
                <w:color w:val="auto"/>
                <w:kern w:val="0"/>
                <w:sz w:val="24"/>
              </w:rPr>
              <w:t>。本项目废水产排情况见表4-</w:t>
            </w:r>
            <w:r>
              <w:rPr>
                <w:rFonts w:hint="eastAsia" w:cs="Times New Roman"/>
                <w:color w:val="auto"/>
                <w:kern w:val="0"/>
                <w:sz w:val="24"/>
                <w:lang w:val="en-US" w:eastAsia="zh-CN"/>
              </w:rPr>
              <w:t>6</w:t>
            </w:r>
            <w:r>
              <w:rPr>
                <w:rFonts w:hint="eastAsia" w:ascii="Times New Roman" w:hAnsi="Times New Roman" w:eastAsia="宋体" w:cs="Times New Roman"/>
                <w:color w:val="auto"/>
                <w:kern w:val="0"/>
                <w:sz w:val="24"/>
              </w:rPr>
              <w:t>。</w:t>
            </w:r>
          </w:p>
          <w:p w14:paraId="41E89275">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cs="Times New Roman"/>
                <w:color w:val="auto"/>
                <w:lang w:val="en-US" w:eastAsia="zh-CN"/>
              </w:rPr>
              <w:t>6</w:t>
            </w:r>
            <w:r>
              <w:rPr>
                <w:rFonts w:hint="default" w:ascii="Times New Roman" w:hAnsi="Times New Roman" w:eastAsia="宋体" w:cs="Times New Roman"/>
                <w:color w:val="auto"/>
              </w:rPr>
              <w:t xml:space="preserve">    本项目废水产排情况表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62"/>
              <w:gridCol w:w="935"/>
              <w:gridCol w:w="693"/>
              <w:gridCol w:w="1075"/>
              <w:gridCol w:w="717"/>
              <w:gridCol w:w="897"/>
              <w:gridCol w:w="910"/>
              <w:gridCol w:w="1288"/>
            </w:tblGrid>
            <w:tr w14:paraId="3F31B8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6" w:type="pct"/>
                  <w:vMerge w:val="restart"/>
                  <w:tcBorders>
                    <w:bottom w:val="single" w:color="auto" w:sz="12" w:space="0"/>
                  </w:tcBorders>
                  <w:vAlign w:val="center"/>
                </w:tcPr>
                <w:p w14:paraId="7B1E1F03">
                  <w:pPr>
                    <w:pStyle w:val="5"/>
                    <w:spacing w:before="0" w:after="0" w:line="240" w:lineRule="auto"/>
                    <w:ind w:right="0"/>
                    <w:jc w:val="center"/>
                    <w:rPr>
                      <w:b/>
                      <w:bCs/>
                      <w:color w:val="auto"/>
                      <w:sz w:val="21"/>
                      <w:szCs w:val="21"/>
                    </w:rPr>
                  </w:pPr>
                  <w:r>
                    <w:rPr>
                      <w:rFonts w:hint="eastAsia"/>
                      <w:b/>
                      <w:bCs/>
                      <w:color w:val="auto"/>
                      <w:sz w:val="21"/>
                      <w:szCs w:val="21"/>
                    </w:rPr>
                    <w:t>污染源</w:t>
                  </w:r>
                </w:p>
              </w:tc>
              <w:tc>
                <w:tcPr>
                  <w:tcW w:w="542" w:type="pct"/>
                  <w:vMerge w:val="restart"/>
                  <w:tcBorders>
                    <w:bottom w:val="single" w:color="auto" w:sz="12" w:space="0"/>
                  </w:tcBorders>
                  <w:vAlign w:val="center"/>
                </w:tcPr>
                <w:p w14:paraId="0F54F880">
                  <w:pPr>
                    <w:pStyle w:val="5"/>
                    <w:spacing w:before="0" w:after="0" w:line="240" w:lineRule="auto"/>
                    <w:ind w:right="0"/>
                    <w:jc w:val="center"/>
                    <w:rPr>
                      <w:b/>
                      <w:bCs/>
                      <w:color w:val="auto"/>
                      <w:sz w:val="21"/>
                      <w:szCs w:val="21"/>
                    </w:rPr>
                  </w:pPr>
                  <w:r>
                    <w:rPr>
                      <w:rFonts w:hint="eastAsia"/>
                      <w:b/>
                      <w:bCs/>
                      <w:color w:val="auto"/>
                      <w:sz w:val="21"/>
                      <w:szCs w:val="21"/>
                    </w:rPr>
                    <w:t>污染物</w:t>
                  </w:r>
                </w:p>
              </w:tc>
              <w:tc>
                <w:tcPr>
                  <w:tcW w:w="1024" w:type="pct"/>
                  <w:gridSpan w:val="2"/>
                  <w:tcBorders>
                    <w:bottom w:val="single" w:color="auto" w:sz="4" w:space="0"/>
                  </w:tcBorders>
                  <w:vAlign w:val="center"/>
                </w:tcPr>
                <w:p w14:paraId="344E46E2">
                  <w:pPr>
                    <w:pStyle w:val="5"/>
                    <w:spacing w:before="0" w:after="0" w:line="240" w:lineRule="auto"/>
                    <w:ind w:right="0"/>
                    <w:jc w:val="center"/>
                    <w:rPr>
                      <w:b/>
                      <w:bCs/>
                      <w:color w:val="auto"/>
                      <w:sz w:val="21"/>
                      <w:szCs w:val="21"/>
                    </w:rPr>
                  </w:pPr>
                  <w:r>
                    <w:rPr>
                      <w:rFonts w:hint="eastAsia"/>
                      <w:b/>
                      <w:bCs/>
                      <w:color w:val="auto"/>
                      <w:sz w:val="21"/>
                      <w:szCs w:val="21"/>
                    </w:rPr>
                    <w:t>产生情况</w:t>
                  </w:r>
                </w:p>
              </w:tc>
              <w:tc>
                <w:tcPr>
                  <w:tcW w:w="676" w:type="pct"/>
                  <w:vMerge w:val="restart"/>
                  <w:tcBorders>
                    <w:bottom w:val="single" w:color="auto" w:sz="12" w:space="0"/>
                  </w:tcBorders>
                  <w:vAlign w:val="center"/>
                </w:tcPr>
                <w:p w14:paraId="0B68B8DC">
                  <w:pPr>
                    <w:pStyle w:val="5"/>
                    <w:spacing w:before="0" w:after="0" w:line="240" w:lineRule="auto"/>
                    <w:ind w:right="0"/>
                    <w:jc w:val="center"/>
                    <w:rPr>
                      <w:b/>
                      <w:bCs/>
                      <w:color w:val="auto"/>
                      <w:sz w:val="21"/>
                      <w:szCs w:val="21"/>
                    </w:rPr>
                  </w:pPr>
                  <w:r>
                    <w:rPr>
                      <w:rFonts w:hint="eastAsia"/>
                      <w:b/>
                      <w:bCs/>
                      <w:color w:val="auto"/>
                      <w:sz w:val="21"/>
                      <w:szCs w:val="21"/>
                    </w:rPr>
                    <w:t>治理措施</w:t>
                  </w:r>
                </w:p>
              </w:tc>
              <w:tc>
                <w:tcPr>
                  <w:tcW w:w="451" w:type="pct"/>
                  <w:vMerge w:val="restart"/>
                  <w:tcBorders>
                    <w:bottom w:val="single" w:color="auto" w:sz="12" w:space="0"/>
                  </w:tcBorders>
                  <w:vAlign w:val="center"/>
                </w:tcPr>
                <w:p w14:paraId="3958FD62">
                  <w:pPr>
                    <w:pStyle w:val="5"/>
                    <w:spacing w:before="0" w:after="0" w:line="240" w:lineRule="auto"/>
                    <w:ind w:right="0"/>
                    <w:jc w:val="center"/>
                    <w:rPr>
                      <w:b/>
                      <w:bCs/>
                      <w:color w:val="auto"/>
                      <w:sz w:val="21"/>
                      <w:szCs w:val="21"/>
                    </w:rPr>
                  </w:pPr>
                  <w:r>
                    <w:rPr>
                      <w:rFonts w:hint="eastAsia"/>
                      <w:b/>
                      <w:bCs/>
                      <w:color w:val="auto"/>
                      <w:sz w:val="21"/>
                      <w:szCs w:val="21"/>
                    </w:rPr>
                    <w:t>处理效率</w:t>
                  </w:r>
                </w:p>
              </w:tc>
              <w:tc>
                <w:tcPr>
                  <w:tcW w:w="1137" w:type="pct"/>
                  <w:gridSpan w:val="2"/>
                  <w:tcBorders>
                    <w:bottom w:val="single" w:color="auto" w:sz="4" w:space="0"/>
                  </w:tcBorders>
                  <w:vAlign w:val="center"/>
                </w:tcPr>
                <w:p w14:paraId="3162A1E7">
                  <w:pPr>
                    <w:pStyle w:val="5"/>
                    <w:spacing w:before="0" w:after="0" w:line="240" w:lineRule="auto"/>
                    <w:ind w:right="0"/>
                    <w:jc w:val="center"/>
                    <w:rPr>
                      <w:b/>
                      <w:bCs/>
                      <w:color w:val="auto"/>
                      <w:sz w:val="21"/>
                      <w:szCs w:val="21"/>
                    </w:rPr>
                  </w:pPr>
                  <w:r>
                    <w:rPr>
                      <w:rFonts w:hint="eastAsia"/>
                      <w:b/>
                      <w:bCs/>
                      <w:color w:val="auto"/>
                      <w:sz w:val="21"/>
                      <w:szCs w:val="21"/>
                    </w:rPr>
                    <w:t>排放情况</w:t>
                  </w:r>
                </w:p>
              </w:tc>
              <w:tc>
                <w:tcPr>
                  <w:tcW w:w="810" w:type="pct"/>
                  <w:vMerge w:val="restart"/>
                  <w:tcBorders>
                    <w:bottom w:val="single" w:color="auto" w:sz="12" w:space="0"/>
                  </w:tcBorders>
                  <w:vAlign w:val="center"/>
                </w:tcPr>
                <w:p w14:paraId="194B7517">
                  <w:pPr>
                    <w:pStyle w:val="5"/>
                    <w:spacing w:before="0" w:after="0" w:line="240" w:lineRule="auto"/>
                    <w:ind w:right="0"/>
                    <w:jc w:val="center"/>
                    <w:rPr>
                      <w:b/>
                      <w:bCs/>
                      <w:color w:val="auto"/>
                      <w:sz w:val="21"/>
                      <w:szCs w:val="21"/>
                    </w:rPr>
                  </w:pPr>
                  <w:r>
                    <w:rPr>
                      <w:rFonts w:hint="eastAsia"/>
                      <w:b/>
                      <w:bCs/>
                      <w:color w:val="auto"/>
                      <w:sz w:val="21"/>
                      <w:szCs w:val="21"/>
                    </w:rPr>
                    <w:t>排放标准mg/L</w:t>
                  </w:r>
                </w:p>
              </w:tc>
            </w:tr>
            <w:tr w14:paraId="60F7CA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56" w:type="pct"/>
                  <w:vMerge w:val="continue"/>
                  <w:tcBorders>
                    <w:top w:val="single" w:color="auto" w:sz="12" w:space="0"/>
                    <w:bottom w:val="single" w:color="000000" w:sz="12" w:space="0"/>
                    <w:tl2br w:val="nil"/>
                    <w:tr2bl w:val="nil"/>
                  </w:tcBorders>
                  <w:vAlign w:val="center"/>
                </w:tcPr>
                <w:p w14:paraId="7F0A5E80">
                  <w:pPr>
                    <w:pStyle w:val="5"/>
                    <w:spacing w:before="0" w:after="0" w:line="240" w:lineRule="auto"/>
                    <w:ind w:right="0"/>
                    <w:jc w:val="center"/>
                    <w:rPr>
                      <w:color w:val="auto"/>
                      <w:sz w:val="21"/>
                      <w:szCs w:val="21"/>
                    </w:rPr>
                  </w:pPr>
                </w:p>
              </w:tc>
              <w:tc>
                <w:tcPr>
                  <w:tcW w:w="542" w:type="pct"/>
                  <w:vMerge w:val="continue"/>
                  <w:tcBorders>
                    <w:top w:val="single" w:color="auto" w:sz="12" w:space="0"/>
                    <w:bottom w:val="single" w:color="000000" w:sz="12" w:space="0"/>
                    <w:tl2br w:val="nil"/>
                    <w:tr2bl w:val="nil"/>
                  </w:tcBorders>
                  <w:vAlign w:val="center"/>
                </w:tcPr>
                <w:p w14:paraId="18D6F2F4">
                  <w:pPr>
                    <w:pStyle w:val="5"/>
                    <w:spacing w:before="0" w:after="0" w:line="240" w:lineRule="auto"/>
                    <w:ind w:right="0"/>
                    <w:jc w:val="center"/>
                    <w:rPr>
                      <w:color w:val="auto"/>
                      <w:sz w:val="21"/>
                      <w:szCs w:val="21"/>
                    </w:rPr>
                  </w:pPr>
                </w:p>
              </w:tc>
              <w:tc>
                <w:tcPr>
                  <w:tcW w:w="588" w:type="pct"/>
                  <w:tcBorders>
                    <w:top w:val="single" w:color="auto" w:sz="4" w:space="0"/>
                    <w:bottom w:val="single" w:color="000000" w:sz="12" w:space="0"/>
                  </w:tcBorders>
                  <w:vAlign w:val="center"/>
                </w:tcPr>
                <w:p w14:paraId="1C5ADBB1">
                  <w:pPr>
                    <w:pStyle w:val="5"/>
                    <w:spacing w:before="0" w:after="0" w:line="240" w:lineRule="auto"/>
                    <w:ind w:right="0"/>
                    <w:jc w:val="center"/>
                    <w:rPr>
                      <w:b/>
                      <w:bCs/>
                      <w:color w:val="auto"/>
                      <w:sz w:val="21"/>
                      <w:szCs w:val="21"/>
                    </w:rPr>
                  </w:pPr>
                  <w:r>
                    <w:rPr>
                      <w:rFonts w:hint="eastAsia"/>
                      <w:b/>
                      <w:bCs/>
                      <w:color w:val="auto"/>
                      <w:sz w:val="21"/>
                      <w:szCs w:val="21"/>
                    </w:rPr>
                    <w:t>产生量</w:t>
                  </w:r>
                  <w:r>
                    <w:rPr>
                      <w:rFonts w:hint="eastAsia"/>
                      <w:b/>
                      <w:bCs/>
                      <w:color w:val="auto"/>
                      <w:sz w:val="21"/>
                      <w:szCs w:val="21"/>
                      <w:lang w:val="en-US" w:eastAsia="zh-CN"/>
                    </w:rPr>
                    <w:t>kg</w:t>
                  </w:r>
                  <w:r>
                    <w:rPr>
                      <w:rFonts w:hint="eastAsia"/>
                      <w:b/>
                      <w:bCs/>
                      <w:color w:val="auto"/>
                      <w:sz w:val="21"/>
                      <w:szCs w:val="21"/>
                    </w:rPr>
                    <w:t>/a</w:t>
                  </w:r>
                </w:p>
              </w:tc>
              <w:tc>
                <w:tcPr>
                  <w:tcW w:w="436" w:type="pct"/>
                  <w:tcBorders>
                    <w:top w:val="single" w:color="auto" w:sz="4" w:space="0"/>
                    <w:bottom w:val="single" w:color="000000" w:sz="12" w:space="0"/>
                  </w:tcBorders>
                  <w:vAlign w:val="center"/>
                </w:tcPr>
                <w:p w14:paraId="09D7859F">
                  <w:pPr>
                    <w:pStyle w:val="5"/>
                    <w:spacing w:before="0" w:after="0" w:line="240" w:lineRule="auto"/>
                    <w:ind w:right="0"/>
                    <w:jc w:val="center"/>
                    <w:rPr>
                      <w:b/>
                      <w:bCs/>
                      <w:color w:val="auto"/>
                      <w:sz w:val="21"/>
                      <w:szCs w:val="21"/>
                    </w:rPr>
                  </w:pPr>
                  <w:r>
                    <w:rPr>
                      <w:rFonts w:hint="eastAsia"/>
                      <w:b/>
                      <w:bCs/>
                      <w:color w:val="auto"/>
                      <w:sz w:val="21"/>
                      <w:szCs w:val="21"/>
                    </w:rPr>
                    <w:t>产生浓度mg/L</w:t>
                  </w:r>
                </w:p>
              </w:tc>
              <w:tc>
                <w:tcPr>
                  <w:tcW w:w="676" w:type="pct"/>
                  <w:vMerge w:val="continue"/>
                  <w:tcBorders>
                    <w:top w:val="single" w:color="auto" w:sz="12" w:space="0"/>
                    <w:bottom w:val="single" w:color="000000" w:sz="12" w:space="0"/>
                    <w:tl2br w:val="nil"/>
                    <w:tr2bl w:val="nil"/>
                  </w:tcBorders>
                  <w:vAlign w:val="center"/>
                </w:tcPr>
                <w:p w14:paraId="3BAE4B7E">
                  <w:pPr>
                    <w:pStyle w:val="5"/>
                    <w:spacing w:before="0" w:after="0" w:line="240" w:lineRule="auto"/>
                    <w:ind w:right="0"/>
                    <w:jc w:val="center"/>
                    <w:rPr>
                      <w:color w:val="auto"/>
                      <w:sz w:val="21"/>
                      <w:szCs w:val="21"/>
                    </w:rPr>
                  </w:pPr>
                </w:p>
              </w:tc>
              <w:tc>
                <w:tcPr>
                  <w:tcW w:w="451" w:type="pct"/>
                  <w:vMerge w:val="continue"/>
                  <w:tcBorders>
                    <w:top w:val="single" w:color="auto" w:sz="12" w:space="0"/>
                    <w:bottom w:val="single" w:color="000000" w:sz="12" w:space="0"/>
                    <w:tl2br w:val="nil"/>
                    <w:tr2bl w:val="nil"/>
                  </w:tcBorders>
                  <w:vAlign w:val="center"/>
                </w:tcPr>
                <w:p w14:paraId="49EB8A3F">
                  <w:pPr>
                    <w:pStyle w:val="5"/>
                    <w:spacing w:before="0" w:after="0" w:line="240" w:lineRule="auto"/>
                    <w:ind w:right="0"/>
                    <w:jc w:val="center"/>
                    <w:rPr>
                      <w:color w:val="auto"/>
                      <w:sz w:val="21"/>
                      <w:szCs w:val="21"/>
                    </w:rPr>
                  </w:pPr>
                </w:p>
              </w:tc>
              <w:tc>
                <w:tcPr>
                  <w:tcW w:w="564" w:type="pct"/>
                  <w:tcBorders>
                    <w:top w:val="single" w:color="auto" w:sz="4" w:space="0"/>
                    <w:bottom w:val="single" w:color="000000" w:sz="12" w:space="0"/>
                  </w:tcBorders>
                  <w:vAlign w:val="center"/>
                </w:tcPr>
                <w:p w14:paraId="57805E04">
                  <w:pPr>
                    <w:pStyle w:val="5"/>
                    <w:spacing w:before="0" w:after="0" w:line="240" w:lineRule="auto"/>
                    <w:ind w:right="0"/>
                    <w:jc w:val="center"/>
                    <w:rPr>
                      <w:b/>
                      <w:bCs/>
                      <w:color w:val="auto"/>
                      <w:sz w:val="21"/>
                      <w:szCs w:val="21"/>
                    </w:rPr>
                  </w:pPr>
                  <w:r>
                    <w:rPr>
                      <w:rFonts w:hint="eastAsia"/>
                      <w:b/>
                      <w:bCs/>
                      <w:color w:val="auto"/>
                      <w:sz w:val="21"/>
                      <w:szCs w:val="21"/>
                    </w:rPr>
                    <w:t>排放量</w:t>
                  </w:r>
                  <w:r>
                    <w:rPr>
                      <w:rFonts w:hint="eastAsia"/>
                      <w:b/>
                      <w:bCs/>
                      <w:color w:val="auto"/>
                      <w:sz w:val="21"/>
                      <w:szCs w:val="21"/>
                      <w:lang w:val="en-US" w:eastAsia="zh-CN"/>
                    </w:rPr>
                    <w:t>kg</w:t>
                  </w:r>
                  <w:r>
                    <w:rPr>
                      <w:rFonts w:hint="eastAsia"/>
                      <w:b/>
                      <w:bCs/>
                      <w:color w:val="auto"/>
                      <w:sz w:val="21"/>
                      <w:szCs w:val="21"/>
                    </w:rPr>
                    <w:t>/a</w:t>
                  </w:r>
                </w:p>
              </w:tc>
              <w:tc>
                <w:tcPr>
                  <w:tcW w:w="572" w:type="pct"/>
                  <w:tcBorders>
                    <w:top w:val="single" w:color="auto" w:sz="4" w:space="0"/>
                    <w:bottom w:val="single" w:color="000000" w:sz="12" w:space="0"/>
                  </w:tcBorders>
                  <w:vAlign w:val="center"/>
                </w:tcPr>
                <w:p w14:paraId="173FF579">
                  <w:pPr>
                    <w:pStyle w:val="5"/>
                    <w:spacing w:before="0" w:after="0" w:line="240" w:lineRule="auto"/>
                    <w:ind w:right="0"/>
                    <w:jc w:val="center"/>
                    <w:rPr>
                      <w:b/>
                      <w:bCs/>
                      <w:color w:val="auto"/>
                      <w:sz w:val="21"/>
                      <w:szCs w:val="21"/>
                    </w:rPr>
                  </w:pPr>
                  <w:r>
                    <w:rPr>
                      <w:rFonts w:hint="eastAsia"/>
                      <w:b/>
                      <w:bCs/>
                      <w:color w:val="auto"/>
                      <w:sz w:val="21"/>
                      <w:szCs w:val="21"/>
                    </w:rPr>
                    <w:t>排放浓度mg/L</w:t>
                  </w:r>
                </w:p>
              </w:tc>
              <w:tc>
                <w:tcPr>
                  <w:tcW w:w="810" w:type="pct"/>
                  <w:vMerge w:val="continue"/>
                  <w:tcBorders>
                    <w:top w:val="single" w:color="auto" w:sz="12" w:space="0"/>
                    <w:bottom w:val="single" w:color="000000" w:sz="12" w:space="0"/>
                    <w:tl2br w:val="nil"/>
                    <w:tr2bl w:val="nil"/>
                  </w:tcBorders>
                  <w:vAlign w:val="center"/>
                </w:tcPr>
                <w:p w14:paraId="77FB3C0C">
                  <w:pPr>
                    <w:pStyle w:val="5"/>
                    <w:spacing w:before="0" w:after="0" w:line="240" w:lineRule="auto"/>
                    <w:ind w:right="0"/>
                    <w:jc w:val="center"/>
                    <w:rPr>
                      <w:color w:val="auto"/>
                      <w:sz w:val="21"/>
                      <w:szCs w:val="21"/>
                    </w:rPr>
                  </w:pPr>
                </w:p>
              </w:tc>
            </w:tr>
            <w:tr w14:paraId="6664A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56" w:type="pct"/>
                  <w:vMerge w:val="restart"/>
                  <w:tcBorders>
                    <w:top w:val="single" w:color="000000" w:sz="12" w:space="0"/>
                    <w:tl2br w:val="nil"/>
                    <w:tr2bl w:val="nil"/>
                  </w:tcBorders>
                  <w:vAlign w:val="center"/>
                </w:tcPr>
                <w:p w14:paraId="79A2BE66">
                  <w:pPr>
                    <w:pStyle w:val="5"/>
                    <w:spacing w:before="0" w:after="0" w:line="240" w:lineRule="auto"/>
                    <w:ind w:right="0"/>
                    <w:jc w:val="center"/>
                    <w:rPr>
                      <w:rFonts w:hint="eastAsia" w:eastAsia="宋体"/>
                      <w:color w:val="auto"/>
                      <w:sz w:val="21"/>
                      <w:szCs w:val="21"/>
                      <w:lang w:val="en-US" w:eastAsia="zh-CN"/>
                    </w:rPr>
                  </w:pPr>
                  <w:r>
                    <w:rPr>
                      <w:rFonts w:hint="eastAsia"/>
                      <w:color w:val="auto"/>
                      <w:sz w:val="21"/>
                      <w:szCs w:val="21"/>
                      <w:lang w:val="en-US" w:eastAsia="zh-CN"/>
                    </w:rPr>
                    <w:t>生活污水</w:t>
                  </w:r>
                </w:p>
              </w:tc>
              <w:tc>
                <w:tcPr>
                  <w:tcW w:w="542" w:type="pct"/>
                  <w:tcBorders>
                    <w:top w:val="single" w:color="000000" w:sz="12" w:space="0"/>
                    <w:tl2br w:val="nil"/>
                    <w:tr2bl w:val="nil"/>
                  </w:tcBorders>
                  <w:vAlign w:val="center"/>
                </w:tcPr>
                <w:p w14:paraId="47BEB05F">
                  <w:pPr>
                    <w:pStyle w:val="5"/>
                    <w:spacing w:before="0" w:after="0" w:line="240" w:lineRule="auto"/>
                    <w:ind w:right="0"/>
                    <w:jc w:val="center"/>
                    <w:rPr>
                      <w:color w:val="auto"/>
                      <w:sz w:val="21"/>
                      <w:szCs w:val="21"/>
                    </w:rPr>
                  </w:pPr>
                  <w:r>
                    <w:rPr>
                      <w:color w:val="auto"/>
                      <w:sz w:val="21"/>
                      <w:szCs w:val="21"/>
                    </w:rPr>
                    <w:t>BOD</w:t>
                  </w:r>
                  <w:r>
                    <w:rPr>
                      <w:color w:val="auto"/>
                      <w:sz w:val="21"/>
                      <w:szCs w:val="21"/>
                      <w:vertAlign w:val="subscript"/>
                    </w:rPr>
                    <w:t>5</w:t>
                  </w:r>
                </w:p>
              </w:tc>
              <w:tc>
                <w:tcPr>
                  <w:tcW w:w="588" w:type="pct"/>
                  <w:tcBorders>
                    <w:top w:val="single" w:color="000000" w:sz="12" w:space="0"/>
                    <w:tl2br w:val="nil"/>
                    <w:tr2bl w:val="nil"/>
                  </w:tcBorders>
                  <w:vAlign w:val="center"/>
                </w:tcPr>
                <w:p w14:paraId="3357FC89">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72.58</w:t>
                  </w:r>
                </w:p>
              </w:tc>
              <w:tc>
                <w:tcPr>
                  <w:tcW w:w="436" w:type="pct"/>
                  <w:tcBorders>
                    <w:top w:val="single" w:color="000000" w:sz="12" w:space="0"/>
                    <w:tl2br w:val="nil"/>
                    <w:tr2bl w:val="nil"/>
                  </w:tcBorders>
                  <w:vAlign w:val="center"/>
                </w:tcPr>
                <w:p w14:paraId="63128CDC">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200</w:t>
                  </w:r>
                </w:p>
              </w:tc>
              <w:tc>
                <w:tcPr>
                  <w:tcW w:w="676" w:type="pct"/>
                  <w:vMerge w:val="restart"/>
                  <w:tcBorders>
                    <w:top w:val="single" w:color="000000" w:sz="12" w:space="0"/>
                    <w:tl2br w:val="nil"/>
                    <w:tr2bl w:val="nil"/>
                  </w:tcBorders>
                  <w:vAlign w:val="center"/>
                </w:tcPr>
                <w:p w14:paraId="00736BC9">
                  <w:pPr>
                    <w:pStyle w:val="5"/>
                    <w:spacing w:before="0" w:after="0" w:line="240" w:lineRule="auto"/>
                    <w:ind w:right="0"/>
                    <w:jc w:val="center"/>
                    <w:rPr>
                      <w:color w:val="auto"/>
                      <w:sz w:val="21"/>
                      <w:szCs w:val="21"/>
                    </w:rPr>
                  </w:pPr>
                  <w:r>
                    <w:rPr>
                      <w:rFonts w:hint="eastAsia"/>
                      <w:color w:val="auto"/>
                      <w:sz w:val="21"/>
                      <w:szCs w:val="21"/>
                    </w:rPr>
                    <w:t>地埋式一体化污水处理系统</w:t>
                  </w:r>
                </w:p>
              </w:tc>
              <w:tc>
                <w:tcPr>
                  <w:tcW w:w="451" w:type="pct"/>
                  <w:vMerge w:val="restart"/>
                  <w:tcBorders>
                    <w:top w:val="single" w:color="000000" w:sz="12" w:space="0"/>
                    <w:tl2br w:val="nil"/>
                    <w:tr2bl w:val="nil"/>
                  </w:tcBorders>
                  <w:vAlign w:val="center"/>
                </w:tcPr>
                <w:p w14:paraId="38FD2348">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70</w:t>
                  </w:r>
                </w:p>
              </w:tc>
              <w:tc>
                <w:tcPr>
                  <w:tcW w:w="564" w:type="pct"/>
                  <w:tcBorders>
                    <w:top w:val="single" w:color="000000" w:sz="12" w:space="0"/>
                    <w:tl2br w:val="nil"/>
                    <w:tr2bl w:val="nil"/>
                  </w:tcBorders>
                  <w:vAlign w:val="center"/>
                </w:tcPr>
                <w:p w14:paraId="3F0D9A66">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21.774</w:t>
                  </w:r>
                </w:p>
              </w:tc>
              <w:tc>
                <w:tcPr>
                  <w:tcW w:w="572" w:type="pct"/>
                  <w:tcBorders>
                    <w:top w:val="single" w:color="000000" w:sz="12" w:space="0"/>
                    <w:tl2br w:val="nil"/>
                    <w:tr2bl w:val="nil"/>
                  </w:tcBorders>
                  <w:vAlign w:val="center"/>
                </w:tcPr>
                <w:p w14:paraId="4B98CBC9">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60</w:t>
                  </w:r>
                </w:p>
              </w:tc>
              <w:tc>
                <w:tcPr>
                  <w:tcW w:w="810" w:type="pct"/>
                  <w:tcBorders>
                    <w:top w:val="single" w:color="000000" w:sz="12" w:space="0"/>
                    <w:tl2br w:val="nil"/>
                    <w:tr2bl w:val="nil"/>
                  </w:tcBorders>
                  <w:vAlign w:val="center"/>
                </w:tcPr>
                <w:p w14:paraId="730FF398">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w:t>
                  </w:r>
                </w:p>
              </w:tc>
            </w:tr>
            <w:tr w14:paraId="0AFA5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6" w:type="pct"/>
                  <w:vMerge w:val="continue"/>
                  <w:tcBorders>
                    <w:tl2br w:val="nil"/>
                    <w:tr2bl w:val="nil"/>
                  </w:tcBorders>
                  <w:vAlign w:val="center"/>
                </w:tcPr>
                <w:p w14:paraId="64BE9763">
                  <w:pPr>
                    <w:pStyle w:val="5"/>
                    <w:spacing w:before="0" w:after="0" w:line="240" w:lineRule="auto"/>
                    <w:ind w:right="0"/>
                    <w:jc w:val="center"/>
                    <w:rPr>
                      <w:color w:val="auto"/>
                      <w:sz w:val="21"/>
                      <w:szCs w:val="21"/>
                    </w:rPr>
                  </w:pPr>
                </w:p>
              </w:tc>
              <w:tc>
                <w:tcPr>
                  <w:tcW w:w="542" w:type="pct"/>
                  <w:tcBorders>
                    <w:tl2br w:val="nil"/>
                    <w:tr2bl w:val="nil"/>
                  </w:tcBorders>
                  <w:vAlign w:val="center"/>
                </w:tcPr>
                <w:p w14:paraId="6D3A156F">
                  <w:pPr>
                    <w:pStyle w:val="5"/>
                    <w:spacing w:before="0" w:after="0" w:line="240" w:lineRule="auto"/>
                    <w:ind w:right="0"/>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588" w:type="pct"/>
                  <w:tcBorders>
                    <w:tl2br w:val="nil"/>
                    <w:tr2bl w:val="nil"/>
                  </w:tcBorders>
                  <w:vAlign w:val="center"/>
                </w:tcPr>
                <w:p w14:paraId="75E1F5E3">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10.886</w:t>
                  </w:r>
                </w:p>
              </w:tc>
              <w:tc>
                <w:tcPr>
                  <w:tcW w:w="436" w:type="pct"/>
                  <w:tcBorders>
                    <w:tl2br w:val="nil"/>
                    <w:tr2bl w:val="nil"/>
                  </w:tcBorders>
                  <w:vAlign w:val="center"/>
                </w:tcPr>
                <w:p w14:paraId="1CB7F21A">
                  <w:pPr>
                    <w:pStyle w:val="5"/>
                    <w:spacing w:before="0" w:after="0" w:line="240" w:lineRule="auto"/>
                    <w:ind w:right="0"/>
                    <w:jc w:val="center"/>
                    <w:rPr>
                      <w:color w:val="auto"/>
                      <w:sz w:val="21"/>
                      <w:szCs w:val="21"/>
                    </w:rPr>
                  </w:pPr>
                  <w:r>
                    <w:rPr>
                      <w:rFonts w:hint="eastAsia"/>
                      <w:color w:val="auto"/>
                      <w:sz w:val="21"/>
                      <w:szCs w:val="21"/>
                    </w:rPr>
                    <w:t>30</w:t>
                  </w:r>
                </w:p>
              </w:tc>
              <w:tc>
                <w:tcPr>
                  <w:tcW w:w="676" w:type="pct"/>
                  <w:vMerge w:val="continue"/>
                  <w:tcBorders>
                    <w:tl2br w:val="nil"/>
                    <w:tr2bl w:val="nil"/>
                  </w:tcBorders>
                  <w:vAlign w:val="center"/>
                </w:tcPr>
                <w:p w14:paraId="75544A50">
                  <w:pPr>
                    <w:pStyle w:val="5"/>
                    <w:spacing w:before="0" w:after="0" w:line="240" w:lineRule="auto"/>
                    <w:ind w:right="0"/>
                    <w:jc w:val="center"/>
                    <w:rPr>
                      <w:color w:val="auto"/>
                      <w:sz w:val="21"/>
                      <w:szCs w:val="21"/>
                    </w:rPr>
                  </w:pPr>
                </w:p>
              </w:tc>
              <w:tc>
                <w:tcPr>
                  <w:tcW w:w="451" w:type="pct"/>
                  <w:vMerge w:val="continue"/>
                  <w:tcBorders>
                    <w:tl2br w:val="nil"/>
                    <w:tr2bl w:val="nil"/>
                  </w:tcBorders>
                  <w:vAlign w:val="center"/>
                </w:tcPr>
                <w:p w14:paraId="2EACA388">
                  <w:pPr>
                    <w:pStyle w:val="5"/>
                    <w:spacing w:before="0" w:after="0" w:line="240" w:lineRule="auto"/>
                    <w:ind w:right="0"/>
                    <w:jc w:val="center"/>
                    <w:rPr>
                      <w:rFonts w:hint="default" w:eastAsia="宋体"/>
                      <w:color w:val="auto"/>
                      <w:sz w:val="21"/>
                      <w:szCs w:val="21"/>
                      <w:lang w:val="en-US" w:eastAsia="zh-CN"/>
                    </w:rPr>
                  </w:pPr>
                </w:p>
              </w:tc>
              <w:tc>
                <w:tcPr>
                  <w:tcW w:w="564" w:type="pct"/>
                  <w:tcBorders>
                    <w:tl2br w:val="nil"/>
                    <w:tr2bl w:val="nil"/>
                  </w:tcBorders>
                  <w:vAlign w:val="center"/>
                </w:tcPr>
                <w:p w14:paraId="542EAB4E">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3.266</w:t>
                  </w:r>
                </w:p>
              </w:tc>
              <w:tc>
                <w:tcPr>
                  <w:tcW w:w="572" w:type="pct"/>
                  <w:tcBorders>
                    <w:tl2br w:val="nil"/>
                    <w:tr2bl w:val="nil"/>
                  </w:tcBorders>
                  <w:vAlign w:val="center"/>
                </w:tcPr>
                <w:p w14:paraId="1D30C34E">
                  <w:pPr>
                    <w:pStyle w:val="5"/>
                    <w:spacing w:before="0" w:after="0" w:line="240" w:lineRule="auto"/>
                    <w:ind w:right="0"/>
                    <w:jc w:val="center"/>
                    <w:rPr>
                      <w:rFonts w:hint="eastAsia" w:eastAsia="宋体"/>
                      <w:color w:val="auto"/>
                      <w:sz w:val="21"/>
                      <w:szCs w:val="21"/>
                      <w:lang w:eastAsia="zh-CN"/>
                    </w:rPr>
                  </w:pPr>
                  <w:r>
                    <w:rPr>
                      <w:rFonts w:hint="eastAsia"/>
                      <w:color w:val="auto"/>
                      <w:sz w:val="21"/>
                      <w:szCs w:val="21"/>
                      <w:lang w:val="en-US" w:eastAsia="zh-CN"/>
                    </w:rPr>
                    <w:t>9</w:t>
                  </w:r>
                </w:p>
              </w:tc>
              <w:tc>
                <w:tcPr>
                  <w:tcW w:w="810" w:type="pct"/>
                  <w:tcBorders>
                    <w:tl2br w:val="nil"/>
                    <w:tr2bl w:val="nil"/>
                  </w:tcBorders>
                  <w:vAlign w:val="center"/>
                </w:tcPr>
                <w:p w14:paraId="4CA8C27E">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w:t>
                  </w:r>
                </w:p>
              </w:tc>
            </w:tr>
            <w:tr w14:paraId="482D8F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6" w:type="pct"/>
                  <w:vMerge w:val="continue"/>
                  <w:tcBorders>
                    <w:tl2br w:val="nil"/>
                    <w:tr2bl w:val="nil"/>
                  </w:tcBorders>
                  <w:vAlign w:val="center"/>
                </w:tcPr>
                <w:p w14:paraId="24323572">
                  <w:pPr>
                    <w:pStyle w:val="5"/>
                    <w:spacing w:before="0" w:after="0" w:line="240" w:lineRule="auto"/>
                    <w:ind w:right="0"/>
                    <w:jc w:val="center"/>
                    <w:rPr>
                      <w:color w:val="auto"/>
                      <w:sz w:val="21"/>
                      <w:szCs w:val="21"/>
                    </w:rPr>
                  </w:pPr>
                </w:p>
              </w:tc>
              <w:tc>
                <w:tcPr>
                  <w:tcW w:w="542" w:type="pct"/>
                  <w:tcBorders>
                    <w:tl2br w:val="nil"/>
                    <w:tr2bl w:val="nil"/>
                  </w:tcBorders>
                  <w:vAlign w:val="center"/>
                </w:tcPr>
                <w:p w14:paraId="62194235">
                  <w:pPr>
                    <w:pStyle w:val="5"/>
                    <w:spacing w:before="0" w:after="0" w:line="240" w:lineRule="auto"/>
                    <w:ind w:right="0"/>
                    <w:jc w:val="center"/>
                    <w:rPr>
                      <w:color w:val="auto"/>
                      <w:sz w:val="21"/>
                      <w:szCs w:val="21"/>
                    </w:rPr>
                  </w:pPr>
                  <w:r>
                    <w:rPr>
                      <w:color w:val="auto"/>
                      <w:sz w:val="21"/>
                      <w:szCs w:val="21"/>
                    </w:rPr>
                    <w:t>SS</w:t>
                  </w:r>
                </w:p>
              </w:tc>
              <w:tc>
                <w:tcPr>
                  <w:tcW w:w="588" w:type="pct"/>
                  <w:tcBorders>
                    <w:tl2br w:val="nil"/>
                    <w:tr2bl w:val="nil"/>
                  </w:tcBorders>
                  <w:vAlign w:val="center"/>
                </w:tcPr>
                <w:p w14:paraId="515F1587">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29.03</w:t>
                  </w:r>
                </w:p>
              </w:tc>
              <w:tc>
                <w:tcPr>
                  <w:tcW w:w="436" w:type="pct"/>
                  <w:tcBorders>
                    <w:tl2br w:val="nil"/>
                    <w:tr2bl w:val="nil"/>
                  </w:tcBorders>
                  <w:vAlign w:val="center"/>
                </w:tcPr>
                <w:p w14:paraId="5AAF884F">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80</w:t>
                  </w:r>
                </w:p>
              </w:tc>
              <w:tc>
                <w:tcPr>
                  <w:tcW w:w="676" w:type="pct"/>
                  <w:vMerge w:val="continue"/>
                  <w:tcBorders>
                    <w:tl2br w:val="nil"/>
                    <w:tr2bl w:val="nil"/>
                  </w:tcBorders>
                  <w:vAlign w:val="center"/>
                </w:tcPr>
                <w:p w14:paraId="36BC10FE">
                  <w:pPr>
                    <w:pStyle w:val="5"/>
                    <w:spacing w:before="0" w:after="0" w:line="240" w:lineRule="auto"/>
                    <w:ind w:right="0"/>
                    <w:jc w:val="center"/>
                    <w:rPr>
                      <w:color w:val="auto"/>
                      <w:sz w:val="21"/>
                      <w:szCs w:val="21"/>
                    </w:rPr>
                  </w:pPr>
                </w:p>
              </w:tc>
              <w:tc>
                <w:tcPr>
                  <w:tcW w:w="451" w:type="pct"/>
                  <w:vMerge w:val="continue"/>
                  <w:tcBorders>
                    <w:tl2br w:val="nil"/>
                    <w:tr2bl w:val="nil"/>
                  </w:tcBorders>
                  <w:vAlign w:val="center"/>
                </w:tcPr>
                <w:p w14:paraId="35A1A987">
                  <w:pPr>
                    <w:pStyle w:val="5"/>
                    <w:spacing w:before="0" w:after="0" w:line="240" w:lineRule="auto"/>
                    <w:ind w:right="0"/>
                    <w:jc w:val="center"/>
                    <w:rPr>
                      <w:rFonts w:hint="default" w:eastAsia="宋体"/>
                      <w:color w:val="auto"/>
                      <w:sz w:val="21"/>
                      <w:szCs w:val="21"/>
                      <w:lang w:val="en-US" w:eastAsia="zh-CN"/>
                    </w:rPr>
                  </w:pPr>
                </w:p>
              </w:tc>
              <w:tc>
                <w:tcPr>
                  <w:tcW w:w="564" w:type="pct"/>
                  <w:tcBorders>
                    <w:tl2br w:val="nil"/>
                    <w:tr2bl w:val="nil"/>
                  </w:tcBorders>
                  <w:vAlign w:val="center"/>
                </w:tcPr>
                <w:p w14:paraId="3E6A16B8">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8.709</w:t>
                  </w:r>
                </w:p>
              </w:tc>
              <w:tc>
                <w:tcPr>
                  <w:tcW w:w="572" w:type="pct"/>
                  <w:tcBorders>
                    <w:tl2br w:val="nil"/>
                    <w:tr2bl w:val="nil"/>
                  </w:tcBorders>
                  <w:vAlign w:val="center"/>
                </w:tcPr>
                <w:p w14:paraId="331ECB18">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24</w:t>
                  </w:r>
                </w:p>
              </w:tc>
              <w:tc>
                <w:tcPr>
                  <w:tcW w:w="810" w:type="pct"/>
                  <w:tcBorders>
                    <w:tl2br w:val="nil"/>
                    <w:tr2bl w:val="nil"/>
                  </w:tcBorders>
                  <w:vAlign w:val="center"/>
                </w:tcPr>
                <w:p w14:paraId="26603476">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100</w:t>
                  </w:r>
                </w:p>
              </w:tc>
            </w:tr>
            <w:tr w14:paraId="201B7A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6" w:type="pct"/>
                  <w:vMerge w:val="continue"/>
                  <w:tcBorders>
                    <w:tl2br w:val="nil"/>
                    <w:tr2bl w:val="nil"/>
                  </w:tcBorders>
                  <w:vAlign w:val="center"/>
                </w:tcPr>
                <w:p w14:paraId="2D1BD0A4">
                  <w:pPr>
                    <w:pStyle w:val="5"/>
                    <w:spacing w:before="0" w:after="0" w:line="240" w:lineRule="auto"/>
                    <w:ind w:right="0"/>
                    <w:jc w:val="center"/>
                    <w:rPr>
                      <w:color w:val="auto"/>
                      <w:sz w:val="21"/>
                      <w:szCs w:val="21"/>
                    </w:rPr>
                  </w:pPr>
                </w:p>
              </w:tc>
              <w:tc>
                <w:tcPr>
                  <w:tcW w:w="542" w:type="pct"/>
                  <w:tcBorders>
                    <w:tl2br w:val="nil"/>
                    <w:tr2bl w:val="nil"/>
                  </w:tcBorders>
                  <w:vAlign w:val="center"/>
                </w:tcPr>
                <w:p w14:paraId="4B788AD1">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COD</w:t>
                  </w:r>
                </w:p>
              </w:tc>
              <w:tc>
                <w:tcPr>
                  <w:tcW w:w="588" w:type="pct"/>
                  <w:tcBorders>
                    <w:tl2br w:val="nil"/>
                    <w:tr2bl w:val="nil"/>
                  </w:tcBorders>
                  <w:vAlign w:val="center"/>
                </w:tcPr>
                <w:p w14:paraId="6991BC04">
                  <w:pPr>
                    <w:pStyle w:val="5"/>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58.06</w:t>
                  </w:r>
                </w:p>
              </w:tc>
              <w:tc>
                <w:tcPr>
                  <w:tcW w:w="436" w:type="pct"/>
                  <w:tcBorders>
                    <w:tl2br w:val="nil"/>
                    <w:tr2bl w:val="nil"/>
                  </w:tcBorders>
                  <w:vAlign w:val="center"/>
                </w:tcPr>
                <w:p w14:paraId="3CDCE75A">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160</w:t>
                  </w:r>
                </w:p>
              </w:tc>
              <w:tc>
                <w:tcPr>
                  <w:tcW w:w="676" w:type="pct"/>
                  <w:vMerge w:val="continue"/>
                  <w:tcBorders>
                    <w:tl2br w:val="nil"/>
                    <w:tr2bl w:val="nil"/>
                  </w:tcBorders>
                  <w:vAlign w:val="center"/>
                </w:tcPr>
                <w:p w14:paraId="0220050E">
                  <w:pPr>
                    <w:pStyle w:val="5"/>
                    <w:spacing w:before="0" w:after="0" w:line="240" w:lineRule="auto"/>
                    <w:ind w:right="0"/>
                    <w:jc w:val="center"/>
                    <w:rPr>
                      <w:color w:val="auto"/>
                      <w:sz w:val="21"/>
                      <w:szCs w:val="21"/>
                    </w:rPr>
                  </w:pPr>
                </w:p>
              </w:tc>
              <w:tc>
                <w:tcPr>
                  <w:tcW w:w="451" w:type="pct"/>
                  <w:vMerge w:val="continue"/>
                  <w:tcBorders>
                    <w:tl2br w:val="nil"/>
                    <w:tr2bl w:val="nil"/>
                  </w:tcBorders>
                  <w:vAlign w:val="center"/>
                </w:tcPr>
                <w:p w14:paraId="58C0A235">
                  <w:pPr>
                    <w:pStyle w:val="5"/>
                    <w:spacing w:before="0" w:after="0" w:line="240" w:lineRule="auto"/>
                    <w:ind w:right="0"/>
                    <w:jc w:val="center"/>
                    <w:rPr>
                      <w:rFonts w:hint="default" w:eastAsia="宋体"/>
                      <w:color w:val="auto"/>
                      <w:sz w:val="21"/>
                      <w:szCs w:val="21"/>
                      <w:lang w:val="en-US" w:eastAsia="zh-CN"/>
                    </w:rPr>
                  </w:pPr>
                </w:p>
              </w:tc>
              <w:tc>
                <w:tcPr>
                  <w:tcW w:w="564" w:type="pct"/>
                  <w:tcBorders>
                    <w:tl2br w:val="nil"/>
                    <w:tr2bl w:val="nil"/>
                  </w:tcBorders>
                  <w:vAlign w:val="center"/>
                </w:tcPr>
                <w:p w14:paraId="57D72C9D">
                  <w:pPr>
                    <w:pStyle w:val="5"/>
                    <w:spacing w:before="0" w:after="0" w:line="240" w:lineRule="auto"/>
                    <w:ind w:right="0"/>
                    <w:jc w:val="center"/>
                    <w:rPr>
                      <w:rFonts w:hint="default"/>
                      <w:color w:val="auto"/>
                      <w:sz w:val="21"/>
                      <w:szCs w:val="21"/>
                      <w:lang w:val="en-US" w:eastAsia="zh-CN"/>
                    </w:rPr>
                  </w:pPr>
                  <w:r>
                    <w:rPr>
                      <w:rFonts w:hint="eastAsia"/>
                      <w:color w:val="auto"/>
                      <w:sz w:val="21"/>
                      <w:szCs w:val="21"/>
                      <w:lang w:val="en-US" w:eastAsia="zh-CN"/>
                    </w:rPr>
                    <w:t>17.418</w:t>
                  </w:r>
                </w:p>
              </w:tc>
              <w:tc>
                <w:tcPr>
                  <w:tcW w:w="572" w:type="pct"/>
                  <w:tcBorders>
                    <w:tl2br w:val="nil"/>
                    <w:tr2bl w:val="nil"/>
                  </w:tcBorders>
                  <w:vAlign w:val="center"/>
                </w:tcPr>
                <w:p w14:paraId="6429F3EF">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48</w:t>
                  </w:r>
                </w:p>
              </w:tc>
              <w:tc>
                <w:tcPr>
                  <w:tcW w:w="810" w:type="pct"/>
                  <w:tcBorders>
                    <w:tl2br w:val="nil"/>
                    <w:tr2bl w:val="nil"/>
                  </w:tcBorders>
                  <w:vAlign w:val="center"/>
                </w:tcPr>
                <w:p w14:paraId="14B7ABEC">
                  <w:pPr>
                    <w:pStyle w:val="5"/>
                    <w:spacing w:before="0" w:after="0" w:line="240" w:lineRule="auto"/>
                    <w:ind w:right="0"/>
                    <w:jc w:val="center"/>
                    <w:rPr>
                      <w:rFonts w:hint="default" w:eastAsia="宋体"/>
                      <w:color w:val="auto"/>
                      <w:sz w:val="21"/>
                      <w:szCs w:val="21"/>
                      <w:lang w:val="en-US" w:eastAsia="zh-CN"/>
                    </w:rPr>
                  </w:pPr>
                  <w:r>
                    <w:rPr>
                      <w:rFonts w:hint="eastAsia"/>
                      <w:color w:val="auto"/>
                      <w:sz w:val="21"/>
                      <w:szCs w:val="21"/>
                      <w:lang w:val="en-US" w:eastAsia="zh-CN"/>
                    </w:rPr>
                    <w:t>200</w:t>
                  </w:r>
                </w:p>
              </w:tc>
            </w:tr>
          </w:tbl>
          <w:p w14:paraId="0EDBFE91">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p>
          <w:p w14:paraId="749C859C">
            <w:pPr>
              <w:spacing w:line="520" w:lineRule="exact"/>
              <w:ind w:firstLine="480" w:firstLineChars="200"/>
              <w:rPr>
                <w:color w:val="auto"/>
                <w:sz w:val="24"/>
                <w:szCs w:val="32"/>
                <w:highlight w:val="none"/>
              </w:rPr>
            </w:pPr>
            <w:r>
              <w:rPr>
                <w:color w:val="auto"/>
                <w:sz w:val="24"/>
                <w:szCs w:val="32"/>
                <w:highlight w:val="none"/>
              </w:rPr>
              <w:t>本项目</w:t>
            </w:r>
            <w:r>
              <w:rPr>
                <w:rFonts w:hint="eastAsia"/>
                <w:color w:val="auto"/>
                <w:sz w:val="24"/>
                <w:szCs w:val="32"/>
                <w:highlight w:val="none"/>
                <w:lang w:val="en-US" w:eastAsia="zh-CN"/>
              </w:rPr>
              <w:t>生产用水循环使用，不外排。生活污水经一体化处理设备处理后用于浇灌厂区周围绿植；</w:t>
            </w:r>
            <w:r>
              <w:rPr>
                <w:color w:val="auto"/>
                <w:sz w:val="24"/>
                <w:szCs w:val="32"/>
                <w:highlight w:val="none"/>
              </w:rPr>
              <w:t>本项目废水污染治理设施情况见下表</w:t>
            </w:r>
            <w:r>
              <w:rPr>
                <w:rFonts w:hint="eastAsia"/>
                <w:color w:val="auto"/>
                <w:sz w:val="24"/>
                <w:szCs w:val="32"/>
                <w:highlight w:val="none"/>
                <w:lang w:val="en-US" w:eastAsia="zh-CN"/>
              </w:rPr>
              <w:t>4-7</w:t>
            </w:r>
            <w:r>
              <w:rPr>
                <w:color w:val="auto"/>
                <w:sz w:val="24"/>
                <w:szCs w:val="32"/>
                <w:highlight w:val="none"/>
              </w:rPr>
              <w:t>。</w:t>
            </w:r>
          </w:p>
          <w:p w14:paraId="364994EF">
            <w:pPr>
              <w:spacing w:line="520" w:lineRule="exact"/>
              <w:jc w:val="center"/>
              <w:rPr>
                <w:b/>
                <w:bCs/>
                <w:color w:val="auto"/>
                <w:sz w:val="22"/>
                <w:szCs w:val="28"/>
                <w:highlight w:val="none"/>
              </w:rPr>
            </w:pPr>
            <w:r>
              <w:rPr>
                <w:b/>
                <w:bCs/>
                <w:color w:val="auto"/>
                <w:sz w:val="22"/>
                <w:szCs w:val="28"/>
                <w:highlight w:val="none"/>
              </w:rPr>
              <w:t>表</w:t>
            </w:r>
            <w:r>
              <w:rPr>
                <w:rFonts w:hint="eastAsia"/>
                <w:b/>
                <w:bCs/>
                <w:color w:val="auto"/>
                <w:sz w:val="22"/>
                <w:szCs w:val="28"/>
                <w:highlight w:val="none"/>
                <w:lang w:val="en-US" w:eastAsia="zh-CN"/>
              </w:rPr>
              <w:t>4-7</w:t>
            </w:r>
            <w:r>
              <w:rPr>
                <w:b/>
                <w:bCs/>
                <w:color w:val="auto"/>
                <w:sz w:val="22"/>
                <w:szCs w:val="28"/>
                <w:highlight w:val="none"/>
              </w:rPr>
              <w:t xml:space="preserve">    废水类别、污染物及污染治理设施信息表</w:t>
            </w:r>
          </w:p>
          <w:tbl>
            <w:tblPr>
              <w:tblStyle w:val="22"/>
              <w:tblW w:w="4976"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
              <w:gridCol w:w="462"/>
              <w:gridCol w:w="733"/>
              <w:gridCol w:w="859"/>
              <w:gridCol w:w="806"/>
              <w:gridCol w:w="659"/>
              <w:gridCol w:w="818"/>
              <w:gridCol w:w="810"/>
              <w:gridCol w:w="540"/>
              <w:gridCol w:w="439"/>
              <w:gridCol w:w="751"/>
              <w:gridCol w:w="671"/>
            </w:tblGrid>
            <w:tr w14:paraId="14C5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28" w:type="pct"/>
                  <w:vMerge w:val="restart"/>
                  <w:tcBorders>
                    <w:top w:val="single" w:color="000000" w:sz="12" w:space="0"/>
                    <w:right w:val="single" w:color="000000" w:sz="4" w:space="0"/>
                    <w:tl2br w:val="nil"/>
                    <w:tr2bl w:val="nil"/>
                  </w:tcBorders>
                  <w:vAlign w:val="center"/>
                </w:tcPr>
                <w:p w14:paraId="4DA50532">
                  <w:pPr>
                    <w:pStyle w:val="18"/>
                    <w:spacing w:after="0" w:line="240" w:lineRule="auto"/>
                    <w:jc w:val="both"/>
                    <w:rPr>
                      <w:b/>
                      <w:bCs/>
                      <w:color w:val="auto"/>
                      <w:szCs w:val="21"/>
                      <w:highlight w:val="none"/>
                    </w:rPr>
                  </w:pPr>
                  <w:r>
                    <w:rPr>
                      <w:b/>
                      <w:bCs/>
                      <w:color w:val="auto"/>
                      <w:szCs w:val="21"/>
                      <w:highlight w:val="none"/>
                    </w:rPr>
                    <w:t>编号</w:t>
                  </w:r>
                </w:p>
              </w:tc>
              <w:tc>
                <w:tcPr>
                  <w:tcW w:w="292" w:type="pct"/>
                  <w:vMerge w:val="restart"/>
                  <w:tcBorders>
                    <w:top w:val="single" w:color="000000" w:sz="12" w:space="0"/>
                    <w:left w:val="single" w:color="000000" w:sz="4" w:space="0"/>
                    <w:right w:val="single" w:color="000000" w:sz="4" w:space="0"/>
                    <w:tl2br w:val="nil"/>
                    <w:tr2bl w:val="nil"/>
                  </w:tcBorders>
                  <w:vAlign w:val="center"/>
                </w:tcPr>
                <w:p w14:paraId="00EE3D80">
                  <w:pPr>
                    <w:pStyle w:val="18"/>
                    <w:spacing w:after="0" w:line="240" w:lineRule="auto"/>
                    <w:jc w:val="center"/>
                    <w:rPr>
                      <w:b/>
                      <w:bCs/>
                      <w:color w:val="auto"/>
                      <w:szCs w:val="21"/>
                      <w:highlight w:val="none"/>
                    </w:rPr>
                  </w:pPr>
                  <w:r>
                    <w:rPr>
                      <w:b/>
                      <w:bCs/>
                      <w:color w:val="auto"/>
                      <w:szCs w:val="21"/>
                      <w:highlight w:val="none"/>
                    </w:rPr>
                    <w:t>名称</w:t>
                  </w:r>
                </w:p>
              </w:tc>
              <w:tc>
                <w:tcPr>
                  <w:tcW w:w="463" w:type="pct"/>
                  <w:vMerge w:val="restart"/>
                  <w:tcBorders>
                    <w:top w:val="single" w:color="000000" w:sz="12" w:space="0"/>
                    <w:left w:val="single" w:color="000000" w:sz="4" w:space="0"/>
                    <w:right w:val="single" w:color="000000" w:sz="4" w:space="0"/>
                    <w:tl2br w:val="nil"/>
                    <w:tr2bl w:val="nil"/>
                  </w:tcBorders>
                  <w:vAlign w:val="center"/>
                </w:tcPr>
                <w:p w14:paraId="345C87B1">
                  <w:pPr>
                    <w:pStyle w:val="18"/>
                    <w:spacing w:after="0" w:line="240" w:lineRule="auto"/>
                    <w:jc w:val="center"/>
                    <w:rPr>
                      <w:b/>
                      <w:bCs/>
                      <w:color w:val="auto"/>
                      <w:szCs w:val="21"/>
                      <w:highlight w:val="none"/>
                    </w:rPr>
                  </w:pPr>
                  <w:r>
                    <w:rPr>
                      <w:b/>
                      <w:bCs/>
                      <w:color w:val="auto"/>
                      <w:szCs w:val="21"/>
                      <w:highlight w:val="none"/>
                    </w:rPr>
                    <w:t>类别</w:t>
                  </w:r>
                </w:p>
              </w:tc>
              <w:tc>
                <w:tcPr>
                  <w:tcW w:w="543" w:type="pct"/>
                  <w:vMerge w:val="restart"/>
                  <w:tcBorders>
                    <w:top w:val="single" w:color="000000" w:sz="12" w:space="0"/>
                    <w:left w:val="single" w:color="000000" w:sz="4" w:space="0"/>
                    <w:right w:val="single" w:color="000000" w:sz="4" w:space="0"/>
                    <w:tl2br w:val="nil"/>
                    <w:tr2bl w:val="nil"/>
                  </w:tcBorders>
                  <w:vAlign w:val="center"/>
                </w:tcPr>
                <w:p w14:paraId="5DB3D0F7">
                  <w:pPr>
                    <w:pStyle w:val="18"/>
                    <w:spacing w:after="0" w:line="240" w:lineRule="auto"/>
                    <w:jc w:val="center"/>
                    <w:rPr>
                      <w:b/>
                      <w:bCs/>
                      <w:color w:val="auto"/>
                      <w:szCs w:val="21"/>
                      <w:highlight w:val="none"/>
                    </w:rPr>
                  </w:pPr>
                  <w:r>
                    <w:rPr>
                      <w:b/>
                      <w:bCs/>
                      <w:color w:val="auto"/>
                      <w:szCs w:val="21"/>
                      <w:highlight w:val="none"/>
                    </w:rPr>
                    <w:t>污染物</w:t>
                  </w:r>
                </w:p>
              </w:tc>
              <w:tc>
                <w:tcPr>
                  <w:tcW w:w="926" w:type="pct"/>
                  <w:gridSpan w:val="2"/>
                  <w:tcBorders>
                    <w:top w:val="single" w:color="000000" w:sz="12" w:space="0"/>
                    <w:left w:val="single" w:color="000000" w:sz="4" w:space="0"/>
                    <w:right w:val="single" w:color="000000" w:sz="4" w:space="0"/>
                    <w:tl2br w:val="nil"/>
                    <w:tr2bl w:val="nil"/>
                  </w:tcBorders>
                  <w:vAlign w:val="center"/>
                </w:tcPr>
                <w:p w14:paraId="494D78C0">
                  <w:pPr>
                    <w:pStyle w:val="18"/>
                    <w:spacing w:after="0" w:line="240" w:lineRule="auto"/>
                    <w:jc w:val="center"/>
                    <w:rPr>
                      <w:b/>
                      <w:bCs/>
                      <w:color w:val="auto"/>
                      <w:szCs w:val="21"/>
                      <w:highlight w:val="none"/>
                    </w:rPr>
                  </w:pPr>
                  <w:r>
                    <w:rPr>
                      <w:b/>
                      <w:bCs/>
                      <w:color w:val="auto"/>
                      <w:szCs w:val="21"/>
                      <w:highlight w:val="none"/>
                    </w:rPr>
                    <w:t>污染防治措施</w:t>
                  </w:r>
                </w:p>
              </w:tc>
              <w:tc>
                <w:tcPr>
                  <w:tcW w:w="1029" w:type="pct"/>
                  <w:gridSpan w:val="2"/>
                  <w:tcBorders>
                    <w:top w:val="single" w:color="000000" w:sz="12" w:space="0"/>
                    <w:left w:val="single" w:color="000000" w:sz="4" w:space="0"/>
                    <w:right w:val="single" w:color="000000" w:sz="4" w:space="0"/>
                    <w:tl2br w:val="nil"/>
                    <w:tr2bl w:val="nil"/>
                  </w:tcBorders>
                  <w:vAlign w:val="center"/>
                </w:tcPr>
                <w:p w14:paraId="7C33BD17">
                  <w:pPr>
                    <w:pStyle w:val="18"/>
                    <w:spacing w:after="0" w:line="240" w:lineRule="auto"/>
                    <w:jc w:val="center"/>
                    <w:rPr>
                      <w:b/>
                      <w:bCs/>
                      <w:color w:val="auto"/>
                      <w:szCs w:val="21"/>
                      <w:highlight w:val="none"/>
                    </w:rPr>
                  </w:pPr>
                  <w:r>
                    <w:rPr>
                      <w:b/>
                      <w:bCs/>
                      <w:color w:val="auto"/>
                      <w:szCs w:val="21"/>
                      <w:highlight w:val="none"/>
                    </w:rPr>
                    <w:t>排放口</w:t>
                  </w:r>
                </w:p>
              </w:tc>
              <w:tc>
                <w:tcPr>
                  <w:tcW w:w="341" w:type="pct"/>
                  <w:vMerge w:val="restart"/>
                  <w:tcBorders>
                    <w:top w:val="single" w:color="000000" w:sz="12" w:space="0"/>
                    <w:left w:val="single" w:color="000000" w:sz="4" w:space="0"/>
                    <w:right w:val="single" w:color="000000" w:sz="4" w:space="0"/>
                    <w:tl2br w:val="nil"/>
                    <w:tr2bl w:val="nil"/>
                  </w:tcBorders>
                  <w:vAlign w:val="center"/>
                </w:tcPr>
                <w:p w14:paraId="38BC2C02">
                  <w:pPr>
                    <w:pStyle w:val="18"/>
                    <w:spacing w:after="0" w:line="240" w:lineRule="auto"/>
                    <w:jc w:val="center"/>
                    <w:rPr>
                      <w:b/>
                      <w:bCs/>
                      <w:color w:val="auto"/>
                      <w:szCs w:val="21"/>
                      <w:highlight w:val="none"/>
                    </w:rPr>
                  </w:pPr>
                  <w:r>
                    <w:rPr>
                      <w:b/>
                      <w:bCs/>
                      <w:color w:val="auto"/>
                      <w:szCs w:val="21"/>
                      <w:highlight w:val="none"/>
                    </w:rPr>
                    <w:t>排放去向</w:t>
                  </w:r>
                </w:p>
              </w:tc>
              <w:tc>
                <w:tcPr>
                  <w:tcW w:w="277" w:type="pct"/>
                  <w:vMerge w:val="restart"/>
                  <w:tcBorders>
                    <w:top w:val="single" w:color="000000" w:sz="12" w:space="0"/>
                    <w:left w:val="single" w:color="000000" w:sz="4" w:space="0"/>
                    <w:right w:val="single" w:color="000000" w:sz="4" w:space="0"/>
                    <w:tl2br w:val="nil"/>
                    <w:tr2bl w:val="nil"/>
                  </w:tcBorders>
                  <w:vAlign w:val="center"/>
                </w:tcPr>
                <w:p w14:paraId="1B1CBA95">
                  <w:pPr>
                    <w:pStyle w:val="18"/>
                    <w:spacing w:after="0" w:line="240" w:lineRule="auto"/>
                    <w:jc w:val="center"/>
                    <w:rPr>
                      <w:b/>
                      <w:bCs/>
                      <w:color w:val="auto"/>
                      <w:szCs w:val="21"/>
                      <w:highlight w:val="none"/>
                    </w:rPr>
                  </w:pPr>
                  <w:r>
                    <w:rPr>
                      <w:b/>
                      <w:bCs/>
                      <w:color w:val="auto"/>
                      <w:szCs w:val="21"/>
                      <w:highlight w:val="none"/>
                    </w:rPr>
                    <w:t>排放方式</w:t>
                  </w:r>
                </w:p>
              </w:tc>
              <w:tc>
                <w:tcPr>
                  <w:tcW w:w="474" w:type="pct"/>
                  <w:vMerge w:val="restart"/>
                  <w:tcBorders>
                    <w:top w:val="single" w:color="000000" w:sz="12" w:space="0"/>
                    <w:left w:val="single" w:color="000000" w:sz="4" w:space="0"/>
                    <w:right w:val="single" w:color="000000" w:sz="4" w:space="0"/>
                    <w:tl2br w:val="nil"/>
                    <w:tr2bl w:val="nil"/>
                  </w:tcBorders>
                  <w:vAlign w:val="center"/>
                </w:tcPr>
                <w:p w14:paraId="18DCAE5F">
                  <w:pPr>
                    <w:pStyle w:val="18"/>
                    <w:spacing w:after="0" w:line="240" w:lineRule="auto"/>
                    <w:jc w:val="center"/>
                    <w:rPr>
                      <w:b/>
                      <w:bCs/>
                      <w:color w:val="auto"/>
                      <w:szCs w:val="21"/>
                      <w:highlight w:val="none"/>
                    </w:rPr>
                  </w:pPr>
                  <w:r>
                    <w:rPr>
                      <w:b/>
                      <w:bCs/>
                      <w:color w:val="auto"/>
                      <w:szCs w:val="21"/>
                      <w:highlight w:val="none"/>
                    </w:rPr>
                    <w:t>排放规律</w:t>
                  </w:r>
                </w:p>
              </w:tc>
              <w:tc>
                <w:tcPr>
                  <w:tcW w:w="424" w:type="pct"/>
                  <w:vMerge w:val="restart"/>
                  <w:tcBorders>
                    <w:top w:val="single" w:color="000000" w:sz="12" w:space="0"/>
                    <w:left w:val="single" w:color="000000" w:sz="4" w:space="0"/>
                    <w:tl2br w:val="nil"/>
                    <w:tr2bl w:val="nil"/>
                  </w:tcBorders>
                  <w:vAlign w:val="center"/>
                </w:tcPr>
                <w:p w14:paraId="3DA25B66">
                  <w:pPr>
                    <w:pStyle w:val="18"/>
                    <w:spacing w:after="0" w:line="240" w:lineRule="auto"/>
                    <w:jc w:val="center"/>
                    <w:rPr>
                      <w:b/>
                      <w:bCs/>
                      <w:color w:val="auto"/>
                      <w:szCs w:val="21"/>
                      <w:highlight w:val="none"/>
                    </w:rPr>
                  </w:pPr>
                  <w:r>
                    <w:rPr>
                      <w:b/>
                      <w:bCs/>
                      <w:color w:val="auto"/>
                      <w:szCs w:val="21"/>
                      <w:highlight w:val="none"/>
                    </w:rPr>
                    <w:t>排放口类型</w:t>
                  </w:r>
                </w:p>
              </w:tc>
            </w:tr>
            <w:tr w14:paraId="2119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28" w:type="pct"/>
                  <w:vMerge w:val="continue"/>
                  <w:tcBorders>
                    <w:bottom w:val="single" w:color="auto" w:sz="12" w:space="0"/>
                    <w:right w:val="single" w:color="000000" w:sz="4" w:space="0"/>
                    <w:tl2br w:val="nil"/>
                    <w:tr2bl w:val="nil"/>
                  </w:tcBorders>
                  <w:vAlign w:val="center"/>
                </w:tcPr>
                <w:p w14:paraId="05E62D3B">
                  <w:pPr>
                    <w:pStyle w:val="18"/>
                    <w:spacing w:after="0" w:line="240" w:lineRule="auto"/>
                    <w:jc w:val="center"/>
                    <w:rPr>
                      <w:b/>
                      <w:bCs/>
                      <w:color w:val="auto"/>
                      <w:szCs w:val="21"/>
                      <w:highlight w:val="none"/>
                    </w:rPr>
                  </w:pPr>
                </w:p>
              </w:tc>
              <w:tc>
                <w:tcPr>
                  <w:tcW w:w="292" w:type="pct"/>
                  <w:vMerge w:val="continue"/>
                  <w:tcBorders>
                    <w:left w:val="single" w:color="000000" w:sz="4" w:space="0"/>
                    <w:bottom w:val="single" w:color="auto" w:sz="12" w:space="0"/>
                    <w:right w:val="single" w:color="000000" w:sz="4" w:space="0"/>
                    <w:tl2br w:val="nil"/>
                    <w:tr2bl w:val="nil"/>
                  </w:tcBorders>
                  <w:vAlign w:val="center"/>
                </w:tcPr>
                <w:p w14:paraId="6EBE27B2">
                  <w:pPr>
                    <w:pStyle w:val="18"/>
                    <w:spacing w:after="0" w:line="240" w:lineRule="auto"/>
                    <w:jc w:val="center"/>
                    <w:rPr>
                      <w:b/>
                      <w:bCs/>
                      <w:color w:val="auto"/>
                      <w:szCs w:val="21"/>
                      <w:highlight w:val="none"/>
                    </w:rPr>
                  </w:pPr>
                </w:p>
              </w:tc>
              <w:tc>
                <w:tcPr>
                  <w:tcW w:w="463" w:type="pct"/>
                  <w:vMerge w:val="continue"/>
                  <w:tcBorders>
                    <w:left w:val="single" w:color="000000" w:sz="4" w:space="0"/>
                    <w:bottom w:val="single" w:color="auto" w:sz="12" w:space="0"/>
                    <w:right w:val="single" w:color="000000" w:sz="4" w:space="0"/>
                    <w:tl2br w:val="nil"/>
                    <w:tr2bl w:val="nil"/>
                  </w:tcBorders>
                  <w:vAlign w:val="center"/>
                </w:tcPr>
                <w:p w14:paraId="0C2B8237">
                  <w:pPr>
                    <w:pStyle w:val="18"/>
                    <w:spacing w:after="0" w:line="240" w:lineRule="auto"/>
                    <w:jc w:val="center"/>
                    <w:rPr>
                      <w:b/>
                      <w:bCs/>
                      <w:color w:val="auto"/>
                      <w:szCs w:val="21"/>
                      <w:highlight w:val="none"/>
                    </w:rPr>
                  </w:pPr>
                </w:p>
              </w:tc>
              <w:tc>
                <w:tcPr>
                  <w:tcW w:w="543" w:type="pct"/>
                  <w:vMerge w:val="continue"/>
                  <w:tcBorders>
                    <w:left w:val="single" w:color="000000" w:sz="4" w:space="0"/>
                    <w:bottom w:val="single" w:color="auto" w:sz="12" w:space="0"/>
                    <w:right w:val="single" w:color="000000" w:sz="4" w:space="0"/>
                    <w:tl2br w:val="nil"/>
                    <w:tr2bl w:val="nil"/>
                  </w:tcBorders>
                  <w:vAlign w:val="center"/>
                </w:tcPr>
                <w:p w14:paraId="052BCE75">
                  <w:pPr>
                    <w:pStyle w:val="18"/>
                    <w:spacing w:after="0" w:line="240" w:lineRule="auto"/>
                    <w:jc w:val="center"/>
                    <w:rPr>
                      <w:b/>
                      <w:bCs/>
                      <w:color w:val="auto"/>
                      <w:szCs w:val="21"/>
                      <w:highlight w:val="none"/>
                    </w:rPr>
                  </w:pPr>
                </w:p>
              </w:tc>
              <w:tc>
                <w:tcPr>
                  <w:tcW w:w="509" w:type="pct"/>
                  <w:tcBorders>
                    <w:top w:val="single" w:color="000000" w:sz="4" w:space="0"/>
                    <w:left w:val="single" w:color="000000" w:sz="4" w:space="0"/>
                    <w:bottom w:val="single" w:color="auto" w:sz="12" w:space="0"/>
                    <w:right w:val="single" w:color="000000" w:sz="4" w:space="0"/>
                    <w:tl2br w:val="nil"/>
                    <w:tr2bl w:val="nil"/>
                  </w:tcBorders>
                  <w:vAlign w:val="center"/>
                </w:tcPr>
                <w:p w14:paraId="238E5527">
                  <w:pPr>
                    <w:pStyle w:val="18"/>
                    <w:spacing w:after="0" w:line="240" w:lineRule="auto"/>
                    <w:jc w:val="center"/>
                    <w:rPr>
                      <w:b/>
                      <w:bCs/>
                      <w:color w:val="auto"/>
                      <w:szCs w:val="21"/>
                      <w:highlight w:val="none"/>
                    </w:rPr>
                  </w:pPr>
                </w:p>
                <w:p w14:paraId="5033C037">
                  <w:pPr>
                    <w:pStyle w:val="18"/>
                    <w:spacing w:after="0" w:line="240" w:lineRule="auto"/>
                    <w:jc w:val="center"/>
                    <w:rPr>
                      <w:rFonts w:hint="eastAsia" w:eastAsia="宋体"/>
                      <w:b/>
                      <w:bCs/>
                      <w:color w:val="auto"/>
                      <w:szCs w:val="21"/>
                      <w:highlight w:val="none"/>
                      <w:lang w:eastAsia="zh-CN"/>
                    </w:rPr>
                  </w:pPr>
                  <w:r>
                    <w:rPr>
                      <w:rFonts w:hint="eastAsia"/>
                      <w:b/>
                      <w:bCs/>
                      <w:color w:val="auto"/>
                      <w:spacing w:val="-17"/>
                      <w:szCs w:val="21"/>
                      <w:highlight w:val="none"/>
                      <w:lang w:val="en-US" w:eastAsia="zh-CN"/>
                    </w:rPr>
                    <w:t>监测点位</w:t>
                  </w:r>
                </w:p>
              </w:tc>
              <w:tc>
                <w:tcPr>
                  <w:tcW w:w="416" w:type="pct"/>
                  <w:tcBorders>
                    <w:top w:val="single" w:color="000000" w:sz="4" w:space="0"/>
                    <w:left w:val="single" w:color="000000" w:sz="4" w:space="0"/>
                    <w:bottom w:val="single" w:color="auto" w:sz="12" w:space="0"/>
                    <w:right w:val="single" w:color="000000" w:sz="4" w:space="0"/>
                    <w:tl2br w:val="nil"/>
                    <w:tr2bl w:val="nil"/>
                  </w:tcBorders>
                  <w:vAlign w:val="center"/>
                </w:tcPr>
                <w:p w14:paraId="755087B7">
                  <w:pPr>
                    <w:pStyle w:val="18"/>
                    <w:spacing w:after="0" w:line="240" w:lineRule="auto"/>
                    <w:jc w:val="center"/>
                    <w:rPr>
                      <w:rFonts w:hint="default" w:eastAsia="宋体"/>
                      <w:b/>
                      <w:bCs/>
                      <w:color w:val="auto"/>
                      <w:szCs w:val="21"/>
                      <w:highlight w:val="none"/>
                      <w:lang w:val="en-US" w:eastAsia="zh-CN"/>
                    </w:rPr>
                  </w:pPr>
                  <w:r>
                    <w:rPr>
                      <w:rFonts w:hint="eastAsia"/>
                      <w:b/>
                      <w:bCs/>
                      <w:color w:val="auto"/>
                      <w:szCs w:val="21"/>
                      <w:highlight w:val="none"/>
                      <w:lang w:val="en-US" w:eastAsia="zh-CN"/>
                    </w:rPr>
                    <w:t>检测频率</w:t>
                  </w:r>
                </w:p>
              </w:tc>
              <w:tc>
                <w:tcPr>
                  <w:tcW w:w="517" w:type="pct"/>
                  <w:tcBorders>
                    <w:top w:val="single" w:color="000000" w:sz="4" w:space="0"/>
                    <w:left w:val="single" w:color="000000" w:sz="4" w:space="0"/>
                    <w:bottom w:val="single" w:color="auto" w:sz="12" w:space="0"/>
                    <w:right w:val="single" w:color="000000" w:sz="4" w:space="0"/>
                    <w:tl2br w:val="nil"/>
                    <w:tr2bl w:val="nil"/>
                  </w:tcBorders>
                  <w:vAlign w:val="center"/>
                </w:tcPr>
                <w:p w14:paraId="3EE5D653">
                  <w:pPr>
                    <w:pStyle w:val="18"/>
                    <w:spacing w:after="0" w:line="240" w:lineRule="auto"/>
                    <w:jc w:val="center"/>
                    <w:rPr>
                      <w:b/>
                      <w:bCs/>
                      <w:color w:val="auto"/>
                      <w:szCs w:val="21"/>
                      <w:highlight w:val="none"/>
                    </w:rPr>
                  </w:pPr>
                  <w:r>
                    <w:rPr>
                      <w:b/>
                      <w:bCs/>
                      <w:color w:val="auto"/>
                      <w:szCs w:val="21"/>
                      <w:highlight w:val="none"/>
                    </w:rPr>
                    <w:t>经度</w:t>
                  </w:r>
                </w:p>
              </w:tc>
              <w:tc>
                <w:tcPr>
                  <w:tcW w:w="512" w:type="pct"/>
                  <w:tcBorders>
                    <w:top w:val="single" w:color="000000" w:sz="4" w:space="0"/>
                    <w:left w:val="single" w:color="000000" w:sz="4" w:space="0"/>
                    <w:bottom w:val="single" w:color="auto" w:sz="12" w:space="0"/>
                    <w:right w:val="single" w:color="000000" w:sz="4" w:space="0"/>
                    <w:tl2br w:val="nil"/>
                    <w:tr2bl w:val="nil"/>
                  </w:tcBorders>
                  <w:vAlign w:val="center"/>
                </w:tcPr>
                <w:p w14:paraId="1BC7268D">
                  <w:pPr>
                    <w:pStyle w:val="18"/>
                    <w:spacing w:after="0" w:line="240" w:lineRule="auto"/>
                    <w:jc w:val="center"/>
                    <w:rPr>
                      <w:b/>
                      <w:bCs/>
                      <w:color w:val="auto"/>
                      <w:szCs w:val="21"/>
                      <w:highlight w:val="none"/>
                    </w:rPr>
                  </w:pPr>
                  <w:r>
                    <w:rPr>
                      <w:b/>
                      <w:bCs/>
                      <w:color w:val="auto"/>
                      <w:szCs w:val="21"/>
                      <w:highlight w:val="none"/>
                    </w:rPr>
                    <w:t>纬度</w:t>
                  </w:r>
                </w:p>
              </w:tc>
              <w:tc>
                <w:tcPr>
                  <w:tcW w:w="341" w:type="pct"/>
                  <w:vMerge w:val="continue"/>
                  <w:tcBorders>
                    <w:left w:val="single" w:color="000000" w:sz="4" w:space="0"/>
                    <w:bottom w:val="single" w:color="auto" w:sz="12" w:space="0"/>
                    <w:right w:val="single" w:color="000000" w:sz="4" w:space="0"/>
                    <w:tl2br w:val="nil"/>
                    <w:tr2bl w:val="nil"/>
                  </w:tcBorders>
                  <w:vAlign w:val="center"/>
                </w:tcPr>
                <w:p w14:paraId="1F18BC94">
                  <w:pPr>
                    <w:pStyle w:val="18"/>
                    <w:spacing w:after="0" w:line="240" w:lineRule="auto"/>
                    <w:jc w:val="center"/>
                    <w:rPr>
                      <w:color w:val="auto"/>
                      <w:szCs w:val="21"/>
                      <w:highlight w:val="none"/>
                    </w:rPr>
                  </w:pPr>
                </w:p>
              </w:tc>
              <w:tc>
                <w:tcPr>
                  <w:tcW w:w="277" w:type="pct"/>
                  <w:vMerge w:val="continue"/>
                  <w:tcBorders>
                    <w:left w:val="single" w:color="000000" w:sz="4" w:space="0"/>
                    <w:bottom w:val="single" w:color="auto" w:sz="12" w:space="0"/>
                    <w:right w:val="single" w:color="000000" w:sz="4" w:space="0"/>
                    <w:tl2br w:val="nil"/>
                    <w:tr2bl w:val="nil"/>
                  </w:tcBorders>
                  <w:vAlign w:val="center"/>
                </w:tcPr>
                <w:p w14:paraId="26D878B5">
                  <w:pPr>
                    <w:pStyle w:val="18"/>
                    <w:spacing w:after="0" w:line="240" w:lineRule="auto"/>
                    <w:jc w:val="center"/>
                    <w:rPr>
                      <w:color w:val="auto"/>
                      <w:szCs w:val="21"/>
                      <w:highlight w:val="none"/>
                    </w:rPr>
                  </w:pPr>
                </w:p>
              </w:tc>
              <w:tc>
                <w:tcPr>
                  <w:tcW w:w="474" w:type="pct"/>
                  <w:vMerge w:val="continue"/>
                  <w:tcBorders>
                    <w:left w:val="single" w:color="000000" w:sz="4" w:space="0"/>
                    <w:bottom w:val="single" w:color="auto" w:sz="12" w:space="0"/>
                    <w:right w:val="single" w:color="000000" w:sz="4" w:space="0"/>
                    <w:tl2br w:val="nil"/>
                    <w:tr2bl w:val="nil"/>
                  </w:tcBorders>
                  <w:vAlign w:val="center"/>
                </w:tcPr>
                <w:p w14:paraId="4365F597">
                  <w:pPr>
                    <w:pStyle w:val="18"/>
                    <w:spacing w:after="0" w:line="240" w:lineRule="auto"/>
                    <w:jc w:val="center"/>
                    <w:rPr>
                      <w:color w:val="auto"/>
                      <w:szCs w:val="21"/>
                      <w:highlight w:val="none"/>
                    </w:rPr>
                  </w:pPr>
                </w:p>
              </w:tc>
              <w:tc>
                <w:tcPr>
                  <w:tcW w:w="424" w:type="pct"/>
                  <w:vMerge w:val="continue"/>
                  <w:tcBorders>
                    <w:left w:val="single" w:color="000000" w:sz="4" w:space="0"/>
                    <w:bottom w:val="single" w:color="auto" w:sz="12" w:space="0"/>
                    <w:tl2br w:val="nil"/>
                    <w:tr2bl w:val="nil"/>
                  </w:tcBorders>
                  <w:vAlign w:val="center"/>
                </w:tcPr>
                <w:p w14:paraId="73292F43">
                  <w:pPr>
                    <w:pStyle w:val="18"/>
                    <w:spacing w:after="0" w:line="240" w:lineRule="auto"/>
                    <w:jc w:val="center"/>
                    <w:rPr>
                      <w:color w:val="auto"/>
                      <w:szCs w:val="21"/>
                      <w:highlight w:val="none"/>
                    </w:rPr>
                  </w:pPr>
                </w:p>
              </w:tc>
            </w:tr>
            <w:tr w14:paraId="10DC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28" w:type="pct"/>
                  <w:tcBorders>
                    <w:top w:val="single" w:color="auto" w:sz="12" w:space="0"/>
                    <w:left w:val="nil"/>
                    <w:bottom w:val="single" w:color="auto" w:sz="12" w:space="0"/>
                    <w:right w:val="single" w:color="000000" w:sz="4" w:space="0"/>
                  </w:tcBorders>
                  <w:vAlign w:val="center"/>
                </w:tcPr>
                <w:p w14:paraId="527E536F">
                  <w:pPr>
                    <w:pStyle w:val="18"/>
                    <w:spacing w:after="0" w:line="240" w:lineRule="auto"/>
                    <w:jc w:val="center"/>
                    <w:rPr>
                      <w:color w:val="auto"/>
                      <w:szCs w:val="21"/>
                      <w:highlight w:val="none"/>
                    </w:rPr>
                  </w:pPr>
                  <w:r>
                    <w:rPr>
                      <w:color w:val="auto"/>
                      <w:szCs w:val="21"/>
                      <w:highlight w:val="none"/>
                    </w:rPr>
                    <w:t>DW001</w:t>
                  </w:r>
                </w:p>
              </w:tc>
              <w:tc>
                <w:tcPr>
                  <w:tcW w:w="292" w:type="pct"/>
                  <w:tcBorders>
                    <w:top w:val="single" w:color="auto" w:sz="12" w:space="0"/>
                    <w:left w:val="single" w:color="000000" w:sz="4" w:space="0"/>
                    <w:bottom w:val="single" w:color="auto" w:sz="12" w:space="0"/>
                    <w:right w:val="single" w:color="000000" w:sz="4" w:space="0"/>
                  </w:tcBorders>
                  <w:vAlign w:val="center"/>
                </w:tcPr>
                <w:p w14:paraId="7B2F63A9">
                  <w:pPr>
                    <w:pStyle w:val="18"/>
                    <w:spacing w:after="0" w:line="240" w:lineRule="auto"/>
                    <w:jc w:val="center"/>
                    <w:rPr>
                      <w:color w:val="auto"/>
                      <w:szCs w:val="21"/>
                      <w:highlight w:val="none"/>
                    </w:rPr>
                  </w:pPr>
                  <w:r>
                    <w:rPr>
                      <w:color w:val="auto"/>
                      <w:szCs w:val="21"/>
                      <w:highlight w:val="none"/>
                    </w:rPr>
                    <w:t>生活污水</w:t>
                  </w:r>
                </w:p>
              </w:tc>
              <w:tc>
                <w:tcPr>
                  <w:tcW w:w="463" w:type="pct"/>
                  <w:tcBorders>
                    <w:top w:val="single" w:color="auto" w:sz="12" w:space="0"/>
                    <w:left w:val="single" w:color="000000" w:sz="4" w:space="0"/>
                    <w:bottom w:val="single" w:color="auto" w:sz="12" w:space="0"/>
                    <w:right w:val="single" w:color="000000" w:sz="4" w:space="0"/>
                  </w:tcBorders>
                  <w:vAlign w:val="center"/>
                </w:tcPr>
                <w:p w14:paraId="3CFF3F78">
                  <w:pPr>
                    <w:pStyle w:val="18"/>
                    <w:spacing w:after="0" w:line="240" w:lineRule="auto"/>
                    <w:jc w:val="center"/>
                    <w:rPr>
                      <w:rFonts w:hint="default" w:eastAsia="宋体"/>
                      <w:color w:val="auto"/>
                      <w:szCs w:val="21"/>
                      <w:highlight w:val="none"/>
                      <w:lang w:val="en-US" w:eastAsia="zh-CN"/>
                    </w:rPr>
                  </w:pPr>
                  <w:r>
                    <w:rPr>
                      <w:color w:val="auto"/>
                      <w:szCs w:val="21"/>
                      <w:highlight w:val="none"/>
                    </w:rPr>
                    <w:t>生活污水</w:t>
                  </w:r>
                </w:p>
              </w:tc>
              <w:tc>
                <w:tcPr>
                  <w:tcW w:w="543" w:type="pct"/>
                  <w:tcBorders>
                    <w:top w:val="single" w:color="auto" w:sz="12" w:space="0"/>
                    <w:left w:val="single" w:color="000000" w:sz="4" w:space="0"/>
                    <w:bottom w:val="single" w:color="auto" w:sz="12" w:space="0"/>
                    <w:right w:val="single" w:color="000000" w:sz="4" w:space="0"/>
                  </w:tcBorders>
                  <w:vAlign w:val="center"/>
                </w:tcPr>
                <w:p w14:paraId="6B9932EE">
                  <w:pPr>
                    <w:widowControl/>
                    <w:jc w:val="center"/>
                    <w:rPr>
                      <w:color w:val="auto"/>
                      <w:szCs w:val="21"/>
                      <w:highlight w:val="none"/>
                    </w:rPr>
                  </w:pPr>
                  <w:r>
                    <w:rPr>
                      <w:color w:val="auto"/>
                      <w:kern w:val="0"/>
                      <w:szCs w:val="21"/>
                      <w:highlight w:val="none"/>
                      <w:lang w:bidi="ar"/>
                    </w:rPr>
                    <w:t>COD</w:t>
                  </w:r>
                  <w:r>
                    <w:rPr>
                      <w:color w:val="auto"/>
                      <w:kern w:val="0"/>
                      <w:szCs w:val="21"/>
                      <w:highlight w:val="none"/>
                      <w:vertAlign w:val="subscript"/>
                      <w:lang w:bidi="ar"/>
                    </w:rPr>
                    <w:t>Cr</w:t>
                  </w:r>
                </w:p>
                <w:p w14:paraId="714FE31C">
                  <w:pPr>
                    <w:widowControl/>
                    <w:jc w:val="center"/>
                    <w:rPr>
                      <w:color w:val="auto"/>
                      <w:szCs w:val="21"/>
                      <w:highlight w:val="none"/>
                    </w:rPr>
                  </w:pPr>
                  <w:r>
                    <w:rPr>
                      <w:color w:val="auto"/>
                      <w:kern w:val="0"/>
                      <w:szCs w:val="21"/>
                      <w:highlight w:val="none"/>
                      <w:lang w:bidi="ar"/>
                    </w:rPr>
                    <w:t>BOD</w:t>
                  </w:r>
                  <w:r>
                    <w:rPr>
                      <w:color w:val="auto"/>
                      <w:kern w:val="0"/>
                      <w:szCs w:val="21"/>
                      <w:highlight w:val="none"/>
                      <w:vertAlign w:val="subscript"/>
                      <w:lang w:bidi="ar"/>
                    </w:rPr>
                    <w:t>5</w:t>
                  </w:r>
                </w:p>
                <w:p w14:paraId="39094750">
                  <w:pPr>
                    <w:widowControl/>
                    <w:jc w:val="center"/>
                    <w:rPr>
                      <w:color w:val="auto"/>
                      <w:szCs w:val="21"/>
                      <w:highlight w:val="none"/>
                    </w:rPr>
                  </w:pPr>
                  <w:r>
                    <w:rPr>
                      <w:color w:val="auto"/>
                      <w:kern w:val="0"/>
                      <w:szCs w:val="21"/>
                      <w:highlight w:val="none"/>
                      <w:lang w:bidi="ar"/>
                    </w:rPr>
                    <w:t>SS</w:t>
                  </w:r>
                </w:p>
                <w:p w14:paraId="2097065E">
                  <w:pPr>
                    <w:widowControl/>
                    <w:jc w:val="center"/>
                    <w:rPr>
                      <w:rFonts w:hint="default" w:eastAsia="宋体"/>
                      <w:color w:val="auto"/>
                      <w:szCs w:val="21"/>
                      <w:highlight w:val="none"/>
                      <w:lang w:val="en-US" w:eastAsia="zh-CN"/>
                    </w:rPr>
                  </w:pPr>
                  <w:r>
                    <w:rPr>
                      <w:color w:val="auto"/>
                      <w:kern w:val="0"/>
                      <w:szCs w:val="21"/>
                      <w:highlight w:val="none"/>
                      <w:lang w:bidi="ar"/>
                    </w:rPr>
                    <w:t>氨氮</w:t>
                  </w:r>
                </w:p>
              </w:tc>
              <w:tc>
                <w:tcPr>
                  <w:tcW w:w="509" w:type="pct"/>
                  <w:tcBorders>
                    <w:top w:val="single" w:color="auto" w:sz="12" w:space="0"/>
                    <w:left w:val="single" w:color="000000" w:sz="4" w:space="0"/>
                    <w:bottom w:val="single" w:color="auto" w:sz="12" w:space="0"/>
                    <w:right w:val="single" w:color="000000" w:sz="4" w:space="0"/>
                  </w:tcBorders>
                  <w:vAlign w:val="center"/>
                </w:tcPr>
                <w:p w14:paraId="6FA67856">
                  <w:pPr>
                    <w:pStyle w:val="18"/>
                    <w:spacing w:after="0"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污水排放口</w:t>
                  </w:r>
                </w:p>
              </w:tc>
              <w:tc>
                <w:tcPr>
                  <w:tcW w:w="416" w:type="pct"/>
                  <w:tcBorders>
                    <w:top w:val="single" w:color="auto" w:sz="12" w:space="0"/>
                    <w:left w:val="single" w:color="000000" w:sz="4" w:space="0"/>
                    <w:bottom w:val="single" w:color="auto" w:sz="12" w:space="0"/>
                    <w:right w:val="single" w:color="000000" w:sz="4" w:space="0"/>
                  </w:tcBorders>
                  <w:vAlign w:val="center"/>
                </w:tcPr>
                <w:p w14:paraId="580145B2">
                  <w:pPr>
                    <w:pStyle w:val="18"/>
                    <w:spacing w:after="0"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1次/天</w:t>
                  </w:r>
                </w:p>
              </w:tc>
              <w:tc>
                <w:tcPr>
                  <w:tcW w:w="517" w:type="pct"/>
                  <w:tcBorders>
                    <w:top w:val="single" w:color="auto" w:sz="12" w:space="0"/>
                    <w:left w:val="single" w:color="000000" w:sz="4" w:space="0"/>
                    <w:bottom w:val="single" w:color="auto" w:sz="12" w:space="0"/>
                    <w:right w:val="single" w:color="000000" w:sz="4" w:space="0"/>
                  </w:tcBorders>
                  <w:vAlign w:val="center"/>
                </w:tcPr>
                <w:p w14:paraId="6E5BAA32">
                  <w:pPr>
                    <w:pStyle w:val="32"/>
                    <w:ind w:firstLine="0" w:firstLineChars="0"/>
                    <w:rPr>
                      <w:rFonts w:hint="eastAsia"/>
                      <w:color w:val="auto"/>
                      <w:spacing w:val="-10"/>
                      <w:highlight w:val="none"/>
                    </w:rPr>
                  </w:pPr>
                </w:p>
                <w:p w14:paraId="131DEC28">
                  <w:pPr>
                    <w:pStyle w:val="32"/>
                    <w:ind w:firstLine="0" w:firstLineChars="0"/>
                    <w:rPr>
                      <w:color w:val="auto"/>
                      <w:spacing w:val="-10"/>
                      <w:highlight w:val="none"/>
                    </w:rPr>
                  </w:pPr>
                  <w:r>
                    <w:rPr>
                      <w:rFonts w:hint="eastAsia"/>
                      <w:color w:val="auto"/>
                      <w:spacing w:val="-10"/>
                      <w:highlight w:val="none"/>
                    </w:rPr>
                    <w:t>9</w:t>
                  </w:r>
                  <w:r>
                    <w:rPr>
                      <w:rFonts w:hint="eastAsia"/>
                      <w:color w:val="auto"/>
                      <w:spacing w:val="-10"/>
                      <w:highlight w:val="none"/>
                      <w:lang w:val="en-US" w:eastAsia="zh-CN"/>
                    </w:rPr>
                    <w:t>0</w:t>
                  </w:r>
                  <w:r>
                    <w:rPr>
                      <w:rFonts w:hint="eastAsia"/>
                      <w:color w:val="auto"/>
                      <w:spacing w:val="-10"/>
                      <w:highlight w:val="none"/>
                    </w:rPr>
                    <w:t>°</w:t>
                  </w:r>
                  <w:r>
                    <w:rPr>
                      <w:rFonts w:hint="eastAsia"/>
                      <w:color w:val="auto"/>
                      <w:spacing w:val="-10"/>
                      <w:highlight w:val="none"/>
                      <w:lang w:val="en-US" w:eastAsia="zh-CN"/>
                    </w:rPr>
                    <w:t>34′49</w:t>
                  </w:r>
                  <w:r>
                    <w:rPr>
                      <w:rFonts w:hint="eastAsia"/>
                      <w:color w:val="auto"/>
                      <w:spacing w:val="-10"/>
                      <w:highlight w:val="none"/>
                    </w:rPr>
                    <w:t>.</w:t>
                  </w:r>
                  <w:r>
                    <w:rPr>
                      <w:rFonts w:hint="eastAsia"/>
                      <w:color w:val="auto"/>
                      <w:spacing w:val="-10"/>
                      <w:highlight w:val="none"/>
                      <w:lang w:val="en-US" w:eastAsia="zh-CN"/>
                    </w:rPr>
                    <w:t>495</w:t>
                  </w:r>
                  <w:r>
                    <w:rPr>
                      <w:rFonts w:hint="eastAsia"/>
                      <w:color w:val="auto"/>
                      <w:spacing w:val="-10"/>
                      <w:highlight w:val="none"/>
                    </w:rPr>
                    <w:t>"</w:t>
                  </w:r>
                </w:p>
              </w:tc>
              <w:tc>
                <w:tcPr>
                  <w:tcW w:w="512" w:type="pct"/>
                  <w:tcBorders>
                    <w:top w:val="single" w:color="auto" w:sz="12" w:space="0"/>
                    <w:left w:val="single" w:color="000000" w:sz="4" w:space="0"/>
                    <w:bottom w:val="single" w:color="auto" w:sz="12" w:space="0"/>
                    <w:right w:val="single" w:color="000000" w:sz="4" w:space="0"/>
                  </w:tcBorders>
                  <w:vAlign w:val="center"/>
                </w:tcPr>
                <w:p w14:paraId="4A55325B">
                  <w:pPr>
                    <w:pStyle w:val="32"/>
                    <w:ind w:firstLine="0" w:firstLineChars="0"/>
                    <w:rPr>
                      <w:rFonts w:hint="eastAsia"/>
                      <w:color w:val="auto"/>
                      <w:spacing w:val="-10"/>
                      <w:highlight w:val="none"/>
                    </w:rPr>
                  </w:pPr>
                </w:p>
                <w:p w14:paraId="25CF41BC">
                  <w:pPr>
                    <w:pStyle w:val="32"/>
                    <w:ind w:firstLine="0" w:firstLineChars="0"/>
                    <w:rPr>
                      <w:color w:val="auto"/>
                      <w:spacing w:val="-10"/>
                      <w:highlight w:val="none"/>
                    </w:rPr>
                  </w:pPr>
                  <w:r>
                    <w:rPr>
                      <w:rFonts w:hint="eastAsia"/>
                      <w:color w:val="auto"/>
                      <w:spacing w:val="-10"/>
                      <w:highlight w:val="none"/>
                    </w:rPr>
                    <w:t>44°</w:t>
                  </w:r>
                  <w:r>
                    <w:rPr>
                      <w:rFonts w:hint="eastAsia"/>
                      <w:color w:val="auto"/>
                      <w:spacing w:val="-10"/>
                      <w:highlight w:val="none"/>
                      <w:lang w:val="en-US" w:eastAsia="zh-CN"/>
                    </w:rPr>
                    <w:t>18′33.438</w:t>
                  </w:r>
                  <w:r>
                    <w:rPr>
                      <w:rFonts w:hint="eastAsia"/>
                      <w:color w:val="auto"/>
                      <w:spacing w:val="-10"/>
                      <w:highlight w:val="none"/>
                    </w:rPr>
                    <w:t>"</w:t>
                  </w:r>
                </w:p>
              </w:tc>
              <w:tc>
                <w:tcPr>
                  <w:tcW w:w="341" w:type="pct"/>
                  <w:tcBorders>
                    <w:top w:val="single" w:color="auto" w:sz="12" w:space="0"/>
                    <w:left w:val="single" w:color="000000" w:sz="4" w:space="0"/>
                    <w:bottom w:val="single" w:color="auto" w:sz="12" w:space="0"/>
                    <w:right w:val="single" w:color="000000" w:sz="4" w:space="0"/>
                  </w:tcBorders>
                  <w:vAlign w:val="center"/>
                </w:tcPr>
                <w:p w14:paraId="35ED05E7">
                  <w:pPr>
                    <w:pStyle w:val="18"/>
                    <w:spacing w:line="240" w:lineRule="auto"/>
                    <w:jc w:val="center"/>
                    <w:rPr>
                      <w:rFonts w:hint="eastAsia" w:eastAsia="宋体"/>
                      <w:color w:val="auto"/>
                      <w:szCs w:val="21"/>
                      <w:highlight w:val="none"/>
                      <w:lang w:eastAsia="zh-CN"/>
                    </w:rPr>
                  </w:pPr>
                  <w:r>
                    <w:rPr>
                      <w:rFonts w:hint="eastAsia"/>
                      <w:color w:val="auto"/>
                      <w:szCs w:val="21"/>
                      <w:highlight w:val="none"/>
                      <w:lang w:val="en-US" w:eastAsia="zh-CN"/>
                    </w:rPr>
                    <w:t>一体化处理设备</w:t>
                  </w:r>
                </w:p>
              </w:tc>
              <w:tc>
                <w:tcPr>
                  <w:tcW w:w="277" w:type="pct"/>
                  <w:tcBorders>
                    <w:top w:val="single" w:color="auto" w:sz="12" w:space="0"/>
                    <w:left w:val="single" w:color="000000" w:sz="4" w:space="0"/>
                    <w:bottom w:val="single" w:color="auto" w:sz="12" w:space="0"/>
                    <w:right w:val="single" w:color="000000" w:sz="4" w:space="0"/>
                  </w:tcBorders>
                  <w:vAlign w:val="center"/>
                </w:tcPr>
                <w:p w14:paraId="49DC43EF">
                  <w:pPr>
                    <w:pStyle w:val="18"/>
                    <w:spacing w:line="240" w:lineRule="auto"/>
                    <w:jc w:val="center"/>
                    <w:rPr>
                      <w:color w:val="auto"/>
                      <w:szCs w:val="21"/>
                      <w:highlight w:val="none"/>
                    </w:rPr>
                  </w:pPr>
                  <w:r>
                    <w:rPr>
                      <w:rFonts w:hint="eastAsia"/>
                      <w:color w:val="auto"/>
                      <w:szCs w:val="21"/>
                      <w:highlight w:val="none"/>
                      <w:lang w:val="en-US" w:eastAsia="zh-CN"/>
                    </w:rPr>
                    <w:t>直接</w:t>
                  </w:r>
                  <w:r>
                    <w:rPr>
                      <w:color w:val="auto"/>
                      <w:szCs w:val="21"/>
                      <w:highlight w:val="none"/>
                    </w:rPr>
                    <w:t>排放</w:t>
                  </w:r>
                </w:p>
              </w:tc>
              <w:tc>
                <w:tcPr>
                  <w:tcW w:w="474" w:type="pct"/>
                  <w:tcBorders>
                    <w:top w:val="single" w:color="auto" w:sz="12" w:space="0"/>
                    <w:left w:val="single" w:color="000000" w:sz="4" w:space="0"/>
                    <w:bottom w:val="single" w:color="auto" w:sz="12" w:space="0"/>
                    <w:right w:val="single" w:color="auto" w:sz="4" w:space="0"/>
                  </w:tcBorders>
                  <w:vAlign w:val="center"/>
                </w:tcPr>
                <w:p w14:paraId="32AC59D3">
                  <w:pPr>
                    <w:pStyle w:val="18"/>
                    <w:spacing w:line="240" w:lineRule="auto"/>
                    <w:jc w:val="center"/>
                    <w:rPr>
                      <w:color w:val="auto"/>
                      <w:szCs w:val="21"/>
                      <w:highlight w:val="none"/>
                    </w:rPr>
                  </w:pPr>
                  <w:r>
                    <w:rPr>
                      <w:color w:val="auto"/>
                      <w:spacing w:val="-6"/>
                      <w:szCs w:val="21"/>
                      <w:highlight w:val="none"/>
                    </w:rPr>
                    <w:t>连续排放，流量不稳定且无规律，但不属于冲击型排放</w:t>
                  </w:r>
                </w:p>
              </w:tc>
              <w:tc>
                <w:tcPr>
                  <w:tcW w:w="424" w:type="pct"/>
                  <w:tcBorders>
                    <w:top w:val="single" w:color="auto" w:sz="12" w:space="0"/>
                    <w:left w:val="single" w:color="auto" w:sz="4" w:space="0"/>
                    <w:bottom w:val="single" w:color="auto" w:sz="12" w:space="0"/>
                  </w:tcBorders>
                  <w:vAlign w:val="center"/>
                </w:tcPr>
                <w:p w14:paraId="49C22C38">
                  <w:pPr>
                    <w:pStyle w:val="18"/>
                    <w:spacing w:after="0" w:line="240" w:lineRule="auto"/>
                    <w:jc w:val="center"/>
                    <w:rPr>
                      <w:color w:val="auto"/>
                      <w:szCs w:val="21"/>
                      <w:highlight w:val="none"/>
                    </w:rPr>
                  </w:pPr>
                  <w:r>
                    <w:rPr>
                      <w:color w:val="auto"/>
                      <w:kern w:val="0"/>
                      <w:szCs w:val="21"/>
                      <w:highlight w:val="none"/>
                      <w:lang w:bidi="ar"/>
                    </w:rPr>
                    <w:t>一般排放口</w:t>
                  </w:r>
                </w:p>
              </w:tc>
            </w:tr>
          </w:tbl>
          <w:p w14:paraId="6B478B62">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2.3</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废水处理可行性分析</w:t>
            </w:r>
          </w:p>
          <w:p w14:paraId="4B07157E">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本项目产生的废水水质满足</w:t>
            </w:r>
            <w:r>
              <w:rPr>
                <w:rFonts w:hint="eastAsia" w:cs="Times New Roman"/>
                <w:color w:val="auto"/>
                <w:kern w:val="0"/>
                <w:sz w:val="24"/>
                <w:lang w:val="en-US" w:eastAsia="zh-CN"/>
              </w:rPr>
              <w:t>《农村生活污水处理排放标准（发布稿）》（DB65/4275-2019）表1农村生活污水处理设施水污染物排放限值(日均值)标准及表2农村生活污水处理设施出水用于生态恢复的污染物排放限值(日均值)</w:t>
            </w:r>
            <w:r>
              <w:rPr>
                <w:rFonts w:ascii="Times New Roman" w:hAnsi="Times New Roman" w:eastAsia="宋体" w:cs="Times New Roman"/>
                <w:color w:val="auto"/>
                <w:kern w:val="0"/>
                <w:sz w:val="24"/>
              </w:rPr>
              <w:t>，废水总排放量为</w:t>
            </w:r>
            <w:r>
              <w:rPr>
                <w:rFonts w:hint="eastAsia" w:cs="Times New Roman"/>
                <w:color w:val="auto"/>
                <w:kern w:val="0"/>
                <w:sz w:val="24"/>
                <w:lang w:val="en-US" w:eastAsia="zh-CN"/>
              </w:rPr>
              <w:t>362.88</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2.016</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本项目产生的生产废水循环利用，不外排；项目产生的生活污水经</w:t>
            </w:r>
            <w:r>
              <w:rPr>
                <w:rFonts w:hint="eastAsia" w:cs="Times New Roman"/>
                <w:color w:val="auto"/>
                <w:kern w:val="0"/>
                <w:sz w:val="24"/>
                <w:lang w:val="en-US" w:eastAsia="zh-CN"/>
              </w:rPr>
              <w:t>地埋式</w:t>
            </w:r>
            <w:r>
              <w:rPr>
                <w:rFonts w:hint="eastAsia" w:ascii="Times New Roman" w:hAnsi="Times New Roman" w:eastAsia="宋体" w:cs="Times New Roman"/>
                <w:color w:val="auto"/>
                <w:kern w:val="0"/>
                <w:sz w:val="24"/>
              </w:rPr>
              <w:t>一体化污水处理</w:t>
            </w:r>
            <w:r>
              <w:rPr>
                <w:rFonts w:hint="eastAsia" w:cs="Times New Roman"/>
                <w:color w:val="auto"/>
                <w:kern w:val="0"/>
                <w:sz w:val="24"/>
                <w:lang w:val="en-US" w:eastAsia="zh-CN"/>
              </w:rPr>
              <w:t>设施</w:t>
            </w:r>
            <w:r>
              <w:rPr>
                <w:rFonts w:hint="eastAsia" w:ascii="Times New Roman" w:hAnsi="Times New Roman" w:eastAsia="宋体" w:cs="Times New Roman"/>
                <w:color w:val="auto"/>
                <w:kern w:val="0"/>
                <w:sz w:val="24"/>
              </w:rPr>
              <w:t>处理达标后用于</w:t>
            </w:r>
            <w:r>
              <w:rPr>
                <w:rFonts w:hint="eastAsia" w:cs="Times New Roman"/>
                <w:color w:val="auto"/>
                <w:kern w:val="0"/>
                <w:sz w:val="24"/>
                <w:lang w:val="en-US" w:eastAsia="zh-CN"/>
              </w:rPr>
              <w:t>厂区绿化</w:t>
            </w:r>
            <w:r>
              <w:rPr>
                <w:rFonts w:hint="eastAsia" w:ascii="Times New Roman" w:hAnsi="Times New Roman" w:eastAsia="宋体" w:cs="Times New Roman"/>
                <w:color w:val="auto"/>
                <w:kern w:val="0"/>
                <w:sz w:val="24"/>
              </w:rPr>
              <w:t>。</w:t>
            </w:r>
          </w:p>
          <w:p w14:paraId="49CA7078">
            <w:pPr>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根据《排污许可证申请与核发技术规范 水泥工业》（HJ 847-2017）中“生活污水采用生物处理技术（普通活性污泥法、A/O法、接触氧化法等均为可行技术”，则本项目一体化污水处理工艺采用A/O+生物接触氧化工艺处理生活污水为可行技术。</w:t>
            </w:r>
          </w:p>
          <w:p w14:paraId="31DC77FB">
            <w:pPr>
              <w:pStyle w:val="20"/>
              <w:tabs>
                <w:tab w:val="left" w:pos="713"/>
              </w:tabs>
              <w:ind w:left="0" w:leftChars="0" w:firstLine="480" w:firstLineChars="200"/>
              <w:rPr>
                <w:rFonts w:hint="eastAsia" w:cs="Times New Roman"/>
                <w:color w:val="auto"/>
                <w:kern w:val="0"/>
                <w:sz w:val="24"/>
                <w:lang w:val="en-US" w:eastAsia="zh-CN"/>
              </w:rPr>
            </w:pPr>
            <w:r>
              <w:rPr>
                <w:rFonts w:hint="eastAsia" w:cs="Times New Roman"/>
                <w:color w:val="auto"/>
                <w:kern w:val="0"/>
                <w:sz w:val="24"/>
                <w:lang w:val="en-US" w:eastAsia="zh-CN"/>
              </w:rPr>
              <w:t>污水处理工艺见下图</w:t>
            </w:r>
          </w:p>
          <w:p w14:paraId="21928BFF">
            <w:pPr>
              <w:rPr>
                <w:rFonts w:hint="eastAsia"/>
                <w:lang w:val="en-US" w:eastAsia="zh-CN"/>
              </w:rPr>
            </w:pPr>
            <w:r>
              <w:rPr>
                <w:rFonts w:hint="eastAsia"/>
                <w:lang w:val="en-US" w:eastAsia="zh-CN"/>
              </w:rPr>
              <w:drawing>
                <wp:inline distT="0" distB="0" distL="114300" distR="114300">
                  <wp:extent cx="4965700" cy="1393825"/>
                  <wp:effectExtent l="0" t="0" r="0" b="0"/>
                  <wp:docPr id="3" name="ECB019B1-382A-4266-B25C-5B523AA43C14-3" descr="C:/Users/a's/AppData/Local/Temp/wps.TfrPP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a's/AppData/Local/Temp/wps.TfrPPxwps"/>
                          <pic:cNvPicPr>
                            <a:picLocks noChangeAspect="1"/>
                          </pic:cNvPicPr>
                        </pic:nvPicPr>
                        <pic:blipFill>
                          <a:blip r:embed="rId12"/>
                          <a:stretch>
                            <a:fillRect/>
                          </a:stretch>
                        </pic:blipFill>
                        <pic:spPr>
                          <a:xfrm>
                            <a:off x="0" y="0"/>
                            <a:ext cx="4965700" cy="1393825"/>
                          </a:xfrm>
                          <a:prstGeom prst="rect">
                            <a:avLst/>
                          </a:prstGeom>
                        </pic:spPr>
                      </pic:pic>
                    </a:graphicData>
                  </a:graphic>
                </wp:inline>
              </w:drawing>
            </w:r>
          </w:p>
          <w:p w14:paraId="02AB7EF4">
            <w:pPr>
              <w:rPr>
                <w:rFonts w:hint="default"/>
                <w:lang w:val="en-US" w:eastAsia="zh-CN"/>
              </w:rPr>
            </w:pPr>
          </w:p>
          <w:p w14:paraId="660E352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本</w:t>
            </w:r>
            <w:r>
              <w:rPr>
                <w:rFonts w:hint="eastAsia" w:cs="Times New Roman"/>
                <w:color w:val="auto"/>
                <w:kern w:val="0"/>
                <w:sz w:val="24"/>
                <w:lang w:val="en-US" w:eastAsia="zh-CN"/>
              </w:rPr>
              <w:t>项目食堂污水经过隔油池处理后和</w:t>
            </w:r>
            <w:r>
              <w:rPr>
                <w:rFonts w:hint="eastAsia" w:ascii="Times New Roman" w:hAnsi="Times New Roman" w:eastAsia="宋体" w:cs="Times New Roman"/>
                <w:color w:val="auto"/>
                <w:kern w:val="0"/>
                <w:sz w:val="24"/>
              </w:rPr>
              <w:t>生活污水</w:t>
            </w:r>
            <w:r>
              <w:rPr>
                <w:rFonts w:hint="eastAsia" w:cs="Times New Roman"/>
                <w:color w:val="auto"/>
                <w:kern w:val="0"/>
                <w:sz w:val="24"/>
                <w:lang w:val="en-US" w:eastAsia="zh-CN"/>
              </w:rPr>
              <w:t>一同</w:t>
            </w:r>
            <w:r>
              <w:rPr>
                <w:rFonts w:hint="eastAsia" w:ascii="Times New Roman" w:hAnsi="Times New Roman" w:eastAsia="宋体" w:cs="Times New Roman"/>
                <w:color w:val="auto"/>
                <w:kern w:val="0"/>
                <w:sz w:val="24"/>
              </w:rPr>
              <w:t>经管道自流进入集渣格栅池，经格栅池拦污后进入调节池，调节池内污水采用污水提升泵提升至一体化处理设备中。一体化设备内含A级生化池、O级生化池、沉淀池、</w:t>
            </w:r>
            <w:r>
              <w:rPr>
                <w:rFonts w:hint="eastAsia" w:ascii="Times New Roman" w:hAnsi="Times New Roman" w:eastAsia="宋体" w:cs="Times New Roman"/>
                <w:color w:val="auto"/>
                <w:kern w:val="0"/>
                <w:sz w:val="24"/>
                <w:lang w:eastAsia="zh-CN"/>
              </w:rPr>
              <w:t>净化池</w:t>
            </w:r>
            <w:r>
              <w:rPr>
                <w:rFonts w:hint="eastAsia" w:ascii="Times New Roman" w:hAnsi="Times New Roman" w:eastAsia="宋体" w:cs="Times New Roman"/>
                <w:color w:val="auto"/>
                <w:kern w:val="0"/>
                <w:sz w:val="24"/>
              </w:rPr>
              <w:t>和污泥池。经过A级池的生化作用</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为了使有机物得到进一步氧化分解，特设置O级生化池，A</w:t>
            </w:r>
            <w:r>
              <w:rPr>
                <w:rFonts w:hint="eastAsia" w:cs="Times New Roman"/>
                <w:color w:val="auto"/>
                <w:kern w:val="0"/>
                <w:sz w:val="24"/>
                <w:lang w:eastAsia="zh-CN"/>
              </w:rPr>
              <w:t>级</w:t>
            </w:r>
            <w:r>
              <w:rPr>
                <w:rFonts w:hint="eastAsia" w:ascii="Times New Roman" w:hAnsi="Times New Roman" w:eastAsia="宋体" w:cs="Times New Roman"/>
                <w:color w:val="auto"/>
                <w:kern w:val="0"/>
                <w:sz w:val="24"/>
              </w:rPr>
              <w:t>池出水自流入O级池，O级池的处理依靠自氧型细菌（硝化菌）利用有机物分解产生的无机碳或空气中的CO</w:t>
            </w:r>
            <w:r>
              <w:rPr>
                <w:rFonts w:hint="eastAsia" w:ascii="Times New Roman" w:hAnsi="Times New Roman" w:eastAsia="宋体" w:cs="Times New Roman"/>
                <w:color w:val="auto"/>
                <w:kern w:val="0"/>
                <w:sz w:val="24"/>
                <w:vertAlign w:val="subscript"/>
              </w:rPr>
              <w:t>2</w:t>
            </w:r>
            <w:r>
              <w:rPr>
                <w:rFonts w:hint="eastAsia" w:ascii="Times New Roman" w:hAnsi="Times New Roman" w:eastAsia="宋体" w:cs="Times New Roman"/>
                <w:color w:val="auto"/>
                <w:kern w:val="0"/>
                <w:sz w:val="24"/>
              </w:rPr>
              <w:t>作为营养源，O级池的出水一部分回流到A级池进行内循环，以达到反硝化目的。</w:t>
            </w:r>
            <w:r>
              <w:rPr>
                <w:rFonts w:hint="eastAsia" w:ascii="Times New Roman" w:hAnsi="Times New Roman" w:eastAsia="宋体" w:cs="Times New Roman"/>
                <w:color w:val="auto"/>
                <w:kern w:val="0"/>
                <w:sz w:val="24"/>
                <w:lang w:eastAsia="zh-CN"/>
              </w:rPr>
              <w:t>生化</w:t>
            </w:r>
            <w:r>
              <w:rPr>
                <w:rFonts w:hint="eastAsia" w:ascii="Times New Roman" w:hAnsi="Times New Roman" w:eastAsia="宋体" w:cs="Times New Roman"/>
                <w:color w:val="auto"/>
                <w:kern w:val="0"/>
                <w:sz w:val="24"/>
              </w:rPr>
              <w:t>池内配置空气曝气装置，进行空气搅拌，使池中的污泥和污水混合，并使之处于悬浮状态，以保证有机物降解和NH</w:t>
            </w:r>
            <w:r>
              <w:rPr>
                <w:rFonts w:hint="eastAsia" w:ascii="Times New Roman" w:hAnsi="Times New Roman" w:eastAsia="宋体" w:cs="Times New Roman"/>
                <w:color w:val="auto"/>
                <w:kern w:val="0"/>
                <w:sz w:val="24"/>
                <w:vertAlign w:val="subscript"/>
              </w:rPr>
              <w:t>3</w:t>
            </w:r>
            <w:r>
              <w:rPr>
                <w:rFonts w:hint="eastAsia" w:ascii="Times New Roman" w:hAnsi="Times New Roman" w:eastAsia="宋体" w:cs="Times New Roman"/>
                <w:color w:val="auto"/>
                <w:kern w:val="0"/>
                <w:sz w:val="24"/>
              </w:rPr>
              <w:t>-N的脱除效果；另一部分进入沉淀池进行固液分离，固液分离后的出水进入</w:t>
            </w:r>
            <w:r>
              <w:rPr>
                <w:rFonts w:hint="eastAsia" w:ascii="Times New Roman" w:hAnsi="Times New Roman" w:eastAsia="宋体" w:cs="Times New Roman"/>
                <w:color w:val="auto"/>
                <w:kern w:val="0"/>
                <w:sz w:val="24"/>
                <w:lang w:eastAsia="zh-CN"/>
              </w:rPr>
              <w:t>净化池</w:t>
            </w:r>
            <w:r>
              <w:rPr>
                <w:rFonts w:hint="eastAsia" w:ascii="Times New Roman" w:hAnsi="Times New Roman" w:eastAsia="宋体" w:cs="Times New Roman"/>
                <w:color w:val="auto"/>
                <w:kern w:val="0"/>
                <w:sz w:val="24"/>
              </w:rPr>
              <w:t>，经</w:t>
            </w:r>
            <w:r>
              <w:rPr>
                <w:rFonts w:hint="eastAsia" w:ascii="Times New Roman" w:hAnsi="Times New Roman" w:eastAsia="宋体" w:cs="Times New Roman"/>
                <w:color w:val="auto"/>
                <w:kern w:val="0"/>
                <w:sz w:val="24"/>
                <w:lang w:eastAsia="zh-CN"/>
              </w:rPr>
              <w:t>净化池</w:t>
            </w:r>
            <w:r>
              <w:rPr>
                <w:rFonts w:hint="eastAsia" w:ascii="Times New Roman" w:hAnsi="Times New Roman" w:eastAsia="宋体" w:cs="Times New Roman"/>
                <w:color w:val="auto"/>
                <w:kern w:val="0"/>
                <w:sz w:val="24"/>
              </w:rPr>
              <w:t>处理后即可排放</w:t>
            </w:r>
            <w:r>
              <w:rPr>
                <w:rFonts w:hint="eastAsia" w:ascii="Times New Roman" w:hAnsi="Times New Roman" w:eastAsia="宋体" w:cs="Times New Roman"/>
                <w:color w:val="auto"/>
                <w:kern w:val="0"/>
                <w:sz w:val="24"/>
                <w:lang w:eastAsia="zh-CN"/>
              </w:rPr>
              <w:t>。</w:t>
            </w:r>
          </w:p>
          <w:p w14:paraId="0102F291">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3.</w:t>
            </w:r>
            <w:r>
              <w:rPr>
                <w:rFonts w:hint="eastAsia" w:ascii="Times New Roman" w:hAnsi="Times New Roman" w:eastAsia="宋体" w:cs="Times New Roman"/>
                <w:b/>
                <w:bCs/>
                <w:color w:val="auto"/>
                <w:sz w:val="24"/>
              </w:rPr>
              <w:t>噪声</w:t>
            </w:r>
          </w:p>
          <w:p w14:paraId="7E50B99A">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噪声声源分析</w:t>
            </w:r>
          </w:p>
          <w:p w14:paraId="7E36CA86">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本项目噪声来自生产设备运行时发出的噪声，包括搅拌机、输送设备、泵类、运输车辆噪声等。声压级为7</w:t>
            </w:r>
            <w:r>
              <w:rPr>
                <w:rFonts w:hint="eastAsia" w:ascii="Times New Roman" w:hAnsi="Times New Roman" w:eastAsia="宋体" w:cs="Times New Roman"/>
                <w:color w:val="auto"/>
                <w:kern w:val="0"/>
                <w:sz w:val="24"/>
                <w:szCs w:val="24"/>
                <w:lang w:val="en-US" w:eastAsia="zh-CN" w:bidi="ar-SA"/>
              </w:rPr>
              <w:t>5</w:t>
            </w: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9</w:t>
            </w:r>
            <w:r>
              <w:rPr>
                <w:rFonts w:hint="eastAsia" w:cs="Times New Roman"/>
                <w:color w:val="auto"/>
                <w:kern w:val="0"/>
                <w:sz w:val="24"/>
                <w:szCs w:val="24"/>
                <w:lang w:val="en-US" w:eastAsia="zh-CN" w:bidi="ar-SA"/>
              </w:rPr>
              <w:t>0</w:t>
            </w:r>
            <w:r>
              <w:rPr>
                <w:rFonts w:ascii="Times New Roman" w:hAnsi="Times New Roman" w:eastAsia="宋体" w:cs="Times New Roman"/>
                <w:color w:val="auto"/>
                <w:kern w:val="0"/>
                <w:sz w:val="24"/>
                <w:szCs w:val="24"/>
                <w:lang w:val="en-US" w:eastAsia="zh-CN" w:bidi="ar-SA"/>
              </w:rPr>
              <w:t>dB（A）。声源集中在生产车间，其噪声源强见表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8</w:t>
            </w:r>
            <w:r>
              <w:rPr>
                <w:rFonts w:ascii="Times New Roman" w:hAnsi="Times New Roman" w:eastAsia="宋体" w:cs="Times New Roman"/>
                <w:color w:val="auto"/>
                <w:kern w:val="0"/>
                <w:sz w:val="24"/>
                <w:szCs w:val="24"/>
                <w:lang w:val="en-US" w:eastAsia="zh-CN" w:bidi="ar-SA"/>
              </w:rPr>
              <w:t>。</w:t>
            </w:r>
          </w:p>
          <w:p w14:paraId="52DE0BB7">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cs="Times New Roman"/>
                <w:color w:val="auto"/>
                <w:lang w:val="en-US" w:eastAsia="zh-CN"/>
              </w:rPr>
              <w:t>8</w:t>
            </w:r>
            <w:r>
              <w:rPr>
                <w:rFonts w:hint="default" w:ascii="Times New Roman" w:hAnsi="Times New Roman" w:eastAsia="宋体" w:cs="Times New Roman"/>
                <w:color w:val="auto"/>
              </w:rPr>
              <w:t xml:space="preserve">    本项目主要噪声一览表</w:t>
            </w:r>
          </w:p>
          <w:tbl>
            <w:tblPr>
              <w:tblStyle w:val="22"/>
              <w:tblW w:w="4998" w:type="pct"/>
              <w:tblInd w:w="5" w:type="dxa"/>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98"/>
              <w:gridCol w:w="980"/>
              <w:gridCol w:w="398"/>
              <w:gridCol w:w="552"/>
              <w:gridCol w:w="472"/>
              <w:gridCol w:w="531"/>
              <w:gridCol w:w="1456"/>
              <w:gridCol w:w="2081"/>
              <w:gridCol w:w="1076"/>
            </w:tblGrid>
            <w:tr w14:paraId="0F8F75BF">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vMerge w:val="restart"/>
                  <w:tcBorders>
                    <w:tl2br w:val="nil"/>
                    <w:tr2bl w:val="nil"/>
                  </w:tcBorders>
                  <w:vAlign w:val="center"/>
                </w:tcPr>
                <w:p w14:paraId="0BB2D3D3">
                  <w:pPr>
                    <w:jc w:val="center"/>
                    <w:rPr>
                      <w:rFonts w:hint="eastAsia" w:eastAsia="宋体"/>
                      <w:vertAlign w:val="baseline"/>
                      <w:lang w:val="en-US" w:eastAsia="zh-CN"/>
                    </w:rPr>
                  </w:pPr>
                  <w:r>
                    <w:rPr>
                      <w:rFonts w:hint="eastAsia"/>
                      <w:vertAlign w:val="baseline"/>
                      <w:lang w:val="en-US" w:eastAsia="zh-CN"/>
                    </w:rPr>
                    <w:t>序号</w:t>
                  </w:r>
                </w:p>
              </w:tc>
              <w:tc>
                <w:tcPr>
                  <w:tcW w:w="616" w:type="pct"/>
                  <w:vMerge w:val="restart"/>
                  <w:tcBorders>
                    <w:tl2br w:val="nil"/>
                    <w:tr2bl w:val="nil"/>
                  </w:tcBorders>
                  <w:vAlign w:val="center"/>
                </w:tcPr>
                <w:p w14:paraId="4D014DD2">
                  <w:pPr>
                    <w:jc w:val="center"/>
                    <w:rPr>
                      <w:rFonts w:hint="eastAsia" w:eastAsia="宋体"/>
                      <w:vertAlign w:val="baseline"/>
                      <w:lang w:val="en-US" w:eastAsia="zh-CN"/>
                    </w:rPr>
                  </w:pPr>
                  <w:r>
                    <w:rPr>
                      <w:rFonts w:hint="eastAsia"/>
                      <w:vertAlign w:val="baseline"/>
                      <w:lang w:val="en-US" w:eastAsia="zh-CN"/>
                    </w:rPr>
                    <w:t>声源名称</w:t>
                  </w:r>
                </w:p>
              </w:tc>
              <w:tc>
                <w:tcPr>
                  <w:tcW w:w="250" w:type="pct"/>
                  <w:vMerge w:val="restart"/>
                  <w:tcBorders>
                    <w:tl2br w:val="nil"/>
                    <w:tr2bl w:val="nil"/>
                  </w:tcBorders>
                  <w:vAlign w:val="center"/>
                </w:tcPr>
                <w:p w14:paraId="4A8E7EA6">
                  <w:pPr>
                    <w:jc w:val="center"/>
                    <w:rPr>
                      <w:rFonts w:hint="eastAsia" w:eastAsia="宋体"/>
                      <w:vertAlign w:val="baseline"/>
                      <w:lang w:val="en-US" w:eastAsia="zh-CN"/>
                    </w:rPr>
                  </w:pPr>
                  <w:r>
                    <w:rPr>
                      <w:rFonts w:hint="eastAsia"/>
                      <w:vertAlign w:val="baseline"/>
                      <w:lang w:val="en-US" w:eastAsia="zh-CN"/>
                    </w:rPr>
                    <w:t>型号</w:t>
                  </w:r>
                </w:p>
              </w:tc>
              <w:tc>
                <w:tcPr>
                  <w:tcW w:w="978" w:type="pct"/>
                  <w:gridSpan w:val="3"/>
                  <w:tcBorders>
                    <w:bottom w:val="single" w:color="auto" w:sz="4" w:space="0"/>
                    <w:tl2br w:val="nil"/>
                    <w:tr2bl w:val="nil"/>
                  </w:tcBorders>
                  <w:vAlign w:val="center"/>
                </w:tcPr>
                <w:p w14:paraId="07CFF032">
                  <w:pPr>
                    <w:jc w:val="center"/>
                    <w:rPr>
                      <w:rFonts w:hint="default"/>
                      <w:vertAlign w:val="baseline"/>
                    </w:rPr>
                  </w:pPr>
                  <w:r>
                    <w:rPr>
                      <w:rFonts w:hint="eastAsia" w:cs="Times New Roman"/>
                      <w:kern w:val="2"/>
                      <w:sz w:val="21"/>
                      <w:szCs w:val="24"/>
                      <w:lang w:val="en-US" w:eastAsia="zh-CN" w:bidi="ar-SA"/>
                    </w:rPr>
                    <w:t>空间相对位置/m</w:t>
                  </w:r>
                </w:p>
              </w:tc>
              <w:tc>
                <w:tcPr>
                  <w:tcW w:w="916" w:type="pct"/>
                  <w:tcBorders>
                    <w:bottom w:val="single" w:color="auto" w:sz="4" w:space="0"/>
                    <w:tl2br w:val="nil"/>
                    <w:tr2bl w:val="nil"/>
                  </w:tcBorders>
                  <w:vAlign w:val="center"/>
                </w:tcPr>
                <w:p w14:paraId="24DCE701">
                  <w:pPr>
                    <w:jc w:val="center"/>
                    <w:rPr>
                      <w:rFonts w:hint="eastAsia" w:eastAsia="宋体"/>
                      <w:vertAlign w:val="baseline"/>
                      <w:lang w:val="en-US" w:eastAsia="zh-CN"/>
                    </w:rPr>
                  </w:pPr>
                  <w:r>
                    <w:rPr>
                      <w:rFonts w:hint="eastAsia"/>
                      <w:vertAlign w:val="baseline"/>
                      <w:lang w:val="en-US" w:eastAsia="zh-CN"/>
                    </w:rPr>
                    <w:t>声源源强</w:t>
                  </w:r>
                </w:p>
              </w:tc>
              <w:tc>
                <w:tcPr>
                  <w:tcW w:w="1309" w:type="pct"/>
                  <w:vMerge w:val="restart"/>
                  <w:tcBorders>
                    <w:tl2br w:val="nil"/>
                    <w:tr2bl w:val="nil"/>
                  </w:tcBorders>
                  <w:vAlign w:val="center"/>
                </w:tcPr>
                <w:p w14:paraId="194CFA13">
                  <w:pPr>
                    <w:jc w:val="center"/>
                    <w:rPr>
                      <w:rFonts w:hint="default" w:eastAsia="宋体"/>
                      <w:vertAlign w:val="baseline"/>
                      <w:lang w:val="en-US" w:eastAsia="zh-CN"/>
                    </w:rPr>
                  </w:pPr>
                  <w:r>
                    <w:rPr>
                      <w:rFonts w:hint="eastAsia"/>
                      <w:vertAlign w:val="baseline"/>
                      <w:lang w:val="en-US" w:eastAsia="zh-CN"/>
                    </w:rPr>
                    <w:t>声源控制措施</w:t>
                  </w:r>
                </w:p>
              </w:tc>
              <w:tc>
                <w:tcPr>
                  <w:tcW w:w="677" w:type="pct"/>
                  <w:vMerge w:val="restart"/>
                  <w:tcBorders>
                    <w:tl2br w:val="nil"/>
                    <w:tr2bl w:val="nil"/>
                  </w:tcBorders>
                  <w:vAlign w:val="center"/>
                </w:tcPr>
                <w:p w14:paraId="2287B03C">
                  <w:pPr>
                    <w:jc w:val="center"/>
                    <w:rPr>
                      <w:rFonts w:hint="eastAsia" w:eastAsia="宋体"/>
                      <w:vertAlign w:val="baseline"/>
                      <w:lang w:val="en-US" w:eastAsia="zh-CN"/>
                    </w:rPr>
                  </w:pPr>
                  <w:r>
                    <w:rPr>
                      <w:rFonts w:hint="eastAsia"/>
                      <w:vertAlign w:val="baseline"/>
                      <w:lang w:val="en-US" w:eastAsia="zh-CN"/>
                    </w:rPr>
                    <w:t>运行时段</w:t>
                  </w:r>
                </w:p>
              </w:tc>
            </w:tr>
            <w:tr w14:paraId="714107E5">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vMerge w:val="continue"/>
                  <w:tcBorders>
                    <w:bottom w:val="single" w:color="000000" w:sz="12" w:space="0"/>
                    <w:tl2br w:val="nil"/>
                    <w:tr2bl w:val="nil"/>
                  </w:tcBorders>
                  <w:vAlign w:val="center"/>
                </w:tcPr>
                <w:p w14:paraId="00BC707B">
                  <w:pPr>
                    <w:jc w:val="center"/>
                    <w:rPr>
                      <w:rFonts w:hint="default"/>
                      <w:vertAlign w:val="baseline"/>
                    </w:rPr>
                  </w:pPr>
                </w:p>
              </w:tc>
              <w:tc>
                <w:tcPr>
                  <w:tcW w:w="616" w:type="pct"/>
                  <w:vMerge w:val="continue"/>
                  <w:tcBorders>
                    <w:bottom w:val="single" w:color="000000" w:sz="12" w:space="0"/>
                    <w:tl2br w:val="nil"/>
                    <w:tr2bl w:val="nil"/>
                  </w:tcBorders>
                  <w:vAlign w:val="center"/>
                </w:tcPr>
                <w:p w14:paraId="31877DE2">
                  <w:pPr>
                    <w:jc w:val="center"/>
                    <w:rPr>
                      <w:rFonts w:hint="default"/>
                      <w:vertAlign w:val="baseline"/>
                    </w:rPr>
                  </w:pPr>
                </w:p>
              </w:tc>
              <w:tc>
                <w:tcPr>
                  <w:tcW w:w="250" w:type="pct"/>
                  <w:vMerge w:val="continue"/>
                  <w:tcBorders>
                    <w:bottom w:val="single" w:color="000000" w:sz="12" w:space="0"/>
                    <w:tl2br w:val="nil"/>
                    <w:tr2bl w:val="nil"/>
                  </w:tcBorders>
                  <w:vAlign w:val="center"/>
                </w:tcPr>
                <w:p w14:paraId="32344E9F">
                  <w:pPr>
                    <w:jc w:val="center"/>
                    <w:rPr>
                      <w:rFonts w:hint="default"/>
                      <w:vertAlign w:val="baseline"/>
                    </w:rPr>
                  </w:pPr>
                </w:p>
              </w:tc>
              <w:tc>
                <w:tcPr>
                  <w:tcW w:w="347" w:type="pct"/>
                  <w:tcBorders>
                    <w:top w:val="single" w:color="auto" w:sz="4" w:space="0"/>
                    <w:bottom w:val="single" w:color="000000" w:sz="12" w:space="0"/>
                  </w:tcBorders>
                  <w:vAlign w:val="center"/>
                </w:tcPr>
                <w:p w14:paraId="238EB8BF">
                  <w:pPr>
                    <w:jc w:val="center"/>
                    <w:rPr>
                      <w:rFonts w:hint="eastAsia" w:eastAsia="宋体"/>
                      <w:vertAlign w:val="baseline"/>
                      <w:lang w:val="en-US" w:eastAsia="zh-CN"/>
                    </w:rPr>
                  </w:pPr>
                  <w:r>
                    <w:rPr>
                      <w:rFonts w:hint="eastAsia"/>
                      <w:vertAlign w:val="baseline"/>
                      <w:lang w:val="en-US" w:eastAsia="zh-CN"/>
                    </w:rPr>
                    <w:t>X</w:t>
                  </w:r>
                </w:p>
              </w:tc>
              <w:tc>
                <w:tcPr>
                  <w:tcW w:w="297" w:type="pct"/>
                  <w:tcBorders>
                    <w:top w:val="single" w:color="auto" w:sz="4" w:space="0"/>
                    <w:bottom w:val="single" w:color="000000" w:sz="12" w:space="0"/>
                  </w:tcBorders>
                  <w:vAlign w:val="center"/>
                </w:tcPr>
                <w:p w14:paraId="205E2E9B">
                  <w:pPr>
                    <w:jc w:val="center"/>
                    <w:rPr>
                      <w:rFonts w:hint="eastAsia" w:eastAsia="宋体"/>
                      <w:vertAlign w:val="baseline"/>
                      <w:lang w:val="en-US" w:eastAsia="zh-CN"/>
                    </w:rPr>
                  </w:pPr>
                  <w:r>
                    <w:rPr>
                      <w:rFonts w:hint="eastAsia"/>
                      <w:vertAlign w:val="baseline"/>
                      <w:lang w:val="en-US" w:eastAsia="zh-CN"/>
                    </w:rPr>
                    <w:t>Y</w:t>
                  </w:r>
                </w:p>
              </w:tc>
              <w:tc>
                <w:tcPr>
                  <w:tcW w:w="334" w:type="pct"/>
                  <w:tcBorders>
                    <w:top w:val="single" w:color="auto" w:sz="4" w:space="0"/>
                    <w:bottom w:val="single" w:color="000000" w:sz="12" w:space="0"/>
                  </w:tcBorders>
                  <w:vAlign w:val="center"/>
                </w:tcPr>
                <w:p w14:paraId="42E5B735">
                  <w:pPr>
                    <w:jc w:val="center"/>
                    <w:rPr>
                      <w:rFonts w:hint="default" w:eastAsia="宋体"/>
                      <w:vertAlign w:val="baseline"/>
                      <w:lang w:val="en-US" w:eastAsia="zh-CN"/>
                    </w:rPr>
                  </w:pPr>
                  <w:r>
                    <w:rPr>
                      <w:rFonts w:hint="eastAsia"/>
                      <w:vertAlign w:val="baseline"/>
                      <w:lang w:val="en-US" w:eastAsia="zh-CN"/>
                    </w:rPr>
                    <w:t>Z</w:t>
                  </w:r>
                </w:p>
              </w:tc>
              <w:tc>
                <w:tcPr>
                  <w:tcW w:w="916" w:type="pct"/>
                  <w:tcBorders>
                    <w:top w:val="single" w:color="auto" w:sz="4" w:space="0"/>
                    <w:bottom w:val="single" w:color="000000" w:sz="12" w:space="0"/>
                  </w:tcBorders>
                  <w:vAlign w:val="center"/>
                </w:tcPr>
                <w:p w14:paraId="7EBB70F8">
                  <w:pPr>
                    <w:jc w:val="center"/>
                    <w:rPr>
                      <w:rFonts w:hint="default" w:eastAsia="宋体"/>
                      <w:vertAlign w:val="baseline"/>
                      <w:lang w:val="en-US" w:eastAsia="zh-CN"/>
                    </w:rPr>
                  </w:pPr>
                  <w:r>
                    <w:rPr>
                      <w:rFonts w:hint="eastAsia"/>
                      <w:vertAlign w:val="baseline"/>
                      <w:lang w:val="en-US" w:eastAsia="zh-CN"/>
                    </w:rPr>
                    <w:t>声功率级/dB（A）</w:t>
                  </w:r>
                </w:p>
              </w:tc>
              <w:tc>
                <w:tcPr>
                  <w:tcW w:w="1309" w:type="pct"/>
                  <w:vMerge w:val="continue"/>
                  <w:tcBorders>
                    <w:bottom w:val="single" w:color="000000" w:sz="12" w:space="0"/>
                    <w:tl2br w:val="nil"/>
                    <w:tr2bl w:val="nil"/>
                  </w:tcBorders>
                  <w:vAlign w:val="center"/>
                </w:tcPr>
                <w:p w14:paraId="37336881">
                  <w:pPr>
                    <w:jc w:val="center"/>
                    <w:rPr>
                      <w:rFonts w:hint="default"/>
                      <w:vertAlign w:val="baseline"/>
                    </w:rPr>
                  </w:pPr>
                </w:p>
              </w:tc>
              <w:tc>
                <w:tcPr>
                  <w:tcW w:w="677" w:type="pct"/>
                  <w:vMerge w:val="continue"/>
                  <w:tcBorders>
                    <w:bottom w:val="single" w:color="000000" w:sz="12" w:space="0"/>
                    <w:tl2br w:val="nil"/>
                    <w:tr2bl w:val="nil"/>
                  </w:tcBorders>
                  <w:vAlign w:val="center"/>
                </w:tcPr>
                <w:p w14:paraId="0C41B01E">
                  <w:pPr>
                    <w:jc w:val="center"/>
                    <w:rPr>
                      <w:rFonts w:hint="default"/>
                      <w:vertAlign w:val="baseline"/>
                    </w:rPr>
                  </w:pPr>
                </w:p>
              </w:tc>
            </w:tr>
            <w:tr w14:paraId="6059143D">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tcBorders>
                    <w:top w:val="single" w:color="000000" w:sz="12" w:space="0"/>
                    <w:bottom w:val="single" w:color="000000" w:sz="4" w:space="0"/>
                    <w:tl2br w:val="nil"/>
                    <w:tr2bl w:val="nil"/>
                  </w:tcBorders>
                  <w:vAlign w:val="center"/>
                </w:tcPr>
                <w:p w14:paraId="427AA09C">
                  <w:pPr>
                    <w:jc w:val="center"/>
                    <w:rPr>
                      <w:rFonts w:hint="eastAsia" w:eastAsia="宋体"/>
                      <w:vertAlign w:val="baseline"/>
                      <w:lang w:val="en-US" w:eastAsia="zh-CN"/>
                    </w:rPr>
                  </w:pPr>
                  <w:r>
                    <w:rPr>
                      <w:rFonts w:hint="eastAsia"/>
                      <w:vertAlign w:val="baseline"/>
                      <w:lang w:val="en-US" w:eastAsia="zh-CN"/>
                    </w:rPr>
                    <w:t>1</w:t>
                  </w:r>
                </w:p>
              </w:tc>
              <w:tc>
                <w:tcPr>
                  <w:tcW w:w="616" w:type="pct"/>
                  <w:tcBorders>
                    <w:top w:val="single" w:color="000000" w:sz="12" w:space="0"/>
                    <w:bottom w:val="single" w:color="000000" w:sz="4" w:space="0"/>
                    <w:tl2br w:val="nil"/>
                    <w:tr2bl w:val="nil"/>
                  </w:tcBorders>
                  <w:vAlign w:val="center"/>
                </w:tcPr>
                <w:p w14:paraId="2350C7ED">
                  <w:pPr>
                    <w:jc w:val="center"/>
                    <w:rPr>
                      <w:rFonts w:hint="default" w:eastAsia="宋体"/>
                      <w:vertAlign w:val="baseline"/>
                      <w:lang w:val="en-US" w:eastAsia="zh-CN"/>
                    </w:rPr>
                  </w:pPr>
                  <w:r>
                    <w:rPr>
                      <w:rFonts w:hint="eastAsia"/>
                      <w:vertAlign w:val="baseline"/>
                      <w:lang w:val="en-US" w:eastAsia="zh-CN"/>
                    </w:rPr>
                    <w:t>搅拌机</w:t>
                  </w:r>
                </w:p>
              </w:tc>
              <w:tc>
                <w:tcPr>
                  <w:tcW w:w="250" w:type="pct"/>
                  <w:tcBorders>
                    <w:top w:val="single" w:color="000000" w:sz="12" w:space="0"/>
                    <w:bottom w:val="single" w:color="000000" w:sz="4" w:space="0"/>
                    <w:tl2br w:val="nil"/>
                    <w:tr2bl w:val="nil"/>
                  </w:tcBorders>
                  <w:vAlign w:val="center"/>
                </w:tcPr>
                <w:p w14:paraId="59B88248">
                  <w:pPr>
                    <w:jc w:val="center"/>
                    <w:rPr>
                      <w:rFonts w:hint="eastAsia" w:eastAsia="宋体"/>
                      <w:vertAlign w:val="baseline"/>
                      <w:lang w:val="en-US" w:eastAsia="zh-CN"/>
                    </w:rPr>
                  </w:pPr>
                  <w:r>
                    <w:rPr>
                      <w:rFonts w:hint="eastAsia"/>
                      <w:vertAlign w:val="baseline"/>
                      <w:lang w:val="en-US" w:eastAsia="zh-CN"/>
                    </w:rPr>
                    <w:t>/</w:t>
                  </w:r>
                </w:p>
              </w:tc>
              <w:tc>
                <w:tcPr>
                  <w:tcW w:w="347" w:type="pct"/>
                  <w:tcBorders>
                    <w:top w:val="single" w:color="000000" w:sz="12" w:space="0"/>
                    <w:bottom w:val="single" w:color="000000" w:sz="4" w:space="0"/>
                    <w:tl2br w:val="nil"/>
                    <w:tr2bl w:val="nil"/>
                  </w:tcBorders>
                  <w:vAlign w:val="center"/>
                </w:tcPr>
                <w:p w14:paraId="5F70CB7F">
                  <w:pPr>
                    <w:jc w:val="center"/>
                    <w:rPr>
                      <w:rFonts w:hint="default" w:eastAsia="宋体"/>
                      <w:vertAlign w:val="baseline"/>
                      <w:lang w:val="en-US" w:eastAsia="zh-CN"/>
                    </w:rPr>
                  </w:pPr>
                  <w:r>
                    <w:rPr>
                      <w:rFonts w:hint="eastAsia"/>
                      <w:vertAlign w:val="baseline"/>
                      <w:lang w:val="en-US" w:eastAsia="zh-CN"/>
                    </w:rPr>
                    <w:t>40</w:t>
                  </w:r>
                </w:p>
              </w:tc>
              <w:tc>
                <w:tcPr>
                  <w:tcW w:w="297" w:type="pct"/>
                  <w:tcBorders>
                    <w:top w:val="single" w:color="000000" w:sz="12" w:space="0"/>
                    <w:bottom w:val="single" w:color="000000" w:sz="4" w:space="0"/>
                    <w:tl2br w:val="nil"/>
                    <w:tr2bl w:val="nil"/>
                  </w:tcBorders>
                  <w:vAlign w:val="center"/>
                </w:tcPr>
                <w:p w14:paraId="34065786">
                  <w:pPr>
                    <w:jc w:val="center"/>
                    <w:rPr>
                      <w:rFonts w:hint="default" w:eastAsia="宋体"/>
                      <w:vertAlign w:val="baseline"/>
                      <w:lang w:val="en-US" w:eastAsia="zh-CN"/>
                    </w:rPr>
                  </w:pPr>
                  <w:r>
                    <w:rPr>
                      <w:rFonts w:hint="eastAsia"/>
                      <w:vertAlign w:val="baseline"/>
                      <w:lang w:val="en-US" w:eastAsia="zh-CN"/>
                    </w:rPr>
                    <w:t>55</w:t>
                  </w:r>
                </w:p>
              </w:tc>
              <w:tc>
                <w:tcPr>
                  <w:tcW w:w="334" w:type="pct"/>
                  <w:tcBorders>
                    <w:top w:val="single" w:color="000000" w:sz="12" w:space="0"/>
                    <w:bottom w:val="single" w:color="000000" w:sz="4" w:space="0"/>
                    <w:tl2br w:val="nil"/>
                    <w:tr2bl w:val="nil"/>
                  </w:tcBorders>
                  <w:vAlign w:val="center"/>
                </w:tcPr>
                <w:p w14:paraId="73ECEB17">
                  <w:pPr>
                    <w:jc w:val="center"/>
                    <w:rPr>
                      <w:rFonts w:hint="eastAsia" w:eastAsia="宋体"/>
                      <w:vertAlign w:val="baseline"/>
                      <w:lang w:val="en-US" w:eastAsia="zh-CN"/>
                    </w:rPr>
                  </w:pPr>
                  <w:r>
                    <w:rPr>
                      <w:rFonts w:hint="eastAsia"/>
                      <w:vertAlign w:val="baseline"/>
                      <w:lang w:val="en-US" w:eastAsia="zh-CN"/>
                    </w:rPr>
                    <w:t>5</w:t>
                  </w:r>
                </w:p>
              </w:tc>
              <w:tc>
                <w:tcPr>
                  <w:tcW w:w="916" w:type="pct"/>
                  <w:tcBorders>
                    <w:top w:val="single" w:color="000000" w:sz="12" w:space="0"/>
                    <w:bottom w:val="single" w:color="000000" w:sz="4" w:space="0"/>
                    <w:tl2br w:val="nil"/>
                    <w:tr2bl w:val="nil"/>
                  </w:tcBorders>
                  <w:vAlign w:val="center"/>
                </w:tcPr>
                <w:p w14:paraId="639DE60A">
                  <w:pPr>
                    <w:jc w:val="center"/>
                    <w:rPr>
                      <w:rFonts w:hint="default" w:eastAsia="宋体"/>
                      <w:vertAlign w:val="baseline"/>
                      <w:lang w:val="en-US" w:eastAsia="zh-CN"/>
                    </w:rPr>
                  </w:pPr>
                  <w:r>
                    <w:rPr>
                      <w:rFonts w:hint="eastAsia"/>
                      <w:vertAlign w:val="baseline"/>
                      <w:lang w:val="en-US" w:eastAsia="zh-CN"/>
                    </w:rPr>
                    <w:t>75-85</w:t>
                  </w:r>
                </w:p>
              </w:tc>
              <w:tc>
                <w:tcPr>
                  <w:tcW w:w="1309" w:type="pct"/>
                  <w:vMerge w:val="restart"/>
                  <w:tcBorders>
                    <w:top w:val="single" w:color="000000" w:sz="12" w:space="0"/>
                    <w:tl2br w:val="nil"/>
                    <w:tr2bl w:val="nil"/>
                  </w:tcBorders>
                  <w:vAlign w:val="center"/>
                </w:tcPr>
                <w:p w14:paraId="35EAF83A">
                  <w:pPr>
                    <w:jc w:val="center"/>
                    <w:rPr>
                      <w:rFonts w:hint="default"/>
                      <w:vertAlign w:val="baseline"/>
                    </w:rPr>
                  </w:pPr>
                  <w:r>
                    <w:rPr>
                      <w:rFonts w:hint="eastAsia"/>
                      <w:color w:val="auto"/>
                      <w:sz w:val="21"/>
                      <w:szCs w:val="21"/>
                    </w:rPr>
                    <w:t>基础减震+</w:t>
                  </w:r>
                  <w:r>
                    <w:rPr>
                      <w:rFonts w:hint="eastAsia"/>
                      <w:color w:val="auto"/>
                      <w:sz w:val="21"/>
                      <w:szCs w:val="21"/>
                      <w:lang w:val="en-US" w:eastAsia="zh-CN"/>
                    </w:rPr>
                    <w:t>搅拌楼</w:t>
                  </w:r>
                  <w:r>
                    <w:rPr>
                      <w:rFonts w:hint="eastAsia"/>
                      <w:color w:val="auto"/>
                      <w:sz w:val="21"/>
                      <w:szCs w:val="21"/>
                    </w:rPr>
                    <w:t>隔声+设备</w:t>
                  </w:r>
                  <w:r>
                    <w:rPr>
                      <w:color w:val="auto"/>
                      <w:sz w:val="21"/>
                      <w:szCs w:val="21"/>
                    </w:rPr>
                    <w:t>定期维护保养</w:t>
                  </w:r>
                </w:p>
              </w:tc>
              <w:tc>
                <w:tcPr>
                  <w:tcW w:w="677" w:type="pct"/>
                  <w:vMerge w:val="restart"/>
                  <w:tcBorders>
                    <w:top w:val="single" w:color="000000" w:sz="12" w:space="0"/>
                    <w:tl2br w:val="nil"/>
                    <w:tr2bl w:val="nil"/>
                  </w:tcBorders>
                  <w:vAlign w:val="center"/>
                </w:tcPr>
                <w:p w14:paraId="027AE072">
                  <w:pPr>
                    <w:jc w:val="center"/>
                    <w:rPr>
                      <w:rFonts w:hint="eastAsia"/>
                      <w:vertAlign w:val="baseline"/>
                      <w:lang w:val="en-US" w:eastAsia="zh-CN"/>
                    </w:rPr>
                  </w:pPr>
                  <w:r>
                    <w:rPr>
                      <w:rFonts w:hint="eastAsia"/>
                      <w:vertAlign w:val="baseline"/>
                      <w:lang w:val="en-US" w:eastAsia="zh-CN"/>
                    </w:rPr>
                    <w:t>10</w:t>
                  </w:r>
                  <w:r>
                    <w:rPr>
                      <w:rFonts w:hint="eastAsia"/>
                      <w:vertAlign w:val="baseline"/>
                      <w:lang w:eastAsia="zh-CN"/>
                    </w:rPr>
                    <w:t>：</w:t>
                  </w:r>
                  <w:r>
                    <w:rPr>
                      <w:rFonts w:hint="eastAsia"/>
                      <w:vertAlign w:val="baseline"/>
                      <w:lang w:val="en-US" w:eastAsia="zh-CN"/>
                    </w:rPr>
                    <w:t>00-14：00；</w:t>
                  </w:r>
                </w:p>
                <w:p w14:paraId="5B9D8682">
                  <w:pPr>
                    <w:jc w:val="center"/>
                    <w:rPr>
                      <w:rFonts w:hint="default"/>
                      <w:vertAlign w:val="baseline"/>
                      <w:lang w:val="en-US" w:eastAsia="zh-CN"/>
                    </w:rPr>
                  </w:pPr>
                  <w:r>
                    <w:rPr>
                      <w:rFonts w:hint="eastAsia"/>
                      <w:vertAlign w:val="baseline"/>
                      <w:lang w:val="en-US" w:eastAsia="zh-CN"/>
                    </w:rPr>
                    <w:t>16：00-20：00</w:t>
                  </w:r>
                </w:p>
              </w:tc>
            </w:tr>
            <w:tr w14:paraId="5894E68C">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tcBorders>
                    <w:top w:val="single" w:color="000000" w:sz="4" w:space="0"/>
                    <w:bottom w:val="single" w:color="000000" w:sz="4" w:space="0"/>
                    <w:tl2br w:val="nil"/>
                    <w:tr2bl w:val="nil"/>
                  </w:tcBorders>
                  <w:vAlign w:val="center"/>
                </w:tcPr>
                <w:p w14:paraId="30B2F79F">
                  <w:pPr>
                    <w:jc w:val="center"/>
                    <w:rPr>
                      <w:rFonts w:hint="eastAsia" w:eastAsia="宋体"/>
                      <w:vertAlign w:val="baseline"/>
                      <w:lang w:val="en-US" w:eastAsia="zh-CN"/>
                    </w:rPr>
                  </w:pPr>
                  <w:r>
                    <w:rPr>
                      <w:rFonts w:hint="eastAsia"/>
                      <w:vertAlign w:val="baseline"/>
                      <w:lang w:val="en-US" w:eastAsia="zh-CN"/>
                    </w:rPr>
                    <w:t>2</w:t>
                  </w:r>
                </w:p>
              </w:tc>
              <w:tc>
                <w:tcPr>
                  <w:tcW w:w="616" w:type="pct"/>
                  <w:tcBorders>
                    <w:top w:val="single" w:color="000000" w:sz="4" w:space="0"/>
                    <w:bottom w:val="single" w:color="000000" w:sz="4" w:space="0"/>
                    <w:tl2br w:val="nil"/>
                    <w:tr2bl w:val="nil"/>
                  </w:tcBorders>
                  <w:vAlign w:val="center"/>
                </w:tcPr>
                <w:p w14:paraId="737C94EC">
                  <w:pPr>
                    <w:jc w:val="center"/>
                    <w:rPr>
                      <w:rFonts w:hint="default" w:eastAsia="宋体"/>
                      <w:vertAlign w:val="baseline"/>
                      <w:lang w:val="en-US" w:eastAsia="zh-CN"/>
                    </w:rPr>
                  </w:pPr>
                  <w:r>
                    <w:rPr>
                      <w:rFonts w:hint="eastAsia"/>
                      <w:vertAlign w:val="baseline"/>
                      <w:lang w:val="en-US" w:eastAsia="zh-CN"/>
                    </w:rPr>
                    <w:t>泵类</w:t>
                  </w:r>
                </w:p>
              </w:tc>
              <w:tc>
                <w:tcPr>
                  <w:tcW w:w="250" w:type="pct"/>
                  <w:tcBorders>
                    <w:top w:val="single" w:color="000000" w:sz="4" w:space="0"/>
                    <w:bottom w:val="single" w:color="000000" w:sz="4" w:space="0"/>
                    <w:tl2br w:val="nil"/>
                    <w:tr2bl w:val="nil"/>
                  </w:tcBorders>
                  <w:vAlign w:val="center"/>
                </w:tcPr>
                <w:p w14:paraId="47C5A898">
                  <w:pPr>
                    <w:jc w:val="center"/>
                    <w:rPr>
                      <w:rFonts w:hint="eastAsia" w:eastAsia="宋体"/>
                      <w:vertAlign w:val="baseline"/>
                      <w:lang w:val="en-US" w:eastAsia="zh-CN"/>
                    </w:rPr>
                  </w:pPr>
                  <w:r>
                    <w:rPr>
                      <w:rFonts w:hint="eastAsia"/>
                      <w:vertAlign w:val="baseline"/>
                      <w:lang w:val="en-US" w:eastAsia="zh-CN"/>
                    </w:rPr>
                    <w:t>/</w:t>
                  </w:r>
                </w:p>
              </w:tc>
              <w:tc>
                <w:tcPr>
                  <w:tcW w:w="347" w:type="pct"/>
                  <w:tcBorders>
                    <w:top w:val="single" w:color="000000" w:sz="4" w:space="0"/>
                    <w:bottom w:val="single" w:color="000000" w:sz="4" w:space="0"/>
                    <w:tl2br w:val="nil"/>
                    <w:tr2bl w:val="nil"/>
                  </w:tcBorders>
                  <w:vAlign w:val="center"/>
                </w:tcPr>
                <w:p w14:paraId="7904131A">
                  <w:pPr>
                    <w:jc w:val="center"/>
                    <w:rPr>
                      <w:rFonts w:hint="default" w:eastAsia="宋体"/>
                      <w:vertAlign w:val="baseline"/>
                      <w:lang w:val="en-US" w:eastAsia="zh-CN"/>
                    </w:rPr>
                  </w:pPr>
                  <w:r>
                    <w:rPr>
                      <w:rFonts w:hint="eastAsia"/>
                      <w:vertAlign w:val="baseline"/>
                      <w:lang w:val="en-US" w:eastAsia="zh-CN"/>
                    </w:rPr>
                    <w:t>41</w:t>
                  </w:r>
                </w:p>
              </w:tc>
              <w:tc>
                <w:tcPr>
                  <w:tcW w:w="297" w:type="pct"/>
                  <w:tcBorders>
                    <w:top w:val="single" w:color="000000" w:sz="4" w:space="0"/>
                    <w:bottom w:val="single" w:color="000000" w:sz="4" w:space="0"/>
                    <w:tl2br w:val="nil"/>
                    <w:tr2bl w:val="nil"/>
                  </w:tcBorders>
                  <w:vAlign w:val="center"/>
                </w:tcPr>
                <w:p w14:paraId="578C6FE2">
                  <w:pPr>
                    <w:jc w:val="center"/>
                    <w:rPr>
                      <w:rFonts w:hint="default" w:eastAsia="宋体"/>
                      <w:vertAlign w:val="baseline"/>
                      <w:lang w:val="en-US" w:eastAsia="zh-CN"/>
                    </w:rPr>
                  </w:pPr>
                  <w:r>
                    <w:rPr>
                      <w:rFonts w:hint="eastAsia"/>
                      <w:vertAlign w:val="baseline"/>
                      <w:lang w:val="en-US" w:eastAsia="zh-CN"/>
                    </w:rPr>
                    <w:t>52</w:t>
                  </w:r>
                </w:p>
              </w:tc>
              <w:tc>
                <w:tcPr>
                  <w:tcW w:w="334" w:type="pct"/>
                  <w:tcBorders>
                    <w:top w:val="single" w:color="000000" w:sz="4" w:space="0"/>
                    <w:bottom w:val="single" w:color="000000" w:sz="4" w:space="0"/>
                    <w:tl2br w:val="nil"/>
                    <w:tr2bl w:val="nil"/>
                  </w:tcBorders>
                  <w:vAlign w:val="center"/>
                </w:tcPr>
                <w:p w14:paraId="4F774CED">
                  <w:pPr>
                    <w:jc w:val="center"/>
                    <w:rPr>
                      <w:rFonts w:hint="eastAsia" w:eastAsia="宋体"/>
                      <w:vertAlign w:val="baseline"/>
                      <w:lang w:val="en-US" w:eastAsia="zh-CN"/>
                    </w:rPr>
                  </w:pPr>
                  <w:r>
                    <w:rPr>
                      <w:rFonts w:hint="eastAsia"/>
                      <w:vertAlign w:val="baseline"/>
                      <w:lang w:val="en-US" w:eastAsia="zh-CN"/>
                    </w:rPr>
                    <w:t>2</w:t>
                  </w:r>
                </w:p>
              </w:tc>
              <w:tc>
                <w:tcPr>
                  <w:tcW w:w="916" w:type="pct"/>
                  <w:tcBorders>
                    <w:top w:val="single" w:color="000000" w:sz="4" w:space="0"/>
                    <w:bottom w:val="single" w:color="000000" w:sz="4" w:space="0"/>
                    <w:tl2br w:val="nil"/>
                    <w:tr2bl w:val="nil"/>
                  </w:tcBorders>
                  <w:vAlign w:val="center"/>
                </w:tcPr>
                <w:p w14:paraId="25135950">
                  <w:pPr>
                    <w:jc w:val="center"/>
                    <w:rPr>
                      <w:rFonts w:hint="default" w:eastAsia="宋体"/>
                      <w:vertAlign w:val="baseline"/>
                      <w:lang w:val="en-US" w:eastAsia="zh-CN"/>
                    </w:rPr>
                  </w:pPr>
                  <w:r>
                    <w:rPr>
                      <w:rFonts w:hint="eastAsia"/>
                      <w:vertAlign w:val="baseline"/>
                      <w:lang w:val="en-US" w:eastAsia="zh-CN"/>
                    </w:rPr>
                    <w:t>85-90</w:t>
                  </w:r>
                </w:p>
              </w:tc>
              <w:tc>
                <w:tcPr>
                  <w:tcW w:w="1309" w:type="pct"/>
                  <w:vMerge w:val="continue"/>
                  <w:tcBorders>
                    <w:tl2br w:val="nil"/>
                    <w:tr2bl w:val="nil"/>
                  </w:tcBorders>
                  <w:vAlign w:val="center"/>
                </w:tcPr>
                <w:p w14:paraId="4A4CDD7B">
                  <w:pPr>
                    <w:jc w:val="center"/>
                    <w:rPr>
                      <w:rFonts w:hint="default"/>
                      <w:vertAlign w:val="baseline"/>
                    </w:rPr>
                  </w:pPr>
                </w:p>
              </w:tc>
              <w:tc>
                <w:tcPr>
                  <w:tcW w:w="677" w:type="pct"/>
                  <w:vMerge w:val="continue"/>
                  <w:tcBorders>
                    <w:tl2br w:val="nil"/>
                    <w:tr2bl w:val="nil"/>
                  </w:tcBorders>
                  <w:vAlign w:val="center"/>
                </w:tcPr>
                <w:p w14:paraId="4C0EA395">
                  <w:pPr>
                    <w:jc w:val="center"/>
                    <w:rPr>
                      <w:rFonts w:hint="default"/>
                      <w:vertAlign w:val="baseline"/>
                    </w:rPr>
                  </w:pPr>
                </w:p>
              </w:tc>
            </w:tr>
            <w:tr w14:paraId="296A5E2C">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tcBorders>
                    <w:top w:val="single" w:color="000000" w:sz="4" w:space="0"/>
                    <w:bottom w:val="single" w:color="000000" w:sz="4" w:space="0"/>
                    <w:tl2br w:val="nil"/>
                    <w:tr2bl w:val="nil"/>
                  </w:tcBorders>
                  <w:vAlign w:val="center"/>
                </w:tcPr>
                <w:p w14:paraId="19F20520">
                  <w:pPr>
                    <w:jc w:val="center"/>
                    <w:rPr>
                      <w:rFonts w:hint="default"/>
                      <w:vertAlign w:val="baseline"/>
                      <w:lang w:val="en-US" w:eastAsia="zh-CN"/>
                    </w:rPr>
                  </w:pPr>
                  <w:r>
                    <w:rPr>
                      <w:rFonts w:hint="eastAsia"/>
                      <w:vertAlign w:val="baseline"/>
                      <w:lang w:val="en-US" w:eastAsia="zh-CN"/>
                    </w:rPr>
                    <w:t>3</w:t>
                  </w:r>
                </w:p>
              </w:tc>
              <w:tc>
                <w:tcPr>
                  <w:tcW w:w="616" w:type="pct"/>
                  <w:tcBorders>
                    <w:top w:val="single" w:color="000000" w:sz="4" w:space="0"/>
                    <w:bottom w:val="single" w:color="000000" w:sz="4" w:space="0"/>
                    <w:tl2br w:val="nil"/>
                    <w:tr2bl w:val="nil"/>
                  </w:tcBorders>
                  <w:vAlign w:val="center"/>
                </w:tcPr>
                <w:p w14:paraId="45AECD12">
                  <w:pPr>
                    <w:jc w:val="center"/>
                    <w:rPr>
                      <w:rFonts w:hint="default"/>
                      <w:vertAlign w:val="baseline"/>
                      <w:lang w:val="en-US" w:eastAsia="zh-CN"/>
                    </w:rPr>
                  </w:pPr>
                  <w:r>
                    <w:rPr>
                      <w:rFonts w:hint="eastAsia"/>
                      <w:vertAlign w:val="baseline"/>
                      <w:lang w:val="en-US" w:eastAsia="zh-CN"/>
                    </w:rPr>
                    <w:t>空压机</w:t>
                  </w:r>
                </w:p>
              </w:tc>
              <w:tc>
                <w:tcPr>
                  <w:tcW w:w="250" w:type="pct"/>
                  <w:tcBorders>
                    <w:top w:val="single" w:color="000000" w:sz="4" w:space="0"/>
                    <w:bottom w:val="single" w:color="000000" w:sz="4" w:space="0"/>
                    <w:tl2br w:val="nil"/>
                    <w:tr2bl w:val="nil"/>
                  </w:tcBorders>
                  <w:vAlign w:val="center"/>
                </w:tcPr>
                <w:p w14:paraId="20929172">
                  <w:pPr>
                    <w:jc w:val="center"/>
                    <w:rPr>
                      <w:rFonts w:hint="default"/>
                      <w:vertAlign w:val="baseline"/>
                      <w:lang w:val="en-US" w:eastAsia="zh-CN"/>
                    </w:rPr>
                  </w:pPr>
                  <w:r>
                    <w:rPr>
                      <w:rFonts w:hint="eastAsia"/>
                      <w:vertAlign w:val="baseline"/>
                      <w:lang w:val="en-US" w:eastAsia="zh-CN"/>
                    </w:rPr>
                    <w:t>/</w:t>
                  </w:r>
                </w:p>
              </w:tc>
              <w:tc>
                <w:tcPr>
                  <w:tcW w:w="347" w:type="pct"/>
                  <w:tcBorders>
                    <w:top w:val="single" w:color="000000" w:sz="4" w:space="0"/>
                    <w:bottom w:val="single" w:color="000000" w:sz="4" w:space="0"/>
                    <w:tl2br w:val="nil"/>
                    <w:tr2bl w:val="nil"/>
                  </w:tcBorders>
                  <w:vAlign w:val="center"/>
                </w:tcPr>
                <w:p w14:paraId="6DF05CA5">
                  <w:pPr>
                    <w:jc w:val="center"/>
                    <w:rPr>
                      <w:rFonts w:hint="default"/>
                      <w:vertAlign w:val="baseline"/>
                      <w:lang w:val="en-US" w:eastAsia="zh-CN"/>
                    </w:rPr>
                  </w:pPr>
                  <w:r>
                    <w:rPr>
                      <w:rFonts w:hint="eastAsia"/>
                      <w:vertAlign w:val="baseline"/>
                      <w:lang w:val="en-US" w:eastAsia="zh-CN"/>
                    </w:rPr>
                    <w:t>42</w:t>
                  </w:r>
                </w:p>
              </w:tc>
              <w:tc>
                <w:tcPr>
                  <w:tcW w:w="297" w:type="pct"/>
                  <w:tcBorders>
                    <w:top w:val="single" w:color="000000" w:sz="4" w:space="0"/>
                    <w:bottom w:val="single" w:color="000000" w:sz="4" w:space="0"/>
                    <w:tl2br w:val="nil"/>
                    <w:tr2bl w:val="nil"/>
                  </w:tcBorders>
                  <w:vAlign w:val="center"/>
                </w:tcPr>
                <w:p w14:paraId="761DF8D3">
                  <w:pPr>
                    <w:jc w:val="center"/>
                    <w:rPr>
                      <w:rFonts w:hint="default"/>
                      <w:vertAlign w:val="baseline"/>
                      <w:lang w:val="en-US" w:eastAsia="zh-CN"/>
                    </w:rPr>
                  </w:pPr>
                  <w:r>
                    <w:rPr>
                      <w:rFonts w:hint="eastAsia"/>
                      <w:vertAlign w:val="baseline"/>
                      <w:lang w:val="en-US" w:eastAsia="zh-CN"/>
                    </w:rPr>
                    <w:t>56</w:t>
                  </w:r>
                </w:p>
              </w:tc>
              <w:tc>
                <w:tcPr>
                  <w:tcW w:w="334" w:type="pct"/>
                  <w:tcBorders>
                    <w:top w:val="single" w:color="000000" w:sz="4" w:space="0"/>
                    <w:bottom w:val="single" w:color="000000" w:sz="4" w:space="0"/>
                    <w:tl2br w:val="nil"/>
                    <w:tr2bl w:val="nil"/>
                  </w:tcBorders>
                  <w:vAlign w:val="center"/>
                </w:tcPr>
                <w:p w14:paraId="2564AE9D">
                  <w:pPr>
                    <w:jc w:val="center"/>
                    <w:rPr>
                      <w:rFonts w:hint="default"/>
                      <w:vertAlign w:val="baseline"/>
                      <w:lang w:val="en-US" w:eastAsia="zh-CN"/>
                    </w:rPr>
                  </w:pPr>
                  <w:r>
                    <w:rPr>
                      <w:rFonts w:hint="eastAsia"/>
                      <w:vertAlign w:val="baseline"/>
                      <w:lang w:val="en-US" w:eastAsia="zh-CN"/>
                    </w:rPr>
                    <w:t>2</w:t>
                  </w:r>
                </w:p>
              </w:tc>
              <w:tc>
                <w:tcPr>
                  <w:tcW w:w="916" w:type="pct"/>
                  <w:tcBorders>
                    <w:top w:val="single" w:color="000000" w:sz="4" w:space="0"/>
                    <w:bottom w:val="single" w:color="000000" w:sz="4" w:space="0"/>
                    <w:tl2br w:val="nil"/>
                    <w:tr2bl w:val="nil"/>
                  </w:tcBorders>
                  <w:vAlign w:val="center"/>
                </w:tcPr>
                <w:p w14:paraId="077D04D6">
                  <w:pPr>
                    <w:jc w:val="center"/>
                    <w:rPr>
                      <w:rFonts w:hint="default" w:eastAsia="宋体"/>
                      <w:vertAlign w:val="baseline"/>
                      <w:lang w:val="en-US" w:eastAsia="zh-CN"/>
                    </w:rPr>
                  </w:pPr>
                  <w:r>
                    <w:rPr>
                      <w:rFonts w:hint="eastAsia"/>
                      <w:vertAlign w:val="baseline"/>
                      <w:lang w:val="en-US" w:eastAsia="zh-CN"/>
                    </w:rPr>
                    <w:t>85-90</w:t>
                  </w:r>
                </w:p>
              </w:tc>
              <w:tc>
                <w:tcPr>
                  <w:tcW w:w="1309" w:type="pct"/>
                  <w:vMerge w:val="continue"/>
                  <w:tcBorders>
                    <w:tl2br w:val="nil"/>
                    <w:tr2bl w:val="nil"/>
                  </w:tcBorders>
                  <w:vAlign w:val="center"/>
                </w:tcPr>
                <w:p w14:paraId="2B704BBD">
                  <w:pPr>
                    <w:jc w:val="center"/>
                    <w:rPr>
                      <w:rFonts w:hint="default"/>
                      <w:vertAlign w:val="baseline"/>
                    </w:rPr>
                  </w:pPr>
                </w:p>
              </w:tc>
              <w:tc>
                <w:tcPr>
                  <w:tcW w:w="677" w:type="pct"/>
                  <w:vMerge w:val="continue"/>
                  <w:tcBorders>
                    <w:tl2br w:val="nil"/>
                    <w:tr2bl w:val="nil"/>
                  </w:tcBorders>
                  <w:vAlign w:val="center"/>
                </w:tcPr>
                <w:p w14:paraId="540671FB">
                  <w:pPr>
                    <w:jc w:val="center"/>
                    <w:rPr>
                      <w:rFonts w:hint="default"/>
                      <w:vertAlign w:val="baseline"/>
                    </w:rPr>
                  </w:pPr>
                </w:p>
              </w:tc>
            </w:tr>
            <w:tr w14:paraId="06C118F3">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tcBorders>
                    <w:top w:val="single" w:color="000000" w:sz="4" w:space="0"/>
                    <w:bottom w:val="single" w:color="000000" w:sz="4" w:space="0"/>
                    <w:tl2br w:val="nil"/>
                    <w:tr2bl w:val="nil"/>
                  </w:tcBorders>
                  <w:vAlign w:val="center"/>
                </w:tcPr>
                <w:p w14:paraId="2099352B">
                  <w:pPr>
                    <w:jc w:val="center"/>
                    <w:rPr>
                      <w:rFonts w:hint="default"/>
                      <w:vertAlign w:val="baseline"/>
                      <w:lang w:val="en-US" w:eastAsia="zh-CN"/>
                    </w:rPr>
                  </w:pPr>
                  <w:r>
                    <w:rPr>
                      <w:rFonts w:hint="eastAsia"/>
                      <w:vertAlign w:val="baseline"/>
                      <w:lang w:val="en-US" w:eastAsia="zh-CN"/>
                    </w:rPr>
                    <w:t>4</w:t>
                  </w:r>
                </w:p>
              </w:tc>
              <w:tc>
                <w:tcPr>
                  <w:tcW w:w="616" w:type="pct"/>
                  <w:tcBorders>
                    <w:top w:val="single" w:color="000000" w:sz="4" w:space="0"/>
                    <w:bottom w:val="single" w:color="000000" w:sz="4" w:space="0"/>
                    <w:tl2br w:val="nil"/>
                    <w:tr2bl w:val="nil"/>
                  </w:tcBorders>
                  <w:vAlign w:val="center"/>
                </w:tcPr>
                <w:p w14:paraId="18AF90AB">
                  <w:pPr>
                    <w:jc w:val="center"/>
                    <w:rPr>
                      <w:rFonts w:hint="default"/>
                      <w:vertAlign w:val="baseline"/>
                      <w:lang w:val="en-US" w:eastAsia="zh-CN"/>
                    </w:rPr>
                  </w:pPr>
                  <w:r>
                    <w:rPr>
                      <w:rFonts w:hint="eastAsia"/>
                      <w:vertAlign w:val="baseline"/>
                      <w:lang w:val="en-US" w:eastAsia="zh-CN"/>
                    </w:rPr>
                    <w:t>输送设备</w:t>
                  </w:r>
                </w:p>
              </w:tc>
              <w:tc>
                <w:tcPr>
                  <w:tcW w:w="250" w:type="pct"/>
                  <w:tcBorders>
                    <w:top w:val="single" w:color="000000" w:sz="4" w:space="0"/>
                    <w:bottom w:val="single" w:color="000000" w:sz="4" w:space="0"/>
                    <w:tl2br w:val="nil"/>
                    <w:tr2bl w:val="nil"/>
                  </w:tcBorders>
                  <w:vAlign w:val="center"/>
                </w:tcPr>
                <w:p w14:paraId="388C1D89">
                  <w:pPr>
                    <w:jc w:val="center"/>
                    <w:rPr>
                      <w:rFonts w:hint="default"/>
                      <w:vertAlign w:val="baseline"/>
                      <w:lang w:val="en-US" w:eastAsia="zh-CN"/>
                    </w:rPr>
                  </w:pPr>
                  <w:r>
                    <w:rPr>
                      <w:rFonts w:hint="eastAsia"/>
                      <w:vertAlign w:val="baseline"/>
                      <w:lang w:val="en-US" w:eastAsia="zh-CN"/>
                    </w:rPr>
                    <w:t>/</w:t>
                  </w:r>
                </w:p>
              </w:tc>
              <w:tc>
                <w:tcPr>
                  <w:tcW w:w="347" w:type="pct"/>
                  <w:tcBorders>
                    <w:top w:val="single" w:color="000000" w:sz="4" w:space="0"/>
                    <w:bottom w:val="single" w:color="000000" w:sz="4" w:space="0"/>
                    <w:tl2br w:val="nil"/>
                    <w:tr2bl w:val="nil"/>
                  </w:tcBorders>
                  <w:vAlign w:val="center"/>
                </w:tcPr>
                <w:p w14:paraId="04FEA71D">
                  <w:pPr>
                    <w:jc w:val="center"/>
                    <w:rPr>
                      <w:rFonts w:hint="default"/>
                      <w:vertAlign w:val="baseline"/>
                      <w:lang w:val="en-US" w:eastAsia="zh-CN"/>
                    </w:rPr>
                  </w:pPr>
                  <w:r>
                    <w:rPr>
                      <w:rFonts w:hint="eastAsia"/>
                      <w:vertAlign w:val="baseline"/>
                      <w:lang w:val="en-US" w:eastAsia="zh-CN"/>
                    </w:rPr>
                    <w:t>40</w:t>
                  </w:r>
                </w:p>
              </w:tc>
              <w:tc>
                <w:tcPr>
                  <w:tcW w:w="297" w:type="pct"/>
                  <w:tcBorders>
                    <w:top w:val="single" w:color="000000" w:sz="4" w:space="0"/>
                    <w:bottom w:val="single" w:color="000000" w:sz="4" w:space="0"/>
                    <w:tl2br w:val="nil"/>
                    <w:tr2bl w:val="nil"/>
                  </w:tcBorders>
                  <w:vAlign w:val="center"/>
                </w:tcPr>
                <w:p w14:paraId="7089BD83">
                  <w:pPr>
                    <w:jc w:val="center"/>
                    <w:rPr>
                      <w:rFonts w:hint="default"/>
                      <w:vertAlign w:val="baseline"/>
                      <w:lang w:val="en-US" w:eastAsia="zh-CN"/>
                    </w:rPr>
                  </w:pPr>
                  <w:r>
                    <w:rPr>
                      <w:rFonts w:hint="eastAsia"/>
                      <w:vertAlign w:val="baseline"/>
                      <w:lang w:val="en-US" w:eastAsia="zh-CN"/>
                    </w:rPr>
                    <w:t>45</w:t>
                  </w:r>
                </w:p>
              </w:tc>
              <w:tc>
                <w:tcPr>
                  <w:tcW w:w="334" w:type="pct"/>
                  <w:tcBorders>
                    <w:top w:val="single" w:color="000000" w:sz="4" w:space="0"/>
                    <w:bottom w:val="single" w:color="000000" w:sz="4" w:space="0"/>
                    <w:tl2br w:val="nil"/>
                    <w:tr2bl w:val="nil"/>
                  </w:tcBorders>
                  <w:vAlign w:val="center"/>
                </w:tcPr>
                <w:p w14:paraId="7A7EA3D9">
                  <w:pPr>
                    <w:jc w:val="center"/>
                    <w:rPr>
                      <w:rFonts w:hint="default"/>
                      <w:vertAlign w:val="baseline"/>
                      <w:lang w:val="en-US" w:eastAsia="zh-CN"/>
                    </w:rPr>
                  </w:pPr>
                  <w:r>
                    <w:rPr>
                      <w:rFonts w:hint="eastAsia"/>
                      <w:vertAlign w:val="baseline"/>
                      <w:lang w:val="en-US" w:eastAsia="zh-CN"/>
                    </w:rPr>
                    <w:t>2</w:t>
                  </w:r>
                </w:p>
              </w:tc>
              <w:tc>
                <w:tcPr>
                  <w:tcW w:w="916" w:type="pct"/>
                  <w:tcBorders>
                    <w:top w:val="single" w:color="000000" w:sz="4" w:space="0"/>
                    <w:bottom w:val="single" w:color="000000" w:sz="4" w:space="0"/>
                    <w:tl2br w:val="nil"/>
                    <w:tr2bl w:val="nil"/>
                  </w:tcBorders>
                  <w:vAlign w:val="center"/>
                </w:tcPr>
                <w:p w14:paraId="6C9BF779">
                  <w:pPr>
                    <w:jc w:val="center"/>
                    <w:rPr>
                      <w:rFonts w:hint="default" w:eastAsia="宋体"/>
                      <w:vertAlign w:val="baseline"/>
                      <w:lang w:val="en-US" w:eastAsia="zh-CN"/>
                    </w:rPr>
                  </w:pPr>
                  <w:r>
                    <w:rPr>
                      <w:rFonts w:hint="eastAsia"/>
                      <w:vertAlign w:val="baseline"/>
                      <w:lang w:val="en-US" w:eastAsia="zh-CN"/>
                    </w:rPr>
                    <w:t>75-85</w:t>
                  </w:r>
                </w:p>
              </w:tc>
              <w:tc>
                <w:tcPr>
                  <w:tcW w:w="1309" w:type="pct"/>
                  <w:vMerge w:val="continue"/>
                  <w:tcBorders>
                    <w:bottom w:val="single" w:color="000000" w:sz="4" w:space="0"/>
                    <w:tl2br w:val="nil"/>
                    <w:tr2bl w:val="nil"/>
                  </w:tcBorders>
                  <w:vAlign w:val="center"/>
                </w:tcPr>
                <w:p w14:paraId="19A28DA2">
                  <w:pPr>
                    <w:jc w:val="center"/>
                    <w:rPr>
                      <w:rFonts w:hint="default"/>
                      <w:vertAlign w:val="baseline"/>
                    </w:rPr>
                  </w:pPr>
                </w:p>
              </w:tc>
              <w:tc>
                <w:tcPr>
                  <w:tcW w:w="677" w:type="pct"/>
                  <w:vMerge w:val="continue"/>
                  <w:tcBorders>
                    <w:tl2br w:val="nil"/>
                    <w:tr2bl w:val="nil"/>
                  </w:tcBorders>
                  <w:vAlign w:val="center"/>
                </w:tcPr>
                <w:p w14:paraId="5F0F207E">
                  <w:pPr>
                    <w:jc w:val="center"/>
                    <w:rPr>
                      <w:rFonts w:hint="default"/>
                      <w:vertAlign w:val="baseline"/>
                    </w:rPr>
                  </w:pPr>
                </w:p>
              </w:tc>
            </w:tr>
            <w:tr w14:paraId="100062F0">
              <w:tblPrEx>
                <w:tblBorders>
                  <w:top w:val="single" w:color="000000" w:sz="12" w:space="0"/>
                  <w:left w:val="none" w:color="auto" w:sz="0" w:space="0"/>
                  <w:bottom w:val="single" w:color="000000" w:sz="12"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50" w:type="pct"/>
                  <w:tcBorders>
                    <w:top w:val="single" w:color="000000" w:sz="4" w:space="0"/>
                    <w:tl2br w:val="nil"/>
                    <w:tr2bl w:val="nil"/>
                  </w:tcBorders>
                  <w:vAlign w:val="center"/>
                </w:tcPr>
                <w:p w14:paraId="3F93C073">
                  <w:pPr>
                    <w:jc w:val="center"/>
                    <w:rPr>
                      <w:rFonts w:hint="default"/>
                      <w:vertAlign w:val="baseline"/>
                      <w:lang w:val="en-US" w:eastAsia="zh-CN"/>
                    </w:rPr>
                  </w:pPr>
                  <w:r>
                    <w:rPr>
                      <w:rFonts w:hint="eastAsia"/>
                      <w:vertAlign w:val="baseline"/>
                      <w:lang w:val="en-US" w:eastAsia="zh-CN"/>
                    </w:rPr>
                    <w:t>5</w:t>
                  </w:r>
                </w:p>
              </w:tc>
              <w:tc>
                <w:tcPr>
                  <w:tcW w:w="616" w:type="pct"/>
                  <w:tcBorders>
                    <w:top w:val="single" w:color="000000" w:sz="4" w:space="0"/>
                    <w:tl2br w:val="nil"/>
                    <w:tr2bl w:val="nil"/>
                  </w:tcBorders>
                  <w:vAlign w:val="center"/>
                </w:tcPr>
                <w:p w14:paraId="70F6998F">
                  <w:pPr>
                    <w:jc w:val="center"/>
                    <w:rPr>
                      <w:rFonts w:hint="default"/>
                      <w:vertAlign w:val="baseline"/>
                      <w:lang w:val="en-US" w:eastAsia="zh-CN"/>
                    </w:rPr>
                  </w:pPr>
                  <w:r>
                    <w:rPr>
                      <w:rFonts w:hint="eastAsia"/>
                      <w:vertAlign w:val="baseline"/>
                      <w:lang w:val="en-US" w:eastAsia="zh-CN"/>
                    </w:rPr>
                    <w:t>运输车辆</w:t>
                  </w:r>
                </w:p>
              </w:tc>
              <w:tc>
                <w:tcPr>
                  <w:tcW w:w="250" w:type="pct"/>
                  <w:tcBorders>
                    <w:top w:val="single" w:color="000000" w:sz="4" w:space="0"/>
                    <w:tl2br w:val="nil"/>
                    <w:tr2bl w:val="nil"/>
                  </w:tcBorders>
                  <w:vAlign w:val="center"/>
                </w:tcPr>
                <w:p w14:paraId="2C9AC5FF">
                  <w:pPr>
                    <w:jc w:val="center"/>
                    <w:rPr>
                      <w:rFonts w:hint="default"/>
                      <w:vertAlign w:val="baseline"/>
                      <w:lang w:val="en-US" w:eastAsia="zh-CN"/>
                    </w:rPr>
                  </w:pPr>
                  <w:r>
                    <w:rPr>
                      <w:rFonts w:hint="eastAsia"/>
                      <w:vertAlign w:val="baseline"/>
                      <w:lang w:val="en-US" w:eastAsia="zh-CN"/>
                    </w:rPr>
                    <w:t>/</w:t>
                  </w:r>
                </w:p>
              </w:tc>
              <w:tc>
                <w:tcPr>
                  <w:tcW w:w="347" w:type="pct"/>
                  <w:tcBorders>
                    <w:top w:val="single" w:color="000000" w:sz="4" w:space="0"/>
                    <w:tl2br w:val="nil"/>
                    <w:tr2bl w:val="nil"/>
                  </w:tcBorders>
                  <w:vAlign w:val="center"/>
                </w:tcPr>
                <w:p w14:paraId="7EE55206">
                  <w:pPr>
                    <w:jc w:val="center"/>
                    <w:rPr>
                      <w:rFonts w:hint="default"/>
                      <w:vertAlign w:val="baseline"/>
                      <w:lang w:val="en-US" w:eastAsia="zh-CN"/>
                    </w:rPr>
                  </w:pPr>
                  <w:r>
                    <w:rPr>
                      <w:rFonts w:hint="eastAsia"/>
                      <w:vertAlign w:val="baseline"/>
                      <w:lang w:val="en-US" w:eastAsia="zh-CN"/>
                    </w:rPr>
                    <w:t>20</w:t>
                  </w:r>
                </w:p>
              </w:tc>
              <w:tc>
                <w:tcPr>
                  <w:tcW w:w="297" w:type="pct"/>
                  <w:tcBorders>
                    <w:top w:val="single" w:color="000000" w:sz="4" w:space="0"/>
                    <w:tl2br w:val="nil"/>
                    <w:tr2bl w:val="nil"/>
                  </w:tcBorders>
                  <w:vAlign w:val="center"/>
                </w:tcPr>
                <w:p w14:paraId="24071A55">
                  <w:pPr>
                    <w:jc w:val="center"/>
                    <w:rPr>
                      <w:rFonts w:hint="default"/>
                      <w:vertAlign w:val="baseline"/>
                      <w:lang w:val="en-US" w:eastAsia="zh-CN"/>
                    </w:rPr>
                  </w:pPr>
                  <w:r>
                    <w:rPr>
                      <w:rFonts w:hint="eastAsia"/>
                      <w:vertAlign w:val="baseline"/>
                      <w:lang w:val="en-US" w:eastAsia="zh-CN"/>
                    </w:rPr>
                    <w:t>30</w:t>
                  </w:r>
                </w:p>
              </w:tc>
              <w:tc>
                <w:tcPr>
                  <w:tcW w:w="334" w:type="pct"/>
                  <w:tcBorders>
                    <w:top w:val="single" w:color="000000" w:sz="4" w:space="0"/>
                    <w:tl2br w:val="nil"/>
                    <w:tr2bl w:val="nil"/>
                  </w:tcBorders>
                  <w:vAlign w:val="center"/>
                </w:tcPr>
                <w:p w14:paraId="33D2CF1D">
                  <w:pPr>
                    <w:jc w:val="center"/>
                    <w:rPr>
                      <w:rFonts w:hint="default"/>
                      <w:vertAlign w:val="baseline"/>
                      <w:lang w:val="en-US" w:eastAsia="zh-CN"/>
                    </w:rPr>
                  </w:pPr>
                  <w:r>
                    <w:rPr>
                      <w:rFonts w:hint="eastAsia"/>
                      <w:vertAlign w:val="baseline"/>
                      <w:lang w:val="en-US" w:eastAsia="zh-CN"/>
                    </w:rPr>
                    <w:t>1</w:t>
                  </w:r>
                </w:p>
              </w:tc>
              <w:tc>
                <w:tcPr>
                  <w:tcW w:w="916" w:type="pct"/>
                  <w:tcBorders>
                    <w:top w:val="single" w:color="000000" w:sz="4" w:space="0"/>
                    <w:tl2br w:val="nil"/>
                    <w:tr2bl w:val="nil"/>
                  </w:tcBorders>
                  <w:vAlign w:val="center"/>
                </w:tcPr>
                <w:p w14:paraId="5675F5DA">
                  <w:pPr>
                    <w:jc w:val="center"/>
                    <w:rPr>
                      <w:rFonts w:hint="default" w:eastAsia="宋体"/>
                      <w:vertAlign w:val="baseline"/>
                      <w:lang w:val="en-US" w:eastAsia="zh-CN"/>
                    </w:rPr>
                  </w:pPr>
                  <w:r>
                    <w:rPr>
                      <w:rFonts w:hint="eastAsia"/>
                      <w:vertAlign w:val="baseline"/>
                      <w:lang w:val="en-US" w:eastAsia="zh-CN"/>
                    </w:rPr>
                    <w:t>75-80</w:t>
                  </w:r>
                </w:p>
              </w:tc>
              <w:tc>
                <w:tcPr>
                  <w:tcW w:w="1309" w:type="pct"/>
                  <w:tcBorders>
                    <w:top w:val="single" w:color="000000" w:sz="4" w:space="0"/>
                    <w:tl2br w:val="nil"/>
                    <w:tr2bl w:val="nil"/>
                  </w:tcBorders>
                  <w:vAlign w:val="center"/>
                </w:tcPr>
                <w:p w14:paraId="6432AC39">
                  <w:pPr>
                    <w:jc w:val="center"/>
                    <w:rPr>
                      <w:rFonts w:hint="default"/>
                      <w:vertAlign w:val="baseline"/>
                    </w:rPr>
                  </w:pPr>
                  <w:r>
                    <w:rPr>
                      <w:color w:val="auto"/>
                      <w:sz w:val="21"/>
                      <w:szCs w:val="21"/>
                    </w:rPr>
                    <w:t>强化行车管理制度，严禁鸣号，低速行驶</w:t>
                  </w:r>
                </w:p>
              </w:tc>
              <w:tc>
                <w:tcPr>
                  <w:tcW w:w="677" w:type="pct"/>
                  <w:vMerge w:val="continue"/>
                  <w:tcBorders>
                    <w:tl2br w:val="nil"/>
                    <w:tr2bl w:val="nil"/>
                  </w:tcBorders>
                  <w:vAlign w:val="center"/>
                </w:tcPr>
                <w:p w14:paraId="7CE804D1">
                  <w:pPr>
                    <w:jc w:val="center"/>
                    <w:rPr>
                      <w:rFonts w:hint="default"/>
                      <w:vertAlign w:val="baseline"/>
                      <w:lang w:val="en-US"/>
                    </w:rPr>
                  </w:pPr>
                </w:p>
              </w:tc>
            </w:tr>
          </w:tbl>
          <w:p w14:paraId="6E683C2E">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3.2</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防治措施</w:t>
            </w:r>
          </w:p>
          <w:p w14:paraId="7A49B89E">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为有效降低噪声对环境的影响，建设单位计划采取以下措施：</w:t>
            </w:r>
          </w:p>
          <w:p w14:paraId="1B23DB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2" w:leftChars="0" w:right="0" w:rightChars="0" w:firstLine="480" w:firstLineChars="20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1</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选用低噪声设备：在购买水泥搅拌站设备时，优先选择符合国家噪声标准的低噪声设备。</w:t>
            </w:r>
          </w:p>
          <w:p w14:paraId="7EC1864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2" w:leftChars="0" w:right="0" w:rightChars="0" w:firstLine="480" w:firstLineChars="20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（2）</w:t>
            </w:r>
            <w:r>
              <w:rPr>
                <w:rFonts w:ascii="Times New Roman" w:hAnsi="Times New Roman" w:eastAsia="宋体" w:cs="Times New Roman"/>
                <w:color w:val="auto"/>
                <w:kern w:val="0"/>
                <w:sz w:val="24"/>
                <w:szCs w:val="24"/>
                <w:lang w:val="en-US" w:eastAsia="zh-CN" w:bidi="ar-SA"/>
              </w:rPr>
              <w:t>在设备底部安装减振器或减振垫，降低设备振动产生的噪声。</w:t>
            </w:r>
          </w:p>
          <w:p w14:paraId="2EB9E539">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3</w:t>
            </w:r>
            <w:r>
              <w:rPr>
                <w:rFonts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定</w:t>
            </w:r>
            <w:r>
              <w:rPr>
                <w:rFonts w:ascii="Times New Roman" w:hAnsi="Times New Roman" w:eastAsia="宋体" w:cs="Times New Roman"/>
                <w:color w:val="auto"/>
                <w:kern w:val="0"/>
                <w:sz w:val="24"/>
                <w:szCs w:val="24"/>
                <w:lang w:val="en-US" w:eastAsia="zh-CN" w:bidi="ar-SA"/>
              </w:rPr>
              <w:t>期对水泥搅拌站设备进行检查、保养和维修，确保设备处于良好运行状态。</w:t>
            </w:r>
          </w:p>
          <w:p w14:paraId="1247B83B">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4</w:t>
            </w:r>
            <w:r>
              <w:rPr>
                <w:rFonts w:ascii="Times New Roman" w:hAnsi="Times New Roman" w:eastAsia="宋体" w:cs="Times New Roman"/>
                <w:color w:val="auto"/>
                <w:kern w:val="0"/>
                <w:sz w:val="24"/>
                <w:szCs w:val="24"/>
                <w:lang w:val="en-US" w:eastAsia="zh-CN" w:bidi="ar-SA"/>
              </w:rPr>
              <w:t>）理安排设备布局，将噪声较大的设备远离噪声敏感区域。</w:t>
            </w:r>
          </w:p>
          <w:p w14:paraId="285D414E">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3.3</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预测模式</w:t>
            </w:r>
          </w:p>
          <w:p w14:paraId="5B09B615">
            <w:pPr>
              <w:pStyle w:val="18"/>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采用《环境影响评价技术导则 声环境》（HJ2.4-20</w:t>
            </w:r>
            <w:r>
              <w:rPr>
                <w:rFonts w:hint="eastAsia" w:cs="Times New Roman"/>
                <w:color w:val="auto"/>
                <w:kern w:val="0"/>
                <w:sz w:val="24"/>
                <w:szCs w:val="24"/>
                <w:lang w:val="en-US" w:eastAsia="zh-CN" w:bidi="ar-SA"/>
              </w:rPr>
              <w:t>21</w:t>
            </w:r>
            <w:r>
              <w:rPr>
                <w:rFonts w:ascii="Times New Roman" w:hAnsi="Times New Roman" w:eastAsia="宋体" w:cs="Times New Roman"/>
                <w:color w:val="auto"/>
                <w:kern w:val="0"/>
                <w:sz w:val="24"/>
                <w:szCs w:val="24"/>
                <w:lang w:val="en-US" w:eastAsia="zh-CN" w:bidi="ar-SA"/>
              </w:rPr>
              <w:t>）中的工业噪声预测模式。本项目采用点声源衰减预测模式和声压级叠加模式，预测噪声源对各厂界噪声评价点的贡献值。</w:t>
            </w:r>
          </w:p>
          <w:p w14:paraId="08F5B593">
            <w:pPr>
              <w:autoSpaceDE w:val="0"/>
              <w:autoSpaceDN w:val="0"/>
              <w:adjustRightInd w:val="0"/>
              <w:spacing w:line="360" w:lineRule="auto"/>
              <w:ind w:firstLine="480" w:firstLineChars="200"/>
              <w:jc w:val="left"/>
              <w:rPr>
                <w:rFonts w:ascii="Times New Roman" w:hAnsi="Times New Roman"/>
                <w:bCs/>
                <w:color w:val="auto"/>
                <w:sz w:val="24"/>
              </w:rPr>
            </w:pPr>
            <w:r>
              <w:rPr>
                <w:rFonts w:hint="eastAsia" w:ascii="宋体" w:hAnsi="宋体" w:cs="宋体"/>
                <w:bCs/>
                <w:color w:val="auto"/>
                <w:sz w:val="24"/>
              </w:rPr>
              <w:t>①</w:t>
            </w:r>
            <w:r>
              <w:rPr>
                <w:rFonts w:ascii="Times New Roman" w:hAnsi="Times New Roman"/>
                <w:bCs/>
                <w:color w:val="auto"/>
                <w:sz w:val="24"/>
              </w:rPr>
              <w:t xml:space="preserve"> 计算某个声源在预测点的倍频带声压级</w:t>
            </w:r>
          </w:p>
          <w:p w14:paraId="10BCA5F8">
            <w:pPr>
              <w:autoSpaceDE w:val="0"/>
              <w:autoSpaceDN w:val="0"/>
              <w:adjustRightInd w:val="0"/>
              <w:spacing w:line="360" w:lineRule="auto"/>
              <w:jc w:val="center"/>
              <w:rPr>
                <w:rFonts w:ascii="Times New Roman" w:hAnsi="Times New Roman"/>
                <w:bCs/>
                <w:color w:val="auto"/>
                <w:sz w:val="24"/>
              </w:rPr>
            </w:pPr>
            <w:r>
              <w:rPr>
                <w:rFonts w:ascii="Times New Roman" w:hAnsi="Times New Roman"/>
                <w:bCs/>
                <w:color w:val="auto"/>
                <w:sz w:val="24"/>
              </w:rPr>
              <w:object>
                <v:shape id="_x0000_i1025" o:spt="75" type="#_x0000_t75" style="height:37.5pt;width:174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p w14:paraId="716BD802">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jc w:val="left"/>
              <w:textAlignment w:val="auto"/>
              <w:rPr>
                <w:rFonts w:ascii="Times New Roman" w:hAnsi="Times New Roman"/>
                <w:bCs/>
                <w:color w:val="auto"/>
                <w:sz w:val="24"/>
              </w:rPr>
            </w:pPr>
            <w:r>
              <w:rPr>
                <w:rFonts w:ascii="Times New Roman" w:hAnsi="Times New Roman"/>
                <w:bCs/>
                <w:color w:val="auto"/>
                <w:sz w:val="24"/>
              </w:rPr>
              <w:t>式中：Loct(r)——点声源在预测点产生的倍频带声压级</w:t>
            </w:r>
            <w:r>
              <w:rPr>
                <w:rFonts w:hint="eastAsia"/>
                <w:bCs/>
                <w:color w:val="auto"/>
                <w:sz w:val="24"/>
                <w:lang w:eastAsia="zh-CN"/>
              </w:rPr>
              <w:t>，</w:t>
            </w:r>
            <w:r>
              <w:rPr>
                <w:rFonts w:ascii="Times New Roman" w:hAnsi="Times New Roman"/>
                <w:bCs/>
                <w:color w:val="auto"/>
                <w:sz w:val="24"/>
              </w:rPr>
              <w:t xml:space="preserve"> dB(A)；</w:t>
            </w:r>
          </w:p>
          <w:p w14:paraId="5A8D82EC">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Loct(r0)——参考位置r0处的倍频带声压级</w:t>
            </w:r>
            <w:r>
              <w:rPr>
                <w:rFonts w:hint="eastAsia"/>
                <w:bCs/>
                <w:color w:val="auto"/>
                <w:sz w:val="24"/>
                <w:lang w:eastAsia="zh-CN"/>
              </w:rPr>
              <w:t>，</w:t>
            </w:r>
            <w:r>
              <w:rPr>
                <w:rFonts w:ascii="Times New Roman" w:hAnsi="Times New Roman"/>
                <w:bCs/>
                <w:color w:val="auto"/>
                <w:sz w:val="24"/>
              </w:rPr>
              <w:t xml:space="preserve"> dB(A)；</w:t>
            </w:r>
          </w:p>
          <w:p w14:paraId="76B4D6DB">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r——预测点距声源的距离，m；</w:t>
            </w:r>
          </w:p>
          <w:p w14:paraId="69DA1637">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r0——参考位置距声源的距离，m；</w:t>
            </w:r>
          </w:p>
          <w:p w14:paraId="3A149501">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ΔLoct——各种因素引起的衰减量（包括声屏障、遮挡物、空气吸收、地面效应等引起的衰减量）, dB(A)。</w:t>
            </w:r>
          </w:p>
          <w:p w14:paraId="64AE1AD5">
            <w:pPr>
              <w:autoSpaceDE w:val="0"/>
              <w:autoSpaceDN w:val="0"/>
              <w:adjustRightInd w:val="0"/>
              <w:spacing w:line="360" w:lineRule="auto"/>
              <w:ind w:firstLine="480" w:firstLineChars="200"/>
              <w:jc w:val="left"/>
              <w:rPr>
                <w:rFonts w:ascii="Times New Roman" w:hAnsi="Times New Roman"/>
                <w:bCs/>
                <w:color w:val="auto"/>
                <w:sz w:val="24"/>
              </w:rPr>
            </w:pPr>
            <w:r>
              <w:rPr>
                <w:rFonts w:hint="eastAsia" w:ascii="宋体" w:hAnsi="宋体" w:cs="宋体"/>
                <w:bCs/>
                <w:color w:val="auto"/>
                <w:sz w:val="24"/>
              </w:rPr>
              <w:t>②</w:t>
            </w:r>
            <w:r>
              <w:rPr>
                <w:rFonts w:ascii="Times New Roman" w:hAnsi="Times New Roman"/>
                <w:bCs/>
                <w:color w:val="auto"/>
                <w:sz w:val="24"/>
              </w:rPr>
              <w:t>预测点总影响值计算模式：</w:t>
            </w:r>
          </w:p>
          <w:p w14:paraId="76107513">
            <w:pPr>
              <w:autoSpaceDE w:val="0"/>
              <w:autoSpaceDN w:val="0"/>
              <w:adjustRightInd w:val="0"/>
              <w:spacing w:line="360" w:lineRule="auto"/>
              <w:jc w:val="center"/>
              <w:rPr>
                <w:rFonts w:ascii="Times New Roman" w:hAnsi="Times New Roman"/>
                <w:bCs/>
                <w:color w:val="auto"/>
                <w:sz w:val="24"/>
              </w:rPr>
            </w:pPr>
            <w:r>
              <w:rPr>
                <w:rFonts w:ascii="Times New Roman" w:hAnsi="Times New Roman"/>
                <w:bCs/>
                <w:color w:val="auto"/>
                <w:sz w:val="24"/>
              </w:rPr>
              <w:drawing>
                <wp:inline distT="0" distB="0" distL="114300" distR="114300">
                  <wp:extent cx="1181100" cy="447675"/>
                  <wp:effectExtent l="0" t="0" r="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1181100" cy="447675"/>
                          </a:xfrm>
                          <a:prstGeom prst="rect">
                            <a:avLst/>
                          </a:prstGeom>
                          <a:noFill/>
                          <a:ln>
                            <a:noFill/>
                          </a:ln>
                        </pic:spPr>
                      </pic:pic>
                    </a:graphicData>
                  </a:graphic>
                </wp:inline>
              </w:drawing>
            </w:r>
          </w:p>
          <w:p w14:paraId="5899CD47">
            <w:pPr>
              <w:keepNext w:val="0"/>
              <w:keepLines w:val="0"/>
              <w:pageBreakBefore w:val="0"/>
              <w:widowControl w:val="0"/>
              <w:kinsoku/>
              <w:wordWrap/>
              <w:overflowPunct/>
              <w:topLinePunct w:val="0"/>
              <w:bidi w:val="0"/>
              <w:snapToGrid/>
              <w:spacing w:line="360" w:lineRule="auto"/>
              <w:ind w:firstLine="1200" w:firstLineChars="500"/>
              <w:textAlignment w:val="auto"/>
              <w:rPr>
                <w:color w:val="auto"/>
                <w:sz w:val="24"/>
              </w:rPr>
            </w:pPr>
            <w:r>
              <w:rPr>
                <w:color w:val="auto"/>
                <w:sz w:val="24"/>
                <w:lang w:bidi="ar"/>
              </w:rPr>
              <w:t>式中：</w:t>
            </w:r>
            <w:r>
              <w:rPr>
                <w:rFonts w:hint="eastAsia"/>
                <w:color w:val="auto"/>
                <w:sz w:val="24"/>
                <w:lang w:val="en-US" w:eastAsia="zh-CN" w:bidi="ar"/>
              </w:rPr>
              <w:t>L</w:t>
            </w:r>
            <w:r>
              <w:rPr>
                <w:rFonts w:hint="eastAsia"/>
                <w:color w:val="auto"/>
                <w:sz w:val="24"/>
                <w:vertAlign w:val="subscript"/>
                <w:lang w:val="en-US" w:eastAsia="zh-CN" w:bidi="ar"/>
              </w:rPr>
              <w:t>总</w:t>
            </w:r>
            <w:r>
              <w:rPr>
                <w:color w:val="auto"/>
                <w:sz w:val="24"/>
                <w:lang w:bidi="ar"/>
              </w:rPr>
              <w:t>——几个声压级相加后的总声压级，dB(A)；</w:t>
            </w:r>
          </w:p>
          <w:p w14:paraId="329A914B">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hint="eastAsia"/>
                <w:bCs/>
                <w:color w:val="auto"/>
                <w:sz w:val="24"/>
                <w:lang w:val="en-US" w:eastAsia="zh-CN"/>
              </w:rPr>
              <w:t>L</w:t>
            </w:r>
            <w:r>
              <w:rPr>
                <w:rFonts w:hint="eastAsia"/>
                <w:bCs/>
                <w:color w:val="auto"/>
                <w:sz w:val="24"/>
                <w:vertAlign w:val="subscript"/>
                <w:lang w:val="en-US" w:eastAsia="zh-CN"/>
              </w:rPr>
              <w:t>i</w:t>
            </w:r>
            <w:r>
              <w:rPr>
                <w:rFonts w:ascii="Times New Roman" w:hAnsi="Times New Roman"/>
                <w:bCs/>
                <w:color w:val="auto"/>
                <w:sz w:val="24"/>
              </w:rPr>
              <w:t>——某一个声压级，dB(A)。</w:t>
            </w:r>
          </w:p>
          <w:p w14:paraId="5EEF79B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Times New Roman" w:hAnsi="Times New Roman"/>
                <w:bCs/>
                <w:color w:val="auto"/>
                <w:sz w:val="24"/>
              </w:rPr>
            </w:pPr>
            <w:r>
              <w:rPr>
                <w:rFonts w:ascii="Times New Roman" w:hAnsi="Times New Roman"/>
                <w:bCs/>
                <w:color w:val="auto"/>
                <w:sz w:val="24"/>
              </w:rPr>
              <w:t>其声波在传播过程中将通过所在建筑物的屏蔽衰减，并经过距离衰减、声屏障衰减、空气吸收衰减达到厂界。</w:t>
            </w:r>
          </w:p>
          <w:p w14:paraId="7BC9B63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bCs/>
                <w:color w:val="auto"/>
                <w:sz w:val="24"/>
                <w:lang w:val="en-US" w:eastAsia="zh-CN"/>
              </w:rPr>
            </w:pPr>
            <w:r>
              <w:rPr>
                <w:rFonts w:ascii="Times New Roman" w:hAnsi="Times New Roman"/>
                <w:bCs/>
                <w:color w:val="auto"/>
                <w:sz w:val="24"/>
              </w:rPr>
              <w:t>利用以上预测公式，使噪声源通过等效变换成若干等效声源，然后计算出与噪声源不同距离处的理论噪声值，得出噪声设备运行时对厂界噪声环境的影响状况，本工程主要噪声源集中在室内，从环保角度，设定其噪声源最大强度90dB（A）</w:t>
            </w:r>
            <w:r>
              <w:rPr>
                <w:rFonts w:hint="eastAsia"/>
                <w:bCs/>
                <w:color w:val="auto"/>
                <w:sz w:val="24"/>
                <w:lang w:eastAsia="zh-CN"/>
              </w:rPr>
              <w:t>（</w:t>
            </w:r>
            <w:r>
              <w:rPr>
                <w:rFonts w:ascii="Times New Roman" w:hAnsi="Times New Roman"/>
                <w:bCs/>
                <w:color w:val="auto"/>
                <w:sz w:val="24"/>
              </w:rPr>
              <w:t>声源1m处噪声值，增设隔振垫后降噪约20 dB（A）</w:t>
            </w:r>
            <w:r>
              <w:rPr>
                <w:rFonts w:hint="eastAsia"/>
                <w:bCs/>
                <w:color w:val="auto"/>
                <w:sz w:val="24"/>
                <w:lang w:eastAsia="zh-CN"/>
              </w:rPr>
              <w:t>）</w:t>
            </w:r>
            <w:r>
              <w:rPr>
                <w:rFonts w:ascii="Times New Roman" w:hAnsi="Times New Roman"/>
                <w:bCs/>
                <w:color w:val="auto"/>
                <w:sz w:val="24"/>
              </w:rPr>
              <w:t>，计算结果见表</w:t>
            </w:r>
            <w:r>
              <w:rPr>
                <w:rFonts w:hint="eastAsia"/>
                <w:bCs/>
                <w:color w:val="auto"/>
                <w:sz w:val="24"/>
                <w:lang w:val="en-US" w:eastAsia="zh-CN"/>
              </w:rPr>
              <w:t>4-9</w:t>
            </w:r>
          </w:p>
          <w:p w14:paraId="2AC422A8">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9</w:t>
            </w:r>
            <w:r>
              <w:rPr>
                <w:rFonts w:hint="eastAsia" w:ascii="Times New Roman" w:hAnsi="Times New Roman" w:eastAsia="宋体" w:cs="Times New Roman"/>
                <w:color w:val="auto"/>
              </w:rPr>
              <w:t xml:space="preserve">    项目噪声源对周围环境的贡献量   dB(A)</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681"/>
              <w:gridCol w:w="1500"/>
              <w:gridCol w:w="1576"/>
              <w:gridCol w:w="1450"/>
              <w:gridCol w:w="1739"/>
            </w:tblGrid>
            <w:tr w14:paraId="57DC276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1057" w:type="pct"/>
                  <w:tcBorders>
                    <w:top w:val="single" w:color="auto" w:sz="12" w:space="0"/>
                    <w:left w:val="nil"/>
                    <w:bottom w:val="single" w:color="auto" w:sz="12" w:space="0"/>
                    <w:right w:val="single" w:color="auto" w:sz="8" w:space="0"/>
                  </w:tcBorders>
                  <w:noWrap w:val="0"/>
                  <w:vAlign w:val="center"/>
                </w:tcPr>
                <w:p w14:paraId="65E4AF89">
                  <w:pPr>
                    <w:pStyle w:val="3"/>
                    <w:ind w:firstLine="0"/>
                    <w:jc w:val="center"/>
                    <w:rPr>
                      <w:rFonts w:hint="eastAsia" w:ascii="Times New Roman" w:hAnsi="Times New Roman" w:eastAsia="宋体"/>
                      <w:color w:val="auto"/>
                      <w:szCs w:val="21"/>
                      <w:lang w:eastAsia="zh-CN"/>
                    </w:rPr>
                  </w:pPr>
                  <w:r>
                    <w:rPr>
                      <w:rFonts w:hint="eastAsia" w:ascii="Times New Roman" w:hAnsi="Times New Roman" w:eastAsia="宋体"/>
                      <w:b/>
                      <w:bCs/>
                      <w:color w:val="auto"/>
                      <w:szCs w:val="21"/>
                      <w:lang w:val="en-US" w:eastAsia="zh-CN"/>
                    </w:rPr>
                    <w:t>预测方位</w:t>
                  </w:r>
                </w:p>
              </w:tc>
              <w:tc>
                <w:tcPr>
                  <w:tcW w:w="943" w:type="pct"/>
                  <w:tcBorders>
                    <w:top w:val="single" w:color="auto" w:sz="12" w:space="0"/>
                    <w:left w:val="single" w:color="auto" w:sz="8" w:space="0"/>
                    <w:bottom w:val="single" w:color="auto" w:sz="12" w:space="0"/>
                    <w:right w:val="single" w:color="auto" w:sz="8" w:space="0"/>
                  </w:tcBorders>
                  <w:noWrap w:val="0"/>
                  <w:vAlign w:val="center"/>
                </w:tcPr>
                <w:p w14:paraId="0C81A688">
                  <w:pPr>
                    <w:pStyle w:val="3"/>
                    <w:ind w:firstLine="0"/>
                    <w:jc w:val="center"/>
                    <w:rPr>
                      <w:rFonts w:hint="eastAsia" w:ascii="Times New Roman" w:hAnsi="Times New Roman" w:eastAsia="宋体"/>
                      <w:color w:val="auto"/>
                      <w:szCs w:val="21"/>
                      <w:lang w:eastAsia="zh-CN"/>
                    </w:rPr>
                  </w:pPr>
                  <w:r>
                    <w:rPr>
                      <w:rFonts w:hint="eastAsia"/>
                      <w:b/>
                      <w:bCs/>
                      <w:color w:val="auto"/>
                      <w:szCs w:val="21"/>
                      <w:lang w:val="en-US" w:eastAsia="zh-CN"/>
                    </w:rPr>
                    <w:t>预测时段</w:t>
                  </w:r>
                </w:p>
              </w:tc>
              <w:tc>
                <w:tcPr>
                  <w:tcW w:w="991" w:type="pct"/>
                  <w:tcBorders>
                    <w:top w:val="single" w:color="auto" w:sz="12" w:space="0"/>
                    <w:left w:val="single" w:color="auto" w:sz="8" w:space="0"/>
                    <w:bottom w:val="single" w:color="auto" w:sz="12" w:space="0"/>
                    <w:right w:val="single" w:color="auto" w:sz="8" w:space="0"/>
                  </w:tcBorders>
                  <w:noWrap w:val="0"/>
                  <w:vAlign w:val="center"/>
                </w:tcPr>
                <w:p w14:paraId="3B249455">
                  <w:pPr>
                    <w:pStyle w:val="3"/>
                    <w:ind w:firstLine="0"/>
                    <w:jc w:val="center"/>
                    <w:rPr>
                      <w:rFonts w:hint="eastAsia" w:ascii="Times New Roman" w:hAnsi="Times New Roman" w:eastAsia="宋体"/>
                      <w:color w:val="auto"/>
                      <w:szCs w:val="21"/>
                      <w:lang w:eastAsia="zh-CN"/>
                    </w:rPr>
                  </w:pPr>
                  <w:r>
                    <w:rPr>
                      <w:rFonts w:hint="eastAsia"/>
                      <w:color w:val="auto"/>
                      <w:szCs w:val="21"/>
                      <w:lang w:val="en-US" w:eastAsia="zh-CN"/>
                    </w:rPr>
                    <w:t>贡献值</w:t>
                  </w:r>
                </w:p>
              </w:tc>
              <w:tc>
                <w:tcPr>
                  <w:tcW w:w="912" w:type="pct"/>
                  <w:tcBorders>
                    <w:top w:val="single" w:color="auto" w:sz="12" w:space="0"/>
                    <w:left w:val="single" w:color="auto" w:sz="8" w:space="0"/>
                    <w:bottom w:val="single" w:color="auto" w:sz="12" w:space="0"/>
                    <w:right w:val="single" w:color="auto" w:sz="8" w:space="0"/>
                  </w:tcBorders>
                  <w:noWrap w:val="0"/>
                  <w:vAlign w:val="center"/>
                </w:tcPr>
                <w:p w14:paraId="1DD0FDC2">
                  <w:pPr>
                    <w:pStyle w:val="3"/>
                    <w:ind w:firstLine="0"/>
                    <w:jc w:val="center"/>
                    <w:rPr>
                      <w:rFonts w:hint="eastAsia" w:ascii="Times New Roman" w:hAnsi="Times New Roman" w:eastAsia="宋体"/>
                      <w:color w:val="auto"/>
                      <w:szCs w:val="21"/>
                      <w:lang w:eastAsia="zh-CN"/>
                    </w:rPr>
                  </w:pPr>
                  <w:r>
                    <w:rPr>
                      <w:rFonts w:hint="eastAsia"/>
                      <w:color w:val="auto"/>
                      <w:szCs w:val="21"/>
                      <w:lang w:val="en-US" w:eastAsia="zh-CN"/>
                    </w:rPr>
                    <w:t>标准限值</w:t>
                  </w:r>
                </w:p>
              </w:tc>
              <w:tc>
                <w:tcPr>
                  <w:tcW w:w="1094" w:type="pct"/>
                  <w:tcBorders>
                    <w:top w:val="single" w:color="auto" w:sz="12" w:space="0"/>
                    <w:left w:val="single" w:color="auto" w:sz="8" w:space="0"/>
                    <w:bottom w:val="single" w:color="auto" w:sz="12" w:space="0"/>
                    <w:right w:val="nil"/>
                  </w:tcBorders>
                  <w:noWrap w:val="0"/>
                  <w:vAlign w:val="center"/>
                </w:tcPr>
                <w:p w14:paraId="1024F4B0">
                  <w:pPr>
                    <w:pStyle w:val="3"/>
                    <w:ind w:firstLine="0"/>
                    <w:jc w:val="center"/>
                    <w:rPr>
                      <w:rFonts w:hint="eastAsia" w:ascii="Times New Roman" w:hAnsi="Times New Roman" w:eastAsia="宋体"/>
                      <w:color w:val="auto"/>
                      <w:szCs w:val="21"/>
                      <w:lang w:eastAsia="zh-CN"/>
                    </w:rPr>
                  </w:pPr>
                  <w:r>
                    <w:rPr>
                      <w:rFonts w:hint="eastAsia"/>
                      <w:color w:val="auto"/>
                      <w:szCs w:val="21"/>
                      <w:lang w:val="en-US" w:eastAsia="zh-CN"/>
                    </w:rPr>
                    <w:t>达标情况</w:t>
                  </w:r>
                </w:p>
              </w:tc>
            </w:tr>
            <w:tr w14:paraId="4CFBC2F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restart"/>
                  <w:tcBorders>
                    <w:top w:val="single" w:color="auto" w:sz="12" w:space="0"/>
                    <w:left w:val="nil"/>
                    <w:right w:val="single" w:color="auto" w:sz="8" w:space="0"/>
                  </w:tcBorders>
                  <w:noWrap w:val="0"/>
                  <w:vAlign w:val="center"/>
                </w:tcPr>
                <w:p w14:paraId="6D387CE3">
                  <w:pPr>
                    <w:pStyle w:val="3"/>
                    <w:ind w:firstLine="0"/>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lang w:val="en-US" w:eastAsia="zh-CN"/>
                    </w:rPr>
                    <w:t>项目东侧厂界</w:t>
                  </w:r>
                </w:p>
              </w:tc>
              <w:tc>
                <w:tcPr>
                  <w:tcW w:w="943" w:type="pct"/>
                  <w:tcBorders>
                    <w:top w:val="single" w:color="auto" w:sz="12" w:space="0"/>
                    <w:left w:val="single" w:color="auto" w:sz="8" w:space="0"/>
                    <w:bottom w:val="single" w:color="auto" w:sz="8" w:space="0"/>
                    <w:right w:val="single" w:color="auto" w:sz="8" w:space="0"/>
                  </w:tcBorders>
                  <w:noWrap w:val="0"/>
                  <w:vAlign w:val="center"/>
                </w:tcPr>
                <w:p w14:paraId="38692705">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昼间</w:t>
                  </w:r>
                </w:p>
              </w:tc>
              <w:tc>
                <w:tcPr>
                  <w:tcW w:w="1576" w:type="dxa"/>
                  <w:tcBorders>
                    <w:top w:val="single" w:color="auto" w:sz="12" w:space="0"/>
                    <w:left w:val="single" w:color="auto" w:sz="8" w:space="0"/>
                    <w:bottom w:val="single" w:color="auto" w:sz="8" w:space="0"/>
                    <w:right w:val="single" w:color="auto" w:sz="8" w:space="0"/>
                  </w:tcBorders>
                  <w:noWrap w:val="0"/>
                  <w:vAlign w:val="center"/>
                </w:tcPr>
                <w:p w14:paraId="01F80019">
                  <w:pPr>
                    <w:widowControl/>
                    <w:spacing w:line="240" w:lineRule="auto"/>
                    <w:jc w:val="center"/>
                    <w:rPr>
                      <w:rFonts w:hint="default" w:ascii="Times New Roman" w:hAnsi="Times New Roman"/>
                      <w:color w:val="auto"/>
                      <w:szCs w:val="21"/>
                      <w:lang w:val="en-US"/>
                    </w:rPr>
                  </w:pPr>
                  <w:r>
                    <w:rPr>
                      <w:rFonts w:hint="eastAsia" w:cs="Times New Roman"/>
                      <w:sz w:val="21"/>
                      <w:szCs w:val="21"/>
                      <w:highlight w:val="none"/>
                      <w:lang w:val="en-US" w:eastAsia="zh-CN"/>
                    </w:rPr>
                    <w:t>38</w:t>
                  </w:r>
                </w:p>
              </w:tc>
              <w:tc>
                <w:tcPr>
                  <w:tcW w:w="1450" w:type="dxa"/>
                  <w:tcBorders>
                    <w:top w:val="single" w:color="auto" w:sz="12" w:space="0"/>
                    <w:left w:val="single" w:color="auto" w:sz="8" w:space="0"/>
                    <w:bottom w:val="single" w:color="auto" w:sz="8" w:space="0"/>
                    <w:right w:val="single" w:color="auto" w:sz="8" w:space="0"/>
                  </w:tcBorders>
                  <w:noWrap w:val="0"/>
                  <w:vAlign w:val="center"/>
                </w:tcPr>
                <w:p w14:paraId="79EF3033">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60</w:t>
                  </w:r>
                </w:p>
              </w:tc>
              <w:tc>
                <w:tcPr>
                  <w:tcW w:w="1739" w:type="dxa"/>
                  <w:tcBorders>
                    <w:top w:val="single" w:color="auto" w:sz="12" w:space="0"/>
                    <w:left w:val="single" w:color="auto" w:sz="8" w:space="0"/>
                    <w:bottom w:val="single" w:color="auto" w:sz="8" w:space="0"/>
                    <w:right w:val="nil"/>
                  </w:tcBorders>
                  <w:noWrap w:val="0"/>
                  <w:vAlign w:val="center"/>
                </w:tcPr>
                <w:p w14:paraId="0776C6BD">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29ADE0D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continue"/>
                  <w:tcBorders>
                    <w:left w:val="nil"/>
                    <w:bottom w:val="single" w:color="auto" w:sz="8" w:space="0"/>
                    <w:right w:val="single" w:color="auto" w:sz="8" w:space="0"/>
                  </w:tcBorders>
                  <w:noWrap w:val="0"/>
                  <w:vAlign w:val="center"/>
                </w:tcPr>
                <w:p w14:paraId="25C9E938">
                  <w:pPr>
                    <w:pStyle w:val="3"/>
                    <w:ind w:firstLine="0"/>
                    <w:jc w:val="center"/>
                    <w:rPr>
                      <w:rFonts w:hint="eastAsia"/>
                      <w:color w:val="auto"/>
                      <w:szCs w:val="21"/>
                      <w:lang w:val="en-US" w:eastAsia="zh-CN"/>
                    </w:rPr>
                  </w:pPr>
                </w:p>
              </w:tc>
              <w:tc>
                <w:tcPr>
                  <w:tcW w:w="943" w:type="pct"/>
                  <w:tcBorders>
                    <w:top w:val="single" w:color="auto" w:sz="8" w:space="0"/>
                    <w:left w:val="single" w:color="auto" w:sz="8" w:space="0"/>
                    <w:bottom w:val="single" w:color="auto" w:sz="8" w:space="0"/>
                    <w:right w:val="single" w:color="auto" w:sz="8" w:space="0"/>
                  </w:tcBorders>
                  <w:noWrap w:val="0"/>
                  <w:vAlign w:val="center"/>
                </w:tcPr>
                <w:p w14:paraId="1EBFD197">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夜间</w:t>
                  </w:r>
                </w:p>
              </w:tc>
              <w:tc>
                <w:tcPr>
                  <w:tcW w:w="1576" w:type="dxa"/>
                  <w:tcBorders>
                    <w:top w:val="single" w:color="auto" w:sz="8" w:space="0"/>
                    <w:left w:val="single" w:color="auto" w:sz="8" w:space="0"/>
                    <w:bottom w:val="single" w:color="auto" w:sz="8" w:space="0"/>
                    <w:right w:val="single" w:color="auto" w:sz="8" w:space="0"/>
                  </w:tcBorders>
                  <w:noWrap w:val="0"/>
                  <w:vAlign w:val="center"/>
                </w:tcPr>
                <w:p w14:paraId="290D0ABD">
                  <w:pPr>
                    <w:widowControl/>
                    <w:spacing w:line="240" w:lineRule="auto"/>
                    <w:jc w:val="center"/>
                    <w:rPr>
                      <w:rFonts w:hint="default" w:ascii="Times New Roman" w:hAnsi="Times New Roman"/>
                      <w:color w:val="auto"/>
                      <w:szCs w:val="21"/>
                      <w:lang w:val="en-US"/>
                    </w:rPr>
                  </w:pPr>
                  <w:r>
                    <w:rPr>
                      <w:rFonts w:hint="eastAsia" w:cs="Times New Roman"/>
                      <w:sz w:val="21"/>
                      <w:szCs w:val="21"/>
                      <w:highlight w:val="none"/>
                      <w:lang w:val="en-US" w:eastAsia="zh-CN"/>
                    </w:rPr>
                    <w:t>38</w:t>
                  </w:r>
                </w:p>
              </w:tc>
              <w:tc>
                <w:tcPr>
                  <w:tcW w:w="1450" w:type="dxa"/>
                  <w:tcBorders>
                    <w:top w:val="single" w:color="auto" w:sz="8" w:space="0"/>
                    <w:left w:val="single" w:color="auto" w:sz="8" w:space="0"/>
                    <w:bottom w:val="single" w:color="auto" w:sz="8" w:space="0"/>
                    <w:right w:val="single" w:color="auto" w:sz="8" w:space="0"/>
                  </w:tcBorders>
                  <w:noWrap w:val="0"/>
                  <w:vAlign w:val="center"/>
                </w:tcPr>
                <w:p w14:paraId="53CDA8E4">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50</w:t>
                  </w:r>
                </w:p>
              </w:tc>
              <w:tc>
                <w:tcPr>
                  <w:tcW w:w="1739" w:type="dxa"/>
                  <w:tcBorders>
                    <w:top w:val="single" w:color="auto" w:sz="8" w:space="0"/>
                    <w:left w:val="single" w:color="auto" w:sz="8" w:space="0"/>
                    <w:bottom w:val="single" w:color="auto" w:sz="8" w:space="0"/>
                    <w:right w:val="nil"/>
                  </w:tcBorders>
                  <w:noWrap w:val="0"/>
                  <w:vAlign w:val="center"/>
                </w:tcPr>
                <w:p w14:paraId="43FA8C07">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652C56F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restart"/>
                  <w:tcBorders>
                    <w:top w:val="single" w:color="auto" w:sz="8" w:space="0"/>
                    <w:left w:val="nil"/>
                    <w:right w:val="single" w:color="auto" w:sz="8" w:space="0"/>
                  </w:tcBorders>
                  <w:noWrap w:val="0"/>
                  <w:vAlign w:val="center"/>
                </w:tcPr>
                <w:p w14:paraId="1D467781">
                  <w:pPr>
                    <w:pStyle w:val="3"/>
                    <w:ind w:firstLine="0"/>
                    <w:jc w:val="center"/>
                    <w:rPr>
                      <w:rFonts w:hint="eastAsia"/>
                      <w:color w:val="auto"/>
                      <w:szCs w:val="21"/>
                      <w:lang w:val="en-US" w:eastAsia="zh-CN"/>
                    </w:rPr>
                  </w:pPr>
                  <w:r>
                    <w:rPr>
                      <w:rFonts w:hint="default" w:ascii="Times New Roman" w:hAnsi="Times New Roman" w:eastAsia="宋体" w:cs="Times New Roman"/>
                      <w:sz w:val="21"/>
                      <w:szCs w:val="21"/>
                      <w:highlight w:val="none"/>
                      <w:lang w:val="en-US" w:eastAsia="zh-CN"/>
                    </w:rPr>
                    <w:t>项目</w:t>
                  </w:r>
                  <w:r>
                    <w:rPr>
                      <w:rFonts w:hint="eastAsia" w:cs="Times New Roman"/>
                      <w:sz w:val="21"/>
                      <w:szCs w:val="21"/>
                      <w:highlight w:val="none"/>
                      <w:lang w:val="en-US" w:eastAsia="zh-CN"/>
                    </w:rPr>
                    <w:t>南</w:t>
                  </w:r>
                  <w:r>
                    <w:rPr>
                      <w:rFonts w:hint="default" w:ascii="Times New Roman" w:hAnsi="Times New Roman" w:eastAsia="宋体" w:cs="Times New Roman"/>
                      <w:sz w:val="21"/>
                      <w:szCs w:val="21"/>
                      <w:highlight w:val="none"/>
                      <w:lang w:val="en-US" w:eastAsia="zh-CN"/>
                    </w:rPr>
                    <w:t>侧厂界</w:t>
                  </w:r>
                </w:p>
              </w:tc>
              <w:tc>
                <w:tcPr>
                  <w:tcW w:w="943" w:type="pct"/>
                  <w:tcBorders>
                    <w:top w:val="single" w:color="auto" w:sz="8" w:space="0"/>
                    <w:left w:val="single" w:color="auto" w:sz="8" w:space="0"/>
                    <w:bottom w:val="single" w:color="auto" w:sz="8" w:space="0"/>
                    <w:right w:val="single" w:color="auto" w:sz="8" w:space="0"/>
                  </w:tcBorders>
                  <w:noWrap w:val="0"/>
                  <w:vAlign w:val="center"/>
                </w:tcPr>
                <w:p w14:paraId="4D6CB6B9">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昼间</w:t>
                  </w:r>
                </w:p>
              </w:tc>
              <w:tc>
                <w:tcPr>
                  <w:tcW w:w="1576" w:type="dxa"/>
                  <w:tcBorders>
                    <w:top w:val="single" w:color="auto" w:sz="8" w:space="0"/>
                    <w:left w:val="single" w:color="auto" w:sz="8" w:space="0"/>
                    <w:bottom w:val="single" w:color="auto" w:sz="8" w:space="0"/>
                    <w:right w:val="single" w:color="auto" w:sz="8" w:space="0"/>
                  </w:tcBorders>
                  <w:noWrap w:val="0"/>
                  <w:vAlign w:val="center"/>
                </w:tcPr>
                <w:p w14:paraId="0EA57D15">
                  <w:pPr>
                    <w:widowControl/>
                    <w:spacing w:line="240" w:lineRule="auto"/>
                    <w:jc w:val="center"/>
                    <w:rPr>
                      <w:rFonts w:hint="default" w:ascii="Times New Roman" w:hAnsi="Times New Roman"/>
                      <w:color w:val="auto"/>
                      <w:szCs w:val="21"/>
                      <w:lang w:val="en-US"/>
                    </w:rPr>
                  </w:pPr>
                  <w:r>
                    <w:rPr>
                      <w:rFonts w:hint="eastAsia" w:cs="Times New Roman"/>
                      <w:sz w:val="21"/>
                      <w:szCs w:val="21"/>
                      <w:highlight w:val="none"/>
                      <w:lang w:val="en-US" w:eastAsia="zh-CN"/>
                    </w:rPr>
                    <w:t>41</w:t>
                  </w:r>
                </w:p>
              </w:tc>
              <w:tc>
                <w:tcPr>
                  <w:tcW w:w="1450" w:type="dxa"/>
                  <w:tcBorders>
                    <w:top w:val="single" w:color="auto" w:sz="8" w:space="0"/>
                    <w:left w:val="single" w:color="auto" w:sz="8" w:space="0"/>
                    <w:bottom w:val="single" w:color="auto" w:sz="8" w:space="0"/>
                    <w:right w:val="single" w:color="auto" w:sz="8" w:space="0"/>
                  </w:tcBorders>
                  <w:noWrap w:val="0"/>
                  <w:vAlign w:val="center"/>
                </w:tcPr>
                <w:p w14:paraId="10FABB04">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60</w:t>
                  </w:r>
                </w:p>
              </w:tc>
              <w:tc>
                <w:tcPr>
                  <w:tcW w:w="1739" w:type="dxa"/>
                  <w:tcBorders>
                    <w:top w:val="single" w:color="auto" w:sz="8" w:space="0"/>
                    <w:left w:val="single" w:color="auto" w:sz="8" w:space="0"/>
                    <w:bottom w:val="single" w:color="auto" w:sz="8" w:space="0"/>
                    <w:right w:val="nil"/>
                  </w:tcBorders>
                  <w:noWrap w:val="0"/>
                  <w:vAlign w:val="center"/>
                </w:tcPr>
                <w:p w14:paraId="5A9A1D4F">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6F869E3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continue"/>
                  <w:tcBorders>
                    <w:left w:val="nil"/>
                    <w:bottom w:val="single" w:color="auto" w:sz="8" w:space="0"/>
                    <w:right w:val="single" w:color="auto" w:sz="8" w:space="0"/>
                  </w:tcBorders>
                  <w:noWrap w:val="0"/>
                  <w:vAlign w:val="center"/>
                </w:tcPr>
                <w:p w14:paraId="40BDC40A">
                  <w:pPr>
                    <w:pStyle w:val="3"/>
                    <w:ind w:firstLine="0"/>
                    <w:jc w:val="center"/>
                    <w:rPr>
                      <w:rFonts w:hint="eastAsia"/>
                      <w:color w:val="auto"/>
                      <w:szCs w:val="21"/>
                      <w:lang w:val="en-US" w:eastAsia="zh-CN"/>
                    </w:rPr>
                  </w:pPr>
                </w:p>
              </w:tc>
              <w:tc>
                <w:tcPr>
                  <w:tcW w:w="943" w:type="pct"/>
                  <w:tcBorders>
                    <w:top w:val="single" w:color="auto" w:sz="8" w:space="0"/>
                    <w:left w:val="single" w:color="auto" w:sz="8" w:space="0"/>
                    <w:bottom w:val="single" w:color="auto" w:sz="8" w:space="0"/>
                    <w:right w:val="single" w:color="auto" w:sz="8" w:space="0"/>
                  </w:tcBorders>
                  <w:noWrap w:val="0"/>
                  <w:vAlign w:val="center"/>
                </w:tcPr>
                <w:p w14:paraId="16154A65">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夜间</w:t>
                  </w:r>
                </w:p>
              </w:tc>
              <w:tc>
                <w:tcPr>
                  <w:tcW w:w="1576" w:type="dxa"/>
                  <w:tcBorders>
                    <w:top w:val="single" w:color="auto" w:sz="8" w:space="0"/>
                    <w:left w:val="single" w:color="auto" w:sz="8" w:space="0"/>
                    <w:bottom w:val="single" w:color="auto" w:sz="8" w:space="0"/>
                    <w:right w:val="single" w:color="auto" w:sz="8" w:space="0"/>
                  </w:tcBorders>
                  <w:noWrap w:val="0"/>
                  <w:vAlign w:val="center"/>
                </w:tcPr>
                <w:p w14:paraId="7C12AB61">
                  <w:pPr>
                    <w:widowControl/>
                    <w:spacing w:line="240" w:lineRule="auto"/>
                    <w:jc w:val="center"/>
                    <w:rPr>
                      <w:rFonts w:hint="default" w:ascii="Times New Roman" w:hAnsi="Times New Roman"/>
                      <w:color w:val="auto"/>
                      <w:szCs w:val="21"/>
                      <w:lang w:val="en-US"/>
                    </w:rPr>
                  </w:pPr>
                  <w:r>
                    <w:rPr>
                      <w:rFonts w:hint="eastAsia" w:cs="Times New Roman"/>
                      <w:sz w:val="21"/>
                      <w:szCs w:val="21"/>
                      <w:highlight w:val="none"/>
                      <w:lang w:val="en-US" w:eastAsia="zh-CN"/>
                    </w:rPr>
                    <w:t>41</w:t>
                  </w:r>
                </w:p>
              </w:tc>
              <w:tc>
                <w:tcPr>
                  <w:tcW w:w="1450" w:type="dxa"/>
                  <w:tcBorders>
                    <w:top w:val="single" w:color="auto" w:sz="8" w:space="0"/>
                    <w:left w:val="single" w:color="auto" w:sz="8" w:space="0"/>
                    <w:bottom w:val="single" w:color="auto" w:sz="8" w:space="0"/>
                    <w:right w:val="single" w:color="auto" w:sz="8" w:space="0"/>
                  </w:tcBorders>
                  <w:noWrap w:val="0"/>
                  <w:vAlign w:val="center"/>
                </w:tcPr>
                <w:p w14:paraId="10706B45">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50</w:t>
                  </w:r>
                </w:p>
              </w:tc>
              <w:tc>
                <w:tcPr>
                  <w:tcW w:w="1739" w:type="dxa"/>
                  <w:tcBorders>
                    <w:top w:val="single" w:color="auto" w:sz="8" w:space="0"/>
                    <w:left w:val="single" w:color="auto" w:sz="8" w:space="0"/>
                    <w:bottom w:val="single" w:color="auto" w:sz="8" w:space="0"/>
                    <w:right w:val="nil"/>
                  </w:tcBorders>
                  <w:noWrap w:val="0"/>
                  <w:vAlign w:val="center"/>
                </w:tcPr>
                <w:p w14:paraId="7B7EFAB5">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2E5C3C0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restart"/>
                  <w:tcBorders>
                    <w:top w:val="single" w:color="auto" w:sz="8" w:space="0"/>
                    <w:left w:val="nil"/>
                    <w:right w:val="single" w:color="auto" w:sz="8" w:space="0"/>
                  </w:tcBorders>
                  <w:noWrap w:val="0"/>
                  <w:vAlign w:val="center"/>
                </w:tcPr>
                <w:p w14:paraId="7D1F2164">
                  <w:pPr>
                    <w:pStyle w:val="3"/>
                    <w:ind w:firstLine="0"/>
                    <w:jc w:val="center"/>
                    <w:rPr>
                      <w:rFonts w:hint="eastAsia"/>
                      <w:color w:val="auto"/>
                      <w:szCs w:val="21"/>
                      <w:lang w:val="en-US" w:eastAsia="zh-CN"/>
                    </w:rPr>
                  </w:pPr>
                  <w:r>
                    <w:rPr>
                      <w:rFonts w:hint="default" w:ascii="Times New Roman" w:hAnsi="Times New Roman" w:eastAsia="宋体" w:cs="Times New Roman"/>
                      <w:sz w:val="21"/>
                      <w:szCs w:val="21"/>
                      <w:highlight w:val="none"/>
                      <w:lang w:val="en-US" w:eastAsia="zh-CN"/>
                    </w:rPr>
                    <w:t>项目</w:t>
                  </w:r>
                  <w:r>
                    <w:rPr>
                      <w:rFonts w:hint="eastAsia" w:cs="Times New Roman"/>
                      <w:sz w:val="21"/>
                      <w:szCs w:val="21"/>
                      <w:highlight w:val="none"/>
                      <w:lang w:val="en-US" w:eastAsia="zh-CN"/>
                    </w:rPr>
                    <w:t>西</w:t>
                  </w:r>
                  <w:r>
                    <w:rPr>
                      <w:rFonts w:hint="default" w:ascii="Times New Roman" w:hAnsi="Times New Roman" w:eastAsia="宋体" w:cs="Times New Roman"/>
                      <w:sz w:val="21"/>
                      <w:szCs w:val="21"/>
                      <w:highlight w:val="none"/>
                      <w:lang w:val="en-US" w:eastAsia="zh-CN"/>
                    </w:rPr>
                    <w:t>侧厂界</w:t>
                  </w:r>
                </w:p>
              </w:tc>
              <w:tc>
                <w:tcPr>
                  <w:tcW w:w="943" w:type="pct"/>
                  <w:tcBorders>
                    <w:top w:val="single" w:color="auto" w:sz="8" w:space="0"/>
                    <w:left w:val="single" w:color="auto" w:sz="8" w:space="0"/>
                    <w:bottom w:val="single" w:color="auto" w:sz="8" w:space="0"/>
                    <w:right w:val="single" w:color="auto" w:sz="8" w:space="0"/>
                  </w:tcBorders>
                  <w:noWrap w:val="0"/>
                  <w:vAlign w:val="center"/>
                </w:tcPr>
                <w:p w14:paraId="1B82CEB4">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昼间</w:t>
                  </w:r>
                </w:p>
              </w:tc>
              <w:tc>
                <w:tcPr>
                  <w:tcW w:w="1576" w:type="dxa"/>
                  <w:tcBorders>
                    <w:top w:val="single" w:color="auto" w:sz="8" w:space="0"/>
                    <w:left w:val="single" w:color="auto" w:sz="8" w:space="0"/>
                    <w:bottom w:val="single" w:color="auto" w:sz="8" w:space="0"/>
                    <w:right w:val="single" w:color="auto" w:sz="8" w:space="0"/>
                  </w:tcBorders>
                  <w:noWrap w:val="0"/>
                  <w:vAlign w:val="center"/>
                </w:tcPr>
                <w:p w14:paraId="51F69A54">
                  <w:pPr>
                    <w:widowControl/>
                    <w:spacing w:line="240" w:lineRule="auto"/>
                    <w:jc w:val="center"/>
                    <w:rPr>
                      <w:rFonts w:hint="default" w:ascii="Times New Roman" w:hAnsi="Times New Roman"/>
                      <w:color w:val="auto"/>
                      <w:szCs w:val="21"/>
                      <w:lang w:val="en-US"/>
                    </w:rPr>
                  </w:pPr>
                  <w:r>
                    <w:rPr>
                      <w:rFonts w:hint="eastAsia" w:cs="Times New Roman"/>
                      <w:sz w:val="21"/>
                      <w:szCs w:val="21"/>
                      <w:highlight w:val="none"/>
                      <w:lang w:val="en-US" w:eastAsia="zh-CN"/>
                    </w:rPr>
                    <w:t>37</w:t>
                  </w:r>
                </w:p>
              </w:tc>
              <w:tc>
                <w:tcPr>
                  <w:tcW w:w="1450" w:type="dxa"/>
                  <w:tcBorders>
                    <w:top w:val="single" w:color="auto" w:sz="8" w:space="0"/>
                    <w:left w:val="single" w:color="auto" w:sz="8" w:space="0"/>
                    <w:bottom w:val="single" w:color="auto" w:sz="8" w:space="0"/>
                    <w:right w:val="single" w:color="auto" w:sz="8" w:space="0"/>
                  </w:tcBorders>
                  <w:noWrap w:val="0"/>
                  <w:vAlign w:val="center"/>
                </w:tcPr>
                <w:p w14:paraId="0FC4BC50">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60</w:t>
                  </w:r>
                </w:p>
              </w:tc>
              <w:tc>
                <w:tcPr>
                  <w:tcW w:w="1739" w:type="dxa"/>
                  <w:tcBorders>
                    <w:top w:val="single" w:color="auto" w:sz="8" w:space="0"/>
                    <w:left w:val="single" w:color="auto" w:sz="8" w:space="0"/>
                    <w:bottom w:val="single" w:color="auto" w:sz="8" w:space="0"/>
                    <w:right w:val="nil"/>
                  </w:tcBorders>
                  <w:noWrap w:val="0"/>
                  <w:vAlign w:val="center"/>
                </w:tcPr>
                <w:p w14:paraId="770BC92B">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295BBEF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continue"/>
                  <w:tcBorders>
                    <w:left w:val="nil"/>
                    <w:bottom w:val="single" w:color="auto" w:sz="8" w:space="0"/>
                    <w:right w:val="single" w:color="auto" w:sz="8" w:space="0"/>
                  </w:tcBorders>
                  <w:noWrap w:val="0"/>
                  <w:vAlign w:val="center"/>
                </w:tcPr>
                <w:p w14:paraId="1E680611">
                  <w:pPr>
                    <w:pStyle w:val="3"/>
                    <w:ind w:firstLine="0"/>
                    <w:jc w:val="center"/>
                    <w:rPr>
                      <w:rFonts w:hint="eastAsia"/>
                      <w:color w:val="auto"/>
                      <w:szCs w:val="21"/>
                      <w:lang w:val="en-US" w:eastAsia="zh-CN"/>
                    </w:rPr>
                  </w:pPr>
                </w:p>
              </w:tc>
              <w:tc>
                <w:tcPr>
                  <w:tcW w:w="943" w:type="pct"/>
                  <w:tcBorders>
                    <w:top w:val="single" w:color="auto" w:sz="8" w:space="0"/>
                    <w:left w:val="single" w:color="auto" w:sz="8" w:space="0"/>
                    <w:bottom w:val="single" w:color="auto" w:sz="8" w:space="0"/>
                    <w:right w:val="single" w:color="auto" w:sz="8" w:space="0"/>
                  </w:tcBorders>
                  <w:noWrap w:val="0"/>
                  <w:vAlign w:val="center"/>
                </w:tcPr>
                <w:p w14:paraId="1F84DAE4">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夜间</w:t>
                  </w:r>
                </w:p>
              </w:tc>
              <w:tc>
                <w:tcPr>
                  <w:tcW w:w="1576" w:type="dxa"/>
                  <w:tcBorders>
                    <w:top w:val="single" w:color="auto" w:sz="8" w:space="0"/>
                    <w:left w:val="single" w:color="auto" w:sz="8" w:space="0"/>
                    <w:bottom w:val="single" w:color="auto" w:sz="8" w:space="0"/>
                    <w:right w:val="single" w:color="auto" w:sz="8" w:space="0"/>
                  </w:tcBorders>
                  <w:noWrap w:val="0"/>
                  <w:vAlign w:val="center"/>
                </w:tcPr>
                <w:p w14:paraId="630BCCF4">
                  <w:pPr>
                    <w:widowControl/>
                    <w:spacing w:line="240" w:lineRule="auto"/>
                    <w:jc w:val="center"/>
                    <w:rPr>
                      <w:rFonts w:hint="default" w:ascii="Times New Roman" w:hAnsi="Times New Roman" w:eastAsia="宋体"/>
                      <w:color w:val="auto"/>
                      <w:szCs w:val="21"/>
                      <w:lang w:val="en-US" w:eastAsia="zh-CN"/>
                    </w:rPr>
                  </w:pPr>
                  <w:r>
                    <w:rPr>
                      <w:rFonts w:hint="eastAsia"/>
                      <w:color w:val="auto"/>
                      <w:szCs w:val="21"/>
                      <w:lang w:val="en-US" w:eastAsia="zh-CN"/>
                    </w:rPr>
                    <w:t>37</w:t>
                  </w:r>
                </w:p>
              </w:tc>
              <w:tc>
                <w:tcPr>
                  <w:tcW w:w="1450" w:type="dxa"/>
                  <w:tcBorders>
                    <w:top w:val="single" w:color="auto" w:sz="8" w:space="0"/>
                    <w:left w:val="single" w:color="auto" w:sz="8" w:space="0"/>
                    <w:bottom w:val="single" w:color="auto" w:sz="8" w:space="0"/>
                    <w:right w:val="single" w:color="auto" w:sz="8" w:space="0"/>
                  </w:tcBorders>
                  <w:noWrap w:val="0"/>
                  <w:vAlign w:val="center"/>
                </w:tcPr>
                <w:p w14:paraId="46B963DF">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50</w:t>
                  </w:r>
                </w:p>
              </w:tc>
              <w:tc>
                <w:tcPr>
                  <w:tcW w:w="1739" w:type="dxa"/>
                  <w:tcBorders>
                    <w:top w:val="single" w:color="auto" w:sz="8" w:space="0"/>
                    <w:left w:val="single" w:color="auto" w:sz="8" w:space="0"/>
                    <w:bottom w:val="single" w:color="auto" w:sz="8" w:space="0"/>
                    <w:right w:val="nil"/>
                  </w:tcBorders>
                  <w:noWrap w:val="0"/>
                  <w:vAlign w:val="center"/>
                </w:tcPr>
                <w:p w14:paraId="27E1DD93">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51B0E4E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restart"/>
                  <w:tcBorders>
                    <w:top w:val="single" w:color="auto" w:sz="8" w:space="0"/>
                    <w:left w:val="nil"/>
                    <w:right w:val="single" w:color="auto" w:sz="8" w:space="0"/>
                  </w:tcBorders>
                  <w:noWrap w:val="0"/>
                  <w:vAlign w:val="center"/>
                </w:tcPr>
                <w:p w14:paraId="36C59EA4">
                  <w:pPr>
                    <w:pStyle w:val="3"/>
                    <w:ind w:firstLine="0"/>
                    <w:jc w:val="center"/>
                    <w:rPr>
                      <w:rFonts w:hint="eastAsia"/>
                      <w:color w:val="auto"/>
                      <w:szCs w:val="21"/>
                      <w:lang w:val="en-US" w:eastAsia="zh-CN"/>
                    </w:rPr>
                  </w:pPr>
                  <w:r>
                    <w:rPr>
                      <w:rFonts w:hint="default" w:ascii="Times New Roman" w:hAnsi="Times New Roman" w:eastAsia="宋体" w:cs="Times New Roman"/>
                      <w:sz w:val="21"/>
                      <w:szCs w:val="21"/>
                      <w:highlight w:val="none"/>
                      <w:lang w:val="en-US" w:eastAsia="zh-CN"/>
                    </w:rPr>
                    <w:t>项目</w:t>
                  </w:r>
                  <w:r>
                    <w:rPr>
                      <w:rFonts w:hint="eastAsia" w:cs="Times New Roman"/>
                      <w:sz w:val="21"/>
                      <w:szCs w:val="21"/>
                      <w:highlight w:val="none"/>
                      <w:lang w:val="en-US" w:eastAsia="zh-CN"/>
                    </w:rPr>
                    <w:t>北</w:t>
                  </w:r>
                  <w:r>
                    <w:rPr>
                      <w:rFonts w:hint="default" w:ascii="Times New Roman" w:hAnsi="Times New Roman" w:eastAsia="宋体" w:cs="Times New Roman"/>
                      <w:sz w:val="21"/>
                      <w:szCs w:val="21"/>
                      <w:highlight w:val="none"/>
                      <w:lang w:val="en-US" w:eastAsia="zh-CN"/>
                    </w:rPr>
                    <w:t>侧厂界</w:t>
                  </w:r>
                </w:p>
              </w:tc>
              <w:tc>
                <w:tcPr>
                  <w:tcW w:w="943" w:type="pct"/>
                  <w:tcBorders>
                    <w:top w:val="single" w:color="auto" w:sz="8" w:space="0"/>
                    <w:left w:val="single" w:color="auto" w:sz="8" w:space="0"/>
                    <w:bottom w:val="single" w:color="auto" w:sz="8" w:space="0"/>
                    <w:right w:val="single" w:color="auto" w:sz="8" w:space="0"/>
                  </w:tcBorders>
                  <w:noWrap w:val="0"/>
                  <w:vAlign w:val="center"/>
                </w:tcPr>
                <w:p w14:paraId="29FEDB10">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昼间</w:t>
                  </w:r>
                </w:p>
              </w:tc>
              <w:tc>
                <w:tcPr>
                  <w:tcW w:w="1576" w:type="dxa"/>
                  <w:tcBorders>
                    <w:top w:val="single" w:color="auto" w:sz="8" w:space="0"/>
                    <w:left w:val="single" w:color="auto" w:sz="8" w:space="0"/>
                    <w:bottom w:val="single" w:color="auto" w:sz="8" w:space="0"/>
                    <w:right w:val="single" w:color="auto" w:sz="8" w:space="0"/>
                  </w:tcBorders>
                  <w:noWrap w:val="0"/>
                  <w:vAlign w:val="center"/>
                </w:tcPr>
                <w:p w14:paraId="521E95DC">
                  <w:pPr>
                    <w:widowControl/>
                    <w:spacing w:line="240" w:lineRule="auto"/>
                    <w:jc w:val="center"/>
                    <w:rPr>
                      <w:rFonts w:hint="default" w:ascii="Times New Roman" w:hAnsi="Times New Roman" w:eastAsia="宋体"/>
                      <w:color w:val="auto"/>
                      <w:szCs w:val="21"/>
                      <w:lang w:val="en-US" w:eastAsia="zh-CN"/>
                    </w:rPr>
                  </w:pPr>
                  <w:r>
                    <w:rPr>
                      <w:rFonts w:hint="eastAsia"/>
                      <w:color w:val="auto"/>
                      <w:szCs w:val="21"/>
                      <w:lang w:val="en-US" w:eastAsia="zh-CN"/>
                    </w:rPr>
                    <w:t>40</w:t>
                  </w:r>
                </w:p>
              </w:tc>
              <w:tc>
                <w:tcPr>
                  <w:tcW w:w="1450" w:type="dxa"/>
                  <w:tcBorders>
                    <w:top w:val="single" w:color="auto" w:sz="8" w:space="0"/>
                    <w:left w:val="single" w:color="auto" w:sz="8" w:space="0"/>
                    <w:bottom w:val="single" w:color="auto" w:sz="8" w:space="0"/>
                    <w:right w:val="single" w:color="auto" w:sz="8" w:space="0"/>
                  </w:tcBorders>
                  <w:noWrap w:val="0"/>
                  <w:vAlign w:val="center"/>
                </w:tcPr>
                <w:p w14:paraId="24557C58">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60</w:t>
                  </w:r>
                </w:p>
              </w:tc>
              <w:tc>
                <w:tcPr>
                  <w:tcW w:w="1739" w:type="dxa"/>
                  <w:tcBorders>
                    <w:top w:val="single" w:color="auto" w:sz="8" w:space="0"/>
                    <w:left w:val="single" w:color="auto" w:sz="8" w:space="0"/>
                    <w:bottom w:val="single" w:color="auto" w:sz="8" w:space="0"/>
                    <w:right w:val="nil"/>
                  </w:tcBorders>
                  <w:noWrap w:val="0"/>
                  <w:vAlign w:val="center"/>
                </w:tcPr>
                <w:p w14:paraId="2DBABD97">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r w14:paraId="1BB0DDE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57" w:type="pct"/>
                  <w:vMerge w:val="continue"/>
                  <w:tcBorders>
                    <w:left w:val="nil"/>
                    <w:bottom w:val="single" w:color="auto" w:sz="12" w:space="0"/>
                    <w:right w:val="single" w:color="auto" w:sz="8" w:space="0"/>
                  </w:tcBorders>
                  <w:noWrap w:val="0"/>
                  <w:vAlign w:val="center"/>
                </w:tcPr>
                <w:p w14:paraId="06C3DCF5">
                  <w:pPr>
                    <w:pStyle w:val="3"/>
                    <w:ind w:firstLine="0"/>
                    <w:jc w:val="center"/>
                    <w:rPr>
                      <w:rFonts w:hint="eastAsia"/>
                      <w:color w:val="auto"/>
                      <w:szCs w:val="21"/>
                      <w:lang w:val="en-US" w:eastAsia="zh-CN"/>
                    </w:rPr>
                  </w:pPr>
                </w:p>
              </w:tc>
              <w:tc>
                <w:tcPr>
                  <w:tcW w:w="943" w:type="pct"/>
                  <w:tcBorders>
                    <w:top w:val="single" w:color="auto" w:sz="8" w:space="0"/>
                    <w:left w:val="single" w:color="auto" w:sz="8" w:space="0"/>
                    <w:bottom w:val="single" w:color="auto" w:sz="12" w:space="0"/>
                    <w:right w:val="single" w:color="auto" w:sz="8" w:space="0"/>
                  </w:tcBorders>
                  <w:noWrap w:val="0"/>
                  <w:vAlign w:val="center"/>
                </w:tcPr>
                <w:p w14:paraId="053FBF99">
                  <w:pPr>
                    <w:pStyle w:val="3"/>
                    <w:ind w:firstLine="0"/>
                    <w:jc w:val="center"/>
                    <w:rPr>
                      <w:rFonts w:hint="eastAsia" w:ascii="Times New Roman" w:hAnsi="Times New Roman" w:eastAsia="宋体"/>
                      <w:color w:val="auto"/>
                      <w:szCs w:val="21"/>
                      <w:lang w:val="en-US" w:eastAsia="zh-CN"/>
                    </w:rPr>
                  </w:pPr>
                  <w:r>
                    <w:rPr>
                      <w:rFonts w:hint="eastAsia"/>
                      <w:color w:val="auto"/>
                      <w:szCs w:val="21"/>
                      <w:lang w:val="en-US" w:eastAsia="zh-CN"/>
                    </w:rPr>
                    <w:t>夜间</w:t>
                  </w:r>
                </w:p>
              </w:tc>
              <w:tc>
                <w:tcPr>
                  <w:tcW w:w="1576" w:type="dxa"/>
                  <w:tcBorders>
                    <w:top w:val="single" w:color="auto" w:sz="8" w:space="0"/>
                    <w:left w:val="single" w:color="auto" w:sz="8" w:space="0"/>
                    <w:bottom w:val="single" w:color="auto" w:sz="12" w:space="0"/>
                    <w:right w:val="single" w:color="auto" w:sz="8" w:space="0"/>
                  </w:tcBorders>
                  <w:noWrap w:val="0"/>
                  <w:vAlign w:val="center"/>
                </w:tcPr>
                <w:p w14:paraId="6B4FAEFC">
                  <w:pPr>
                    <w:widowControl/>
                    <w:spacing w:line="240" w:lineRule="auto"/>
                    <w:jc w:val="center"/>
                    <w:rPr>
                      <w:rFonts w:hint="default" w:ascii="Times New Roman" w:hAnsi="Times New Roman"/>
                      <w:color w:val="auto"/>
                      <w:szCs w:val="21"/>
                      <w:lang w:val="en-US"/>
                    </w:rPr>
                  </w:pPr>
                  <w:r>
                    <w:rPr>
                      <w:rFonts w:hint="eastAsia" w:cs="Times New Roman"/>
                      <w:sz w:val="21"/>
                      <w:szCs w:val="21"/>
                      <w:highlight w:val="none"/>
                      <w:lang w:val="en-US" w:eastAsia="zh-CN"/>
                    </w:rPr>
                    <w:t>40</w:t>
                  </w:r>
                </w:p>
              </w:tc>
              <w:tc>
                <w:tcPr>
                  <w:tcW w:w="1450" w:type="dxa"/>
                  <w:tcBorders>
                    <w:top w:val="single" w:color="auto" w:sz="8" w:space="0"/>
                    <w:left w:val="single" w:color="auto" w:sz="8" w:space="0"/>
                    <w:bottom w:val="single" w:color="auto" w:sz="12" w:space="0"/>
                    <w:right w:val="single" w:color="auto" w:sz="8" w:space="0"/>
                  </w:tcBorders>
                  <w:noWrap w:val="0"/>
                  <w:vAlign w:val="center"/>
                </w:tcPr>
                <w:p w14:paraId="1A641463">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50</w:t>
                  </w:r>
                </w:p>
              </w:tc>
              <w:tc>
                <w:tcPr>
                  <w:tcW w:w="1739" w:type="dxa"/>
                  <w:tcBorders>
                    <w:top w:val="single" w:color="auto" w:sz="8" w:space="0"/>
                    <w:left w:val="single" w:color="auto" w:sz="8" w:space="0"/>
                    <w:bottom w:val="single" w:color="auto" w:sz="12" w:space="0"/>
                    <w:right w:val="nil"/>
                  </w:tcBorders>
                  <w:noWrap w:val="0"/>
                  <w:vAlign w:val="center"/>
                </w:tcPr>
                <w:p w14:paraId="3311AF2B">
                  <w:pPr>
                    <w:widowControl/>
                    <w:spacing w:line="240" w:lineRule="auto"/>
                    <w:jc w:val="center"/>
                    <w:rPr>
                      <w:rFonts w:ascii="Times New Roman" w:hAnsi="Times New Roman"/>
                      <w:color w:val="auto"/>
                      <w:szCs w:val="21"/>
                    </w:rPr>
                  </w:pPr>
                  <w:r>
                    <w:rPr>
                      <w:rFonts w:hint="default" w:ascii="Times New Roman" w:hAnsi="Times New Roman" w:eastAsia="宋体" w:cs="Times New Roman"/>
                      <w:sz w:val="21"/>
                      <w:szCs w:val="21"/>
                      <w:highlight w:val="none"/>
                      <w:lang w:val="en-US" w:eastAsia="zh-CN"/>
                    </w:rPr>
                    <w:t>达标</w:t>
                  </w:r>
                </w:p>
              </w:tc>
            </w:tr>
          </w:tbl>
          <w:p w14:paraId="72F41358">
            <w:pPr>
              <w:adjustRightInd w:val="0"/>
              <w:snapToGrid w:val="0"/>
              <w:spacing w:line="360" w:lineRule="auto"/>
              <w:rPr>
                <w:rFonts w:ascii="Times New Roman" w:hAnsi="Times New Roman"/>
                <w:color w:val="auto"/>
                <w:sz w:val="24"/>
              </w:rPr>
            </w:pPr>
            <w:r>
              <w:rPr>
                <w:rFonts w:hint="eastAsia" w:ascii="Times New Roman" w:hAnsi="Times New Roman"/>
                <w:color w:val="auto"/>
                <w:szCs w:val="21"/>
              </w:rPr>
              <w:t>注：现有边界噪声值取现有项目厂界噪声监测最大值。</w:t>
            </w:r>
          </w:p>
          <w:p w14:paraId="48BE8FCB">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bCs/>
                <w:color w:val="auto"/>
                <w:sz w:val="24"/>
              </w:rPr>
            </w:pPr>
            <w:r>
              <w:rPr>
                <w:color w:val="auto"/>
                <w:sz w:val="24"/>
              </w:rPr>
              <w:t>由上表可知，</w:t>
            </w:r>
            <w:r>
              <w:rPr>
                <w:rFonts w:hint="eastAsia"/>
                <w:color w:val="auto"/>
                <w:sz w:val="24"/>
                <w:lang w:val="en-US" w:eastAsia="zh-CN"/>
              </w:rPr>
              <w:t>通过降噪减震措施后</w:t>
            </w:r>
            <w:r>
              <w:rPr>
                <w:color w:val="auto"/>
                <w:sz w:val="24"/>
              </w:rPr>
              <w:t>项目厂界噪声符合《工业企业厂界环境噪声排放标准》(G12348-2008)中的</w:t>
            </w:r>
            <w:r>
              <w:rPr>
                <w:rFonts w:hint="eastAsia"/>
                <w:color w:val="auto"/>
                <w:sz w:val="24"/>
                <w:lang w:val="en-US" w:eastAsia="zh-CN"/>
              </w:rPr>
              <w:t>2</w:t>
            </w:r>
            <w:r>
              <w:rPr>
                <w:color w:val="auto"/>
                <w:sz w:val="24"/>
              </w:rPr>
              <w:t>类标准要求。</w:t>
            </w:r>
          </w:p>
          <w:p w14:paraId="05B2549B">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3.4</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预测结果</w:t>
            </w:r>
          </w:p>
          <w:p w14:paraId="18802766">
            <w:pPr>
              <w:pStyle w:val="5"/>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预测评价结果表明：本项目建成后，若考虑生产车间的墙体</w:t>
            </w:r>
            <w:r>
              <w:rPr>
                <w:rFonts w:hint="eastAsia" w:ascii="Times New Roman" w:hAnsi="Times New Roman" w:eastAsia="宋体" w:cs="Times New Roman"/>
                <w:color w:val="auto"/>
                <w:kern w:val="0"/>
                <w:sz w:val="24"/>
                <w:szCs w:val="24"/>
                <w:lang w:val="en-US" w:eastAsia="zh-CN" w:bidi="ar-SA"/>
              </w:rPr>
              <w:t>及其他</w:t>
            </w:r>
            <w:r>
              <w:rPr>
                <w:rFonts w:ascii="Times New Roman" w:hAnsi="Times New Roman" w:eastAsia="宋体" w:cs="Times New Roman"/>
                <w:color w:val="auto"/>
                <w:kern w:val="0"/>
                <w:sz w:val="24"/>
                <w:szCs w:val="24"/>
                <w:lang w:val="en-US" w:eastAsia="zh-CN" w:bidi="ar-SA"/>
              </w:rPr>
              <w:t>控制措施等对声源削减作用，在正常生产的情况下，运营期间噪声能达到《工业企业厂界环境噪声排放标准》（GB12348-2008）</w:t>
            </w:r>
            <w:r>
              <w:rPr>
                <w:rFonts w:hint="eastAsia" w:ascii="Times New Roman" w:hAnsi="Times New Roman" w:eastAsia="宋体" w:cs="Times New Roman"/>
                <w:color w:val="auto"/>
                <w:kern w:val="0"/>
                <w:sz w:val="24"/>
                <w:szCs w:val="24"/>
                <w:lang w:val="en-US" w:eastAsia="zh-CN" w:bidi="ar-SA"/>
              </w:rPr>
              <w:t>中</w:t>
            </w:r>
            <w:r>
              <w:rPr>
                <w:rFonts w:hint="eastAsia" w:cs="Times New Roman"/>
                <w:color w:val="auto"/>
                <w:kern w:val="0"/>
                <w:sz w:val="24"/>
                <w:szCs w:val="24"/>
                <w:lang w:val="en-US" w:eastAsia="zh-CN" w:bidi="ar-SA"/>
              </w:rPr>
              <w:t>2</w:t>
            </w:r>
            <w:r>
              <w:rPr>
                <w:rFonts w:ascii="Times New Roman" w:hAnsi="Times New Roman" w:eastAsia="宋体" w:cs="Times New Roman"/>
                <w:color w:val="auto"/>
                <w:kern w:val="0"/>
                <w:sz w:val="24"/>
                <w:szCs w:val="24"/>
                <w:lang w:val="en-US" w:eastAsia="zh-CN" w:bidi="ar-SA"/>
              </w:rPr>
              <w:t>类标准</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因此，本项目对区域声环境质量影响较小。</w:t>
            </w:r>
          </w:p>
          <w:p w14:paraId="4351C0CD">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3.5</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噪声监测计划</w:t>
            </w:r>
          </w:p>
          <w:p w14:paraId="2D7ECFD3">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根据《排污单位自行监测技术指南 总则》（HJ819-2017）本项目噪声环境监测</w:t>
            </w:r>
            <w:r>
              <w:rPr>
                <w:rFonts w:hint="eastAsia" w:ascii="Times New Roman" w:hAnsi="Times New Roman" w:eastAsia="宋体" w:cs="Times New Roman"/>
                <w:color w:val="auto"/>
                <w:kern w:val="0"/>
                <w:sz w:val="24"/>
                <w:szCs w:val="24"/>
                <w:lang w:val="en-US" w:eastAsia="zh-CN" w:bidi="ar-SA"/>
              </w:rPr>
              <w:t>计划</w:t>
            </w:r>
            <w:r>
              <w:rPr>
                <w:rFonts w:ascii="Times New Roman" w:hAnsi="Times New Roman" w:eastAsia="宋体" w:cs="Times New Roman"/>
                <w:color w:val="auto"/>
                <w:kern w:val="0"/>
                <w:sz w:val="24"/>
                <w:szCs w:val="24"/>
                <w:lang w:val="en-US" w:eastAsia="zh-CN" w:bidi="ar-SA"/>
              </w:rPr>
              <w:t>见下表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10</w:t>
            </w:r>
            <w:r>
              <w:rPr>
                <w:rFonts w:ascii="Times New Roman" w:hAnsi="Times New Roman" w:eastAsia="宋体" w:cs="Times New Roman"/>
                <w:color w:val="auto"/>
                <w:kern w:val="0"/>
                <w:sz w:val="24"/>
                <w:szCs w:val="24"/>
                <w:lang w:val="en-US" w:eastAsia="zh-CN" w:bidi="ar-SA"/>
              </w:rPr>
              <w:t>。</w:t>
            </w:r>
          </w:p>
          <w:p w14:paraId="296AE35A">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10</w:t>
            </w:r>
            <w:r>
              <w:rPr>
                <w:rFonts w:hint="eastAsia" w:ascii="Times New Roman" w:hAnsi="Times New Roman" w:eastAsia="宋体" w:cs="Times New Roman"/>
                <w:color w:val="auto"/>
              </w:rPr>
              <w:t xml:space="preserve">    噪声监测计划一览表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35"/>
              <w:gridCol w:w="1141"/>
              <w:gridCol w:w="1058"/>
              <w:gridCol w:w="1711"/>
              <w:gridCol w:w="1996"/>
            </w:tblGrid>
            <w:tr w14:paraId="769931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281" w:type="pct"/>
                  <w:tcBorders>
                    <w:bottom w:val="single" w:color="auto" w:sz="12" w:space="0"/>
                  </w:tcBorders>
                  <w:vAlign w:val="center"/>
                </w:tcPr>
                <w:p w14:paraId="2C8D7095">
                  <w:pPr>
                    <w:pStyle w:val="18"/>
                    <w:spacing w:line="240" w:lineRule="auto"/>
                    <w:jc w:val="center"/>
                    <w:rPr>
                      <w:b/>
                      <w:bCs/>
                      <w:color w:val="auto"/>
                      <w:sz w:val="21"/>
                      <w:szCs w:val="21"/>
                    </w:rPr>
                  </w:pPr>
                  <w:r>
                    <w:rPr>
                      <w:b/>
                      <w:bCs/>
                      <w:color w:val="auto"/>
                      <w:sz w:val="21"/>
                      <w:szCs w:val="21"/>
                    </w:rPr>
                    <w:t>监测点位</w:t>
                  </w:r>
                </w:p>
              </w:tc>
              <w:tc>
                <w:tcPr>
                  <w:tcW w:w="718" w:type="pct"/>
                  <w:tcBorders>
                    <w:bottom w:val="single" w:color="auto" w:sz="12" w:space="0"/>
                  </w:tcBorders>
                  <w:vAlign w:val="center"/>
                </w:tcPr>
                <w:p w14:paraId="7D717035">
                  <w:pPr>
                    <w:pStyle w:val="18"/>
                    <w:spacing w:line="240" w:lineRule="auto"/>
                    <w:jc w:val="center"/>
                    <w:rPr>
                      <w:b/>
                      <w:bCs/>
                      <w:color w:val="auto"/>
                      <w:sz w:val="21"/>
                      <w:szCs w:val="21"/>
                    </w:rPr>
                  </w:pPr>
                  <w:r>
                    <w:rPr>
                      <w:b/>
                      <w:bCs/>
                      <w:color w:val="auto"/>
                      <w:sz w:val="21"/>
                      <w:szCs w:val="21"/>
                    </w:rPr>
                    <w:t>监测内容</w:t>
                  </w:r>
                </w:p>
              </w:tc>
              <w:tc>
                <w:tcPr>
                  <w:tcW w:w="666" w:type="pct"/>
                  <w:tcBorders>
                    <w:bottom w:val="single" w:color="auto" w:sz="12" w:space="0"/>
                  </w:tcBorders>
                  <w:vAlign w:val="center"/>
                </w:tcPr>
                <w:p w14:paraId="20F6F562">
                  <w:pPr>
                    <w:pStyle w:val="18"/>
                    <w:spacing w:line="240" w:lineRule="auto"/>
                    <w:jc w:val="center"/>
                    <w:rPr>
                      <w:b/>
                      <w:bCs/>
                      <w:color w:val="auto"/>
                      <w:sz w:val="21"/>
                      <w:szCs w:val="21"/>
                    </w:rPr>
                  </w:pPr>
                  <w:r>
                    <w:rPr>
                      <w:b/>
                      <w:bCs/>
                      <w:color w:val="auto"/>
                      <w:sz w:val="21"/>
                      <w:szCs w:val="21"/>
                    </w:rPr>
                    <w:t>监测指标</w:t>
                  </w:r>
                </w:p>
              </w:tc>
              <w:tc>
                <w:tcPr>
                  <w:tcW w:w="1077" w:type="pct"/>
                  <w:tcBorders>
                    <w:bottom w:val="single" w:color="auto" w:sz="12" w:space="0"/>
                  </w:tcBorders>
                  <w:vAlign w:val="center"/>
                </w:tcPr>
                <w:p w14:paraId="72B46122">
                  <w:pPr>
                    <w:pStyle w:val="18"/>
                    <w:spacing w:line="240" w:lineRule="auto"/>
                    <w:jc w:val="center"/>
                    <w:rPr>
                      <w:b/>
                      <w:bCs/>
                      <w:color w:val="auto"/>
                      <w:sz w:val="21"/>
                      <w:szCs w:val="21"/>
                    </w:rPr>
                  </w:pPr>
                  <w:r>
                    <w:rPr>
                      <w:b/>
                      <w:bCs/>
                      <w:color w:val="auto"/>
                      <w:sz w:val="21"/>
                      <w:szCs w:val="21"/>
                    </w:rPr>
                    <w:t>监测频次</w:t>
                  </w:r>
                </w:p>
              </w:tc>
              <w:tc>
                <w:tcPr>
                  <w:tcW w:w="1256" w:type="pct"/>
                  <w:tcBorders>
                    <w:bottom w:val="single" w:color="auto" w:sz="12" w:space="0"/>
                  </w:tcBorders>
                  <w:vAlign w:val="center"/>
                </w:tcPr>
                <w:p w14:paraId="4CF1EC3E">
                  <w:pPr>
                    <w:pStyle w:val="18"/>
                    <w:spacing w:line="240" w:lineRule="auto"/>
                    <w:jc w:val="center"/>
                    <w:rPr>
                      <w:b/>
                      <w:bCs/>
                      <w:color w:val="auto"/>
                      <w:sz w:val="21"/>
                      <w:szCs w:val="21"/>
                    </w:rPr>
                  </w:pPr>
                  <w:r>
                    <w:rPr>
                      <w:b/>
                      <w:bCs/>
                      <w:color w:val="auto"/>
                      <w:sz w:val="21"/>
                      <w:szCs w:val="21"/>
                    </w:rPr>
                    <w:t>执行标准</w:t>
                  </w:r>
                </w:p>
              </w:tc>
            </w:tr>
            <w:tr w14:paraId="44637A5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81" w:type="pct"/>
                  <w:tcBorders>
                    <w:top w:val="single" w:color="auto" w:sz="12" w:space="0"/>
                    <w:tl2br w:val="nil"/>
                    <w:tr2bl w:val="nil"/>
                  </w:tcBorders>
                  <w:vAlign w:val="center"/>
                </w:tcPr>
                <w:p w14:paraId="7C63640D">
                  <w:pPr>
                    <w:pStyle w:val="18"/>
                    <w:spacing w:line="240" w:lineRule="auto"/>
                    <w:jc w:val="center"/>
                    <w:rPr>
                      <w:color w:val="auto"/>
                      <w:sz w:val="21"/>
                      <w:szCs w:val="21"/>
                    </w:rPr>
                  </w:pPr>
                  <w:r>
                    <w:rPr>
                      <w:color w:val="auto"/>
                      <w:sz w:val="21"/>
                      <w:szCs w:val="21"/>
                    </w:rPr>
                    <w:t>厂界外1m处、高度1.2m以上、距任一反射面距离不小于1m的位置</w:t>
                  </w:r>
                </w:p>
              </w:tc>
              <w:tc>
                <w:tcPr>
                  <w:tcW w:w="718" w:type="pct"/>
                  <w:tcBorders>
                    <w:top w:val="single" w:color="auto" w:sz="12" w:space="0"/>
                    <w:tl2br w:val="nil"/>
                    <w:tr2bl w:val="nil"/>
                  </w:tcBorders>
                  <w:vAlign w:val="center"/>
                </w:tcPr>
                <w:p w14:paraId="1ACC36A7">
                  <w:pPr>
                    <w:pStyle w:val="18"/>
                    <w:spacing w:line="240" w:lineRule="auto"/>
                    <w:jc w:val="center"/>
                    <w:rPr>
                      <w:color w:val="auto"/>
                      <w:sz w:val="21"/>
                      <w:szCs w:val="21"/>
                    </w:rPr>
                  </w:pPr>
                  <w:r>
                    <w:rPr>
                      <w:color w:val="auto"/>
                      <w:sz w:val="21"/>
                      <w:szCs w:val="21"/>
                    </w:rPr>
                    <w:t>噪声</w:t>
                  </w:r>
                </w:p>
              </w:tc>
              <w:tc>
                <w:tcPr>
                  <w:tcW w:w="666" w:type="pct"/>
                  <w:tcBorders>
                    <w:top w:val="single" w:color="auto" w:sz="12" w:space="0"/>
                    <w:tl2br w:val="nil"/>
                    <w:tr2bl w:val="nil"/>
                  </w:tcBorders>
                  <w:vAlign w:val="center"/>
                </w:tcPr>
                <w:p w14:paraId="6D2B0BE0">
                  <w:pPr>
                    <w:pStyle w:val="18"/>
                    <w:spacing w:line="240" w:lineRule="auto"/>
                    <w:jc w:val="center"/>
                    <w:rPr>
                      <w:color w:val="auto"/>
                      <w:sz w:val="21"/>
                      <w:szCs w:val="21"/>
                    </w:rPr>
                  </w:pPr>
                  <w:r>
                    <w:rPr>
                      <w:color w:val="auto"/>
                      <w:sz w:val="21"/>
                      <w:szCs w:val="21"/>
                    </w:rPr>
                    <w:t>等效连续A声级</w:t>
                  </w:r>
                </w:p>
              </w:tc>
              <w:tc>
                <w:tcPr>
                  <w:tcW w:w="1077" w:type="pct"/>
                  <w:tcBorders>
                    <w:top w:val="single" w:color="auto" w:sz="12" w:space="0"/>
                    <w:tl2br w:val="nil"/>
                    <w:tr2bl w:val="nil"/>
                  </w:tcBorders>
                  <w:vAlign w:val="center"/>
                </w:tcPr>
                <w:p w14:paraId="21577808">
                  <w:pPr>
                    <w:pStyle w:val="18"/>
                    <w:spacing w:line="240" w:lineRule="auto"/>
                    <w:jc w:val="center"/>
                    <w:rPr>
                      <w:color w:val="auto"/>
                      <w:sz w:val="21"/>
                      <w:szCs w:val="21"/>
                    </w:rPr>
                  </w:pPr>
                  <w:r>
                    <w:rPr>
                      <w:color w:val="auto"/>
                      <w:sz w:val="21"/>
                      <w:szCs w:val="21"/>
                    </w:rPr>
                    <w:t>每季度一次，每次昼、夜各监测一次</w:t>
                  </w:r>
                </w:p>
              </w:tc>
              <w:tc>
                <w:tcPr>
                  <w:tcW w:w="1256" w:type="pct"/>
                  <w:tcBorders>
                    <w:top w:val="single" w:color="auto" w:sz="12" w:space="0"/>
                    <w:tl2br w:val="nil"/>
                    <w:tr2bl w:val="nil"/>
                  </w:tcBorders>
                  <w:vAlign w:val="center"/>
                </w:tcPr>
                <w:p w14:paraId="41CB7A9D">
                  <w:pPr>
                    <w:pStyle w:val="18"/>
                    <w:spacing w:line="240" w:lineRule="auto"/>
                    <w:jc w:val="center"/>
                    <w:rPr>
                      <w:color w:val="auto"/>
                      <w:sz w:val="21"/>
                      <w:szCs w:val="21"/>
                    </w:rPr>
                  </w:pPr>
                  <w:r>
                    <w:rPr>
                      <w:color w:val="auto"/>
                      <w:sz w:val="21"/>
                      <w:szCs w:val="21"/>
                    </w:rPr>
                    <w:t>《工业企业厂界环境噪声排放标准》（GB12348-2008）</w:t>
                  </w:r>
                  <w:r>
                    <w:rPr>
                      <w:rFonts w:hint="eastAsia"/>
                      <w:color w:val="auto"/>
                      <w:sz w:val="21"/>
                      <w:szCs w:val="21"/>
                    </w:rPr>
                    <w:t>中3</w:t>
                  </w:r>
                  <w:r>
                    <w:rPr>
                      <w:color w:val="auto"/>
                      <w:sz w:val="21"/>
                      <w:szCs w:val="21"/>
                    </w:rPr>
                    <w:t>类标准</w:t>
                  </w:r>
                </w:p>
              </w:tc>
            </w:tr>
          </w:tbl>
          <w:p w14:paraId="74EED8CF">
            <w:pPr>
              <w:pStyle w:val="18"/>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固废</w:t>
            </w:r>
          </w:p>
          <w:p w14:paraId="4C5DFD66">
            <w:pPr>
              <w:spacing w:line="360" w:lineRule="auto"/>
              <w:ind w:firstLine="480" w:firstLineChars="200"/>
              <w:rPr>
                <w:rFonts w:ascii="宋体" w:hAnsi="宋体" w:cs="宋体"/>
                <w:color w:val="auto"/>
                <w:kern w:val="0"/>
                <w:sz w:val="24"/>
                <w:lang w:bidi="ar"/>
              </w:rPr>
            </w:pPr>
            <w:r>
              <w:rPr>
                <w:rFonts w:hint="eastAsia" w:ascii="Times New Roman" w:hAnsi="Times New Roman" w:eastAsia="宋体" w:cs="Times New Roman"/>
                <w:color w:val="auto"/>
                <w:kern w:val="0"/>
                <w:sz w:val="24"/>
              </w:rPr>
              <w:t>本项目固废主要为生产车间产生的固体废弃物、职工日常生活产生的生活垃圾及设备保养维护产生的废机油</w:t>
            </w:r>
            <w:r>
              <w:rPr>
                <w:rFonts w:hint="eastAsia" w:ascii="宋体" w:hAnsi="宋体" w:cs="宋体"/>
                <w:color w:val="auto"/>
                <w:kern w:val="0"/>
                <w:sz w:val="24"/>
                <w:lang w:bidi="ar"/>
              </w:rPr>
              <w:t>。</w:t>
            </w:r>
          </w:p>
          <w:p w14:paraId="12A0D069">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生产固废</w:t>
            </w:r>
          </w:p>
          <w:p w14:paraId="6CF553D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生产</w:t>
            </w:r>
            <w:r>
              <w:rPr>
                <w:rFonts w:ascii="Times New Roman" w:hAnsi="Times New Roman" w:eastAsia="宋体" w:cs="Times New Roman"/>
                <w:color w:val="auto"/>
                <w:kern w:val="0"/>
                <w:sz w:val="24"/>
              </w:rPr>
              <w:t>固废主要来源有不合格混凝土、</w:t>
            </w:r>
            <w:r>
              <w:rPr>
                <w:rFonts w:hint="eastAsia" w:ascii="Times New Roman" w:hAnsi="Times New Roman" w:eastAsia="宋体" w:cs="Times New Roman"/>
                <w:color w:val="auto"/>
                <w:kern w:val="0"/>
                <w:sz w:val="24"/>
              </w:rPr>
              <w:t>除尘灰及</w:t>
            </w:r>
            <w:r>
              <w:rPr>
                <w:rFonts w:ascii="Times New Roman" w:hAnsi="Times New Roman" w:eastAsia="宋体" w:cs="Times New Roman"/>
                <w:color w:val="auto"/>
                <w:kern w:val="0"/>
                <w:sz w:val="24"/>
              </w:rPr>
              <w:t>沉淀池沉</w:t>
            </w:r>
            <w:r>
              <w:rPr>
                <w:rFonts w:hint="eastAsia" w:ascii="Times New Roman" w:hAnsi="Times New Roman" w:eastAsia="宋体" w:cs="Times New Roman"/>
                <w:color w:val="auto"/>
                <w:kern w:val="0"/>
                <w:sz w:val="24"/>
              </w:rPr>
              <w:t>渣</w:t>
            </w:r>
            <w:r>
              <w:rPr>
                <w:rFonts w:ascii="Times New Roman" w:hAnsi="Times New Roman" w:eastAsia="宋体" w:cs="Times New Roman"/>
                <w:color w:val="auto"/>
                <w:kern w:val="0"/>
                <w:sz w:val="24"/>
              </w:rPr>
              <w:t>。</w:t>
            </w:r>
          </w:p>
          <w:p w14:paraId="417FFD4C">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val="0"/>
                <w:bCs w:val="0"/>
                <w:color w:val="auto"/>
                <w:sz w:val="24"/>
              </w:rPr>
            </w:pPr>
            <w:r>
              <w:rPr>
                <w:rFonts w:hint="eastAsia" w:cs="Times New Roman"/>
                <w:b w:val="0"/>
                <w:bCs w:val="0"/>
                <w:color w:val="auto"/>
                <w:sz w:val="24"/>
                <w:lang w:eastAsia="zh-CN"/>
              </w:rPr>
              <w:t>（</w:t>
            </w:r>
            <w:r>
              <w:rPr>
                <w:rFonts w:hint="eastAsia" w:cs="Times New Roman"/>
                <w:b w:val="0"/>
                <w:bCs w:val="0"/>
                <w:color w:val="auto"/>
                <w:sz w:val="24"/>
                <w:lang w:val="en-US" w:eastAsia="zh-CN"/>
              </w:rPr>
              <w:t>1</w:t>
            </w:r>
            <w:r>
              <w:rPr>
                <w:rFonts w:hint="eastAsia" w:cs="Times New Roman"/>
                <w:b w:val="0"/>
                <w:bCs w:val="0"/>
                <w:color w:val="auto"/>
                <w:sz w:val="24"/>
                <w:lang w:eastAsia="zh-CN"/>
              </w:rPr>
              <w:t>）</w:t>
            </w:r>
            <w:r>
              <w:rPr>
                <w:rFonts w:hint="eastAsia" w:ascii="Times New Roman" w:hAnsi="Times New Roman" w:eastAsia="宋体" w:cs="Times New Roman"/>
                <w:b w:val="0"/>
                <w:bCs w:val="0"/>
                <w:color w:val="auto"/>
                <w:sz w:val="24"/>
              </w:rPr>
              <w:t>不合格混凝土</w:t>
            </w:r>
          </w:p>
          <w:p w14:paraId="1D2933D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不合格混凝土产生量直接取决于生产管理</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通过严格原料进货审验的方法，可杜绝不合格砂石料入厂；通过改善生产经营信息流的传输效率，可使不合格混凝土产生量减少。根据企业提供的相关资料，产生量为</w:t>
            </w:r>
            <w:r>
              <w:rPr>
                <w:rFonts w:hint="eastAsia" w:cs="Times New Roman"/>
                <w:color w:val="auto"/>
                <w:kern w:val="0"/>
                <w:sz w:val="24"/>
                <w:lang w:val="en-US" w:eastAsia="zh-CN"/>
              </w:rPr>
              <w:t>33.46</w:t>
            </w:r>
            <w:r>
              <w:rPr>
                <w:rFonts w:ascii="Times New Roman" w:hAnsi="Times New Roman" w:eastAsia="宋体" w:cs="Times New Roman"/>
                <w:color w:val="auto"/>
                <w:kern w:val="0"/>
                <w:sz w:val="24"/>
              </w:rPr>
              <w:t>t/a，砂石分离机分离出后，全部回用于混凝土搅拌工序。</w:t>
            </w:r>
          </w:p>
          <w:p w14:paraId="765139E2">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b w:val="0"/>
                <w:bCs w:val="0"/>
                <w:color w:val="FF0000"/>
                <w:sz w:val="24"/>
                <w:lang w:eastAsia="zh-CN"/>
              </w:rPr>
            </w:pPr>
            <w:r>
              <w:rPr>
                <w:rFonts w:hint="eastAsia" w:cs="Times New Roman"/>
                <w:b w:val="0"/>
                <w:bCs w:val="0"/>
                <w:color w:val="auto"/>
                <w:sz w:val="24"/>
                <w:lang w:eastAsia="zh-CN"/>
              </w:rPr>
              <w:t>（</w:t>
            </w:r>
            <w:r>
              <w:rPr>
                <w:rFonts w:hint="eastAsia" w:cs="Times New Roman"/>
                <w:b w:val="0"/>
                <w:bCs w:val="0"/>
                <w:color w:val="auto"/>
                <w:sz w:val="24"/>
                <w:lang w:val="en-US" w:eastAsia="zh-CN"/>
              </w:rPr>
              <w:t>2</w:t>
            </w:r>
            <w:r>
              <w:rPr>
                <w:rFonts w:hint="eastAsia" w:cs="Times New Roman"/>
                <w:b w:val="0"/>
                <w:bCs w:val="0"/>
                <w:color w:val="auto"/>
                <w:sz w:val="24"/>
                <w:lang w:eastAsia="zh-CN"/>
              </w:rPr>
              <w:t>）除尘灰</w:t>
            </w:r>
          </w:p>
          <w:p w14:paraId="3FE1651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w:t>
            </w:r>
            <w:r>
              <w:rPr>
                <w:rFonts w:hint="eastAsia" w:cs="Times New Roman"/>
                <w:color w:val="auto"/>
                <w:kern w:val="0"/>
                <w:sz w:val="24"/>
                <w:lang w:val="en-US" w:eastAsia="zh-CN"/>
              </w:rPr>
              <w:t>中筒仓的布袋除尘器</w:t>
            </w:r>
            <w:r>
              <w:rPr>
                <w:rFonts w:ascii="Times New Roman" w:hAnsi="Times New Roman" w:eastAsia="宋体" w:cs="Times New Roman"/>
                <w:color w:val="auto"/>
                <w:kern w:val="0"/>
                <w:sz w:val="24"/>
              </w:rPr>
              <w:t>收尘系统粉尘产生量为</w:t>
            </w:r>
            <w:r>
              <w:rPr>
                <w:rFonts w:hint="eastAsia" w:cs="Times New Roman"/>
                <w:color w:val="auto"/>
                <w:kern w:val="0"/>
                <w:sz w:val="24"/>
                <w:lang w:val="en-US" w:eastAsia="zh-CN"/>
              </w:rPr>
              <w:t>307.297</w:t>
            </w:r>
            <w:r>
              <w:rPr>
                <w:rFonts w:ascii="Times New Roman" w:hAnsi="Times New Roman" w:eastAsia="宋体" w:cs="Times New Roman"/>
                <w:color w:val="auto"/>
                <w:kern w:val="0"/>
                <w:sz w:val="24"/>
              </w:rPr>
              <w:t>t/a，定期清理全部回用于混凝土生产过程中。</w:t>
            </w:r>
          </w:p>
          <w:p w14:paraId="079DE41B">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b w:val="0"/>
                <w:bCs w:val="0"/>
                <w:color w:val="auto"/>
                <w:sz w:val="24"/>
                <w:lang w:eastAsia="zh-CN"/>
              </w:rPr>
            </w:pPr>
            <w:r>
              <w:rPr>
                <w:rFonts w:hint="eastAsia" w:cs="Times New Roman"/>
                <w:b w:val="0"/>
                <w:bCs w:val="0"/>
                <w:color w:val="auto"/>
                <w:sz w:val="24"/>
                <w:lang w:eastAsia="zh-CN"/>
              </w:rPr>
              <w:t>（</w:t>
            </w:r>
            <w:r>
              <w:rPr>
                <w:rFonts w:hint="eastAsia" w:cs="Times New Roman"/>
                <w:b w:val="0"/>
                <w:bCs w:val="0"/>
                <w:color w:val="auto"/>
                <w:sz w:val="24"/>
                <w:lang w:val="en-US" w:eastAsia="zh-CN"/>
              </w:rPr>
              <w:t>3</w:t>
            </w:r>
            <w:r>
              <w:rPr>
                <w:rFonts w:hint="eastAsia" w:cs="Times New Roman"/>
                <w:b w:val="0"/>
                <w:bCs w:val="0"/>
                <w:color w:val="auto"/>
                <w:sz w:val="24"/>
                <w:lang w:eastAsia="zh-CN"/>
              </w:rPr>
              <w:t>）沉淀池沉渣</w:t>
            </w:r>
          </w:p>
          <w:p w14:paraId="2D244DE7">
            <w:pPr>
              <w:spacing w:line="360" w:lineRule="auto"/>
              <w:ind w:firstLine="480" w:firstLineChars="200"/>
              <w:rPr>
                <w:rFonts w:hint="default"/>
                <w:color w:val="auto"/>
                <w:sz w:val="24"/>
                <w:szCs w:val="24"/>
                <w:lang w:val="en-US" w:eastAsia="zh-CN"/>
              </w:rPr>
            </w:pPr>
            <w:r>
              <w:rPr>
                <w:rFonts w:hint="eastAsia" w:ascii="Times New Roman" w:hAnsi="Times New Roman" w:eastAsia="宋体" w:cs="Times New Roman"/>
                <w:color w:val="auto"/>
                <w:kern w:val="0"/>
                <w:sz w:val="24"/>
              </w:rPr>
              <w:t>本项目</w:t>
            </w:r>
            <w:r>
              <w:rPr>
                <w:rFonts w:ascii="Times New Roman" w:hAnsi="Times New Roman" w:eastAsia="宋体" w:cs="Times New Roman"/>
                <w:color w:val="auto"/>
                <w:kern w:val="0"/>
                <w:sz w:val="24"/>
              </w:rPr>
              <w:t>站内搅拌系统罐体清洗和运输车辆罐体清洗冲刷下来的含水废料每年产生约</w:t>
            </w:r>
            <w:r>
              <w:rPr>
                <w:rFonts w:hint="eastAsia" w:cs="Times New Roman"/>
                <w:color w:val="auto"/>
                <w:kern w:val="0"/>
                <w:sz w:val="24"/>
                <w:lang w:val="en-US" w:eastAsia="zh-CN"/>
              </w:rPr>
              <w:t>7.47</w:t>
            </w:r>
            <w:r>
              <w:rPr>
                <w:rFonts w:ascii="Times New Roman" w:hAnsi="Times New Roman" w:eastAsia="宋体" w:cs="Times New Roman"/>
                <w:color w:val="auto"/>
                <w:kern w:val="0"/>
                <w:sz w:val="24"/>
              </w:rPr>
              <w:t>t/a，池底废料定期清理，废料中主要固体为砂子和石子，</w:t>
            </w:r>
            <w:r>
              <w:rPr>
                <w:rFonts w:hint="eastAsia" w:ascii="Times New Roman" w:hAnsi="Times New Roman" w:eastAsia="宋体" w:cs="Times New Roman"/>
                <w:color w:val="auto"/>
                <w:kern w:val="0"/>
                <w:sz w:val="24"/>
              </w:rPr>
              <w:t>经</w:t>
            </w:r>
            <w:r>
              <w:rPr>
                <w:rFonts w:ascii="Times New Roman" w:hAnsi="Times New Roman" w:eastAsia="宋体" w:cs="Times New Roman"/>
                <w:color w:val="auto"/>
                <w:kern w:val="0"/>
                <w:sz w:val="24"/>
              </w:rPr>
              <w:t>砂石分离设备处理后全部回用于混凝土的生产过程中，生产废料不外排</w:t>
            </w:r>
            <w:r>
              <w:rPr>
                <w:rFonts w:hint="eastAsia" w:ascii="Times New Roman" w:hAnsi="Times New Roman" w:eastAsia="宋体" w:cs="Times New Roman"/>
                <w:color w:val="auto"/>
                <w:kern w:val="0"/>
                <w:sz w:val="24"/>
              </w:rPr>
              <w:t>。</w:t>
            </w:r>
          </w:p>
          <w:p w14:paraId="5C7BB3BA">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4.2生活垃圾</w:t>
            </w:r>
          </w:p>
          <w:p w14:paraId="49CBDC6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42</w:t>
            </w:r>
            <w:r>
              <w:rPr>
                <w:rFonts w:ascii="Times New Roman" w:hAnsi="Times New Roman" w:eastAsia="宋体" w:cs="Times New Roman"/>
                <w:color w:val="auto"/>
                <w:kern w:val="0"/>
                <w:sz w:val="24"/>
              </w:rPr>
              <w:t>人，按每人每天产生1kg生活垃圾计，生产期为</w:t>
            </w:r>
            <w:r>
              <w:rPr>
                <w:rFonts w:hint="eastAsia" w:cs="Times New Roman"/>
                <w:color w:val="auto"/>
                <w:kern w:val="0"/>
                <w:sz w:val="24"/>
                <w:lang w:val="en-US" w:eastAsia="zh-CN"/>
              </w:rPr>
              <w:t>180</w:t>
            </w:r>
            <w:r>
              <w:rPr>
                <w:rFonts w:ascii="Times New Roman" w:hAnsi="Times New Roman" w:eastAsia="宋体" w:cs="Times New Roman"/>
                <w:color w:val="auto"/>
                <w:kern w:val="0"/>
                <w:sz w:val="24"/>
              </w:rPr>
              <w:t>天，则年产生生活垃圾</w:t>
            </w:r>
            <w:r>
              <w:rPr>
                <w:rFonts w:hint="eastAsia" w:cs="Times New Roman"/>
                <w:color w:val="auto"/>
                <w:kern w:val="0"/>
                <w:sz w:val="24"/>
                <w:lang w:val="en-US" w:eastAsia="zh-CN"/>
              </w:rPr>
              <w:t>7.56</w:t>
            </w:r>
            <w:r>
              <w:rPr>
                <w:rFonts w:ascii="Times New Roman" w:hAnsi="Times New Roman" w:eastAsia="宋体" w:cs="Times New Roman"/>
                <w:color w:val="auto"/>
                <w:kern w:val="0"/>
                <w:sz w:val="24"/>
              </w:rPr>
              <w:t>t。产生的生活垃圾在厂区生活垃圾箱暂时收集、存放，</w:t>
            </w:r>
            <w:r>
              <w:rPr>
                <w:rFonts w:hint="eastAsia" w:ascii="Times New Roman" w:hAnsi="Times New Roman" w:eastAsia="宋体" w:cs="Times New Roman"/>
                <w:color w:val="auto"/>
                <w:kern w:val="0"/>
                <w:sz w:val="24"/>
              </w:rPr>
              <w:t>由环卫部门</w:t>
            </w:r>
            <w:r>
              <w:rPr>
                <w:rFonts w:ascii="Times New Roman" w:hAnsi="Times New Roman" w:eastAsia="宋体" w:cs="Times New Roman"/>
                <w:color w:val="auto"/>
                <w:kern w:val="0"/>
                <w:sz w:val="24"/>
              </w:rPr>
              <w:t>定期清运至垃圾填埋场填埋处理</w:t>
            </w:r>
            <w:r>
              <w:rPr>
                <w:rFonts w:hint="eastAsia" w:ascii="Times New Roman" w:hAnsi="Times New Roman" w:eastAsia="宋体" w:cs="Times New Roman"/>
                <w:color w:val="auto"/>
                <w:kern w:val="0"/>
                <w:sz w:val="24"/>
              </w:rPr>
              <w:t>。</w:t>
            </w:r>
          </w:p>
          <w:p w14:paraId="4305028B">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rPr>
              <w:t>4.3</w:t>
            </w:r>
            <w:r>
              <w:rPr>
                <w:rFonts w:hint="eastAsia" w:cs="Times New Roman"/>
                <w:b/>
                <w:bCs/>
                <w:color w:val="auto"/>
                <w:sz w:val="24"/>
                <w:lang w:val="en-US" w:eastAsia="zh-CN"/>
              </w:rPr>
              <w:t>污泥</w:t>
            </w:r>
          </w:p>
          <w:p w14:paraId="17218F0B">
            <w:pPr>
              <w:pStyle w:val="48"/>
              <w:spacing w:line="360" w:lineRule="auto"/>
              <w:rPr>
                <w:rFonts w:hint="default" w:ascii="Times New Roman" w:hAnsi="Times New Roman" w:cs="Times New Roman"/>
                <w:sz w:val="24"/>
              </w:rPr>
            </w:pPr>
            <w:r>
              <w:rPr>
                <w:rFonts w:hint="eastAsia" w:ascii="Times New Roman" w:hAnsi="Times New Roman" w:cs="Times New Roman"/>
                <w:sz w:val="24"/>
                <w:lang w:val="en-US" w:eastAsia="zh-CN"/>
              </w:rPr>
              <w:t>一体化污水处理设施</w:t>
            </w:r>
            <w:r>
              <w:rPr>
                <w:rFonts w:hint="default" w:ascii="Times New Roman" w:hAnsi="Times New Roman" w:cs="Times New Roman"/>
                <w:sz w:val="24"/>
              </w:rPr>
              <w:t>处理</w:t>
            </w:r>
            <w:r>
              <w:rPr>
                <w:rFonts w:hint="eastAsia" w:ascii="Times New Roman" w:hAnsi="Times New Roman" w:cs="Times New Roman"/>
                <w:sz w:val="24"/>
                <w:lang w:val="en-US" w:eastAsia="zh-CN"/>
              </w:rPr>
              <w:t>生活污水</w:t>
            </w:r>
            <w:r>
              <w:rPr>
                <w:rFonts w:hint="default" w:ascii="Times New Roman" w:hAnsi="Times New Roman" w:cs="Times New Roman"/>
                <w:sz w:val="24"/>
              </w:rPr>
              <w:t>过程中会产生污泥，根据《排污许可证申请与核发技术规范 水处理（试行）》中的计算公式：</w:t>
            </w:r>
          </w:p>
          <w:p w14:paraId="217F26E4">
            <w:pPr>
              <w:pStyle w:val="48"/>
              <w:spacing w:line="360" w:lineRule="auto"/>
              <w:rPr>
                <w:rFonts w:hint="default" w:ascii="Times New Roman" w:hAnsi="Times New Roman" w:cs="Times New Roman"/>
                <w:sz w:val="24"/>
              </w:rPr>
            </w:pPr>
            <w:r>
              <w:rPr>
                <w:rFonts w:hint="default" w:ascii="Times New Roman" w:hAnsi="Times New Roman" w:cs="Times New Roman"/>
                <w:sz w:val="24"/>
              </w:rPr>
              <w:t>E产生量=1.7×Q×W深×10</w:t>
            </w:r>
            <w:r>
              <w:rPr>
                <w:rFonts w:hint="default" w:ascii="Times New Roman" w:hAnsi="Times New Roman" w:cs="Times New Roman"/>
                <w:sz w:val="24"/>
                <w:vertAlign w:val="superscript"/>
              </w:rPr>
              <w:t>-4</w:t>
            </w:r>
          </w:p>
          <w:p w14:paraId="58C1D515">
            <w:pPr>
              <w:pStyle w:val="48"/>
              <w:spacing w:line="360" w:lineRule="auto"/>
              <w:rPr>
                <w:rFonts w:hint="default" w:ascii="Times New Roman" w:hAnsi="Times New Roman" w:cs="Times New Roman"/>
                <w:sz w:val="24"/>
              </w:rPr>
            </w:pPr>
            <w:r>
              <w:rPr>
                <w:rFonts w:hint="default" w:ascii="Times New Roman" w:hAnsi="Times New Roman" w:cs="Times New Roman"/>
                <w:sz w:val="24"/>
              </w:rPr>
              <w:t xml:space="preserve">式中：E 产生量—污水处理过程中产生的污泥量，以干泥计，t； </w:t>
            </w:r>
          </w:p>
          <w:p w14:paraId="41626E8F">
            <w:pPr>
              <w:pStyle w:val="48"/>
              <w:spacing w:line="360" w:lineRule="auto"/>
              <w:rPr>
                <w:rFonts w:hint="default" w:ascii="Times New Roman" w:hAnsi="Times New Roman" w:cs="Times New Roman"/>
                <w:color w:val="auto"/>
                <w:sz w:val="24"/>
                <w:highlight w:val="none"/>
              </w:rPr>
            </w:pPr>
            <w:r>
              <w:rPr>
                <w:rFonts w:hint="default" w:ascii="Times New Roman" w:hAnsi="Times New Roman" w:cs="Times New Roman"/>
                <w:sz w:val="24"/>
              </w:rPr>
              <w:t>Q—核算时段内排污单位废水排放量，m³；具有有效出水口实测值按实测值计，无有效出水口实测值按进水口实测值计，无有效进水口实测值按协议进水水量计；本项目</w:t>
            </w:r>
            <w:r>
              <w:rPr>
                <w:rFonts w:hint="default" w:ascii="Times New Roman" w:hAnsi="Times New Roman" w:cs="Times New Roman"/>
                <w:sz w:val="24"/>
                <w:highlight w:val="none"/>
              </w:rPr>
              <w:t>取</w:t>
            </w:r>
            <w:r>
              <w:rPr>
                <w:rFonts w:hint="eastAsia" w:cs="Times New Roman"/>
                <w:color w:val="auto"/>
                <w:sz w:val="24"/>
                <w:highlight w:val="none"/>
                <w:lang w:val="en-US" w:eastAsia="zh-CN"/>
              </w:rPr>
              <w:t>362.88</w:t>
            </w:r>
            <w:r>
              <w:rPr>
                <w:rFonts w:hint="default" w:ascii="Times New Roman" w:hAnsi="Times New Roman" w:cs="Times New Roman"/>
                <w:color w:val="auto"/>
                <w:sz w:val="24"/>
                <w:highlight w:val="none"/>
              </w:rPr>
              <w:t>m³。</w:t>
            </w:r>
          </w:p>
          <w:p w14:paraId="306BA9E5">
            <w:pPr>
              <w:pStyle w:val="48"/>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W深—有深度处理工艺（添加化学药剂）时按2计，无深度处理工艺时按1计。本项目污水处理工艺无深度处理工艺，因此取1。</w:t>
            </w:r>
          </w:p>
          <w:p w14:paraId="15C243AF">
            <w:pPr>
              <w:pStyle w:val="47"/>
              <w:spacing w:line="360" w:lineRule="auto"/>
              <w:rPr>
                <w:rFonts w:hint="eastAsia" w:ascii="Times New Roman" w:hAnsi="Times New Roman" w:eastAsia="宋体" w:cs="Times New Roman"/>
                <w:color w:val="auto"/>
                <w:kern w:val="0"/>
                <w:sz w:val="24"/>
              </w:rPr>
            </w:pPr>
            <w:r>
              <w:rPr>
                <w:rFonts w:hint="default" w:ascii="Times New Roman" w:hAnsi="Times New Roman" w:cs="Times New Roman"/>
                <w:color w:val="auto"/>
                <w:highlight w:val="none"/>
              </w:rPr>
              <w:t>经核算，污水处理设施污泥产生量为</w:t>
            </w:r>
            <w:r>
              <w:rPr>
                <w:rFonts w:hint="eastAsia" w:cs="Times New Roman"/>
                <w:color w:val="auto"/>
                <w:highlight w:val="none"/>
                <w:lang w:val="en-US" w:eastAsia="zh-CN"/>
              </w:rPr>
              <w:t>0.1</w:t>
            </w:r>
            <w:r>
              <w:rPr>
                <w:rFonts w:hint="default" w:ascii="Times New Roman" w:hAnsi="Times New Roman" w:cs="Times New Roman"/>
                <w:color w:val="auto"/>
                <w:highlight w:val="none"/>
                <w:lang w:val="en-US" w:eastAsia="zh-CN"/>
              </w:rPr>
              <w:t>t</w:t>
            </w:r>
            <w:r>
              <w:rPr>
                <w:rFonts w:hint="default" w:ascii="Times New Roman" w:hAnsi="Times New Roman" w:cs="Times New Roman"/>
                <w:color w:val="auto"/>
                <w:highlight w:val="none"/>
              </w:rPr>
              <w:t>/a，</w:t>
            </w:r>
            <w:r>
              <w:rPr>
                <w:rFonts w:hint="eastAsia" w:cs="Times New Roman"/>
                <w:color w:val="auto"/>
                <w:highlight w:val="none"/>
                <w:lang w:val="en-US" w:eastAsia="zh-CN"/>
              </w:rPr>
              <w:t>污泥含水率压滤至60%，</w:t>
            </w:r>
            <w:r>
              <w:rPr>
                <w:rFonts w:hint="eastAsia" w:ascii="Times New Roman" w:hAnsi="Times New Roman" w:cs="Times New Roman"/>
                <w:color w:val="auto"/>
                <w:highlight w:val="none"/>
                <w:lang w:val="en-US" w:eastAsia="zh-CN"/>
              </w:rPr>
              <w:t>定期</w:t>
            </w:r>
            <w:r>
              <w:rPr>
                <w:rFonts w:hint="default" w:ascii="Times New Roman" w:hAnsi="Times New Roman" w:cs="Times New Roman"/>
                <w:color w:val="auto"/>
                <w:highlight w:val="none"/>
              </w:rPr>
              <w:t>将污泥拉运至生活垃圾填埋场处置。</w:t>
            </w:r>
          </w:p>
          <w:p w14:paraId="58829B41">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w:t>
            </w:r>
            <w:r>
              <w:rPr>
                <w:rFonts w:hint="eastAsia" w:cs="Times New Roman"/>
                <w:b/>
                <w:bCs/>
                <w:color w:val="auto"/>
                <w:sz w:val="24"/>
                <w:lang w:val="en-US" w:eastAsia="zh-CN"/>
              </w:rPr>
              <w:t>4</w:t>
            </w:r>
            <w:r>
              <w:rPr>
                <w:rFonts w:hint="eastAsia" w:ascii="Times New Roman" w:hAnsi="Times New Roman" w:eastAsia="宋体" w:cs="Times New Roman"/>
                <w:b/>
                <w:bCs/>
                <w:color w:val="auto"/>
                <w:sz w:val="24"/>
              </w:rPr>
              <w:t>废机油</w:t>
            </w:r>
          </w:p>
          <w:p w14:paraId="5D299ED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本项目机械设备日常维修、保养过程中会产生废机油，产生量为0.</w:t>
            </w:r>
            <w:r>
              <w:rPr>
                <w:rFonts w:hint="eastAsia" w:cs="Times New Roman"/>
                <w:color w:val="auto"/>
                <w:kern w:val="0"/>
                <w:sz w:val="24"/>
                <w:lang w:val="en-US" w:eastAsia="zh-CN"/>
              </w:rPr>
              <w:t>1</w:t>
            </w:r>
            <w:r>
              <w:rPr>
                <w:rFonts w:hint="eastAsia" w:ascii="Times New Roman" w:hAnsi="Times New Roman" w:eastAsia="宋体" w:cs="Times New Roman"/>
                <w:color w:val="auto"/>
                <w:kern w:val="0"/>
                <w:sz w:val="24"/>
              </w:rPr>
              <w:t>t/a。</w:t>
            </w:r>
            <w:r>
              <w:rPr>
                <w:rFonts w:ascii="Times New Roman" w:hAnsi="Times New Roman" w:eastAsia="宋体" w:cs="Times New Roman"/>
                <w:color w:val="auto"/>
                <w:kern w:val="0"/>
                <w:sz w:val="24"/>
              </w:rPr>
              <w:t>根据《国家危险废物名录》（2021版）</w:t>
            </w:r>
            <w:r>
              <w:rPr>
                <w:rFonts w:hint="eastAsia" w:ascii="Times New Roman" w:hAnsi="Times New Roman" w:eastAsia="宋体" w:cs="Times New Roman"/>
                <w:color w:val="auto"/>
                <w:kern w:val="0"/>
                <w:sz w:val="24"/>
              </w:rPr>
              <w:t>规定，废机油属于危险废物，危废类别为HW08，废物代码900-21</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-08，集中收集在危险废物暂存间内，</w:t>
            </w:r>
            <w:r>
              <w:rPr>
                <w:rFonts w:hint="eastAsia" w:cs="Times New Roman"/>
                <w:color w:val="auto"/>
                <w:kern w:val="0"/>
                <w:sz w:val="24"/>
                <w:lang w:val="en-US" w:eastAsia="zh-CN"/>
              </w:rPr>
              <w:t>用于本厂内输送设备润滑，剩余废机油</w:t>
            </w:r>
            <w:r>
              <w:rPr>
                <w:rFonts w:hint="eastAsia" w:ascii="Times New Roman" w:hAnsi="Times New Roman" w:eastAsia="宋体" w:cs="Times New Roman"/>
                <w:color w:val="auto"/>
                <w:kern w:val="0"/>
                <w:sz w:val="24"/>
              </w:rPr>
              <w:t>委托有资质的单位处置。</w:t>
            </w:r>
          </w:p>
          <w:p w14:paraId="27362740">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b/>
                <w:bCs/>
                <w:color w:val="auto"/>
                <w:sz w:val="24"/>
                <w:lang w:val="en-US" w:eastAsia="zh-CN"/>
              </w:rPr>
            </w:pPr>
            <w:r>
              <w:rPr>
                <w:rFonts w:hint="eastAsia" w:ascii="Times New Roman" w:hAnsi="Times New Roman" w:eastAsia="宋体" w:cs="Times New Roman"/>
                <w:b/>
                <w:bCs/>
                <w:color w:val="auto"/>
                <w:sz w:val="24"/>
                <w:lang w:val="en-US" w:eastAsia="zh-CN"/>
              </w:rPr>
              <w:t>4.5</w:t>
            </w:r>
            <w:r>
              <w:rPr>
                <w:rFonts w:hint="eastAsia" w:cs="Times New Roman"/>
                <w:b/>
                <w:bCs/>
                <w:color w:val="auto"/>
                <w:sz w:val="24"/>
                <w:lang w:val="en-US" w:eastAsia="zh-CN"/>
              </w:rPr>
              <w:t>实验室废物及废包装材料</w:t>
            </w:r>
          </w:p>
          <w:p w14:paraId="74088E03">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cs="Times New Roman"/>
                <w:color w:val="auto"/>
                <w:kern w:val="0"/>
                <w:sz w:val="24"/>
                <w:lang w:val="en-US" w:eastAsia="zh-CN"/>
              </w:rPr>
              <w:t>实验室废物主要为测试混凝土强度时的废旧混凝土，经人工破碎后回用于生产，废包装材料作为一般工业固废，暂存于厂区内的一般工业固废垃圾桶内，后委托有资质部门定时清运。</w:t>
            </w:r>
          </w:p>
          <w:p w14:paraId="20480A9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本项目固废产生情况及去向表见表4-</w:t>
            </w:r>
            <w:r>
              <w:rPr>
                <w:rFonts w:hint="eastAsia" w:cs="Times New Roman"/>
                <w:color w:val="auto"/>
                <w:kern w:val="0"/>
                <w:sz w:val="24"/>
                <w:lang w:val="en-US" w:eastAsia="zh-CN"/>
              </w:rPr>
              <w:t>11</w:t>
            </w:r>
            <w:r>
              <w:rPr>
                <w:rFonts w:hint="eastAsia" w:ascii="Times New Roman" w:hAnsi="Times New Roman" w:eastAsia="宋体" w:cs="Times New Roman"/>
                <w:color w:val="auto"/>
                <w:kern w:val="0"/>
                <w:sz w:val="24"/>
              </w:rPr>
              <w:t>。</w:t>
            </w:r>
          </w:p>
          <w:p w14:paraId="6CA7B229">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ascii="Times New Roman" w:hAnsi="Times New Roman" w:eastAsia="宋体" w:cs="Times New Roman"/>
                <w:color w:val="auto"/>
                <w:lang w:val="en-US" w:eastAsia="zh-CN"/>
              </w:rPr>
              <w:t>1</w:t>
            </w:r>
            <w:r>
              <w:rPr>
                <w:rFonts w:hint="eastAsia" w:cs="Times New Roman"/>
                <w:color w:val="auto"/>
                <w:lang w:val="en-US" w:eastAsia="zh-CN"/>
              </w:rPr>
              <w:t>1</w:t>
            </w:r>
            <w:r>
              <w:rPr>
                <w:rFonts w:hint="eastAsia" w:ascii="Times New Roman" w:hAnsi="Times New Roman" w:eastAsia="宋体" w:cs="Times New Roman"/>
                <w:color w:val="auto"/>
              </w:rPr>
              <w:t xml:space="preserve">    固废产生情况及去向表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42"/>
              <w:gridCol w:w="876"/>
              <w:gridCol w:w="834"/>
              <w:gridCol w:w="761"/>
              <w:gridCol w:w="1190"/>
              <w:gridCol w:w="940"/>
              <w:gridCol w:w="2080"/>
            </w:tblGrid>
            <w:tr w14:paraId="6718A3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63" w:type="pct"/>
                  <w:tcBorders>
                    <w:bottom w:val="single" w:color="auto" w:sz="12" w:space="0"/>
                  </w:tcBorders>
                  <w:vAlign w:val="center"/>
                </w:tcPr>
                <w:p w14:paraId="5A11468F">
                  <w:pPr>
                    <w:pStyle w:val="18"/>
                    <w:spacing w:line="240" w:lineRule="auto"/>
                    <w:jc w:val="center"/>
                    <w:rPr>
                      <w:b/>
                      <w:bCs/>
                      <w:color w:val="auto"/>
                      <w:sz w:val="21"/>
                      <w:szCs w:val="21"/>
                    </w:rPr>
                  </w:pPr>
                  <w:r>
                    <w:rPr>
                      <w:rFonts w:hint="eastAsia"/>
                      <w:b/>
                      <w:bCs/>
                      <w:color w:val="auto"/>
                      <w:sz w:val="21"/>
                      <w:szCs w:val="21"/>
                    </w:rPr>
                    <w:t>序号</w:t>
                  </w:r>
                </w:p>
              </w:tc>
              <w:tc>
                <w:tcPr>
                  <w:tcW w:w="530" w:type="pct"/>
                  <w:tcBorders>
                    <w:bottom w:val="single" w:color="auto" w:sz="12" w:space="0"/>
                  </w:tcBorders>
                  <w:vAlign w:val="center"/>
                </w:tcPr>
                <w:p w14:paraId="79CDFD46">
                  <w:pPr>
                    <w:pStyle w:val="18"/>
                    <w:spacing w:line="240" w:lineRule="auto"/>
                    <w:jc w:val="center"/>
                    <w:rPr>
                      <w:b/>
                      <w:bCs/>
                      <w:color w:val="auto"/>
                      <w:sz w:val="21"/>
                      <w:szCs w:val="21"/>
                    </w:rPr>
                  </w:pPr>
                  <w:r>
                    <w:rPr>
                      <w:rFonts w:hint="eastAsia"/>
                      <w:b/>
                      <w:bCs/>
                      <w:color w:val="auto"/>
                      <w:sz w:val="21"/>
                      <w:szCs w:val="21"/>
                    </w:rPr>
                    <w:t>污染物名称</w:t>
                  </w:r>
                </w:p>
              </w:tc>
              <w:tc>
                <w:tcPr>
                  <w:tcW w:w="551" w:type="pct"/>
                  <w:tcBorders>
                    <w:bottom w:val="single" w:color="auto" w:sz="12" w:space="0"/>
                  </w:tcBorders>
                  <w:vAlign w:val="center"/>
                </w:tcPr>
                <w:p w14:paraId="76DE6B15">
                  <w:pPr>
                    <w:pStyle w:val="18"/>
                    <w:spacing w:line="240" w:lineRule="auto"/>
                    <w:jc w:val="center"/>
                    <w:rPr>
                      <w:b/>
                      <w:bCs/>
                      <w:color w:val="auto"/>
                      <w:sz w:val="21"/>
                      <w:szCs w:val="21"/>
                    </w:rPr>
                  </w:pPr>
                  <w:r>
                    <w:rPr>
                      <w:rFonts w:hint="eastAsia"/>
                      <w:b/>
                      <w:bCs/>
                      <w:color w:val="auto"/>
                      <w:sz w:val="21"/>
                      <w:szCs w:val="21"/>
                    </w:rPr>
                    <w:t>产生途径</w:t>
                  </w:r>
                </w:p>
              </w:tc>
              <w:tc>
                <w:tcPr>
                  <w:tcW w:w="525" w:type="pct"/>
                  <w:tcBorders>
                    <w:bottom w:val="single" w:color="auto" w:sz="12" w:space="0"/>
                  </w:tcBorders>
                  <w:vAlign w:val="center"/>
                </w:tcPr>
                <w:p w14:paraId="3504764D">
                  <w:pPr>
                    <w:pStyle w:val="18"/>
                    <w:spacing w:line="240" w:lineRule="auto"/>
                    <w:jc w:val="center"/>
                    <w:rPr>
                      <w:b/>
                      <w:bCs/>
                      <w:color w:val="auto"/>
                      <w:sz w:val="21"/>
                      <w:szCs w:val="21"/>
                    </w:rPr>
                  </w:pPr>
                  <w:r>
                    <w:rPr>
                      <w:rFonts w:hint="eastAsia"/>
                      <w:b/>
                      <w:bCs/>
                      <w:color w:val="auto"/>
                      <w:sz w:val="21"/>
                      <w:szCs w:val="21"/>
                    </w:rPr>
                    <w:t>固废性质</w:t>
                  </w:r>
                </w:p>
              </w:tc>
              <w:tc>
                <w:tcPr>
                  <w:tcW w:w="479" w:type="pct"/>
                  <w:tcBorders>
                    <w:bottom w:val="single" w:color="auto" w:sz="12" w:space="0"/>
                  </w:tcBorders>
                  <w:vAlign w:val="center"/>
                </w:tcPr>
                <w:p w14:paraId="4F817CD4">
                  <w:pPr>
                    <w:pStyle w:val="18"/>
                    <w:spacing w:line="240" w:lineRule="auto"/>
                    <w:jc w:val="center"/>
                    <w:rPr>
                      <w:b/>
                      <w:bCs/>
                      <w:color w:val="auto"/>
                      <w:sz w:val="21"/>
                      <w:szCs w:val="21"/>
                    </w:rPr>
                  </w:pPr>
                  <w:r>
                    <w:rPr>
                      <w:rFonts w:hint="eastAsia"/>
                      <w:b/>
                      <w:bCs/>
                      <w:color w:val="auto"/>
                      <w:sz w:val="21"/>
                      <w:szCs w:val="21"/>
                    </w:rPr>
                    <w:t>类别</w:t>
                  </w:r>
                </w:p>
              </w:tc>
              <w:tc>
                <w:tcPr>
                  <w:tcW w:w="749" w:type="pct"/>
                  <w:tcBorders>
                    <w:bottom w:val="single" w:color="auto" w:sz="12" w:space="0"/>
                  </w:tcBorders>
                  <w:vAlign w:val="center"/>
                </w:tcPr>
                <w:p w14:paraId="5B0C44EF">
                  <w:pPr>
                    <w:pStyle w:val="18"/>
                    <w:spacing w:line="240" w:lineRule="auto"/>
                    <w:jc w:val="center"/>
                    <w:rPr>
                      <w:b/>
                      <w:bCs/>
                      <w:color w:val="auto"/>
                      <w:sz w:val="21"/>
                      <w:szCs w:val="21"/>
                    </w:rPr>
                  </w:pPr>
                  <w:r>
                    <w:rPr>
                      <w:rFonts w:hint="eastAsia"/>
                      <w:b/>
                      <w:bCs/>
                      <w:color w:val="auto"/>
                      <w:sz w:val="21"/>
                      <w:szCs w:val="21"/>
                    </w:rPr>
                    <w:t>代码</w:t>
                  </w:r>
                </w:p>
              </w:tc>
              <w:tc>
                <w:tcPr>
                  <w:tcW w:w="591" w:type="pct"/>
                  <w:tcBorders>
                    <w:bottom w:val="single" w:color="auto" w:sz="12" w:space="0"/>
                  </w:tcBorders>
                  <w:vAlign w:val="center"/>
                </w:tcPr>
                <w:p w14:paraId="3F8CDD9C">
                  <w:pPr>
                    <w:pStyle w:val="18"/>
                    <w:spacing w:line="240" w:lineRule="auto"/>
                    <w:jc w:val="center"/>
                    <w:rPr>
                      <w:b/>
                      <w:bCs/>
                      <w:color w:val="auto"/>
                      <w:sz w:val="21"/>
                      <w:szCs w:val="21"/>
                    </w:rPr>
                  </w:pPr>
                  <w:r>
                    <w:rPr>
                      <w:rFonts w:hint="eastAsia"/>
                      <w:b/>
                      <w:bCs/>
                      <w:color w:val="auto"/>
                      <w:sz w:val="21"/>
                      <w:szCs w:val="21"/>
                    </w:rPr>
                    <w:t>产生量t/a</w:t>
                  </w:r>
                </w:p>
              </w:tc>
              <w:tc>
                <w:tcPr>
                  <w:tcW w:w="1309" w:type="pct"/>
                  <w:tcBorders>
                    <w:bottom w:val="single" w:color="auto" w:sz="12" w:space="0"/>
                  </w:tcBorders>
                  <w:vAlign w:val="center"/>
                </w:tcPr>
                <w:p w14:paraId="385B4A6D">
                  <w:pPr>
                    <w:pStyle w:val="18"/>
                    <w:spacing w:line="240" w:lineRule="auto"/>
                    <w:jc w:val="center"/>
                    <w:rPr>
                      <w:b/>
                      <w:bCs/>
                      <w:color w:val="auto"/>
                      <w:sz w:val="21"/>
                      <w:szCs w:val="21"/>
                    </w:rPr>
                  </w:pPr>
                  <w:r>
                    <w:rPr>
                      <w:rFonts w:hint="eastAsia"/>
                      <w:b/>
                      <w:bCs/>
                      <w:color w:val="auto"/>
                      <w:sz w:val="21"/>
                      <w:szCs w:val="21"/>
                    </w:rPr>
                    <w:t>处理措施</w:t>
                  </w:r>
                </w:p>
              </w:tc>
            </w:tr>
            <w:tr w14:paraId="60308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3" w:type="pct"/>
                  <w:tcBorders>
                    <w:top w:val="single" w:color="auto" w:sz="12" w:space="0"/>
                    <w:tl2br w:val="nil"/>
                    <w:tr2bl w:val="nil"/>
                  </w:tcBorders>
                  <w:vAlign w:val="center"/>
                </w:tcPr>
                <w:p w14:paraId="477B7F18">
                  <w:pPr>
                    <w:pStyle w:val="18"/>
                    <w:spacing w:line="240" w:lineRule="auto"/>
                    <w:jc w:val="center"/>
                    <w:rPr>
                      <w:color w:val="auto"/>
                      <w:sz w:val="21"/>
                      <w:szCs w:val="21"/>
                    </w:rPr>
                  </w:pPr>
                  <w:r>
                    <w:rPr>
                      <w:rFonts w:hint="eastAsia"/>
                      <w:color w:val="auto"/>
                      <w:sz w:val="21"/>
                      <w:szCs w:val="21"/>
                    </w:rPr>
                    <w:t>1</w:t>
                  </w:r>
                </w:p>
              </w:tc>
              <w:tc>
                <w:tcPr>
                  <w:tcW w:w="530" w:type="pct"/>
                  <w:tcBorders>
                    <w:top w:val="single" w:color="auto" w:sz="12" w:space="0"/>
                    <w:tl2br w:val="nil"/>
                    <w:tr2bl w:val="nil"/>
                  </w:tcBorders>
                  <w:vAlign w:val="center"/>
                </w:tcPr>
                <w:p w14:paraId="097F10C5">
                  <w:pPr>
                    <w:pStyle w:val="18"/>
                    <w:spacing w:line="240" w:lineRule="auto"/>
                    <w:jc w:val="center"/>
                    <w:rPr>
                      <w:color w:val="auto"/>
                      <w:sz w:val="21"/>
                      <w:szCs w:val="21"/>
                    </w:rPr>
                  </w:pPr>
                  <w:r>
                    <w:rPr>
                      <w:rFonts w:hint="eastAsia"/>
                      <w:color w:val="auto"/>
                      <w:sz w:val="21"/>
                      <w:szCs w:val="21"/>
                    </w:rPr>
                    <w:t>不合格混凝土</w:t>
                  </w:r>
                </w:p>
              </w:tc>
              <w:tc>
                <w:tcPr>
                  <w:tcW w:w="551" w:type="pct"/>
                  <w:tcBorders>
                    <w:top w:val="single" w:color="auto" w:sz="12" w:space="0"/>
                    <w:tl2br w:val="nil"/>
                    <w:tr2bl w:val="nil"/>
                  </w:tcBorders>
                  <w:vAlign w:val="center"/>
                </w:tcPr>
                <w:p w14:paraId="06B62136">
                  <w:pPr>
                    <w:pStyle w:val="18"/>
                    <w:spacing w:line="240" w:lineRule="auto"/>
                    <w:jc w:val="center"/>
                    <w:rPr>
                      <w:color w:val="auto"/>
                      <w:sz w:val="21"/>
                      <w:szCs w:val="21"/>
                    </w:rPr>
                  </w:pPr>
                  <w:r>
                    <w:rPr>
                      <w:rFonts w:hint="eastAsia"/>
                      <w:color w:val="auto"/>
                      <w:sz w:val="21"/>
                      <w:szCs w:val="21"/>
                    </w:rPr>
                    <w:t>生产车间</w:t>
                  </w:r>
                </w:p>
              </w:tc>
              <w:tc>
                <w:tcPr>
                  <w:tcW w:w="525" w:type="pct"/>
                  <w:tcBorders>
                    <w:top w:val="single" w:color="auto" w:sz="12" w:space="0"/>
                    <w:tl2br w:val="nil"/>
                    <w:tr2bl w:val="nil"/>
                  </w:tcBorders>
                  <w:vAlign w:val="center"/>
                </w:tcPr>
                <w:p w14:paraId="3D61D26C">
                  <w:pPr>
                    <w:pStyle w:val="18"/>
                    <w:spacing w:line="240" w:lineRule="auto"/>
                    <w:jc w:val="center"/>
                    <w:rPr>
                      <w:color w:val="auto"/>
                      <w:sz w:val="21"/>
                      <w:szCs w:val="21"/>
                    </w:rPr>
                  </w:pPr>
                  <w:r>
                    <w:rPr>
                      <w:rFonts w:hint="eastAsia"/>
                      <w:color w:val="auto"/>
                      <w:sz w:val="21"/>
                      <w:szCs w:val="21"/>
                    </w:rPr>
                    <w:t>一般工业固体废物</w:t>
                  </w:r>
                </w:p>
              </w:tc>
              <w:tc>
                <w:tcPr>
                  <w:tcW w:w="479" w:type="pct"/>
                  <w:tcBorders>
                    <w:top w:val="single" w:color="auto" w:sz="12" w:space="0"/>
                    <w:tl2br w:val="nil"/>
                    <w:tr2bl w:val="nil"/>
                  </w:tcBorders>
                  <w:vAlign w:val="center"/>
                </w:tcPr>
                <w:p w14:paraId="413029C4">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SW17</w:t>
                  </w:r>
                </w:p>
              </w:tc>
              <w:tc>
                <w:tcPr>
                  <w:tcW w:w="749" w:type="pct"/>
                  <w:tcBorders>
                    <w:top w:val="single" w:color="auto" w:sz="12" w:space="0"/>
                    <w:tl2br w:val="nil"/>
                    <w:tr2bl w:val="nil"/>
                  </w:tcBorders>
                  <w:vAlign w:val="center"/>
                </w:tcPr>
                <w:p w14:paraId="2B9BF119">
                  <w:pPr>
                    <w:pStyle w:val="18"/>
                    <w:spacing w:line="240" w:lineRule="auto"/>
                    <w:jc w:val="center"/>
                    <w:rPr>
                      <w:color w:val="auto"/>
                      <w:sz w:val="21"/>
                      <w:szCs w:val="21"/>
                    </w:rPr>
                  </w:pPr>
                  <w:r>
                    <w:rPr>
                      <w:rFonts w:hint="eastAsia"/>
                      <w:color w:val="auto"/>
                      <w:sz w:val="21"/>
                      <w:szCs w:val="21"/>
                      <w:lang w:val="en-US" w:eastAsia="zh-CN"/>
                    </w:rPr>
                    <w:t>900-099-S17</w:t>
                  </w:r>
                </w:p>
              </w:tc>
              <w:tc>
                <w:tcPr>
                  <w:tcW w:w="591" w:type="pct"/>
                  <w:tcBorders>
                    <w:top w:val="single" w:color="auto" w:sz="12" w:space="0"/>
                    <w:tl2br w:val="nil"/>
                    <w:tr2bl w:val="nil"/>
                  </w:tcBorders>
                  <w:vAlign w:val="center"/>
                </w:tcPr>
                <w:p w14:paraId="24F45FBE">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12.76</w:t>
                  </w:r>
                </w:p>
              </w:tc>
              <w:tc>
                <w:tcPr>
                  <w:tcW w:w="1309" w:type="pct"/>
                  <w:vMerge w:val="restart"/>
                  <w:tcBorders>
                    <w:top w:val="single" w:color="auto" w:sz="12" w:space="0"/>
                    <w:tl2br w:val="nil"/>
                    <w:tr2bl w:val="nil"/>
                  </w:tcBorders>
                  <w:vAlign w:val="center"/>
                </w:tcPr>
                <w:p w14:paraId="1644302E">
                  <w:pPr>
                    <w:pStyle w:val="18"/>
                    <w:spacing w:line="240" w:lineRule="auto"/>
                    <w:jc w:val="center"/>
                    <w:rPr>
                      <w:color w:val="auto"/>
                      <w:sz w:val="21"/>
                      <w:szCs w:val="21"/>
                    </w:rPr>
                  </w:pPr>
                  <w:r>
                    <w:rPr>
                      <w:color w:val="auto"/>
                      <w:sz w:val="21"/>
                      <w:szCs w:val="21"/>
                    </w:rPr>
                    <w:t>回用于混凝土生产</w:t>
                  </w:r>
                </w:p>
              </w:tc>
            </w:tr>
            <w:tr w14:paraId="57D578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63" w:type="pct"/>
                  <w:tcBorders>
                    <w:tl2br w:val="nil"/>
                    <w:tr2bl w:val="nil"/>
                  </w:tcBorders>
                  <w:vAlign w:val="center"/>
                </w:tcPr>
                <w:p w14:paraId="16041D1B">
                  <w:pPr>
                    <w:pStyle w:val="18"/>
                    <w:spacing w:line="240" w:lineRule="auto"/>
                    <w:jc w:val="center"/>
                    <w:rPr>
                      <w:color w:val="auto"/>
                      <w:sz w:val="21"/>
                      <w:szCs w:val="21"/>
                    </w:rPr>
                  </w:pPr>
                  <w:r>
                    <w:rPr>
                      <w:rFonts w:hint="eastAsia"/>
                      <w:color w:val="auto"/>
                      <w:sz w:val="21"/>
                      <w:szCs w:val="21"/>
                    </w:rPr>
                    <w:t>2</w:t>
                  </w:r>
                </w:p>
              </w:tc>
              <w:tc>
                <w:tcPr>
                  <w:tcW w:w="530" w:type="pct"/>
                  <w:tcBorders>
                    <w:tl2br w:val="nil"/>
                    <w:tr2bl w:val="nil"/>
                  </w:tcBorders>
                  <w:vAlign w:val="center"/>
                </w:tcPr>
                <w:p w14:paraId="182D65C6">
                  <w:pPr>
                    <w:pStyle w:val="18"/>
                    <w:spacing w:line="240" w:lineRule="auto"/>
                    <w:jc w:val="center"/>
                    <w:rPr>
                      <w:color w:val="auto"/>
                      <w:sz w:val="21"/>
                      <w:szCs w:val="21"/>
                    </w:rPr>
                  </w:pPr>
                  <w:r>
                    <w:rPr>
                      <w:rFonts w:hint="eastAsia"/>
                      <w:bCs/>
                      <w:color w:val="auto"/>
                      <w:sz w:val="21"/>
                      <w:szCs w:val="21"/>
                    </w:rPr>
                    <w:t>除尘灰</w:t>
                  </w:r>
                </w:p>
              </w:tc>
              <w:tc>
                <w:tcPr>
                  <w:tcW w:w="551" w:type="pct"/>
                  <w:tcBorders>
                    <w:tl2br w:val="nil"/>
                    <w:tr2bl w:val="nil"/>
                  </w:tcBorders>
                  <w:vAlign w:val="center"/>
                </w:tcPr>
                <w:p w14:paraId="338C8F93">
                  <w:pPr>
                    <w:pStyle w:val="18"/>
                    <w:spacing w:line="240" w:lineRule="auto"/>
                    <w:jc w:val="center"/>
                    <w:rPr>
                      <w:color w:val="auto"/>
                      <w:sz w:val="21"/>
                      <w:szCs w:val="21"/>
                    </w:rPr>
                  </w:pPr>
                  <w:r>
                    <w:rPr>
                      <w:rFonts w:hint="eastAsia"/>
                      <w:color w:val="auto"/>
                      <w:sz w:val="21"/>
                      <w:szCs w:val="21"/>
                    </w:rPr>
                    <w:t>收尘系统</w:t>
                  </w:r>
                </w:p>
              </w:tc>
              <w:tc>
                <w:tcPr>
                  <w:tcW w:w="525" w:type="pct"/>
                  <w:tcBorders>
                    <w:tl2br w:val="nil"/>
                    <w:tr2bl w:val="nil"/>
                  </w:tcBorders>
                  <w:vAlign w:val="center"/>
                </w:tcPr>
                <w:p w14:paraId="7E277FAD">
                  <w:pPr>
                    <w:pStyle w:val="18"/>
                    <w:spacing w:line="240" w:lineRule="auto"/>
                    <w:jc w:val="center"/>
                    <w:rPr>
                      <w:color w:val="auto"/>
                      <w:sz w:val="21"/>
                      <w:szCs w:val="21"/>
                    </w:rPr>
                  </w:pPr>
                  <w:r>
                    <w:rPr>
                      <w:rFonts w:hint="eastAsia"/>
                      <w:color w:val="auto"/>
                      <w:sz w:val="21"/>
                      <w:szCs w:val="21"/>
                    </w:rPr>
                    <w:t>一般工业固体废物</w:t>
                  </w:r>
                </w:p>
              </w:tc>
              <w:tc>
                <w:tcPr>
                  <w:tcW w:w="479" w:type="pct"/>
                  <w:tcBorders>
                    <w:tl2br w:val="nil"/>
                    <w:tr2bl w:val="nil"/>
                  </w:tcBorders>
                  <w:vAlign w:val="center"/>
                </w:tcPr>
                <w:p w14:paraId="4FB9F3A1">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SW17</w:t>
                  </w:r>
                </w:p>
              </w:tc>
              <w:tc>
                <w:tcPr>
                  <w:tcW w:w="749" w:type="pct"/>
                  <w:tcBorders>
                    <w:tl2br w:val="nil"/>
                    <w:tr2bl w:val="nil"/>
                  </w:tcBorders>
                  <w:vAlign w:val="center"/>
                </w:tcPr>
                <w:p w14:paraId="38077C18">
                  <w:pPr>
                    <w:pStyle w:val="18"/>
                    <w:spacing w:line="240" w:lineRule="auto"/>
                    <w:jc w:val="center"/>
                    <w:rPr>
                      <w:color w:val="auto"/>
                      <w:sz w:val="21"/>
                      <w:szCs w:val="21"/>
                    </w:rPr>
                  </w:pPr>
                  <w:r>
                    <w:rPr>
                      <w:rFonts w:hint="eastAsia"/>
                      <w:color w:val="auto"/>
                      <w:sz w:val="21"/>
                      <w:szCs w:val="21"/>
                      <w:lang w:val="en-US" w:eastAsia="zh-CN"/>
                    </w:rPr>
                    <w:t>900-099-S17</w:t>
                  </w:r>
                </w:p>
              </w:tc>
              <w:tc>
                <w:tcPr>
                  <w:tcW w:w="591" w:type="pct"/>
                  <w:tcBorders>
                    <w:tl2br w:val="nil"/>
                    <w:tr2bl w:val="nil"/>
                  </w:tcBorders>
                  <w:vAlign w:val="center"/>
                </w:tcPr>
                <w:p w14:paraId="2F1C547E">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308.14</w:t>
                  </w:r>
                </w:p>
              </w:tc>
              <w:tc>
                <w:tcPr>
                  <w:tcW w:w="1309" w:type="pct"/>
                  <w:vMerge w:val="continue"/>
                  <w:tcBorders>
                    <w:tl2br w:val="nil"/>
                    <w:tr2bl w:val="nil"/>
                  </w:tcBorders>
                  <w:vAlign w:val="center"/>
                </w:tcPr>
                <w:p w14:paraId="7EF6EE34">
                  <w:pPr>
                    <w:pStyle w:val="18"/>
                    <w:spacing w:line="240" w:lineRule="auto"/>
                    <w:jc w:val="center"/>
                    <w:rPr>
                      <w:color w:val="auto"/>
                      <w:sz w:val="21"/>
                      <w:szCs w:val="21"/>
                    </w:rPr>
                  </w:pPr>
                </w:p>
              </w:tc>
            </w:tr>
            <w:tr w14:paraId="250300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696D9C9C">
                  <w:pPr>
                    <w:pStyle w:val="18"/>
                    <w:spacing w:line="240" w:lineRule="auto"/>
                    <w:jc w:val="center"/>
                    <w:rPr>
                      <w:color w:val="auto"/>
                      <w:sz w:val="21"/>
                      <w:szCs w:val="21"/>
                    </w:rPr>
                  </w:pPr>
                  <w:r>
                    <w:rPr>
                      <w:rFonts w:hint="eastAsia"/>
                      <w:color w:val="auto"/>
                      <w:sz w:val="21"/>
                      <w:szCs w:val="21"/>
                    </w:rPr>
                    <w:t>3</w:t>
                  </w:r>
                </w:p>
              </w:tc>
              <w:tc>
                <w:tcPr>
                  <w:tcW w:w="530" w:type="pct"/>
                  <w:tcBorders>
                    <w:tl2br w:val="nil"/>
                    <w:tr2bl w:val="nil"/>
                  </w:tcBorders>
                  <w:vAlign w:val="center"/>
                </w:tcPr>
                <w:p w14:paraId="303B17EF">
                  <w:pPr>
                    <w:pStyle w:val="18"/>
                    <w:spacing w:line="240" w:lineRule="auto"/>
                    <w:jc w:val="center"/>
                    <w:rPr>
                      <w:color w:val="auto"/>
                      <w:sz w:val="21"/>
                      <w:szCs w:val="21"/>
                    </w:rPr>
                  </w:pPr>
                  <w:r>
                    <w:rPr>
                      <w:rFonts w:hint="eastAsia"/>
                      <w:color w:val="auto"/>
                      <w:sz w:val="21"/>
                      <w:szCs w:val="21"/>
                    </w:rPr>
                    <w:t>沉淀池沉渣</w:t>
                  </w:r>
                </w:p>
              </w:tc>
              <w:tc>
                <w:tcPr>
                  <w:tcW w:w="551" w:type="pct"/>
                  <w:tcBorders>
                    <w:tl2br w:val="nil"/>
                    <w:tr2bl w:val="nil"/>
                  </w:tcBorders>
                  <w:vAlign w:val="center"/>
                </w:tcPr>
                <w:p w14:paraId="57658793">
                  <w:pPr>
                    <w:pStyle w:val="18"/>
                    <w:spacing w:line="240" w:lineRule="auto"/>
                    <w:jc w:val="center"/>
                    <w:rPr>
                      <w:color w:val="auto"/>
                      <w:sz w:val="21"/>
                      <w:szCs w:val="21"/>
                    </w:rPr>
                  </w:pPr>
                  <w:r>
                    <w:rPr>
                      <w:rFonts w:hint="eastAsia"/>
                      <w:color w:val="auto"/>
                      <w:sz w:val="21"/>
                      <w:szCs w:val="21"/>
                    </w:rPr>
                    <w:t>沉淀池</w:t>
                  </w:r>
                </w:p>
              </w:tc>
              <w:tc>
                <w:tcPr>
                  <w:tcW w:w="525" w:type="pct"/>
                  <w:tcBorders>
                    <w:tl2br w:val="nil"/>
                    <w:tr2bl w:val="nil"/>
                  </w:tcBorders>
                  <w:vAlign w:val="center"/>
                </w:tcPr>
                <w:p w14:paraId="5877F2B2">
                  <w:pPr>
                    <w:pStyle w:val="18"/>
                    <w:spacing w:line="240" w:lineRule="auto"/>
                    <w:jc w:val="center"/>
                    <w:rPr>
                      <w:color w:val="auto"/>
                      <w:sz w:val="21"/>
                      <w:szCs w:val="21"/>
                    </w:rPr>
                  </w:pPr>
                  <w:r>
                    <w:rPr>
                      <w:rFonts w:hint="eastAsia"/>
                      <w:color w:val="auto"/>
                      <w:sz w:val="21"/>
                      <w:szCs w:val="21"/>
                    </w:rPr>
                    <w:t>一般工业固体废物</w:t>
                  </w:r>
                </w:p>
              </w:tc>
              <w:tc>
                <w:tcPr>
                  <w:tcW w:w="479" w:type="pct"/>
                  <w:tcBorders>
                    <w:tl2br w:val="nil"/>
                    <w:tr2bl w:val="nil"/>
                  </w:tcBorders>
                  <w:vAlign w:val="center"/>
                </w:tcPr>
                <w:p w14:paraId="244C8323">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SW17</w:t>
                  </w:r>
                </w:p>
              </w:tc>
              <w:tc>
                <w:tcPr>
                  <w:tcW w:w="749" w:type="pct"/>
                  <w:tcBorders>
                    <w:tl2br w:val="nil"/>
                    <w:tr2bl w:val="nil"/>
                  </w:tcBorders>
                  <w:vAlign w:val="center"/>
                </w:tcPr>
                <w:p w14:paraId="77AC2C25">
                  <w:pPr>
                    <w:pStyle w:val="18"/>
                    <w:spacing w:line="240" w:lineRule="auto"/>
                    <w:jc w:val="center"/>
                    <w:rPr>
                      <w:color w:val="auto"/>
                      <w:sz w:val="21"/>
                      <w:szCs w:val="21"/>
                    </w:rPr>
                  </w:pPr>
                  <w:r>
                    <w:rPr>
                      <w:rFonts w:hint="eastAsia"/>
                      <w:color w:val="auto"/>
                      <w:sz w:val="21"/>
                      <w:szCs w:val="21"/>
                      <w:lang w:val="en-US" w:eastAsia="zh-CN"/>
                    </w:rPr>
                    <w:t>900-099-S17</w:t>
                  </w:r>
                </w:p>
              </w:tc>
              <w:tc>
                <w:tcPr>
                  <w:tcW w:w="591" w:type="pct"/>
                  <w:tcBorders>
                    <w:tl2br w:val="nil"/>
                    <w:tr2bl w:val="nil"/>
                  </w:tcBorders>
                  <w:vAlign w:val="center"/>
                </w:tcPr>
                <w:p w14:paraId="0D831973">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7.383</w:t>
                  </w:r>
                </w:p>
              </w:tc>
              <w:tc>
                <w:tcPr>
                  <w:tcW w:w="1309" w:type="pct"/>
                  <w:vMerge w:val="continue"/>
                  <w:tcBorders>
                    <w:tl2br w:val="nil"/>
                    <w:tr2bl w:val="nil"/>
                  </w:tcBorders>
                  <w:vAlign w:val="center"/>
                </w:tcPr>
                <w:p w14:paraId="525CAAB5">
                  <w:pPr>
                    <w:pStyle w:val="18"/>
                    <w:spacing w:line="240" w:lineRule="auto"/>
                    <w:jc w:val="center"/>
                    <w:rPr>
                      <w:color w:val="auto"/>
                      <w:sz w:val="21"/>
                      <w:szCs w:val="21"/>
                    </w:rPr>
                  </w:pPr>
                </w:p>
              </w:tc>
            </w:tr>
            <w:tr w14:paraId="14125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1A2EC051">
                  <w:pPr>
                    <w:pStyle w:val="18"/>
                    <w:spacing w:line="240" w:lineRule="auto"/>
                    <w:jc w:val="center"/>
                    <w:rPr>
                      <w:rFonts w:hint="eastAsia" w:eastAsia="宋体"/>
                      <w:color w:val="auto"/>
                      <w:sz w:val="21"/>
                      <w:szCs w:val="21"/>
                      <w:lang w:val="en-US" w:eastAsia="zh-CN"/>
                    </w:rPr>
                  </w:pPr>
                  <w:r>
                    <w:rPr>
                      <w:rFonts w:hint="eastAsia"/>
                      <w:color w:val="auto"/>
                      <w:sz w:val="21"/>
                      <w:szCs w:val="21"/>
                      <w:lang w:val="en-US" w:eastAsia="zh-CN"/>
                    </w:rPr>
                    <w:t>4</w:t>
                  </w:r>
                </w:p>
              </w:tc>
              <w:tc>
                <w:tcPr>
                  <w:tcW w:w="530" w:type="pct"/>
                  <w:tcBorders>
                    <w:tl2br w:val="nil"/>
                    <w:tr2bl w:val="nil"/>
                  </w:tcBorders>
                  <w:vAlign w:val="center"/>
                </w:tcPr>
                <w:p w14:paraId="013882AE">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废旧混凝土</w:t>
                  </w:r>
                </w:p>
              </w:tc>
              <w:tc>
                <w:tcPr>
                  <w:tcW w:w="551" w:type="pct"/>
                  <w:tcBorders>
                    <w:tl2br w:val="nil"/>
                    <w:tr2bl w:val="nil"/>
                  </w:tcBorders>
                  <w:vAlign w:val="center"/>
                </w:tcPr>
                <w:p w14:paraId="24479C20">
                  <w:pPr>
                    <w:pStyle w:val="18"/>
                    <w:spacing w:line="240" w:lineRule="auto"/>
                    <w:jc w:val="center"/>
                    <w:rPr>
                      <w:rFonts w:hint="eastAsia" w:eastAsia="宋体"/>
                      <w:color w:val="auto"/>
                      <w:sz w:val="21"/>
                      <w:szCs w:val="21"/>
                      <w:lang w:val="en-US" w:eastAsia="zh-CN"/>
                    </w:rPr>
                  </w:pPr>
                  <w:r>
                    <w:rPr>
                      <w:rFonts w:hint="eastAsia"/>
                      <w:color w:val="auto"/>
                      <w:sz w:val="21"/>
                      <w:szCs w:val="21"/>
                      <w:lang w:val="en-US" w:eastAsia="zh-CN"/>
                    </w:rPr>
                    <w:t>实验室</w:t>
                  </w:r>
                </w:p>
              </w:tc>
              <w:tc>
                <w:tcPr>
                  <w:tcW w:w="525" w:type="pct"/>
                  <w:tcBorders>
                    <w:tl2br w:val="nil"/>
                    <w:tr2bl w:val="nil"/>
                  </w:tcBorders>
                  <w:vAlign w:val="center"/>
                </w:tcPr>
                <w:p w14:paraId="3680FFE2">
                  <w:pPr>
                    <w:pStyle w:val="18"/>
                    <w:spacing w:line="240" w:lineRule="auto"/>
                    <w:jc w:val="center"/>
                    <w:rPr>
                      <w:rFonts w:hint="eastAsia"/>
                      <w:color w:val="auto"/>
                      <w:sz w:val="21"/>
                      <w:szCs w:val="21"/>
                    </w:rPr>
                  </w:pPr>
                  <w:r>
                    <w:rPr>
                      <w:rFonts w:hint="eastAsia"/>
                      <w:color w:val="auto"/>
                      <w:sz w:val="21"/>
                      <w:szCs w:val="21"/>
                    </w:rPr>
                    <w:t>一般工业固体废物</w:t>
                  </w:r>
                </w:p>
              </w:tc>
              <w:tc>
                <w:tcPr>
                  <w:tcW w:w="479" w:type="pct"/>
                  <w:tcBorders>
                    <w:tl2br w:val="nil"/>
                    <w:tr2bl w:val="nil"/>
                  </w:tcBorders>
                  <w:vAlign w:val="center"/>
                </w:tcPr>
                <w:p w14:paraId="281BD0CF">
                  <w:pPr>
                    <w:pStyle w:val="18"/>
                    <w:spacing w:line="240" w:lineRule="auto"/>
                    <w:jc w:val="center"/>
                    <w:rPr>
                      <w:rFonts w:hint="eastAsia"/>
                      <w:color w:val="auto"/>
                      <w:sz w:val="21"/>
                      <w:szCs w:val="21"/>
                      <w:lang w:val="en-US" w:eastAsia="zh-CN"/>
                    </w:rPr>
                  </w:pPr>
                  <w:r>
                    <w:rPr>
                      <w:rFonts w:hint="eastAsia"/>
                      <w:color w:val="auto"/>
                      <w:sz w:val="21"/>
                      <w:szCs w:val="21"/>
                      <w:lang w:val="en-US" w:eastAsia="zh-CN"/>
                    </w:rPr>
                    <w:t>SW17</w:t>
                  </w:r>
                </w:p>
              </w:tc>
              <w:tc>
                <w:tcPr>
                  <w:tcW w:w="749" w:type="pct"/>
                  <w:tcBorders>
                    <w:tl2br w:val="nil"/>
                    <w:tr2bl w:val="nil"/>
                  </w:tcBorders>
                  <w:vAlign w:val="center"/>
                </w:tcPr>
                <w:p w14:paraId="16435538">
                  <w:pPr>
                    <w:pStyle w:val="18"/>
                    <w:spacing w:line="240" w:lineRule="auto"/>
                    <w:jc w:val="center"/>
                    <w:rPr>
                      <w:rFonts w:hint="eastAsia"/>
                      <w:color w:val="auto"/>
                      <w:sz w:val="21"/>
                      <w:szCs w:val="21"/>
                      <w:lang w:val="en-US" w:eastAsia="zh-CN"/>
                    </w:rPr>
                  </w:pPr>
                  <w:r>
                    <w:rPr>
                      <w:rFonts w:hint="eastAsia"/>
                      <w:color w:val="auto"/>
                      <w:sz w:val="21"/>
                      <w:szCs w:val="21"/>
                      <w:lang w:val="en-US" w:eastAsia="zh-CN"/>
                    </w:rPr>
                    <w:t>900-099-S17</w:t>
                  </w:r>
                </w:p>
              </w:tc>
              <w:tc>
                <w:tcPr>
                  <w:tcW w:w="591" w:type="pct"/>
                  <w:tcBorders>
                    <w:tl2br w:val="nil"/>
                    <w:tr2bl w:val="nil"/>
                  </w:tcBorders>
                  <w:vAlign w:val="center"/>
                </w:tcPr>
                <w:p w14:paraId="1CED3871">
                  <w:pPr>
                    <w:pStyle w:val="18"/>
                    <w:spacing w:line="240" w:lineRule="auto"/>
                    <w:jc w:val="center"/>
                    <w:rPr>
                      <w:rFonts w:hint="default"/>
                      <w:color w:val="auto"/>
                      <w:sz w:val="21"/>
                      <w:szCs w:val="21"/>
                      <w:lang w:val="en-US" w:eastAsia="zh-CN"/>
                    </w:rPr>
                  </w:pPr>
                  <w:r>
                    <w:rPr>
                      <w:rFonts w:hint="eastAsia"/>
                      <w:color w:val="auto"/>
                      <w:sz w:val="21"/>
                      <w:szCs w:val="21"/>
                      <w:lang w:val="en-US" w:eastAsia="zh-CN"/>
                    </w:rPr>
                    <w:t>0.1</w:t>
                  </w:r>
                </w:p>
              </w:tc>
              <w:tc>
                <w:tcPr>
                  <w:tcW w:w="1309" w:type="pct"/>
                  <w:tcBorders>
                    <w:tl2br w:val="nil"/>
                    <w:tr2bl w:val="nil"/>
                  </w:tcBorders>
                  <w:vAlign w:val="center"/>
                </w:tcPr>
                <w:p w14:paraId="5755BDE0">
                  <w:pPr>
                    <w:pStyle w:val="18"/>
                    <w:spacing w:line="240" w:lineRule="auto"/>
                    <w:jc w:val="center"/>
                    <w:rPr>
                      <w:color w:val="auto"/>
                      <w:sz w:val="21"/>
                      <w:szCs w:val="21"/>
                    </w:rPr>
                  </w:pPr>
                </w:p>
              </w:tc>
            </w:tr>
            <w:tr w14:paraId="55C774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794834DE">
                  <w:pPr>
                    <w:pStyle w:val="18"/>
                    <w:spacing w:line="240" w:lineRule="auto"/>
                    <w:jc w:val="center"/>
                    <w:rPr>
                      <w:rFonts w:hint="eastAsia" w:eastAsia="宋体"/>
                      <w:color w:val="auto"/>
                      <w:sz w:val="21"/>
                      <w:szCs w:val="21"/>
                      <w:lang w:val="en-US" w:eastAsia="zh-CN"/>
                    </w:rPr>
                  </w:pPr>
                  <w:r>
                    <w:rPr>
                      <w:rFonts w:hint="eastAsia"/>
                      <w:color w:val="auto"/>
                      <w:sz w:val="21"/>
                      <w:szCs w:val="21"/>
                      <w:lang w:val="en-US" w:eastAsia="zh-CN"/>
                    </w:rPr>
                    <w:t>5</w:t>
                  </w:r>
                </w:p>
              </w:tc>
              <w:tc>
                <w:tcPr>
                  <w:tcW w:w="530" w:type="pct"/>
                  <w:tcBorders>
                    <w:tl2br w:val="nil"/>
                    <w:tr2bl w:val="nil"/>
                  </w:tcBorders>
                  <w:vAlign w:val="center"/>
                </w:tcPr>
                <w:p w14:paraId="4C392263">
                  <w:pPr>
                    <w:pStyle w:val="18"/>
                    <w:spacing w:line="240" w:lineRule="auto"/>
                    <w:jc w:val="center"/>
                    <w:rPr>
                      <w:rFonts w:hint="eastAsia" w:eastAsia="宋体"/>
                      <w:color w:val="auto"/>
                      <w:sz w:val="21"/>
                      <w:szCs w:val="21"/>
                      <w:lang w:val="en-US" w:eastAsia="zh-CN"/>
                    </w:rPr>
                  </w:pPr>
                  <w:r>
                    <w:rPr>
                      <w:rFonts w:hint="eastAsia"/>
                      <w:color w:val="auto"/>
                      <w:sz w:val="21"/>
                      <w:szCs w:val="21"/>
                      <w:lang w:val="en-US" w:eastAsia="zh-CN"/>
                    </w:rPr>
                    <w:t>污泥</w:t>
                  </w:r>
                </w:p>
              </w:tc>
              <w:tc>
                <w:tcPr>
                  <w:tcW w:w="551" w:type="pct"/>
                  <w:tcBorders>
                    <w:tl2br w:val="nil"/>
                    <w:tr2bl w:val="nil"/>
                  </w:tcBorders>
                  <w:vAlign w:val="center"/>
                </w:tcPr>
                <w:p w14:paraId="7E972B49">
                  <w:pPr>
                    <w:pStyle w:val="18"/>
                    <w:spacing w:line="240" w:lineRule="auto"/>
                    <w:jc w:val="center"/>
                    <w:rPr>
                      <w:rFonts w:hint="eastAsia"/>
                      <w:color w:val="auto"/>
                      <w:sz w:val="21"/>
                      <w:szCs w:val="21"/>
                    </w:rPr>
                  </w:pPr>
                  <w:r>
                    <w:rPr>
                      <w:rFonts w:hint="eastAsia"/>
                      <w:color w:val="auto"/>
                      <w:sz w:val="21"/>
                      <w:szCs w:val="21"/>
                      <w:lang w:val="en-US" w:eastAsia="zh-CN"/>
                    </w:rPr>
                    <w:t>一体化污水处理设施</w:t>
                  </w:r>
                </w:p>
              </w:tc>
              <w:tc>
                <w:tcPr>
                  <w:tcW w:w="525" w:type="pct"/>
                  <w:tcBorders>
                    <w:tl2br w:val="nil"/>
                    <w:tr2bl w:val="nil"/>
                  </w:tcBorders>
                  <w:vAlign w:val="center"/>
                </w:tcPr>
                <w:p w14:paraId="0770ABD6">
                  <w:pPr>
                    <w:pStyle w:val="18"/>
                    <w:spacing w:line="240" w:lineRule="auto"/>
                    <w:jc w:val="center"/>
                    <w:rPr>
                      <w:rFonts w:hint="eastAsia"/>
                      <w:color w:val="auto"/>
                      <w:sz w:val="21"/>
                      <w:szCs w:val="21"/>
                    </w:rPr>
                  </w:pPr>
                  <w:r>
                    <w:rPr>
                      <w:rFonts w:hint="eastAsia"/>
                      <w:color w:val="auto"/>
                      <w:sz w:val="21"/>
                      <w:szCs w:val="21"/>
                    </w:rPr>
                    <w:t>一般工业固体废物</w:t>
                  </w:r>
                </w:p>
              </w:tc>
              <w:tc>
                <w:tcPr>
                  <w:tcW w:w="479" w:type="pct"/>
                  <w:tcBorders>
                    <w:tl2br w:val="nil"/>
                    <w:tr2bl w:val="nil"/>
                  </w:tcBorders>
                  <w:vAlign w:val="center"/>
                </w:tcPr>
                <w:p w14:paraId="772AB7A2">
                  <w:pPr>
                    <w:pStyle w:val="18"/>
                    <w:spacing w:line="240" w:lineRule="auto"/>
                    <w:jc w:val="center"/>
                    <w:rPr>
                      <w:rFonts w:hint="default"/>
                      <w:color w:val="auto"/>
                      <w:sz w:val="21"/>
                      <w:szCs w:val="21"/>
                      <w:lang w:val="en-US" w:eastAsia="zh-CN"/>
                    </w:rPr>
                  </w:pPr>
                  <w:r>
                    <w:rPr>
                      <w:rFonts w:hint="eastAsia"/>
                      <w:color w:val="auto"/>
                      <w:sz w:val="21"/>
                      <w:szCs w:val="21"/>
                      <w:lang w:val="en-US" w:eastAsia="zh-CN"/>
                    </w:rPr>
                    <w:t>SW07</w:t>
                  </w:r>
                </w:p>
              </w:tc>
              <w:tc>
                <w:tcPr>
                  <w:tcW w:w="749" w:type="pct"/>
                  <w:tcBorders>
                    <w:tl2br w:val="nil"/>
                    <w:tr2bl w:val="nil"/>
                  </w:tcBorders>
                  <w:vAlign w:val="center"/>
                </w:tcPr>
                <w:p w14:paraId="22F0B6C8">
                  <w:pPr>
                    <w:pStyle w:val="18"/>
                    <w:spacing w:line="240" w:lineRule="auto"/>
                    <w:jc w:val="center"/>
                    <w:rPr>
                      <w:rFonts w:hint="eastAsia"/>
                      <w:color w:val="auto"/>
                      <w:sz w:val="21"/>
                      <w:szCs w:val="21"/>
                    </w:rPr>
                  </w:pPr>
                  <w:r>
                    <w:rPr>
                      <w:rFonts w:hint="eastAsia"/>
                      <w:color w:val="auto"/>
                      <w:sz w:val="21"/>
                      <w:szCs w:val="21"/>
                      <w:lang w:val="en-US" w:eastAsia="zh-CN"/>
                    </w:rPr>
                    <w:t>900-099-S07</w:t>
                  </w:r>
                </w:p>
              </w:tc>
              <w:tc>
                <w:tcPr>
                  <w:tcW w:w="591" w:type="pct"/>
                  <w:tcBorders>
                    <w:tl2br w:val="nil"/>
                    <w:tr2bl w:val="nil"/>
                  </w:tcBorders>
                  <w:vAlign w:val="center"/>
                </w:tcPr>
                <w:p w14:paraId="2086BCB8">
                  <w:pPr>
                    <w:pStyle w:val="18"/>
                    <w:spacing w:line="240" w:lineRule="auto"/>
                    <w:jc w:val="center"/>
                    <w:rPr>
                      <w:rFonts w:hint="default"/>
                      <w:color w:val="auto"/>
                      <w:sz w:val="21"/>
                      <w:szCs w:val="21"/>
                      <w:lang w:val="en-US" w:eastAsia="zh-CN"/>
                    </w:rPr>
                  </w:pPr>
                  <w:r>
                    <w:rPr>
                      <w:rFonts w:hint="eastAsia"/>
                      <w:color w:val="auto"/>
                      <w:sz w:val="21"/>
                      <w:szCs w:val="21"/>
                      <w:lang w:val="en-US" w:eastAsia="zh-CN"/>
                    </w:rPr>
                    <w:t>0.1</w:t>
                  </w:r>
                </w:p>
              </w:tc>
              <w:tc>
                <w:tcPr>
                  <w:tcW w:w="1309" w:type="pct"/>
                  <w:tcBorders>
                    <w:tl2br w:val="nil"/>
                    <w:tr2bl w:val="nil"/>
                  </w:tcBorders>
                  <w:vAlign w:val="center"/>
                </w:tcPr>
                <w:p w14:paraId="67809450">
                  <w:pPr>
                    <w:pStyle w:val="47"/>
                    <w:spacing w:line="240" w:lineRule="auto"/>
                    <w:ind w:left="0" w:leftChars="0" w:firstLine="0" w:firstLineChars="0"/>
                    <w:jc w:val="center"/>
                    <w:rPr>
                      <w:rFonts w:hint="default" w:ascii="Times New Roman" w:hAnsi="Times New Roman" w:eastAsia="宋体" w:cs="Times New Roman"/>
                      <w:snapToGrid/>
                      <w:color w:val="auto"/>
                      <w:kern w:val="2"/>
                      <w:sz w:val="21"/>
                      <w:szCs w:val="21"/>
                      <w:lang w:val="en-US" w:eastAsia="zh-CN" w:bidi="ar-SA"/>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p w14:paraId="0185A6B3">
                  <w:pPr>
                    <w:pStyle w:val="18"/>
                    <w:spacing w:line="240" w:lineRule="auto"/>
                    <w:jc w:val="center"/>
                    <w:rPr>
                      <w:color w:val="auto"/>
                      <w:sz w:val="21"/>
                      <w:szCs w:val="21"/>
                    </w:rPr>
                  </w:pPr>
                </w:p>
              </w:tc>
            </w:tr>
            <w:tr w14:paraId="009082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4D0187D3">
                  <w:pPr>
                    <w:pStyle w:val="18"/>
                    <w:spacing w:line="240" w:lineRule="auto"/>
                    <w:jc w:val="center"/>
                    <w:rPr>
                      <w:rFonts w:hint="eastAsia" w:eastAsia="宋体"/>
                      <w:color w:val="auto"/>
                      <w:sz w:val="21"/>
                      <w:szCs w:val="21"/>
                      <w:lang w:val="en-US" w:eastAsia="zh-CN"/>
                    </w:rPr>
                  </w:pPr>
                  <w:r>
                    <w:rPr>
                      <w:rFonts w:hint="eastAsia"/>
                      <w:color w:val="auto"/>
                      <w:sz w:val="21"/>
                      <w:szCs w:val="21"/>
                      <w:lang w:val="en-US" w:eastAsia="zh-CN"/>
                    </w:rPr>
                    <w:t>6</w:t>
                  </w:r>
                </w:p>
              </w:tc>
              <w:tc>
                <w:tcPr>
                  <w:tcW w:w="530" w:type="pct"/>
                  <w:tcBorders>
                    <w:tl2br w:val="nil"/>
                    <w:tr2bl w:val="nil"/>
                  </w:tcBorders>
                  <w:vAlign w:val="center"/>
                </w:tcPr>
                <w:p w14:paraId="45EAE980">
                  <w:pPr>
                    <w:pStyle w:val="18"/>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生活垃圾</w:t>
                  </w:r>
                </w:p>
              </w:tc>
              <w:tc>
                <w:tcPr>
                  <w:tcW w:w="551" w:type="pct"/>
                  <w:tcBorders>
                    <w:tl2br w:val="nil"/>
                    <w:tr2bl w:val="nil"/>
                  </w:tcBorders>
                  <w:vAlign w:val="center"/>
                </w:tcPr>
                <w:p w14:paraId="4DAE36B8">
                  <w:pPr>
                    <w:pStyle w:val="18"/>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办公生活</w:t>
                  </w:r>
                </w:p>
              </w:tc>
              <w:tc>
                <w:tcPr>
                  <w:tcW w:w="525" w:type="pct"/>
                  <w:tcBorders>
                    <w:tl2br w:val="nil"/>
                    <w:tr2bl w:val="nil"/>
                  </w:tcBorders>
                  <w:vAlign w:val="center"/>
                </w:tcPr>
                <w:p w14:paraId="7D1C4BD2">
                  <w:pPr>
                    <w:pStyle w:val="18"/>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生活垃圾</w:t>
                  </w:r>
                </w:p>
              </w:tc>
              <w:tc>
                <w:tcPr>
                  <w:tcW w:w="479" w:type="pct"/>
                  <w:tcBorders>
                    <w:tl2br w:val="nil"/>
                    <w:tr2bl w:val="nil"/>
                  </w:tcBorders>
                  <w:vAlign w:val="center"/>
                </w:tcPr>
                <w:p w14:paraId="11F3C724">
                  <w:pPr>
                    <w:pStyle w:val="18"/>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SW64</w:t>
                  </w:r>
                </w:p>
              </w:tc>
              <w:tc>
                <w:tcPr>
                  <w:tcW w:w="749" w:type="pct"/>
                  <w:tcBorders>
                    <w:tl2br w:val="nil"/>
                    <w:tr2bl w:val="nil"/>
                  </w:tcBorders>
                  <w:vAlign w:val="center"/>
                </w:tcPr>
                <w:p w14:paraId="4FFDDB4D">
                  <w:pPr>
                    <w:pStyle w:val="18"/>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900-099-S64</w:t>
                  </w:r>
                </w:p>
              </w:tc>
              <w:tc>
                <w:tcPr>
                  <w:tcW w:w="591" w:type="pct"/>
                  <w:tcBorders>
                    <w:tl2br w:val="nil"/>
                    <w:tr2bl w:val="nil"/>
                  </w:tcBorders>
                  <w:vAlign w:val="center"/>
                </w:tcPr>
                <w:p w14:paraId="74C9B77D">
                  <w:pPr>
                    <w:pStyle w:val="18"/>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12.24</w:t>
                  </w:r>
                </w:p>
              </w:tc>
              <w:tc>
                <w:tcPr>
                  <w:tcW w:w="1309" w:type="pct"/>
                  <w:tcBorders>
                    <w:tl2br w:val="nil"/>
                    <w:tr2bl w:val="nil"/>
                  </w:tcBorders>
                  <w:vAlign w:val="center"/>
                </w:tcPr>
                <w:p w14:paraId="4A469216">
                  <w:pPr>
                    <w:pStyle w:val="18"/>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环卫部门定时清运</w:t>
                  </w:r>
                </w:p>
              </w:tc>
            </w:tr>
            <w:tr w14:paraId="26D763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249F8648">
                  <w:pPr>
                    <w:pStyle w:val="18"/>
                    <w:spacing w:line="240" w:lineRule="auto"/>
                    <w:jc w:val="center"/>
                    <w:rPr>
                      <w:rFonts w:hint="default"/>
                      <w:color w:val="auto"/>
                      <w:sz w:val="21"/>
                      <w:szCs w:val="21"/>
                      <w:lang w:val="en-US" w:eastAsia="zh-CN"/>
                    </w:rPr>
                  </w:pPr>
                  <w:r>
                    <w:rPr>
                      <w:rFonts w:hint="eastAsia"/>
                      <w:color w:val="auto"/>
                      <w:sz w:val="21"/>
                      <w:szCs w:val="21"/>
                      <w:lang w:val="en-US" w:eastAsia="zh-CN"/>
                    </w:rPr>
                    <w:t>7</w:t>
                  </w:r>
                </w:p>
              </w:tc>
              <w:tc>
                <w:tcPr>
                  <w:tcW w:w="530" w:type="pct"/>
                  <w:tcBorders>
                    <w:tl2br w:val="nil"/>
                    <w:tr2bl w:val="nil"/>
                  </w:tcBorders>
                  <w:vAlign w:val="center"/>
                </w:tcPr>
                <w:p w14:paraId="16B5F7EA">
                  <w:pPr>
                    <w:pStyle w:val="18"/>
                    <w:spacing w:line="240" w:lineRule="auto"/>
                    <w:jc w:val="center"/>
                    <w:rPr>
                      <w:rFonts w:hint="default" w:eastAsia="宋体"/>
                      <w:color w:val="auto"/>
                      <w:sz w:val="21"/>
                      <w:szCs w:val="21"/>
                      <w:lang w:val="en-US" w:eastAsia="zh-CN"/>
                    </w:rPr>
                  </w:pPr>
                  <w:r>
                    <w:rPr>
                      <w:rFonts w:hint="eastAsia"/>
                      <w:color w:val="auto"/>
                      <w:sz w:val="21"/>
                      <w:szCs w:val="21"/>
                      <w:lang w:val="en-US" w:eastAsia="zh-CN"/>
                    </w:rPr>
                    <w:t>废旧包装材料</w:t>
                  </w:r>
                </w:p>
              </w:tc>
              <w:tc>
                <w:tcPr>
                  <w:tcW w:w="551" w:type="pct"/>
                  <w:tcBorders>
                    <w:tl2br w:val="nil"/>
                    <w:tr2bl w:val="nil"/>
                  </w:tcBorders>
                  <w:vAlign w:val="center"/>
                </w:tcPr>
                <w:p w14:paraId="355EC855">
                  <w:pPr>
                    <w:pStyle w:val="18"/>
                    <w:spacing w:line="240" w:lineRule="auto"/>
                    <w:jc w:val="center"/>
                    <w:rPr>
                      <w:rFonts w:hint="eastAsia"/>
                      <w:color w:val="auto"/>
                      <w:sz w:val="21"/>
                      <w:szCs w:val="21"/>
                      <w:lang w:val="en-US" w:eastAsia="zh-CN"/>
                    </w:rPr>
                  </w:pPr>
                  <w:r>
                    <w:rPr>
                      <w:rFonts w:hint="eastAsia"/>
                      <w:color w:val="auto"/>
                      <w:sz w:val="21"/>
                      <w:szCs w:val="21"/>
                      <w:lang w:val="en-US" w:eastAsia="zh-CN"/>
                    </w:rPr>
                    <w:t>办公生活</w:t>
                  </w:r>
                </w:p>
              </w:tc>
              <w:tc>
                <w:tcPr>
                  <w:tcW w:w="525" w:type="pct"/>
                  <w:tcBorders>
                    <w:tl2br w:val="nil"/>
                    <w:tr2bl w:val="nil"/>
                  </w:tcBorders>
                  <w:vAlign w:val="center"/>
                </w:tcPr>
                <w:p w14:paraId="20E09A9A">
                  <w:pPr>
                    <w:pStyle w:val="18"/>
                    <w:spacing w:line="240" w:lineRule="auto"/>
                    <w:jc w:val="center"/>
                    <w:rPr>
                      <w:rFonts w:hint="eastAsia"/>
                      <w:color w:val="auto"/>
                      <w:sz w:val="21"/>
                      <w:szCs w:val="21"/>
                    </w:rPr>
                  </w:pPr>
                  <w:r>
                    <w:rPr>
                      <w:rFonts w:hint="eastAsia"/>
                      <w:color w:val="auto"/>
                      <w:sz w:val="21"/>
                      <w:szCs w:val="21"/>
                    </w:rPr>
                    <w:t>生活垃圾</w:t>
                  </w:r>
                </w:p>
              </w:tc>
              <w:tc>
                <w:tcPr>
                  <w:tcW w:w="479" w:type="pct"/>
                  <w:tcBorders>
                    <w:tl2br w:val="nil"/>
                    <w:tr2bl w:val="nil"/>
                  </w:tcBorders>
                  <w:vAlign w:val="center"/>
                </w:tcPr>
                <w:p w14:paraId="71063C7A">
                  <w:pPr>
                    <w:pStyle w:val="18"/>
                    <w:spacing w:line="240" w:lineRule="auto"/>
                    <w:jc w:val="center"/>
                    <w:rPr>
                      <w:rFonts w:hint="eastAsia"/>
                      <w:color w:val="auto"/>
                      <w:sz w:val="21"/>
                      <w:szCs w:val="21"/>
                      <w:lang w:val="en-US" w:eastAsia="zh-CN"/>
                    </w:rPr>
                  </w:pPr>
                  <w:r>
                    <w:rPr>
                      <w:rFonts w:hint="eastAsia"/>
                      <w:color w:val="auto"/>
                      <w:sz w:val="21"/>
                      <w:szCs w:val="21"/>
                      <w:lang w:val="en-US" w:eastAsia="zh-CN"/>
                    </w:rPr>
                    <w:t>SW64</w:t>
                  </w:r>
                </w:p>
              </w:tc>
              <w:tc>
                <w:tcPr>
                  <w:tcW w:w="749" w:type="pct"/>
                  <w:tcBorders>
                    <w:tl2br w:val="nil"/>
                    <w:tr2bl w:val="nil"/>
                  </w:tcBorders>
                  <w:vAlign w:val="center"/>
                </w:tcPr>
                <w:p w14:paraId="180B3178">
                  <w:pPr>
                    <w:pStyle w:val="18"/>
                    <w:spacing w:line="240" w:lineRule="auto"/>
                    <w:jc w:val="center"/>
                    <w:rPr>
                      <w:rFonts w:hint="eastAsia"/>
                      <w:color w:val="auto"/>
                      <w:sz w:val="21"/>
                      <w:szCs w:val="21"/>
                      <w:lang w:val="en-US" w:eastAsia="zh-CN"/>
                    </w:rPr>
                  </w:pPr>
                  <w:r>
                    <w:rPr>
                      <w:rFonts w:hint="eastAsia"/>
                      <w:color w:val="auto"/>
                      <w:sz w:val="21"/>
                      <w:szCs w:val="21"/>
                      <w:lang w:val="en-US" w:eastAsia="zh-CN"/>
                    </w:rPr>
                    <w:t>900-099-S64</w:t>
                  </w:r>
                </w:p>
              </w:tc>
              <w:tc>
                <w:tcPr>
                  <w:tcW w:w="591" w:type="pct"/>
                  <w:tcBorders>
                    <w:tl2br w:val="nil"/>
                    <w:tr2bl w:val="nil"/>
                  </w:tcBorders>
                  <w:vAlign w:val="center"/>
                </w:tcPr>
                <w:p w14:paraId="3A3A7FD6">
                  <w:pPr>
                    <w:pStyle w:val="18"/>
                    <w:spacing w:line="240" w:lineRule="auto"/>
                    <w:jc w:val="center"/>
                    <w:rPr>
                      <w:rFonts w:hint="default"/>
                      <w:color w:val="auto"/>
                      <w:sz w:val="21"/>
                      <w:szCs w:val="21"/>
                      <w:lang w:val="en-US" w:eastAsia="zh-CN"/>
                    </w:rPr>
                  </w:pPr>
                  <w:r>
                    <w:rPr>
                      <w:rFonts w:hint="eastAsia"/>
                      <w:color w:val="auto"/>
                      <w:sz w:val="21"/>
                      <w:szCs w:val="21"/>
                      <w:lang w:val="en-US" w:eastAsia="zh-CN"/>
                    </w:rPr>
                    <w:t>0.5</w:t>
                  </w:r>
                </w:p>
              </w:tc>
              <w:tc>
                <w:tcPr>
                  <w:tcW w:w="1309" w:type="pct"/>
                  <w:tcBorders>
                    <w:tl2br w:val="nil"/>
                    <w:tr2bl w:val="nil"/>
                  </w:tcBorders>
                  <w:vAlign w:val="center"/>
                </w:tcPr>
                <w:p w14:paraId="077DAB67">
                  <w:pPr>
                    <w:pStyle w:val="18"/>
                    <w:spacing w:line="240" w:lineRule="auto"/>
                    <w:jc w:val="center"/>
                    <w:rPr>
                      <w:rFonts w:hint="eastAsia"/>
                      <w:color w:val="auto"/>
                      <w:sz w:val="21"/>
                      <w:szCs w:val="21"/>
                    </w:rPr>
                  </w:pPr>
                  <w:r>
                    <w:rPr>
                      <w:rFonts w:hint="eastAsia"/>
                      <w:color w:val="auto"/>
                      <w:sz w:val="21"/>
                      <w:szCs w:val="21"/>
                    </w:rPr>
                    <w:t>环卫部门定时清运</w:t>
                  </w:r>
                </w:p>
              </w:tc>
            </w:tr>
            <w:tr w14:paraId="2CBF0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tcBorders>
                    <w:tl2br w:val="nil"/>
                    <w:tr2bl w:val="nil"/>
                  </w:tcBorders>
                  <w:vAlign w:val="center"/>
                </w:tcPr>
                <w:p w14:paraId="69DEE31E">
                  <w:pPr>
                    <w:pStyle w:val="18"/>
                    <w:spacing w:line="240" w:lineRule="auto"/>
                    <w:jc w:val="center"/>
                    <w:rPr>
                      <w:rFonts w:hint="eastAsia" w:eastAsia="宋体"/>
                      <w:color w:val="auto"/>
                      <w:sz w:val="21"/>
                      <w:szCs w:val="21"/>
                      <w:lang w:eastAsia="zh-CN"/>
                    </w:rPr>
                  </w:pPr>
                  <w:r>
                    <w:rPr>
                      <w:rFonts w:hint="eastAsia"/>
                      <w:color w:val="auto"/>
                      <w:sz w:val="21"/>
                      <w:szCs w:val="21"/>
                      <w:lang w:val="en-US" w:eastAsia="zh-CN"/>
                    </w:rPr>
                    <w:t>8</w:t>
                  </w:r>
                </w:p>
              </w:tc>
              <w:tc>
                <w:tcPr>
                  <w:tcW w:w="530" w:type="pct"/>
                  <w:tcBorders>
                    <w:tl2br w:val="nil"/>
                    <w:tr2bl w:val="nil"/>
                  </w:tcBorders>
                  <w:vAlign w:val="center"/>
                </w:tcPr>
                <w:p w14:paraId="0CD57198">
                  <w:pPr>
                    <w:pStyle w:val="18"/>
                    <w:spacing w:line="240" w:lineRule="auto"/>
                    <w:jc w:val="center"/>
                    <w:rPr>
                      <w:color w:val="auto"/>
                      <w:sz w:val="21"/>
                      <w:szCs w:val="21"/>
                    </w:rPr>
                  </w:pPr>
                  <w:r>
                    <w:rPr>
                      <w:rFonts w:hint="eastAsia"/>
                      <w:color w:val="auto"/>
                      <w:sz w:val="21"/>
                      <w:szCs w:val="21"/>
                    </w:rPr>
                    <w:t>废机油</w:t>
                  </w:r>
                </w:p>
              </w:tc>
              <w:tc>
                <w:tcPr>
                  <w:tcW w:w="551" w:type="pct"/>
                  <w:tcBorders>
                    <w:tl2br w:val="nil"/>
                    <w:tr2bl w:val="nil"/>
                  </w:tcBorders>
                  <w:vAlign w:val="center"/>
                </w:tcPr>
                <w:p w14:paraId="7B9AE5EC">
                  <w:pPr>
                    <w:pStyle w:val="18"/>
                    <w:spacing w:line="240" w:lineRule="auto"/>
                    <w:jc w:val="center"/>
                    <w:rPr>
                      <w:color w:val="auto"/>
                      <w:sz w:val="21"/>
                      <w:szCs w:val="21"/>
                    </w:rPr>
                  </w:pPr>
                  <w:r>
                    <w:rPr>
                      <w:rFonts w:hint="eastAsia"/>
                      <w:color w:val="auto"/>
                      <w:sz w:val="21"/>
                      <w:szCs w:val="21"/>
                    </w:rPr>
                    <w:t>设备保养维护</w:t>
                  </w:r>
                </w:p>
              </w:tc>
              <w:tc>
                <w:tcPr>
                  <w:tcW w:w="525" w:type="pct"/>
                  <w:tcBorders>
                    <w:tl2br w:val="nil"/>
                    <w:tr2bl w:val="nil"/>
                  </w:tcBorders>
                  <w:vAlign w:val="center"/>
                </w:tcPr>
                <w:p w14:paraId="179D4DAA">
                  <w:pPr>
                    <w:pStyle w:val="18"/>
                    <w:spacing w:line="240" w:lineRule="auto"/>
                    <w:jc w:val="center"/>
                    <w:rPr>
                      <w:color w:val="auto"/>
                      <w:sz w:val="21"/>
                      <w:szCs w:val="21"/>
                    </w:rPr>
                  </w:pPr>
                  <w:r>
                    <w:rPr>
                      <w:rFonts w:hint="eastAsia"/>
                      <w:color w:val="auto"/>
                      <w:sz w:val="21"/>
                      <w:szCs w:val="21"/>
                    </w:rPr>
                    <w:t>危险废物</w:t>
                  </w:r>
                </w:p>
              </w:tc>
              <w:tc>
                <w:tcPr>
                  <w:tcW w:w="479" w:type="pct"/>
                  <w:tcBorders>
                    <w:tl2br w:val="nil"/>
                    <w:tr2bl w:val="nil"/>
                  </w:tcBorders>
                  <w:vAlign w:val="center"/>
                </w:tcPr>
                <w:p w14:paraId="7867C28E">
                  <w:pPr>
                    <w:pStyle w:val="18"/>
                    <w:spacing w:line="240" w:lineRule="auto"/>
                    <w:jc w:val="center"/>
                    <w:rPr>
                      <w:color w:val="auto"/>
                      <w:sz w:val="21"/>
                      <w:szCs w:val="21"/>
                    </w:rPr>
                  </w:pPr>
                  <w:r>
                    <w:rPr>
                      <w:rFonts w:hint="eastAsia"/>
                      <w:color w:val="auto"/>
                      <w:sz w:val="21"/>
                      <w:szCs w:val="21"/>
                    </w:rPr>
                    <w:t>HW08</w:t>
                  </w:r>
                </w:p>
              </w:tc>
              <w:tc>
                <w:tcPr>
                  <w:tcW w:w="749" w:type="pct"/>
                  <w:tcBorders>
                    <w:tl2br w:val="nil"/>
                    <w:tr2bl w:val="nil"/>
                  </w:tcBorders>
                  <w:vAlign w:val="center"/>
                </w:tcPr>
                <w:p w14:paraId="75FEA8B2">
                  <w:pPr>
                    <w:pStyle w:val="18"/>
                    <w:spacing w:line="240" w:lineRule="auto"/>
                    <w:jc w:val="center"/>
                    <w:rPr>
                      <w:color w:val="auto"/>
                      <w:sz w:val="21"/>
                      <w:szCs w:val="21"/>
                    </w:rPr>
                  </w:pPr>
                  <w:r>
                    <w:rPr>
                      <w:rFonts w:hint="eastAsia"/>
                      <w:color w:val="auto"/>
                      <w:sz w:val="21"/>
                      <w:szCs w:val="21"/>
                    </w:rPr>
                    <w:t>900-21</w:t>
                  </w:r>
                  <w:r>
                    <w:rPr>
                      <w:rFonts w:hint="eastAsia"/>
                      <w:color w:val="auto"/>
                      <w:sz w:val="21"/>
                      <w:szCs w:val="21"/>
                      <w:lang w:val="en-US" w:eastAsia="zh-CN"/>
                    </w:rPr>
                    <w:t>4</w:t>
                  </w:r>
                  <w:r>
                    <w:rPr>
                      <w:rFonts w:hint="eastAsia"/>
                      <w:color w:val="auto"/>
                      <w:sz w:val="21"/>
                      <w:szCs w:val="21"/>
                    </w:rPr>
                    <w:t>-08</w:t>
                  </w:r>
                </w:p>
              </w:tc>
              <w:tc>
                <w:tcPr>
                  <w:tcW w:w="591" w:type="pct"/>
                  <w:tcBorders>
                    <w:tl2br w:val="nil"/>
                    <w:tr2bl w:val="nil"/>
                  </w:tcBorders>
                  <w:vAlign w:val="center"/>
                </w:tcPr>
                <w:p w14:paraId="5BE0CB07">
                  <w:pPr>
                    <w:pStyle w:val="18"/>
                    <w:spacing w:line="240" w:lineRule="auto"/>
                    <w:jc w:val="center"/>
                    <w:rPr>
                      <w:rFonts w:hint="eastAsia" w:eastAsia="宋体"/>
                      <w:color w:val="auto"/>
                      <w:sz w:val="21"/>
                      <w:szCs w:val="21"/>
                      <w:lang w:eastAsia="zh-CN"/>
                    </w:rPr>
                  </w:pPr>
                  <w:r>
                    <w:rPr>
                      <w:rFonts w:hint="eastAsia"/>
                      <w:color w:val="auto"/>
                      <w:sz w:val="21"/>
                      <w:szCs w:val="21"/>
                    </w:rPr>
                    <w:t>0.</w:t>
                  </w:r>
                  <w:r>
                    <w:rPr>
                      <w:rFonts w:hint="eastAsia"/>
                      <w:color w:val="auto"/>
                      <w:sz w:val="21"/>
                      <w:szCs w:val="21"/>
                      <w:lang w:val="en-US" w:eastAsia="zh-CN"/>
                    </w:rPr>
                    <w:t>1</w:t>
                  </w:r>
                </w:p>
              </w:tc>
              <w:tc>
                <w:tcPr>
                  <w:tcW w:w="1309" w:type="pct"/>
                  <w:tcBorders>
                    <w:tl2br w:val="nil"/>
                    <w:tr2bl w:val="nil"/>
                  </w:tcBorders>
                  <w:vAlign w:val="center"/>
                </w:tcPr>
                <w:p w14:paraId="29A6F84B">
                  <w:pPr>
                    <w:pStyle w:val="18"/>
                    <w:spacing w:line="240" w:lineRule="auto"/>
                    <w:jc w:val="center"/>
                    <w:rPr>
                      <w:color w:val="auto"/>
                      <w:sz w:val="21"/>
                      <w:szCs w:val="21"/>
                    </w:rPr>
                  </w:pPr>
                  <w:r>
                    <w:rPr>
                      <w:rFonts w:hint="eastAsia"/>
                      <w:color w:val="auto"/>
                      <w:sz w:val="21"/>
                      <w:szCs w:val="21"/>
                    </w:rPr>
                    <w:t>危废暂存间暂存，</w:t>
                  </w:r>
                  <w:r>
                    <w:rPr>
                      <w:rFonts w:hint="eastAsia"/>
                      <w:color w:val="auto"/>
                      <w:sz w:val="21"/>
                      <w:szCs w:val="21"/>
                      <w:lang w:val="en-US" w:eastAsia="zh-CN"/>
                    </w:rPr>
                    <w:t>用于厂内输送设备润滑，剩余废机油</w:t>
                  </w:r>
                  <w:r>
                    <w:rPr>
                      <w:rFonts w:hint="eastAsia"/>
                      <w:color w:val="auto"/>
                      <w:sz w:val="21"/>
                      <w:szCs w:val="21"/>
                    </w:rPr>
                    <w:t>委托有资质的单位处置</w:t>
                  </w:r>
                </w:p>
              </w:tc>
            </w:tr>
          </w:tbl>
          <w:p w14:paraId="179A0F8C">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color w:val="auto"/>
                <w:sz w:val="24"/>
              </w:rPr>
            </w:pPr>
            <w:r>
              <w:rPr>
                <w:rFonts w:hint="eastAsia" w:ascii="Times New Roman" w:hAnsi="Times New Roman" w:eastAsia="宋体" w:cs="Times New Roman"/>
                <w:color w:val="auto"/>
                <w:kern w:val="0"/>
                <w:sz w:val="24"/>
                <w:szCs w:val="24"/>
                <w:lang w:val="en-US" w:eastAsia="zh-CN" w:bidi="ar-SA"/>
              </w:rPr>
              <w:t>本项目危险汇总表见表4-1</w:t>
            </w:r>
            <w:r>
              <w:rPr>
                <w:rFonts w:hint="eastAsia" w:cs="Times New Roman"/>
                <w:color w:val="auto"/>
                <w:kern w:val="0"/>
                <w:sz w:val="24"/>
                <w:szCs w:val="24"/>
                <w:lang w:val="en-US" w:eastAsia="zh-CN" w:bidi="ar-SA"/>
              </w:rPr>
              <w:t>2</w:t>
            </w:r>
            <w:r>
              <w:rPr>
                <w:rFonts w:hint="eastAsia" w:ascii="Times New Roman" w:hAnsi="Times New Roman" w:eastAsia="宋体" w:cs="Times New Roman"/>
                <w:color w:val="auto"/>
                <w:kern w:val="0"/>
                <w:sz w:val="24"/>
                <w:szCs w:val="24"/>
                <w:lang w:val="en-US" w:eastAsia="zh-CN" w:bidi="ar-SA"/>
              </w:rPr>
              <w:t>。</w:t>
            </w:r>
          </w:p>
          <w:p w14:paraId="3BCF08FC">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表4-1</w:t>
            </w:r>
            <w:r>
              <w:rPr>
                <w:rFonts w:hint="eastAsia" w:cs="Times New Roman"/>
                <w:color w:val="auto"/>
                <w:lang w:val="en-US" w:eastAsia="zh-CN"/>
              </w:rPr>
              <w:t>2</w:t>
            </w:r>
            <w:r>
              <w:rPr>
                <w:rFonts w:hint="eastAsia" w:ascii="Times New Roman" w:hAnsi="Times New Roman" w:eastAsia="宋体" w:cs="Times New Roman"/>
                <w:color w:val="auto"/>
              </w:rPr>
              <w:t xml:space="preserve">    危险废物汇总表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412"/>
              <w:gridCol w:w="749"/>
              <w:gridCol w:w="803"/>
              <w:gridCol w:w="1213"/>
              <w:gridCol w:w="705"/>
              <w:gridCol w:w="708"/>
              <w:gridCol w:w="735"/>
              <w:gridCol w:w="672"/>
              <w:gridCol w:w="671"/>
              <w:gridCol w:w="1278"/>
            </w:tblGrid>
            <w:tr w14:paraId="2B98AB01">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14:paraId="28704B3C">
                  <w:pPr>
                    <w:pStyle w:val="18"/>
                    <w:spacing w:line="240" w:lineRule="auto"/>
                    <w:jc w:val="center"/>
                    <w:rPr>
                      <w:b/>
                      <w:bCs/>
                      <w:color w:val="auto"/>
                      <w:sz w:val="21"/>
                      <w:szCs w:val="21"/>
                    </w:rPr>
                  </w:pPr>
                  <w:r>
                    <w:rPr>
                      <w:rFonts w:hint="eastAsia"/>
                      <w:b/>
                      <w:bCs/>
                      <w:color w:val="auto"/>
                      <w:sz w:val="21"/>
                      <w:szCs w:val="21"/>
                    </w:rPr>
                    <w:t>序号</w:t>
                  </w:r>
                </w:p>
              </w:tc>
              <w:tc>
                <w:tcPr>
                  <w:tcW w:w="471" w:type="pct"/>
                  <w:tcBorders>
                    <w:tl2br w:val="nil"/>
                    <w:tr2bl w:val="nil"/>
                  </w:tcBorders>
                  <w:vAlign w:val="center"/>
                </w:tcPr>
                <w:p w14:paraId="26838A62">
                  <w:pPr>
                    <w:pStyle w:val="18"/>
                    <w:spacing w:line="240" w:lineRule="auto"/>
                    <w:jc w:val="center"/>
                    <w:rPr>
                      <w:b/>
                      <w:bCs/>
                      <w:color w:val="auto"/>
                      <w:sz w:val="21"/>
                      <w:szCs w:val="21"/>
                    </w:rPr>
                  </w:pPr>
                  <w:r>
                    <w:rPr>
                      <w:b/>
                      <w:bCs/>
                      <w:color w:val="auto"/>
                      <w:sz w:val="21"/>
                      <w:szCs w:val="21"/>
                    </w:rPr>
                    <w:t>危险废物名称</w:t>
                  </w:r>
                </w:p>
              </w:tc>
              <w:tc>
                <w:tcPr>
                  <w:tcW w:w="505" w:type="pct"/>
                  <w:tcBorders>
                    <w:tl2br w:val="nil"/>
                    <w:tr2bl w:val="nil"/>
                  </w:tcBorders>
                  <w:vAlign w:val="center"/>
                </w:tcPr>
                <w:p w14:paraId="74D5CF79">
                  <w:pPr>
                    <w:pStyle w:val="18"/>
                    <w:spacing w:line="240" w:lineRule="auto"/>
                    <w:jc w:val="center"/>
                    <w:rPr>
                      <w:b/>
                      <w:bCs/>
                      <w:color w:val="auto"/>
                      <w:sz w:val="21"/>
                      <w:szCs w:val="21"/>
                    </w:rPr>
                  </w:pPr>
                  <w:r>
                    <w:rPr>
                      <w:b/>
                      <w:bCs/>
                      <w:color w:val="auto"/>
                      <w:sz w:val="21"/>
                      <w:szCs w:val="21"/>
                    </w:rPr>
                    <w:t>危险废物类别</w:t>
                  </w:r>
                </w:p>
              </w:tc>
              <w:tc>
                <w:tcPr>
                  <w:tcW w:w="763" w:type="pct"/>
                  <w:tcBorders>
                    <w:tl2br w:val="nil"/>
                    <w:tr2bl w:val="nil"/>
                  </w:tcBorders>
                  <w:vAlign w:val="center"/>
                </w:tcPr>
                <w:p w14:paraId="4934066D">
                  <w:pPr>
                    <w:pStyle w:val="18"/>
                    <w:spacing w:line="240" w:lineRule="auto"/>
                    <w:jc w:val="center"/>
                    <w:rPr>
                      <w:b/>
                      <w:bCs/>
                      <w:color w:val="auto"/>
                      <w:sz w:val="21"/>
                      <w:szCs w:val="21"/>
                    </w:rPr>
                  </w:pPr>
                  <w:r>
                    <w:rPr>
                      <w:b/>
                      <w:bCs/>
                      <w:color w:val="auto"/>
                      <w:sz w:val="21"/>
                      <w:szCs w:val="21"/>
                    </w:rPr>
                    <w:t>危险废物代码</w:t>
                  </w:r>
                </w:p>
              </w:tc>
              <w:tc>
                <w:tcPr>
                  <w:tcW w:w="443" w:type="pct"/>
                  <w:tcBorders>
                    <w:tl2br w:val="nil"/>
                    <w:tr2bl w:val="nil"/>
                  </w:tcBorders>
                  <w:vAlign w:val="center"/>
                </w:tcPr>
                <w:p w14:paraId="0595CBF0">
                  <w:pPr>
                    <w:pStyle w:val="18"/>
                    <w:spacing w:line="240" w:lineRule="auto"/>
                    <w:jc w:val="center"/>
                    <w:rPr>
                      <w:b/>
                      <w:bCs/>
                      <w:color w:val="auto"/>
                      <w:sz w:val="21"/>
                      <w:szCs w:val="21"/>
                    </w:rPr>
                  </w:pPr>
                  <w:r>
                    <w:rPr>
                      <w:b/>
                      <w:bCs/>
                      <w:color w:val="auto"/>
                      <w:sz w:val="21"/>
                      <w:szCs w:val="21"/>
                    </w:rPr>
                    <w:t>产生量</w:t>
                  </w:r>
                </w:p>
                <w:p w14:paraId="7F6DF8A1">
                  <w:pPr>
                    <w:pStyle w:val="18"/>
                    <w:spacing w:line="240" w:lineRule="auto"/>
                    <w:jc w:val="center"/>
                    <w:rPr>
                      <w:b/>
                      <w:bCs/>
                      <w:color w:val="auto"/>
                      <w:sz w:val="21"/>
                      <w:szCs w:val="21"/>
                    </w:rPr>
                  </w:pPr>
                  <w:r>
                    <w:rPr>
                      <w:rFonts w:hint="eastAsia"/>
                      <w:b/>
                      <w:bCs/>
                      <w:color w:val="auto"/>
                      <w:sz w:val="21"/>
                      <w:szCs w:val="21"/>
                    </w:rPr>
                    <w:t>t/a</w:t>
                  </w:r>
                </w:p>
              </w:tc>
              <w:tc>
                <w:tcPr>
                  <w:tcW w:w="445" w:type="pct"/>
                  <w:tcBorders>
                    <w:tl2br w:val="nil"/>
                    <w:tr2bl w:val="nil"/>
                  </w:tcBorders>
                  <w:vAlign w:val="center"/>
                </w:tcPr>
                <w:p w14:paraId="54E1CB34">
                  <w:pPr>
                    <w:pStyle w:val="18"/>
                    <w:spacing w:line="240" w:lineRule="auto"/>
                    <w:jc w:val="center"/>
                    <w:rPr>
                      <w:b/>
                      <w:bCs/>
                      <w:color w:val="auto"/>
                      <w:sz w:val="21"/>
                      <w:szCs w:val="21"/>
                    </w:rPr>
                  </w:pPr>
                  <w:r>
                    <w:rPr>
                      <w:b/>
                      <w:bCs/>
                      <w:color w:val="auto"/>
                      <w:sz w:val="21"/>
                      <w:szCs w:val="21"/>
                    </w:rPr>
                    <w:t>产生工序及装置</w:t>
                  </w:r>
                </w:p>
              </w:tc>
              <w:tc>
                <w:tcPr>
                  <w:tcW w:w="462" w:type="pct"/>
                  <w:tcBorders>
                    <w:tl2br w:val="nil"/>
                    <w:tr2bl w:val="nil"/>
                  </w:tcBorders>
                  <w:vAlign w:val="center"/>
                </w:tcPr>
                <w:p w14:paraId="3A522072">
                  <w:pPr>
                    <w:pStyle w:val="18"/>
                    <w:spacing w:line="240" w:lineRule="auto"/>
                    <w:jc w:val="center"/>
                    <w:rPr>
                      <w:b/>
                      <w:bCs/>
                      <w:color w:val="auto"/>
                      <w:sz w:val="21"/>
                      <w:szCs w:val="21"/>
                    </w:rPr>
                  </w:pPr>
                  <w:r>
                    <w:rPr>
                      <w:b/>
                      <w:bCs/>
                      <w:color w:val="auto"/>
                      <w:sz w:val="21"/>
                      <w:szCs w:val="21"/>
                    </w:rPr>
                    <w:t>有害成分</w:t>
                  </w:r>
                </w:p>
              </w:tc>
              <w:tc>
                <w:tcPr>
                  <w:tcW w:w="422" w:type="pct"/>
                  <w:tcBorders>
                    <w:tl2br w:val="nil"/>
                    <w:tr2bl w:val="nil"/>
                  </w:tcBorders>
                  <w:vAlign w:val="center"/>
                </w:tcPr>
                <w:p w14:paraId="55E10542">
                  <w:pPr>
                    <w:pStyle w:val="18"/>
                    <w:spacing w:line="240" w:lineRule="auto"/>
                    <w:jc w:val="center"/>
                    <w:rPr>
                      <w:b/>
                      <w:bCs/>
                      <w:color w:val="auto"/>
                      <w:sz w:val="21"/>
                      <w:szCs w:val="21"/>
                    </w:rPr>
                  </w:pPr>
                  <w:r>
                    <w:rPr>
                      <w:b/>
                      <w:bCs/>
                      <w:color w:val="auto"/>
                      <w:sz w:val="21"/>
                      <w:szCs w:val="21"/>
                    </w:rPr>
                    <w:t>产废周期</w:t>
                  </w:r>
                </w:p>
              </w:tc>
              <w:tc>
                <w:tcPr>
                  <w:tcW w:w="422" w:type="pct"/>
                  <w:tcBorders>
                    <w:tl2br w:val="nil"/>
                    <w:tr2bl w:val="nil"/>
                  </w:tcBorders>
                  <w:vAlign w:val="center"/>
                </w:tcPr>
                <w:p w14:paraId="459D01C5">
                  <w:pPr>
                    <w:pStyle w:val="18"/>
                    <w:spacing w:line="240" w:lineRule="auto"/>
                    <w:jc w:val="center"/>
                    <w:rPr>
                      <w:b/>
                      <w:bCs/>
                      <w:color w:val="auto"/>
                      <w:sz w:val="21"/>
                      <w:szCs w:val="21"/>
                    </w:rPr>
                  </w:pPr>
                  <w:r>
                    <w:rPr>
                      <w:b/>
                      <w:bCs/>
                      <w:color w:val="auto"/>
                      <w:sz w:val="21"/>
                      <w:szCs w:val="21"/>
                    </w:rPr>
                    <w:t>危险特性</w:t>
                  </w:r>
                </w:p>
              </w:tc>
              <w:tc>
                <w:tcPr>
                  <w:tcW w:w="804" w:type="pct"/>
                  <w:tcBorders>
                    <w:tl2br w:val="nil"/>
                    <w:tr2bl w:val="nil"/>
                  </w:tcBorders>
                  <w:vAlign w:val="center"/>
                </w:tcPr>
                <w:p w14:paraId="7E01FD1D">
                  <w:pPr>
                    <w:pStyle w:val="18"/>
                    <w:spacing w:line="240" w:lineRule="auto"/>
                    <w:jc w:val="center"/>
                    <w:rPr>
                      <w:b/>
                      <w:bCs/>
                      <w:color w:val="auto"/>
                      <w:sz w:val="21"/>
                      <w:szCs w:val="21"/>
                    </w:rPr>
                  </w:pPr>
                  <w:r>
                    <w:rPr>
                      <w:b/>
                      <w:bCs/>
                      <w:color w:val="auto"/>
                      <w:sz w:val="21"/>
                      <w:szCs w:val="21"/>
                    </w:rPr>
                    <w:t>污染防治措施</w:t>
                  </w:r>
                </w:p>
              </w:tc>
            </w:tr>
            <w:tr w14:paraId="76C2E5B4">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14:paraId="5C5732AB">
                  <w:pPr>
                    <w:pStyle w:val="18"/>
                    <w:spacing w:line="240" w:lineRule="auto"/>
                    <w:jc w:val="center"/>
                    <w:rPr>
                      <w:color w:val="auto"/>
                      <w:sz w:val="21"/>
                      <w:szCs w:val="21"/>
                    </w:rPr>
                  </w:pPr>
                  <w:r>
                    <w:rPr>
                      <w:rFonts w:hint="eastAsia"/>
                      <w:color w:val="auto"/>
                      <w:sz w:val="21"/>
                      <w:szCs w:val="21"/>
                    </w:rPr>
                    <w:t>1</w:t>
                  </w:r>
                </w:p>
              </w:tc>
              <w:tc>
                <w:tcPr>
                  <w:tcW w:w="471" w:type="pct"/>
                  <w:tcBorders>
                    <w:tl2br w:val="nil"/>
                    <w:tr2bl w:val="nil"/>
                  </w:tcBorders>
                  <w:vAlign w:val="center"/>
                </w:tcPr>
                <w:p w14:paraId="1FA453DF">
                  <w:pPr>
                    <w:pStyle w:val="18"/>
                    <w:spacing w:line="240" w:lineRule="auto"/>
                    <w:jc w:val="center"/>
                    <w:rPr>
                      <w:color w:val="auto"/>
                      <w:sz w:val="21"/>
                      <w:szCs w:val="21"/>
                    </w:rPr>
                  </w:pPr>
                  <w:r>
                    <w:rPr>
                      <w:rFonts w:hint="eastAsia"/>
                      <w:color w:val="auto"/>
                      <w:sz w:val="21"/>
                      <w:szCs w:val="21"/>
                    </w:rPr>
                    <w:t>废机油</w:t>
                  </w:r>
                </w:p>
              </w:tc>
              <w:tc>
                <w:tcPr>
                  <w:tcW w:w="505" w:type="pct"/>
                  <w:tcBorders>
                    <w:tl2br w:val="nil"/>
                    <w:tr2bl w:val="nil"/>
                  </w:tcBorders>
                  <w:vAlign w:val="center"/>
                </w:tcPr>
                <w:p w14:paraId="2C3BA369">
                  <w:pPr>
                    <w:pStyle w:val="18"/>
                    <w:spacing w:line="240" w:lineRule="auto"/>
                    <w:jc w:val="center"/>
                    <w:rPr>
                      <w:color w:val="auto"/>
                      <w:sz w:val="21"/>
                      <w:szCs w:val="21"/>
                    </w:rPr>
                  </w:pPr>
                  <w:r>
                    <w:rPr>
                      <w:rFonts w:hint="eastAsia"/>
                      <w:color w:val="auto"/>
                      <w:sz w:val="21"/>
                      <w:szCs w:val="21"/>
                    </w:rPr>
                    <w:t>HW08</w:t>
                  </w:r>
                </w:p>
              </w:tc>
              <w:tc>
                <w:tcPr>
                  <w:tcW w:w="763" w:type="pct"/>
                  <w:tcBorders>
                    <w:tl2br w:val="nil"/>
                    <w:tr2bl w:val="nil"/>
                  </w:tcBorders>
                  <w:vAlign w:val="center"/>
                </w:tcPr>
                <w:p w14:paraId="794A5CA8">
                  <w:pPr>
                    <w:pStyle w:val="18"/>
                    <w:spacing w:line="240" w:lineRule="auto"/>
                    <w:jc w:val="center"/>
                    <w:rPr>
                      <w:color w:val="auto"/>
                      <w:sz w:val="21"/>
                      <w:szCs w:val="21"/>
                    </w:rPr>
                  </w:pPr>
                  <w:r>
                    <w:rPr>
                      <w:rFonts w:hint="eastAsia"/>
                      <w:color w:val="auto"/>
                      <w:sz w:val="21"/>
                      <w:szCs w:val="21"/>
                    </w:rPr>
                    <w:t>900-21</w:t>
                  </w:r>
                  <w:r>
                    <w:rPr>
                      <w:rFonts w:hint="eastAsia"/>
                      <w:color w:val="auto"/>
                      <w:sz w:val="21"/>
                      <w:szCs w:val="21"/>
                      <w:lang w:val="en-US" w:eastAsia="zh-CN"/>
                    </w:rPr>
                    <w:t>4</w:t>
                  </w:r>
                  <w:r>
                    <w:rPr>
                      <w:rFonts w:hint="eastAsia"/>
                      <w:color w:val="auto"/>
                      <w:sz w:val="21"/>
                      <w:szCs w:val="21"/>
                    </w:rPr>
                    <w:t>-08</w:t>
                  </w:r>
                </w:p>
              </w:tc>
              <w:tc>
                <w:tcPr>
                  <w:tcW w:w="443" w:type="pct"/>
                  <w:tcBorders>
                    <w:tl2br w:val="nil"/>
                    <w:tr2bl w:val="nil"/>
                  </w:tcBorders>
                  <w:vAlign w:val="center"/>
                </w:tcPr>
                <w:p w14:paraId="2694C620">
                  <w:pPr>
                    <w:pStyle w:val="18"/>
                    <w:spacing w:line="240" w:lineRule="auto"/>
                    <w:jc w:val="center"/>
                    <w:rPr>
                      <w:rFonts w:hint="eastAsia"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w:t>
                  </w:r>
                </w:p>
              </w:tc>
              <w:tc>
                <w:tcPr>
                  <w:tcW w:w="445" w:type="pct"/>
                  <w:tcBorders>
                    <w:tl2br w:val="nil"/>
                    <w:tr2bl w:val="nil"/>
                  </w:tcBorders>
                  <w:vAlign w:val="center"/>
                </w:tcPr>
                <w:p w14:paraId="36F1EB14">
                  <w:pPr>
                    <w:pStyle w:val="18"/>
                    <w:spacing w:line="240" w:lineRule="auto"/>
                    <w:jc w:val="center"/>
                    <w:rPr>
                      <w:color w:val="auto"/>
                      <w:sz w:val="21"/>
                      <w:szCs w:val="21"/>
                    </w:rPr>
                  </w:pPr>
                  <w:r>
                    <w:rPr>
                      <w:rFonts w:hint="eastAsia"/>
                      <w:color w:val="auto"/>
                      <w:sz w:val="21"/>
                      <w:szCs w:val="21"/>
                    </w:rPr>
                    <w:t>维修保养</w:t>
                  </w:r>
                </w:p>
              </w:tc>
              <w:tc>
                <w:tcPr>
                  <w:tcW w:w="462" w:type="pct"/>
                  <w:tcBorders>
                    <w:tl2br w:val="nil"/>
                    <w:tr2bl w:val="nil"/>
                  </w:tcBorders>
                  <w:vAlign w:val="center"/>
                </w:tcPr>
                <w:p w14:paraId="47134BBB">
                  <w:pPr>
                    <w:pStyle w:val="18"/>
                    <w:spacing w:line="240" w:lineRule="auto"/>
                    <w:jc w:val="center"/>
                    <w:rPr>
                      <w:color w:val="auto"/>
                      <w:sz w:val="21"/>
                      <w:szCs w:val="21"/>
                    </w:rPr>
                  </w:pPr>
                  <w:r>
                    <w:rPr>
                      <w:color w:val="auto"/>
                      <w:sz w:val="21"/>
                      <w:szCs w:val="21"/>
                    </w:rPr>
                    <w:t>废矿物油</w:t>
                  </w:r>
                </w:p>
              </w:tc>
              <w:tc>
                <w:tcPr>
                  <w:tcW w:w="422" w:type="pct"/>
                  <w:tcBorders>
                    <w:tl2br w:val="nil"/>
                    <w:tr2bl w:val="nil"/>
                  </w:tcBorders>
                  <w:vAlign w:val="center"/>
                </w:tcPr>
                <w:p w14:paraId="2299B859">
                  <w:pPr>
                    <w:pStyle w:val="18"/>
                    <w:spacing w:line="240" w:lineRule="auto"/>
                    <w:jc w:val="center"/>
                    <w:rPr>
                      <w:color w:val="auto"/>
                      <w:sz w:val="21"/>
                      <w:szCs w:val="21"/>
                    </w:rPr>
                  </w:pPr>
                  <w:r>
                    <w:rPr>
                      <w:rFonts w:hint="eastAsia"/>
                      <w:color w:val="auto"/>
                      <w:sz w:val="21"/>
                      <w:szCs w:val="21"/>
                    </w:rPr>
                    <w:t>1年</w:t>
                  </w:r>
                </w:p>
              </w:tc>
              <w:tc>
                <w:tcPr>
                  <w:tcW w:w="422" w:type="pct"/>
                  <w:tcBorders>
                    <w:tl2br w:val="nil"/>
                    <w:tr2bl w:val="nil"/>
                  </w:tcBorders>
                  <w:vAlign w:val="center"/>
                </w:tcPr>
                <w:p w14:paraId="4CD4C6D7">
                  <w:pPr>
                    <w:pStyle w:val="18"/>
                    <w:spacing w:line="240" w:lineRule="auto"/>
                    <w:jc w:val="center"/>
                    <w:rPr>
                      <w:color w:val="auto"/>
                      <w:sz w:val="21"/>
                      <w:szCs w:val="21"/>
                    </w:rPr>
                  </w:pPr>
                  <w:r>
                    <w:rPr>
                      <w:rFonts w:hint="eastAsia"/>
                      <w:color w:val="auto"/>
                      <w:sz w:val="21"/>
                      <w:szCs w:val="21"/>
                    </w:rPr>
                    <w:t>T,l</w:t>
                  </w:r>
                </w:p>
              </w:tc>
              <w:tc>
                <w:tcPr>
                  <w:tcW w:w="804" w:type="pct"/>
                  <w:tcBorders>
                    <w:tl2br w:val="nil"/>
                    <w:tr2bl w:val="nil"/>
                  </w:tcBorders>
                  <w:vAlign w:val="center"/>
                </w:tcPr>
                <w:p w14:paraId="05ECB4AA">
                  <w:pPr>
                    <w:pStyle w:val="18"/>
                    <w:spacing w:line="240" w:lineRule="auto"/>
                    <w:jc w:val="center"/>
                    <w:rPr>
                      <w:color w:val="auto"/>
                      <w:sz w:val="21"/>
                      <w:szCs w:val="21"/>
                    </w:rPr>
                  </w:pPr>
                  <w:r>
                    <w:rPr>
                      <w:rFonts w:hint="eastAsia"/>
                      <w:color w:val="auto"/>
                      <w:sz w:val="21"/>
                      <w:szCs w:val="21"/>
                    </w:rPr>
                    <w:t>危废暂存间暂存，</w:t>
                  </w:r>
                  <w:r>
                    <w:rPr>
                      <w:rFonts w:hint="eastAsia"/>
                      <w:color w:val="auto"/>
                      <w:sz w:val="21"/>
                      <w:szCs w:val="21"/>
                      <w:lang w:val="en-US" w:eastAsia="zh-CN"/>
                    </w:rPr>
                    <w:t>用于厂内输送设备润滑，剩余部分</w:t>
                  </w:r>
                  <w:r>
                    <w:rPr>
                      <w:rFonts w:hint="eastAsia"/>
                      <w:color w:val="auto"/>
                      <w:sz w:val="21"/>
                      <w:szCs w:val="21"/>
                    </w:rPr>
                    <w:t>托有资质的单位处置</w:t>
                  </w:r>
                </w:p>
              </w:tc>
            </w:tr>
          </w:tbl>
          <w:p w14:paraId="0B21596B">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4.4固废环境管理要求</w:t>
            </w:r>
          </w:p>
          <w:p w14:paraId="3D9BE80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本项目不合格混凝土、除尘灰、沉淀池沉渣回用于生产工序，</w:t>
            </w:r>
            <w:r>
              <w:rPr>
                <w:rFonts w:ascii="Times New Roman" w:hAnsi="Times New Roman" w:eastAsia="宋体" w:cs="Times New Roman"/>
                <w:color w:val="auto"/>
                <w:kern w:val="0"/>
                <w:sz w:val="24"/>
              </w:rPr>
              <w:t>生活垃圾暂存</w:t>
            </w:r>
            <w:r>
              <w:rPr>
                <w:rFonts w:hint="eastAsia" w:ascii="Times New Roman" w:hAnsi="Times New Roman" w:eastAsia="宋体" w:cs="Times New Roman"/>
                <w:color w:val="auto"/>
                <w:kern w:val="0"/>
                <w:sz w:val="24"/>
              </w:rPr>
              <w:t>于</w:t>
            </w:r>
            <w:r>
              <w:rPr>
                <w:rFonts w:ascii="Times New Roman" w:hAnsi="Times New Roman" w:eastAsia="宋体" w:cs="Times New Roman"/>
                <w:color w:val="auto"/>
                <w:kern w:val="0"/>
                <w:sz w:val="24"/>
              </w:rPr>
              <w:t>垃圾桶、袋中，集中收集后交环卫部门处理</w:t>
            </w:r>
            <w:r>
              <w:rPr>
                <w:rFonts w:hint="eastAsia"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禁止随意倾倒不合格混凝土、罐车剩余或清洗混凝土</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rPr>
              <w:t>危险废物废机油集中收集在危险废物暂存间内，</w:t>
            </w:r>
            <w:r>
              <w:rPr>
                <w:rFonts w:hint="eastAsia" w:cs="Times New Roman"/>
                <w:color w:val="auto"/>
                <w:kern w:val="0"/>
                <w:sz w:val="24"/>
                <w:lang w:val="en-US" w:eastAsia="zh-CN"/>
              </w:rPr>
              <w:t>废机油先用于厂内输送设备润滑，剩余部分</w:t>
            </w:r>
            <w:r>
              <w:rPr>
                <w:rFonts w:hint="eastAsia" w:ascii="Times New Roman" w:hAnsi="Times New Roman" w:eastAsia="宋体" w:cs="Times New Roman"/>
                <w:color w:val="auto"/>
                <w:kern w:val="0"/>
                <w:sz w:val="24"/>
              </w:rPr>
              <w:t>委托有资质的单位处置。建设单位</w:t>
            </w:r>
            <w:r>
              <w:rPr>
                <w:rFonts w:ascii="Times New Roman" w:hAnsi="Times New Roman" w:eastAsia="宋体" w:cs="Times New Roman"/>
                <w:color w:val="auto"/>
                <w:kern w:val="0"/>
                <w:sz w:val="24"/>
              </w:rPr>
              <w:t>严格按照《一般工业固体废物贮存和填埋污染控制标准》（GB18599-2020）对固体废物进行处理处置</w:t>
            </w:r>
            <w:r>
              <w:rPr>
                <w:rFonts w:hint="eastAsia" w:cs="Times New Roman"/>
                <w:color w:val="auto"/>
                <w:kern w:val="0"/>
                <w:sz w:val="24"/>
                <w:lang w:eastAsia="zh-CN"/>
              </w:rPr>
              <w:t>，</w:t>
            </w:r>
            <w:r>
              <w:rPr>
                <w:rFonts w:hint="eastAsia" w:cs="Times New Roman"/>
                <w:color w:val="auto"/>
                <w:kern w:val="0"/>
                <w:sz w:val="24"/>
                <w:lang w:val="en-US" w:eastAsia="zh-CN"/>
              </w:rPr>
              <w:t>规范建立一般工业固体废物台账（包括作为原料所利用的粉煤灰）、危险废物台账</w:t>
            </w:r>
            <w:r>
              <w:rPr>
                <w:rFonts w:hint="eastAsia" w:ascii="Times New Roman" w:hAnsi="Times New Roman" w:eastAsia="宋体" w:cs="Times New Roman"/>
                <w:color w:val="auto"/>
                <w:kern w:val="0"/>
                <w:sz w:val="24"/>
              </w:rPr>
              <w:t>。</w:t>
            </w:r>
          </w:p>
          <w:p w14:paraId="13F2B39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本项目新建1座</w:t>
            </w:r>
            <w:r>
              <w:rPr>
                <w:rFonts w:hint="eastAsia" w:ascii="Times New Roman" w:hAnsi="Times New Roman" w:eastAsia="宋体" w:cs="Times New Roman"/>
                <w:color w:val="auto"/>
                <w:kern w:val="0"/>
                <w:sz w:val="24"/>
              </w:rPr>
              <w:t>10m</w:t>
            </w:r>
            <w:r>
              <w:rPr>
                <w:rFonts w:hint="eastAsia" w:ascii="Times New Roman" w:hAnsi="Times New Roman" w:eastAsia="宋体" w:cs="Times New Roman"/>
                <w:color w:val="auto"/>
                <w:kern w:val="0"/>
                <w:sz w:val="24"/>
                <w:vertAlign w:val="superscript"/>
              </w:rPr>
              <w:t>2</w:t>
            </w:r>
            <w:r>
              <w:rPr>
                <w:rFonts w:ascii="Times New Roman" w:hAnsi="Times New Roman" w:eastAsia="宋体" w:cs="Times New Roman"/>
                <w:color w:val="auto"/>
                <w:kern w:val="0"/>
                <w:sz w:val="24"/>
              </w:rPr>
              <w:t>危险废物暂存间，危废暂存间按照《危险废物贮存污染控制标准》（GB18597-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要求</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产生、收集、贮存、利用、处置危险废物的单位应建造危险废物贮存设施或设置贮存场所，并根据需要选择贮存设施类型。贮存危险废物应根据危险废物的类别、形态、物理化学性质和污染防治要求进行分类贮存，且应避免危险废物与不相容的物质或材料接触。</w:t>
            </w:r>
          </w:p>
          <w:p w14:paraId="3367D15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（1）贮存场所污染防治措施 </w:t>
            </w:r>
          </w:p>
          <w:p w14:paraId="5F12309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项目危险废物暂存场所严格按照《危险废物贮存污染控制标准》（GB18597-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 xml:space="preserve">要求规范建设和维护使用，做到防扬散、防流失、防渗漏等措施，具体情况如下： </w:t>
            </w:r>
          </w:p>
          <w:p w14:paraId="1F000740">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①贮存点应具有固定的区域边界，并应采取与其他区域进行隔离的措施。</w:t>
            </w:r>
          </w:p>
          <w:p w14:paraId="2D65205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②贮存点应采取防风、防雨、防晒和防止危险废物流失、扬散等措施。</w:t>
            </w:r>
          </w:p>
          <w:p w14:paraId="733A2CAF">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 xml:space="preserve">③贮存点贮存的危险废物应置于容器或包装物中，不应直接散堆。 </w:t>
            </w:r>
          </w:p>
          <w:p w14:paraId="6C402604">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④贮存点应根据危险废物的形态、物理化学性质、包装形式等，采取防、防漏等污染防治措施或采用具有相应功能的装置。</w:t>
            </w:r>
          </w:p>
          <w:p w14:paraId="2951AA1C">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⑤贮存点应及时清运贮存的危险废物，实时贮存量不应超过3吨。</w:t>
            </w:r>
          </w:p>
          <w:p w14:paraId="4D03D75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（2）管理制度建设</w:t>
            </w:r>
          </w:p>
          <w:p w14:paraId="6951421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①</w:t>
            </w:r>
            <w:r>
              <w:rPr>
                <w:rFonts w:hint="eastAsia" w:cs="Times New Roman"/>
                <w:color w:val="auto"/>
                <w:kern w:val="0"/>
                <w:sz w:val="24"/>
                <w:lang w:val="en-US" w:eastAsia="zh-CN"/>
              </w:rPr>
              <w:t>固废分类：</w:t>
            </w:r>
            <w:r>
              <w:rPr>
                <w:rFonts w:hint="eastAsia" w:ascii="Times New Roman" w:hAnsi="Times New Roman" w:eastAsia="宋体" w:cs="Times New Roman"/>
                <w:color w:val="auto"/>
                <w:kern w:val="0"/>
                <w:sz w:val="24"/>
              </w:rPr>
              <w:t>根据固废的性质和危害程度，实施分类管理，明确各类固废的收集、运输、贮存和处置要求。</w:t>
            </w:r>
          </w:p>
          <w:p w14:paraId="417EED1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②</w:t>
            </w:r>
            <w:r>
              <w:rPr>
                <w:rFonts w:hint="eastAsia" w:ascii="Times New Roman" w:hAnsi="Times New Roman" w:eastAsia="宋体" w:cs="Times New Roman"/>
                <w:color w:val="auto"/>
                <w:kern w:val="0"/>
                <w:sz w:val="24"/>
              </w:rPr>
              <w:t>源头减量：鼓励企业采用清洁生产技术和循环经济模式，减少固废的产生。</w:t>
            </w:r>
          </w:p>
          <w:p w14:paraId="4DC9351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③</w:t>
            </w:r>
            <w:r>
              <w:rPr>
                <w:rFonts w:hint="eastAsia" w:ascii="Times New Roman" w:hAnsi="Times New Roman" w:eastAsia="宋体" w:cs="Times New Roman"/>
                <w:color w:val="auto"/>
                <w:kern w:val="0"/>
                <w:sz w:val="24"/>
              </w:rPr>
              <w:t>固废转移联单制度：实施固废转移联单制度，确保固废在收集、运输、贮存、处置等环节的信息可追溯。</w:t>
            </w:r>
            <w:r>
              <w:rPr>
                <w:rFonts w:ascii="Times New Roman" w:hAnsi="Times New Roman" w:eastAsia="宋体" w:cs="Times New Roman"/>
                <w:color w:val="auto"/>
                <w:kern w:val="0"/>
                <w:sz w:val="24"/>
              </w:rPr>
              <w:t xml:space="preserve"> </w:t>
            </w:r>
          </w:p>
          <w:p w14:paraId="03B27D8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④</w:t>
            </w:r>
            <w:r>
              <w:rPr>
                <w:rFonts w:hint="eastAsia" w:ascii="Times New Roman" w:hAnsi="Times New Roman" w:eastAsia="宋体" w:cs="Times New Roman"/>
                <w:color w:val="auto"/>
                <w:kern w:val="0"/>
                <w:sz w:val="24"/>
              </w:rPr>
              <w:t>贮存与处置：建立规范的固废贮存设施，确保固废安全贮存；选择合适的固废处置方式，确保固废得到无害化处理。</w:t>
            </w:r>
          </w:p>
          <w:p w14:paraId="565157D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危险废物转运要求：①</w:t>
            </w:r>
            <w:r>
              <w:rPr>
                <w:rFonts w:hint="eastAsia" w:ascii="Times New Roman" w:hAnsi="Times New Roman" w:eastAsia="宋体" w:cs="Times New Roman"/>
                <w:color w:val="auto"/>
                <w:kern w:val="0"/>
                <w:sz w:val="24"/>
              </w:rPr>
              <w:t>危险废物必须使用符合标准要求的包装容器，确保包装完整、无泄漏、无破损。包装容器上应清晰地标明危险废物的名称、性质、数量、产生单位、接收单位等信息，并符合相关法律法规和标准的规定。</w:t>
            </w:r>
            <w:r>
              <w:rPr>
                <w:rFonts w:ascii="Times New Roman" w:hAnsi="Times New Roman" w:eastAsia="宋体" w:cs="Times New Roman"/>
                <w:color w:val="auto"/>
                <w:kern w:val="0"/>
                <w:sz w:val="24"/>
              </w:rPr>
              <w:t>②</w:t>
            </w:r>
            <w:r>
              <w:rPr>
                <w:rFonts w:hint="eastAsia" w:ascii="Times New Roman" w:hAnsi="Times New Roman" w:eastAsia="宋体" w:cs="Times New Roman"/>
                <w:color w:val="auto"/>
                <w:kern w:val="0"/>
                <w:sz w:val="24"/>
              </w:rPr>
              <w:t>转运单位应建立完善的监控系统，对转运过程进行全程监控，确保危险废物在转运过程中的安全可控。转运过程中应详细记录危险废物的名称、数量、转移时间、起始地点、目的地点等信息，并妥善保存相关记录，以备查验。</w:t>
            </w:r>
          </w:p>
          <w:p w14:paraId="7E305D6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综上所述，</w:t>
            </w:r>
            <w:r>
              <w:rPr>
                <w:rFonts w:hint="eastAsia" w:ascii="Times New Roman" w:hAnsi="Times New Roman" w:eastAsia="宋体" w:cs="Times New Roman"/>
                <w:color w:val="auto"/>
                <w:kern w:val="0"/>
                <w:sz w:val="24"/>
              </w:rPr>
              <w:t>本</w:t>
            </w:r>
            <w:r>
              <w:rPr>
                <w:rFonts w:ascii="Times New Roman" w:hAnsi="Times New Roman" w:eastAsia="宋体" w:cs="Times New Roman"/>
                <w:color w:val="auto"/>
                <w:kern w:val="0"/>
                <w:sz w:val="24"/>
              </w:rPr>
              <w:t>项目的各类</w:t>
            </w:r>
            <w:r>
              <w:rPr>
                <w:rFonts w:hint="eastAsia" w:ascii="Times New Roman" w:hAnsi="Times New Roman" w:eastAsia="宋体" w:cs="Times New Roman"/>
                <w:color w:val="auto"/>
                <w:kern w:val="0"/>
                <w:sz w:val="24"/>
              </w:rPr>
              <w:t>固体废物</w:t>
            </w:r>
            <w:r>
              <w:rPr>
                <w:rFonts w:ascii="Times New Roman" w:hAnsi="Times New Roman" w:eastAsia="宋体" w:cs="Times New Roman"/>
                <w:color w:val="auto"/>
                <w:kern w:val="0"/>
                <w:sz w:val="24"/>
              </w:rPr>
              <w:t>均能得到合理妥善的处置，因此对环境影响较小。</w:t>
            </w:r>
          </w:p>
          <w:p w14:paraId="310DF914">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5.地下水、土壤环境影响及保护措施</w:t>
            </w:r>
          </w:p>
          <w:p w14:paraId="63BE75D6">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5.1地下水、土壤环境影响分析</w:t>
            </w:r>
          </w:p>
          <w:p w14:paraId="0CFA4E7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本项目营运期的废机油由专用的桶状容器盛装，正常情况下不会造成渗漏。</w:t>
            </w:r>
          </w:p>
          <w:p w14:paraId="66DC945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本项目危废暂存间采取有效的防腐、防渗、防漏措施，对整个危险废物暂存间地面、事故收集池、围堰进行硬化。针对</w:t>
            </w:r>
            <w:r>
              <w:rPr>
                <w:rFonts w:hint="eastAsia" w:ascii="Times New Roman" w:hAnsi="Times New Roman" w:eastAsia="宋体" w:cs="Times New Roman"/>
                <w:color w:val="auto"/>
                <w:kern w:val="0"/>
                <w:sz w:val="24"/>
                <w:lang w:eastAsia="zh-CN"/>
              </w:rPr>
              <w:t>危险废物</w:t>
            </w:r>
            <w:r>
              <w:rPr>
                <w:rFonts w:hint="eastAsia" w:ascii="Times New Roman" w:hAnsi="Times New Roman" w:eastAsia="宋体" w:cs="Times New Roman"/>
                <w:color w:val="auto"/>
                <w:kern w:val="0"/>
                <w:sz w:val="24"/>
              </w:rPr>
              <w:t>暂存间的地面在抗渗混凝土基础上，铺设2mm厚高密度聚乙烯材料，或至少2mm厚</w:t>
            </w:r>
            <w:r>
              <w:rPr>
                <w:rFonts w:hint="eastAsia" w:ascii="Times New Roman" w:hAnsi="Times New Roman" w:eastAsia="宋体" w:cs="Times New Roman"/>
                <w:color w:val="auto"/>
                <w:kern w:val="0"/>
                <w:sz w:val="24"/>
                <w:lang w:eastAsia="zh-CN"/>
              </w:rPr>
              <w:t>的其他</w:t>
            </w:r>
            <w:r>
              <w:rPr>
                <w:rFonts w:hint="eastAsia" w:ascii="Times New Roman" w:hAnsi="Times New Roman" w:eastAsia="宋体" w:cs="Times New Roman"/>
                <w:color w:val="auto"/>
                <w:kern w:val="0"/>
                <w:sz w:val="24"/>
              </w:rPr>
              <w:t>人工材料，渗透系数≤10</w:t>
            </w:r>
            <w:r>
              <w:rPr>
                <w:rFonts w:hint="eastAsia" w:ascii="Times New Roman" w:hAnsi="Times New Roman" w:eastAsia="宋体" w:cs="Times New Roman"/>
                <w:color w:val="auto"/>
                <w:kern w:val="0"/>
                <w:sz w:val="24"/>
                <w:vertAlign w:val="superscript"/>
              </w:rPr>
              <w:t>-</w:t>
            </w:r>
            <w:r>
              <w:rPr>
                <w:rFonts w:ascii="Times New Roman" w:hAnsi="Times New Roman" w:eastAsia="宋体" w:cs="Times New Roman"/>
                <w:color w:val="auto"/>
                <w:kern w:val="0"/>
                <w:sz w:val="24"/>
                <w:vertAlign w:val="superscript"/>
              </w:rPr>
              <w:t>10</w:t>
            </w:r>
            <w:r>
              <w:rPr>
                <w:rFonts w:hint="eastAsia" w:ascii="Times New Roman" w:hAnsi="Times New Roman" w:eastAsia="宋体" w:cs="Times New Roman"/>
                <w:color w:val="auto"/>
                <w:kern w:val="0"/>
                <w:sz w:val="24"/>
              </w:rPr>
              <w:t>cm/s，保证无渗漏缝，符合《危险废物贮存污染控制标准》（GB18597-</w:t>
            </w:r>
            <w:r>
              <w:rPr>
                <w:rFonts w:hint="eastAsia" w:cs="Times New Roman"/>
                <w:color w:val="auto"/>
                <w:kern w:val="0"/>
                <w:sz w:val="24"/>
                <w:lang w:val="en-US" w:eastAsia="zh-CN"/>
              </w:rPr>
              <w:t>2023）</w:t>
            </w:r>
            <w:r>
              <w:rPr>
                <w:rFonts w:hint="eastAsia" w:ascii="Times New Roman" w:hAnsi="Times New Roman" w:eastAsia="宋体" w:cs="Times New Roman"/>
                <w:color w:val="auto"/>
                <w:kern w:val="0"/>
                <w:sz w:val="24"/>
              </w:rPr>
              <w:t>要求。池内刷防渗、防腐漆。项目运行期基本杜绝了地下水、土壤的污染途径，基本不会影响地下及土壤的变化。</w:t>
            </w:r>
          </w:p>
          <w:p w14:paraId="1F8684E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cs="Times New Roman"/>
                <w:color w:val="auto"/>
                <w:kern w:val="0"/>
                <w:sz w:val="24"/>
                <w:lang w:val="en-US" w:eastAsia="zh-CN"/>
              </w:rPr>
              <w:t>经过上述措施，地下水和土壤被污染的发生概率较小，符合生产要求。</w:t>
            </w:r>
          </w:p>
          <w:p w14:paraId="2B5A768C">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5.2防治措施</w:t>
            </w:r>
          </w:p>
          <w:p w14:paraId="69CB04F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为了进一步降低废液渗入地下对地下水及土壤产生影响，建议建设单位采取下列措施：</w:t>
            </w:r>
          </w:p>
          <w:p w14:paraId="6661BE6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（1）制定危险废物贮存库定期巡检制度，每天由专人负责对危险废物包装桶进行检查，如果发现有泄漏情况，立即报告相关领导，更换新的包装桶。</w:t>
            </w:r>
          </w:p>
          <w:p w14:paraId="58E2A01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（2）源头控制措施：项目危险废物的装卸、暂存过程中，检查收集桶密封情况，防止危险废物跑、冒、滴、漏。</w:t>
            </w:r>
          </w:p>
          <w:p w14:paraId="469C440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（3）地面防渗措施：定期检测各防渗措施，防止危险废物的跑、冒、滴、漏，将污染物的环境风险事故降到最低。</w:t>
            </w:r>
          </w:p>
          <w:p w14:paraId="517E81A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（4）加强厂内危险废物管理、环境风险事故处置能力，及时清运危险废物，缩短危险废物厂内储存时间。</w:t>
            </w:r>
          </w:p>
          <w:p w14:paraId="7D9BB8E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（5）分区防控措施</w:t>
            </w:r>
          </w:p>
          <w:p w14:paraId="76E5F51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为防止贮存过程中跑、冒、滴、漏的物料腐蚀地面，污染物入渗污染地下水，应对危废间进行分区防渗处理。具体如下：</w:t>
            </w:r>
          </w:p>
          <w:p w14:paraId="0468832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①根据污染区通过各种途径可能进入地下水环境的各种有毒有害原辅材料、产品的泄漏量及其他各类污染物的性质、产生和排放量，将危废间进一步分为重点污染防治区；</w:t>
            </w:r>
          </w:p>
          <w:p w14:paraId="74FFC57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②重点污染防治区参照《危险废物填埋污染控制标准》制定防渗设计方案。本项目危险废物暂存间地面防渗情况详见下表4-1</w:t>
            </w:r>
            <w:r>
              <w:rPr>
                <w:rFonts w:hint="eastAsia" w:cs="Times New Roman"/>
                <w:color w:val="auto"/>
                <w:kern w:val="0"/>
                <w:sz w:val="24"/>
                <w:lang w:val="en-US" w:eastAsia="zh-CN"/>
              </w:rPr>
              <w:t>3</w:t>
            </w:r>
            <w:r>
              <w:rPr>
                <w:rFonts w:hint="eastAsia" w:ascii="Times New Roman" w:hAnsi="Times New Roman" w:eastAsia="宋体" w:cs="Times New Roman"/>
                <w:color w:val="auto"/>
                <w:kern w:val="0"/>
                <w:sz w:val="24"/>
              </w:rPr>
              <w:t>。</w:t>
            </w:r>
          </w:p>
          <w:p w14:paraId="3D0926B1">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表4-1</w:t>
            </w:r>
            <w:r>
              <w:rPr>
                <w:rFonts w:hint="eastAsia" w:cs="Times New Roman"/>
                <w:color w:val="auto"/>
                <w:lang w:val="en-US" w:eastAsia="zh-CN"/>
              </w:rPr>
              <w:t>3</w:t>
            </w:r>
            <w:r>
              <w:rPr>
                <w:rFonts w:hint="default" w:ascii="Times New Roman" w:hAnsi="Times New Roman" w:eastAsia="宋体" w:cs="Times New Roman"/>
                <w:color w:val="auto"/>
              </w:rPr>
              <w:t xml:space="preserve">    厂区分区防渗措施一览表</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648"/>
              <w:gridCol w:w="2648"/>
              <w:gridCol w:w="2648"/>
            </w:tblGrid>
            <w:tr w14:paraId="283A840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tcBorders>
                    <w:bottom w:val="single" w:color="auto" w:sz="12" w:space="0"/>
                  </w:tcBorders>
                  <w:vAlign w:val="center"/>
                </w:tcPr>
                <w:p w14:paraId="758258E4">
                  <w:pPr>
                    <w:jc w:val="center"/>
                    <w:rPr>
                      <w:b/>
                      <w:bCs/>
                      <w:color w:val="auto"/>
                      <w:sz w:val="21"/>
                      <w:szCs w:val="21"/>
                    </w:rPr>
                  </w:pPr>
                  <w:r>
                    <w:rPr>
                      <w:b/>
                      <w:bCs/>
                      <w:color w:val="auto"/>
                      <w:sz w:val="21"/>
                      <w:szCs w:val="21"/>
                    </w:rPr>
                    <w:t>名称</w:t>
                  </w:r>
                </w:p>
              </w:tc>
              <w:tc>
                <w:tcPr>
                  <w:tcW w:w="1666" w:type="pct"/>
                  <w:tcBorders>
                    <w:bottom w:val="single" w:color="auto" w:sz="12" w:space="0"/>
                  </w:tcBorders>
                  <w:vAlign w:val="center"/>
                </w:tcPr>
                <w:p w14:paraId="6E7C7544">
                  <w:pPr>
                    <w:jc w:val="center"/>
                    <w:rPr>
                      <w:b/>
                      <w:bCs/>
                      <w:color w:val="auto"/>
                      <w:sz w:val="21"/>
                      <w:szCs w:val="21"/>
                    </w:rPr>
                  </w:pPr>
                  <w:r>
                    <w:rPr>
                      <w:b/>
                      <w:bCs/>
                      <w:color w:val="auto"/>
                      <w:sz w:val="21"/>
                      <w:szCs w:val="21"/>
                    </w:rPr>
                    <w:t>范围</w:t>
                  </w:r>
                </w:p>
              </w:tc>
              <w:tc>
                <w:tcPr>
                  <w:tcW w:w="1666" w:type="pct"/>
                  <w:tcBorders>
                    <w:bottom w:val="single" w:color="auto" w:sz="12" w:space="0"/>
                  </w:tcBorders>
                  <w:vAlign w:val="center"/>
                </w:tcPr>
                <w:p w14:paraId="3C54D7FD">
                  <w:pPr>
                    <w:jc w:val="center"/>
                    <w:rPr>
                      <w:b/>
                      <w:bCs/>
                      <w:color w:val="auto"/>
                      <w:sz w:val="21"/>
                      <w:szCs w:val="21"/>
                    </w:rPr>
                  </w:pPr>
                  <w:r>
                    <w:rPr>
                      <w:b/>
                      <w:bCs/>
                      <w:color w:val="auto"/>
                      <w:sz w:val="21"/>
                      <w:szCs w:val="21"/>
                    </w:rPr>
                    <w:t>防渗要求</w:t>
                  </w:r>
                </w:p>
              </w:tc>
            </w:tr>
            <w:tr w14:paraId="7491AE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tcBorders>
                    <w:top w:val="single" w:color="auto" w:sz="12" w:space="0"/>
                    <w:tl2br w:val="nil"/>
                    <w:tr2bl w:val="nil"/>
                  </w:tcBorders>
                  <w:vAlign w:val="center"/>
                </w:tcPr>
                <w:p w14:paraId="11FEA9F9">
                  <w:pPr>
                    <w:jc w:val="center"/>
                    <w:rPr>
                      <w:color w:val="auto"/>
                      <w:sz w:val="21"/>
                      <w:szCs w:val="21"/>
                    </w:rPr>
                  </w:pPr>
                  <w:r>
                    <w:rPr>
                      <w:bCs/>
                      <w:color w:val="auto"/>
                      <w:sz w:val="21"/>
                      <w:szCs w:val="21"/>
                    </w:rPr>
                    <w:t>重点防渗区</w:t>
                  </w:r>
                </w:p>
              </w:tc>
              <w:tc>
                <w:tcPr>
                  <w:tcW w:w="1666" w:type="pct"/>
                  <w:tcBorders>
                    <w:top w:val="single" w:color="auto" w:sz="12" w:space="0"/>
                    <w:tl2br w:val="nil"/>
                    <w:tr2bl w:val="nil"/>
                  </w:tcBorders>
                  <w:vAlign w:val="center"/>
                </w:tcPr>
                <w:p w14:paraId="4E4C2216">
                  <w:pPr>
                    <w:jc w:val="center"/>
                    <w:rPr>
                      <w:color w:val="auto"/>
                      <w:sz w:val="21"/>
                      <w:szCs w:val="21"/>
                    </w:rPr>
                  </w:pPr>
                  <w:r>
                    <w:rPr>
                      <w:rFonts w:hint="eastAsia"/>
                      <w:bCs/>
                      <w:color w:val="auto"/>
                      <w:kern w:val="0"/>
                      <w:sz w:val="21"/>
                      <w:szCs w:val="21"/>
                      <w:lang w:bidi="ar"/>
                    </w:rPr>
                    <w:t>危险废物贮存区域地面、围堰、墙裙、装卸区、事故应急池、导流沟等</w:t>
                  </w:r>
                </w:p>
              </w:tc>
              <w:tc>
                <w:tcPr>
                  <w:tcW w:w="1666" w:type="pct"/>
                  <w:tcBorders>
                    <w:top w:val="single" w:color="auto" w:sz="12" w:space="0"/>
                    <w:tl2br w:val="nil"/>
                    <w:tr2bl w:val="nil"/>
                  </w:tcBorders>
                  <w:vAlign w:val="center"/>
                </w:tcPr>
                <w:p w14:paraId="041508BE">
                  <w:pPr>
                    <w:jc w:val="center"/>
                    <w:rPr>
                      <w:color w:val="auto"/>
                      <w:sz w:val="21"/>
                      <w:szCs w:val="21"/>
                    </w:rPr>
                  </w:pPr>
                  <w:r>
                    <w:rPr>
                      <w:bCs/>
                      <w:color w:val="auto"/>
                      <w:kern w:val="0"/>
                      <w:sz w:val="21"/>
                      <w:szCs w:val="21"/>
                      <w:lang w:bidi="ar"/>
                    </w:rPr>
                    <w:t>混凝土防渗，渗透系数≤10</w:t>
                  </w:r>
                  <w:r>
                    <w:rPr>
                      <w:bCs/>
                      <w:color w:val="auto"/>
                      <w:kern w:val="0"/>
                      <w:sz w:val="21"/>
                      <w:szCs w:val="21"/>
                      <w:vertAlign w:val="superscript"/>
                      <w:lang w:bidi="ar"/>
                    </w:rPr>
                    <w:t>-10</w:t>
                  </w:r>
                  <w:r>
                    <w:rPr>
                      <w:bCs/>
                      <w:color w:val="auto"/>
                      <w:kern w:val="0"/>
                      <w:sz w:val="21"/>
                      <w:szCs w:val="21"/>
                      <w:lang w:bidi="ar"/>
                    </w:rPr>
                    <w:t>cm/s</w:t>
                  </w:r>
                </w:p>
              </w:tc>
            </w:tr>
          </w:tbl>
          <w:p w14:paraId="19EFDE0E">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bCs/>
                <w:color w:val="auto"/>
                <w:sz w:val="24"/>
                <w:lang w:val="en-US" w:eastAsia="zh-CN"/>
              </w:rPr>
            </w:pPr>
            <w:r>
              <w:rPr>
                <w:rFonts w:hint="eastAsia" w:cs="Times New Roman"/>
                <w:color w:val="auto"/>
                <w:kern w:val="0"/>
                <w:sz w:val="24"/>
                <w:lang w:val="en-US" w:eastAsia="zh-CN"/>
              </w:rPr>
              <w:t>③除重点区域以外的区域，</w:t>
            </w:r>
            <w:r>
              <w:rPr>
                <w:rFonts w:hint="eastAsia" w:ascii="Times New Roman" w:hAnsi="Times New Roman" w:eastAsia="宋体" w:cs="Times New Roman"/>
                <w:color w:val="auto"/>
                <w:kern w:val="0"/>
                <w:sz w:val="24"/>
              </w:rPr>
              <w:t>及时清运危险废物，缩短危险废物厂内储存时间</w:t>
            </w:r>
            <w:r>
              <w:rPr>
                <w:rFonts w:hint="eastAsia" w:cs="Times New Roman"/>
                <w:color w:val="auto"/>
                <w:kern w:val="0"/>
                <w:sz w:val="24"/>
                <w:lang w:eastAsia="zh-CN"/>
              </w:rPr>
              <w:t>。</w:t>
            </w:r>
          </w:p>
          <w:p w14:paraId="3F8EB424">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6.</w:t>
            </w:r>
            <w:r>
              <w:rPr>
                <w:rFonts w:hint="eastAsia" w:ascii="Times New Roman" w:hAnsi="Times New Roman" w:eastAsia="宋体" w:cs="Times New Roman"/>
                <w:b/>
                <w:bCs/>
                <w:color w:val="auto"/>
                <w:sz w:val="24"/>
              </w:rPr>
              <w:t>生态环境</w:t>
            </w:r>
          </w:p>
          <w:p w14:paraId="38AC2C43">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6.1生态环境影响分析</w:t>
            </w:r>
          </w:p>
          <w:p w14:paraId="263D9D7A">
            <w:pPr>
              <w:adjustRightInd w:val="0"/>
              <w:snapToGrid w:val="0"/>
              <w:spacing w:line="360" w:lineRule="auto"/>
              <w:ind w:firstLine="480" w:firstLineChars="200"/>
              <w:jc w:val="left"/>
              <w:rPr>
                <w:rFonts w:hint="default" w:ascii="Times New Roman" w:hAnsi="Times New Roman" w:eastAsia="宋体" w:cs="Times New Roman"/>
                <w:bCs/>
                <w:color w:val="auto"/>
                <w:spacing w:val="0"/>
                <w:w w:val="100"/>
                <w:sz w:val="24"/>
                <w:szCs w:val="24"/>
                <w:highlight w:val="none"/>
              </w:rPr>
            </w:pPr>
            <w:r>
              <w:rPr>
                <w:rFonts w:hint="default" w:ascii="Times New Roman" w:hAnsi="Times New Roman" w:eastAsia="宋体" w:cs="Times New Roman"/>
                <w:bCs/>
                <w:color w:val="auto"/>
                <w:spacing w:val="0"/>
                <w:w w:val="100"/>
                <w:kern w:val="0"/>
                <w:sz w:val="24"/>
                <w:szCs w:val="24"/>
                <w:highlight w:val="none"/>
              </w:rPr>
              <w:t>本</w:t>
            </w:r>
            <w:r>
              <w:rPr>
                <w:rFonts w:hint="default" w:ascii="Times New Roman" w:hAnsi="Times New Roman" w:eastAsia="宋体" w:cs="Times New Roman"/>
                <w:bCs/>
                <w:color w:val="auto"/>
                <w:spacing w:val="0"/>
                <w:w w:val="100"/>
                <w:kern w:val="0"/>
                <w:sz w:val="24"/>
                <w:szCs w:val="24"/>
                <w:highlight w:val="none"/>
                <w:lang w:val="en-US" w:eastAsia="zh-CN"/>
              </w:rPr>
              <w:t>项目</w:t>
            </w:r>
            <w:r>
              <w:rPr>
                <w:rFonts w:hint="default" w:ascii="Times New Roman" w:hAnsi="Times New Roman" w:eastAsia="宋体" w:cs="Times New Roman"/>
                <w:bCs/>
                <w:color w:val="auto"/>
                <w:spacing w:val="0"/>
                <w:w w:val="100"/>
                <w:kern w:val="0"/>
                <w:sz w:val="24"/>
                <w:szCs w:val="24"/>
                <w:highlight w:val="none"/>
              </w:rPr>
              <w:t>施工过程将进行土</w:t>
            </w:r>
            <w:r>
              <w:rPr>
                <w:rFonts w:hint="eastAsia" w:cs="Times New Roman"/>
                <w:bCs/>
                <w:color w:val="auto"/>
                <w:spacing w:val="0"/>
                <w:w w:val="100"/>
                <w:kern w:val="0"/>
                <w:sz w:val="24"/>
                <w:szCs w:val="24"/>
                <w:highlight w:val="none"/>
                <w:lang w:val="en-US" w:eastAsia="zh-CN"/>
              </w:rPr>
              <w:t>地占压</w:t>
            </w:r>
            <w:r>
              <w:rPr>
                <w:rFonts w:hint="default" w:ascii="Times New Roman" w:hAnsi="Times New Roman" w:eastAsia="宋体" w:cs="Times New Roman"/>
                <w:bCs/>
                <w:color w:val="auto"/>
                <w:spacing w:val="0"/>
                <w:w w:val="100"/>
                <w:sz w:val="24"/>
                <w:szCs w:val="24"/>
                <w:highlight w:val="none"/>
              </w:rPr>
              <w:t>，施工机械和人员的活动也会对地表植被造成破坏。</w:t>
            </w:r>
            <w:r>
              <w:rPr>
                <w:rFonts w:hint="default" w:ascii="Times New Roman" w:hAnsi="Times New Roman" w:eastAsia="宋体" w:cs="Times New Roman"/>
                <w:bCs/>
                <w:color w:val="auto"/>
                <w:spacing w:val="0"/>
                <w:w w:val="100"/>
                <w:sz w:val="24"/>
                <w:szCs w:val="24"/>
                <w:highlight w:val="none"/>
                <w:lang w:val="en-US" w:eastAsia="zh-CN"/>
              </w:rPr>
              <w:t>本</w:t>
            </w:r>
            <w:r>
              <w:rPr>
                <w:rFonts w:hint="default" w:ascii="Times New Roman" w:hAnsi="Times New Roman" w:eastAsia="宋体" w:cs="Times New Roman"/>
                <w:bCs/>
                <w:color w:val="auto"/>
                <w:spacing w:val="0"/>
                <w:w w:val="100"/>
                <w:sz w:val="24"/>
                <w:szCs w:val="24"/>
                <w:highlight w:val="none"/>
              </w:rPr>
              <w:t>项目建设在一定程度上将改变原有动物栖息环境，惊扰动物正常活动。</w:t>
            </w:r>
          </w:p>
          <w:p w14:paraId="5B34278E">
            <w:pPr>
              <w:adjustRightInd w:val="0"/>
              <w:snapToGrid w:val="0"/>
              <w:spacing w:line="360" w:lineRule="auto"/>
              <w:ind w:firstLine="480" w:firstLineChars="200"/>
              <w:jc w:val="left"/>
              <w:rPr>
                <w:rFonts w:hint="default" w:ascii="Times New Roman" w:hAnsi="Times New Roman" w:eastAsia="宋体" w:cs="Times New Roman"/>
                <w:bCs/>
                <w:color w:val="auto"/>
                <w:spacing w:val="0"/>
                <w:w w:val="100"/>
                <w:sz w:val="24"/>
                <w:szCs w:val="24"/>
                <w:highlight w:val="none"/>
              </w:rPr>
            </w:pPr>
            <w:r>
              <w:rPr>
                <w:rFonts w:hint="default" w:ascii="Times New Roman" w:hAnsi="Times New Roman" w:eastAsia="宋体" w:cs="Times New Roman"/>
                <w:bCs/>
                <w:color w:val="auto"/>
                <w:spacing w:val="0"/>
                <w:w w:val="100"/>
                <w:sz w:val="24"/>
                <w:szCs w:val="24"/>
                <w:highlight w:val="none"/>
              </w:rPr>
              <w:t>工程对当地生态环境的影响主要表现为：土壤扰动后，地表植被破坏，工程建成后对原有土地类型的改变等。</w:t>
            </w:r>
          </w:p>
          <w:p w14:paraId="3FEABE4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cs="Times New Roman"/>
                <w:b/>
                <w:bCs/>
                <w:color w:val="auto"/>
                <w:sz w:val="24"/>
                <w:lang w:val="en-US" w:eastAsia="zh-CN"/>
              </w:rPr>
            </w:pPr>
            <w:r>
              <w:rPr>
                <w:rFonts w:hint="eastAsia" w:cs="Times New Roman"/>
                <w:b/>
                <w:bCs/>
                <w:color w:val="auto"/>
                <w:sz w:val="24"/>
                <w:lang w:val="en-US" w:eastAsia="zh-CN"/>
              </w:rPr>
              <w:t>6.2生态环境保护措施</w:t>
            </w:r>
          </w:p>
          <w:p w14:paraId="2507877C">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val="en-US" w:eastAsia="zh-CN"/>
              </w:rPr>
            </w:pPr>
            <w:r>
              <w:rPr>
                <w:rFonts w:hint="eastAsia" w:ascii="Times New Roman" w:hAnsi="Times New Roman" w:eastAsia="宋体" w:cs="Times New Roman"/>
                <w:color w:val="auto"/>
                <w:kern w:val="0"/>
                <w:sz w:val="24"/>
                <w:lang w:val="en-US" w:eastAsia="zh-CN"/>
              </w:rPr>
              <w:t>①</w:t>
            </w:r>
            <w:r>
              <w:rPr>
                <w:rFonts w:hint="default" w:ascii="Times New Roman" w:hAnsi="Times New Roman" w:eastAsia="宋体" w:cs="Times New Roman"/>
                <w:color w:val="auto"/>
                <w:spacing w:val="0"/>
                <w:w w:val="100"/>
                <w:sz w:val="24"/>
                <w:szCs w:val="24"/>
                <w:highlight w:val="none"/>
                <w:lang w:val="en-US" w:eastAsia="zh-CN"/>
              </w:rPr>
              <w:t>工程施工可充分利用现有道路，在划定的施工场地内进行施工，根据划定的临时施工便道进行运输，不得随意修建临时便道。</w:t>
            </w:r>
          </w:p>
          <w:p w14:paraId="4E295865">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cs="Times New Roman"/>
                <w:b/>
                <w:bCs/>
                <w:color w:val="auto"/>
                <w:sz w:val="24"/>
                <w:lang w:val="en-US" w:eastAsia="zh-CN"/>
              </w:rPr>
            </w:pPr>
            <w:r>
              <w:rPr>
                <w:rFonts w:hint="default" w:ascii="Times New Roman" w:hAnsi="Times New Roman" w:eastAsia="宋体" w:cs="Times New Roman"/>
                <w:color w:val="auto"/>
                <w:spacing w:val="0"/>
                <w:w w:val="100"/>
                <w:sz w:val="24"/>
                <w:szCs w:val="24"/>
                <w:highlight w:val="none"/>
                <w:lang w:val="en-US" w:eastAsia="zh-CN"/>
              </w:rPr>
              <w:t>②控制基础开挖范围</w:t>
            </w:r>
            <w:r>
              <w:rPr>
                <w:rFonts w:hint="eastAsia" w:cs="Times New Roman"/>
                <w:color w:val="auto"/>
                <w:spacing w:val="0"/>
                <w:w w:val="100"/>
                <w:sz w:val="24"/>
                <w:szCs w:val="24"/>
                <w:highlight w:val="none"/>
                <w:lang w:val="en-US" w:eastAsia="zh-CN"/>
              </w:rPr>
              <w:t>，项目</w:t>
            </w:r>
            <w:r>
              <w:rPr>
                <w:rFonts w:hint="default" w:ascii="Times New Roman" w:hAnsi="Times New Roman" w:eastAsia="宋体" w:cs="Times New Roman"/>
                <w:color w:val="auto"/>
                <w:spacing w:val="0"/>
                <w:w w:val="100"/>
                <w:sz w:val="24"/>
                <w:szCs w:val="24"/>
                <w:highlight w:val="none"/>
                <w:lang w:val="en-US" w:eastAsia="zh-CN"/>
              </w:rPr>
              <w:t>在施工过程中必须严格按设计要求进行施工。在确保安全和质量的前提下，尽量减小基础</w:t>
            </w:r>
            <w:r>
              <w:rPr>
                <w:rFonts w:hint="eastAsia" w:cs="Times New Roman"/>
                <w:color w:val="auto"/>
                <w:spacing w:val="0"/>
                <w:w w:val="100"/>
                <w:sz w:val="24"/>
                <w:szCs w:val="24"/>
                <w:highlight w:val="none"/>
                <w:lang w:val="en-US" w:eastAsia="zh-CN"/>
              </w:rPr>
              <w:t>占压</w:t>
            </w:r>
            <w:r>
              <w:rPr>
                <w:rFonts w:hint="default" w:ascii="Times New Roman" w:hAnsi="Times New Roman" w:eastAsia="宋体" w:cs="Times New Roman"/>
                <w:color w:val="auto"/>
                <w:spacing w:val="0"/>
                <w:w w:val="100"/>
                <w:sz w:val="24"/>
                <w:szCs w:val="24"/>
                <w:highlight w:val="none"/>
                <w:lang w:val="en-US" w:eastAsia="zh-CN"/>
              </w:rPr>
              <w:t>的范围，避免不必要的</w:t>
            </w:r>
            <w:r>
              <w:rPr>
                <w:rFonts w:hint="eastAsia" w:cs="Times New Roman"/>
                <w:color w:val="auto"/>
                <w:spacing w:val="0"/>
                <w:w w:val="100"/>
                <w:sz w:val="24"/>
                <w:szCs w:val="24"/>
                <w:highlight w:val="none"/>
                <w:lang w:val="en-US" w:eastAsia="zh-CN"/>
              </w:rPr>
              <w:t>占压</w:t>
            </w:r>
            <w:r>
              <w:rPr>
                <w:rFonts w:hint="default" w:ascii="Times New Roman" w:hAnsi="Times New Roman" w:eastAsia="宋体" w:cs="Times New Roman"/>
                <w:color w:val="auto"/>
                <w:spacing w:val="0"/>
                <w:w w:val="100"/>
                <w:sz w:val="24"/>
                <w:szCs w:val="24"/>
                <w:highlight w:val="none"/>
                <w:lang w:val="en-US" w:eastAsia="zh-CN"/>
              </w:rPr>
              <w:t>和过多的原状土破坏</w:t>
            </w:r>
            <w:r>
              <w:rPr>
                <w:rFonts w:hint="eastAsia" w:cs="Times New Roman"/>
                <w:color w:val="auto"/>
                <w:spacing w:val="0"/>
                <w:w w:val="100"/>
                <w:sz w:val="24"/>
                <w:szCs w:val="24"/>
                <w:highlight w:val="none"/>
                <w:lang w:val="en-US" w:eastAsia="zh-CN"/>
              </w:rPr>
              <w:t>。</w:t>
            </w:r>
          </w:p>
          <w:p w14:paraId="01B62A8D">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Times New Roman" w:hAnsi="Times New Roman" w:eastAsia="宋体" w:cs="Times New Roman"/>
                <w:b/>
                <w:bCs/>
                <w:color w:val="auto"/>
                <w:sz w:val="24"/>
                <w:lang w:val="en-US" w:eastAsia="zh-CN"/>
              </w:rPr>
            </w:pPr>
            <w:r>
              <w:rPr>
                <w:rFonts w:hint="eastAsia" w:cs="Times New Roman"/>
                <w:b/>
                <w:bCs/>
                <w:color w:val="auto"/>
                <w:sz w:val="24"/>
                <w:lang w:val="en-US" w:eastAsia="zh-CN"/>
              </w:rPr>
              <w:t>7.土地</w:t>
            </w:r>
            <w:r>
              <w:rPr>
                <w:rFonts w:hint="eastAsia" w:ascii="Times New Roman" w:hAnsi="Times New Roman" w:eastAsia="宋体" w:cs="Times New Roman"/>
                <w:b/>
                <w:bCs/>
                <w:color w:val="auto"/>
                <w:sz w:val="24"/>
                <w:lang w:val="en-US" w:eastAsia="zh-CN"/>
              </w:rPr>
              <w:t>复垦措施</w:t>
            </w:r>
          </w:p>
          <w:p w14:paraId="676329C4">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cs="Times New Roman"/>
                <w:b/>
                <w:bCs/>
                <w:color w:val="auto"/>
                <w:sz w:val="24"/>
                <w:lang w:val="en-US" w:eastAsia="zh-CN"/>
              </w:rPr>
            </w:pPr>
            <w:r>
              <w:rPr>
                <w:rFonts w:hint="eastAsia" w:cs="Times New Roman"/>
                <w:b/>
                <w:bCs/>
                <w:color w:val="auto"/>
                <w:sz w:val="24"/>
                <w:lang w:val="en-US" w:eastAsia="zh-CN"/>
              </w:rPr>
              <w:t>7.1土地复垦标准</w:t>
            </w:r>
          </w:p>
          <w:p w14:paraId="17866AD2">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cs="Times New Roman"/>
                <w:color w:val="auto"/>
                <w:spacing w:val="0"/>
                <w:w w:val="100"/>
                <w:sz w:val="24"/>
                <w:szCs w:val="24"/>
                <w:highlight w:val="none"/>
                <w:lang w:val="en-US" w:eastAsia="zh-CN"/>
              </w:rPr>
            </w:pPr>
            <w:r>
              <w:rPr>
                <w:rFonts w:hint="eastAsia" w:cs="Times New Roman"/>
                <w:color w:val="auto"/>
                <w:spacing w:val="0"/>
                <w:w w:val="100"/>
                <w:sz w:val="24"/>
                <w:szCs w:val="24"/>
                <w:highlight w:val="none"/>
                <w:lang w:val="en-US" w:eastAsia="zh-CN"/>
              </w:rPr>
              <w:t>（1）待复垦场地背景资料齐全，包括：工程地质、水文地质、土壤、植被、区域自</w:t>
            </w:r>
          </w:p>
          <w:p w14:paraId="792A5E33">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cs="Times New Roman"/>
                <w:color w:val="auto"/>
                <w:spacing w:val="0"/>
                <w:w w:val="100"/>
                <w:sz w:val="24"/>
                <w:szCs w:val="24"/>
                <w:highlight w:val="none"/>
                <w:lang w:val="en-US" w:eastAsia="zh-CN"/>
              </w:rPr>
            </w:pPr>
            <w:r>
              <w:rPr>
                <w:rFonts w:hint="eastAsia" w:cs="Times New Roman"/>
                <w:color w:val="auto"/>
                <w:spacing w:val="0"/>
                <w:w w:val="100"/>
                <w:sz w:val="24"/>
                <w:szCs w:val="24"/>
                <w:highlight w:val="none"/>
                <w:lang w:val="en-US" w:eastAsia="zh-CN"/>
              </w:rPr>
              <w:t>然环境和简要社会环境等；待复垦场地原用途；复垦场地利用方向等。</w:t>
            </w:r>
          </w:p>
          <w:p w14:paraId="1FDC394A">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cs="Times New Roman"/>
                <w:color w:val="auto"/>
                <w:spacing w:val="0"/>
                <w:w w:val="100"/>
                <w:sz w:val="24"/>
                <w:szCs w:val="24"/>
                <w:highlight w:val="none"/>
                <w:lang w:val="en-US" w:eastAsia="zh-CN"/>
              </w:rPr>
            </w:pPr>
            <w:r>
              <w:rPr>
                <w:rFonts w:hint="eastAsia" w:cs="Times New Roman"/>
                <w:color w:val="auto"/>
                <w:spacing w:val="0"/>
                <w:w w:val="100"/>
                <w:sz w:val="24"/>
                <w:szCs w:val="24"/>
                <w:highlight w:val="none"/>
                <w:lang w:val="en-US" w:eastAsia="zh-CN"/>
              </w:rPr>
              <w:t>（2）待复垦场地利用类型的选择，应与当地地形、地貌及环境相协调。</w:t>
            </w:r>
          </w:p>
          <w:p w14:paraId="510705AD">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cs="Times New Roman"/>
                <w:color w:val="auto"/>
                <w:spacing w:val="0"/>
                <w:w w:val="100"/>
                <w:sz w:val="24"/>
                <w:szCs w:val="24"/>
                <w:highlight w:val="none"/>
                <w:lang w:val="en-US" w:eastAsia="zh-CN"/>
              </w:rPr>
            </w:pPr>
            <w:r>
              <w:rPr>
                <w:rFonts w:hint="eastAsia" w:cs="Times New Roman"/>
                <w:color w:val="auto"/>
                <w:spacing w:val="0"/>
                <w:w w:val="100"/>
                <w:sz w:val="24"/>
                <w:szCs w:val="24"/>
                <w:highlight w:val="none"/>
                <w:lang w:val="en-US" w:eastAsia="zh-CN"/>
              </w:rPr>
              <w:t>（3）用作复垦场地的覆盖材料，不应含有有毒有害成分。如复垦场地含有毒有害成</w:t>
            </w:r>
          </w:p>
          <w:p w14:paraId="233F483F">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cs="Times New Roman"/>
                <w:color w:val="auto"/>
                <w:spacing w:val="0"/>
                <w:w w:val="100"/>
                <w:sz w:val="24"/>
                <w:szCs w:val="24"/>
                <w:highlight w:val="none"/>
                <w:lang w:val="en-US" w:eastAsia="zh-CN"/>
              </w:rPr>
            </w:pPr>
            <w:r>
              <w:rPr>
                <w:rFonts w:hint="eastAsia" w:cs="Times New Roman"/>
                <w:color w:val="auto"/>
                <w:spacing w:val="0"/>
                <w:w w:val="100"/>
                <w:sz w:val="24"/>
                <w:szCs w:val="24"/>
                <w:highlight w:val="none"/>
                <w:lang w:val="en-US" w:eastAsia="zh-CN"/>
              </w:rPr>
              <w:t>分时，应先处置去除，视其废弃物性质、场地条件、必要时设置隔离层后再进行覆盖。</w:t>
            </w:r>
          </w:p>
          <w:p w14:paraId="52247E04">
            <w:pPr>
              <w:pStyle w:val="18"/>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Chars="0" w:firstLine="480" w:firstLineChars="200"/>
              <w:textAlignment w:val="auto"/>
              <w:rPr>
                <w:rFonts w:hint="eastAsia" w:cs="Times New Roman"/>
                <w:color w:val="auto"/>
                <w:spacing w:val="0"/>
                <w:w w:val="100"/>
                <w:sz w:val="24"/>
                <w:szCs w:val="24"/>
                <w:highlight w:val="none"/>
                <w:lang w:val="en-US" w:eastAsia="zh-CN"/>
              </w:rPr>
            </w:pPr>
            <w:r>
              <w:rPr>
                <w:rFonts w:hint="eastAsia" w:cs="Times New Roman"/>
                <w:color w:val="auto"/>
                <w:spacing w:val="0"/>
                <w:w w:val="100"/>
                <w:sz w:val="24"/>
                <w:szCs w:val="24"/>
                <w:highlight w:val="none"/>
                <w:lang w:val="en-US" w:eastAsia="zh-CN"/>
              </w:rPr>
              <w:t>（覆盖后的复垦场地规范、平整，覆盖层容重等满足复垦利用要求。</w:t>
            </w:r>
          </w:p>
          <w:p w14:paraId="635CADDA">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cs="Times New Roman"/>
                <w:b/>
                <w:bCs/>
                <w:color w:val="auto"/>
                <w:sz w:val="24"/>
                <w:lang w:val="en-US" w:eastAsia="zh-CN"/>
              </w:rPr>
            </w:pPr>
            <w:r>
              <w:rPr>
                <w:rFonts w:hint="eastAsia" w:cs="Times New Roman"/>
                <w:b/>
                <w:bCs/>
                <w:color w:val="auto"/>
                <w:sz w:val="24"/>
                <w:lang w:val="en-US" w:eastAsia="zh-CN"/>
              </w:rPr>
              <w:t xml:space="preserve">7.2土地复垦措施 </w:t>
            </w:r>
          </w:p>
          <w:p w14:paraId="799CFC7F">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cs="Times New Roman"/>
                <w:b/>
                <w:bCs/>
                <w:color w:val="auto"/>
                <w:sz w:val="24"/>
                <w:lang w:val="en-US" w:eastAsia="zh-CN"/>
              </w:rPr>
            </w:pPr>
            <w:r>
              <w:rPr>
                <w:rFonts w:hint="eastAsia" w:cs="Times New Roman"/>
                <w:b/>
                <w:bCs/>
                <w:color w:val="auto"/>
                <w:sz w:val="24"/>
                <w:lang w:val="en-US" w:eastAsia="zh-CN"/>
              </w:rPr>
              <w:t>7.2.1工程技术措施</w:t>
            </w:r>
          </w:p>
          <w:p w14:paraId="70F6CEF1">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服务期满后对供水工程商砼站建设项目进行拆除、清运、整平压实处理，对场地内 的较大起伏和坡度进行推高和填低，使其基本水平或其坡度在允许范围内，以利于雨季 排水，播撒草籽将其恢复原有地形地貌景观和土地使用功能。</w:t>
            </w:r>
          </w:p>
          <w:p w14:paraId="0108F97E">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cs="Times New Roman"/>
                <w:b/>
                <w:bCs/>
                <w:color w:val="auto"/>
                <w:sz w:val="24"/>
                <w:lang w:val="en-US" w:eastAsia="zh-CN"/>
              </w:rPr>
            </w:pPr>
            <w:r>
              <w:rPr>
                <w:rFonts w:hint="eastAsia" w:cs="Times New Roman"/>
                <w:b/>
                <w:bCs/>
                <w:color w:val="auto"/>
                <w:sz w:val="24"/>
                <w:lang w:val="en-US" w:eastAsia="zh-CN"/>
              </w:rPr>
              <w:t>7.2.2土地平整</w:t>
            </w:r>
          </w:p>
          <w:p w14:paraId="324BEDD6">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b/>
                <w:bCs/>
                <w:color w:val="auto"/>
                <w:sz w:val="24"/>
                <w:lang w:val="en-US" w:eastAsia="zh-CN"/>
              </w:rPr>
            </w:pPr>
            <w:r>
              <w:rPr>
                <w:rFonts w:hint="eastAsia" w:ascii="宋体" w:hAnsi="宋体" w:eastAsia="宋体" w:cs="宋体"/>
                <w:color w:val="000000"/>
                <w:kern w:val="0"/>
                <w:sz w:val="24"/>
                <w:szCs w:val="24"/>
                <w:lang w:val="en-US" w:eastAsia="zh-CN" w:bidi="ar"/>
              </w:rPr>
              <w:t>待拆除、清运施工完成后，以平整单元内部土方挖填平衡为基础，利用推土机对场地进行平整，推平地面高低不平区域，平整厚度约</w:t>
            </w:r>
            <w:r>
              <w:rPr>
                <w:rFonts w:hint="default" w:ascii="Times New Roman" w:hAnsi="Times New Roman" w:eastAsia="宋体" w:cs="Times New Roman"/>
                <w:color w:val="auto"/>
                <w:kern w:val="0"/>
                <w:sz w:val="24"/>
                <w:szCs w:val="24"/>
                <w:lang w:val="en-US" w:eastAsia="zh-CN" w:bidi="ar-SA"/>
              </w:rPr>
              <w:t>15</w:t>
            </w:r>
            <w:r>
              <w:rPr>
                <w:rFonts w:hint="eastAsia" w:ascii="宋体" w:hAnsi="宋体" w:eastAsia="宋体" w:cs="宋体"/>
                <w:color w:val="000000"/>
                <w:kern w:val="0"/>
                <w:sz w:val="24"/>
                <w:szCs w:val="24"/>
                <w:lang w:val="en-US" w:eastAsia="zh-CN" w:bidi="ar"/>
              </w:rPr>
              <w:t>厘米，平整后地面坡度达到复垦质量要求。</w:t>
            </w:r>
            <w:r>
              <w:rPr>
                <w:rFonts w:hint="eastAsia" w:ascii="宋体" w:hAnsi="宋体" w:eastAsia="宋体" w:cs="宋体"/>
                <w:color w:val="auto"/>
                <w:kern w:val="0"/>
                <w:sz w:val="24"/>
                <w:szCs w:val="24"/>
                <w:lang w:val="en-US" w:eastAsia="zh-CN" w:bidi="ar"/>
              </w:rPr>
              <w:t>依此设计测算，面积为</w:t>
            </w:r>
            <w:r>
              <w:rPr>
                <w:rFonts w:hint="eastAsia" w:cs="Times New Roman"/>
                <w:color w:val="auto"/>
                <w:kern w:val="0"/>
                <w:sz w:val="24"/>
                <w:szCs w:val="24"/>
                <w:lang w:val="en-US" w:eastAsia="zh-CN" w:bidi="ar-SA"/>
              </w:rPr>
              <w:t>2.7658</w:t>
            </w:r>
            <w:r>
              <w:rPr>
                <w:rFonts w:hint="eastAsia" w:ascii="宋体" w:hAnsi="宋体" w:eastAsia="宋体" w:cs="宋体"/>
                <w:color w:val="auto"/>
                <w:kern w:val="0"/>
                <w:sz w:val="24"/>
                <w:szCs w:val="24"/>
                <w:lang w:val="en-US" w:eastAsia="zh-CN" w:bidi="ar"/>
              </w:rPr>
              <w:t>公顷，平整工程量约为</w:t>
            </w:r>
            <w:r>
              <w:rPr>
                <w:rFonts w:hint="default" w:ascii="Times New Roman" w:hAnsi="Times New Roman" w:eastAsia="宋体" w:cs="Times New Roman"/>
                <w:color w:val="auto"/>
                <w:kern w:val="0"/>
                <w:sz w:val="24"/>
                <w:szCs w:val="24"/>
                <w:lang w:val="en-US" w:eastAsia="zh-CN" w:bidi="ar-SA"/>
              </w:rPr>
              <w:t>800</w:t>
            </w:r>
            <w:r>
              <w:rPr>
                <w:rFonts w:hint="eastAsia" w:ascii="宋体" w:hAnsi="宋体" w:eastAsia="宋体" w:cs="宋体"/>
                <w:color w:val="auto"/>
                <w:kern w:val="0"/>
                <w:sz w:val="24"/>
                <w:szCs w:val="24"/>
                <w:lang w:val="en-US" w:eastAsia="zh-CN" w:bidi="ar"/>
              </w:rPr>
              <w:t>立方米</w:t>
            </w:r>
            <w:r>
              <w:rPr>
                <w:rFonts w:hint="eastAsia" w:ascii="宋体" w:hAnsi="宋体" w:eastAsia="宋体" w:cs="宋体"/>
                <w:color w:val="000000"/>
                <w:kern w:val="0"/>
                <w:sz w:val="24"/>
                <w:szCs w:val="24"/>
                <w:lang w:val="en-US" w:eastAsia="zh-CN" w:bidi="ar"/>
              </w:rPr>
              <w:t>。撒播草籽</w:t>
            </w:r>
            <w:r>
              <w:rPr>
                <w:rFonts w:hint="default" w:ascii="Times New Roman" w:hAnsi="Times New Roman" w:eastAsia="宋体" w:cs="Times New Roman"/>
                <w:color w:val="auto"/>
                <w:kern w:val="0"/>
                <w:sz w:val="24"/>
                <w:szCs w:val="24"/>
                <w:lang w:val="en-US" w:eastAsia="zh-CN" w:bidi="ar-SA"/>
              </w:rPr>
              <w:t>50</w:t>
            </w:r>
            <w:r>
              <w:rPr>
                <w:rFonts w:hint="eastAsia" w:ascii="宋体" w:hAnsi="宋体" w:eastAsia="宋体" w:cs="宋体"/>
                <w:color w:val="000000"/>
                <w:kern w:val="0"/>
                <w:sz w:val="24"/>
                <w:szCs w:val="24"/>
                <w:lang w:val="en-US" w:eastAsia="zh-CN" w:bidi="ar"/>
              </w:rPr>
              <w:t>公斤</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公顷。</w:t>
            </w:r>
          </w:p>
          <w:p w14:paraId="4E0FE502">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8</w:t>
            </w:r>
            <w:r>
              <w:rPr>
                <w:rFonts w:hint="eastAsia" w:ascii="Times New Roman" w:hAnsi="Times New Roman" w:eastAsia="宋体" w:cs="Times New Roman"/>
                <w:b/>
                <w:bCs/>
                <w:color w:val="auto"/>
                <w:sz w:val="24"/>
              </w:rPr>
              <w:t>.环境风险</w:t>
            </w:r>
          </w:p>
          <w:p w14:paraId="055117C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环境风险评价不是一次性的活动，而需要持续进行监测和预警。通过定期监测风险源和环境状况，及时发现潜在的风险问题。同时，建立预警系统，对可能出现的风险进行预警，以便及时采取应对措施。</w:t>
            </w:r>
          </w:p>
          <w:p w14:paraId="47D46ED6">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8</w:t>
            </w:r>
            <w:r>
              <w:rPr>
                <w:rFonts w:hint="default" w:ascii="Times New Roman" w:hAnsi="Times New Roman" w:eastAsia="宋体" w:cs="Times New Roman"/>
                <w:b/>
                <w:bCs/>
                <w:color w:val="auto"/>
                <w:sz w:val="24"/>
              </w:rPr>
              <w:t xml:space="preserve">.1环境风险潜势初判 </w:t>
            </w:r>
          </w:p>
          <w:p w14:paraId="4870B5B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根据建设项目涉及的物质和工艺系统危险性及其所在地的环境敏感程度，结合事故情形下环境影响途径，对建设项目潜在环境危害程度进行概化分析，按照表4-</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4</w:t>
            </w:r>
            <w:r>
              <w:rPr>
                <w:rFonts w:ascii="Times New Roman" w:hAnsi="Times New Roman" w:eastAsia="宋体" w:cs="Times New Roman"/>
                <w:color w:val="auto"/>
                <w:kern w:val="0"/>
                <w:sz w:val="24"/>
              </w:rPr>
              <w:t>确定环境风险潜势。</w:t>
            </w:r>
          </w:p>
          <w:p w14:paraId="54D9F56D">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ascii="Times New Roman" w:hAnsi="Times New Roman" w:eastAsia="宋体" w:cs="Times New Roman"/>
                <w:color w:val="auto"/>
              </w:rPr>
              <w:t>1</w:t>
            </w:r>
            <w:r>
              <w:rPr>
                <w:rFonts w:hint="eastAsia" w:cs="Times New Roman"/>
                <w:color w:val="auto"/>
                <w:lang w:val="en-US" w:eastAsia="zh-CN"/>
              </w:rPr>
              <w:t>4</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建设项目环境风险潜势划分一览表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154"/>
              <w:gridCol w:w="1459"/>
              <w:gridCol w:w="1462"/>
              <w:gridCol w:w="1470"/>
            </w:tblGrid>
            <w:tr w14:paraId="0A78D0F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9" w:type="pct"/>
                  <w:vMerge w:val="restart"/>
                  <w:vAlign w:val="center"/>
                </w:tcPr>
                <w:p w14:paraId="26FFCFA1">
                  <w:pPr>
                    <w:jc w:val="center"/>
                    <w:rPr>
                      <w:b/>
                      <w:bCs/>
                      <w:color w:val="auto"/>
                      <w:sz w:val="21"/>
                      <w:szCs w:val="21"/>
                    </w:rPr>
                  </w:pPr>
                  <w:r>
                    <w:rPr>
                      <w:b/>
                      <w:bCs/>
                      <w:color w:val="auto"/>
                      <w:sz w:val="21"/>
                      <w:szCs w:val="21"/>
                    </w:rPr>
                    <w:t>环境敏感度（E）</w:t>
                  </w:r>
                </w:p>
              </w:tc>
              <w:tc>
                <w:tcPr>
                  <w:tcW w:w="3490" w:type="pct"/>
                  <w:gridSpan w:val="4"/>
                  <w:vAlign w:val="center"/>
                </w:tcPr>
                <w:p w14:paraId="73EAF7E3">
                  <w:pPr>
                    <w:jc w:val="center"/>
                    <w:rPr>
                      <w:b/>
                      <w:bCs/>
                      <w:color w:val="auto"/>
                      <w:sz w:val="21"/>
                      <w:szCs w:val="21"/>
                    </w:rPr>
                  </w:pPr>
                  <w:r>
                    <w:rPr>
                      <w:b/>
                      <w:bCs/>
                      <w:color w:val="auto"/>
                      <w:sz w:val="21"/>
                      <w:szCs w:val="21"/>
                    </w:rPr>
                    <w:t>危险物质及工艺系统危险性（P）</w:t>
                  </w:r>
                </w:p>
              </w:tc>
            </w:tr>
            <w:tr w14:paraId="40B4FC9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9" w:type="pct"/>
                  <w:vMerge w:val="continue"/>
                  <w:tcBorders>
                    <w:bottom w:val="single" w:color="000000" w:sz="12" w:space="0"/>
                  </w:tcBorders>
                  <w:vAlign w:val="center"/>
                </w:tcPr>
                <w:p w14:paraId="568FFF03">
                  <w:pPr>
                    <w:jc w:val="center"/>
                    <w:rPr>
                      <w:b/>
                      <w:bCs/>
                      <w:color w:val="auto"/>
                      <w:sz w:val="21"/>
                      <w:szCs w:val="21"/>
                    </w:rPr>
                  </w:pPr>
                </w:p>
              </w:tc>
              <w:tc>
                <w:tcPr>
                  <w:tcW w:w="726" w:type="pct"/>
                  <w:tcBorders>
                    <w:bottom w:val="single" w:color="000000" w:sz="12" w:space="0"/>
                  </w:tcBorders>
                  <w:vAlign w:val="center"/>
                </w:tcPr>
                <w:p w14:paraId="6DDF4B31">
                  <w:pPr>
                    <w:jc w:val="center"/>
                    <w:rPr>
                      <w:b/>
                      <w:bCs/>
                      <w:color w:val="auto"/>
                      <w:sz w:val="21"/>
                      <w:szCs w:val="21"/>
                    </w:rPr>
                  </w:pPr>
                  <w:r>
                    <w:rPr>
                      <w:b/>
                      <w:bCs/>
                      <w:color w:val="auto"/>
                      <w:sz w:val="21"/>
                      <w:szCs w:val="21"/>
                    </w:rPr>
                    <w:t>极高危害（P1）</w:t>
                  </w:r>
                </w:p>
              </w:tc>
              <w:tc>
                <w:tcPr>
                  <w:tcW w:w="918" w:type="pct"/>
                  <w:tcBorders>
                    <w:bottom w:val="single" w:color="000000" w:sz="12" w:space="0"/>
                  </w:tcBorders>
                  <w:vAlign w:val="center"/>
                </w:tcPr>
                <w:p w14:paraId="403A0CBC">
                  <w:pPr>
                    <w:jc w:val="center"/>
                    <w:rPr>
                      <w:b/>
                      <w:bCs/>
                      <w:color w:val="auto"/>
                      <w:sz w:val="21"/>
                      <w:szCs w:val="21"/>
                    </w:rPr>
                  </w:pPr>
                  <w:r>
                    <w:rPr>
                      <w:b/>
                      <w:bCs/>
                      <w:color w:val="auto"/>
                      <w:sz w:val="21"/>
                      <w:szCs w:val="21"/>
                    </w:rPr>
                    <w:t>高度危害（P2）</w:t>
                  </w:r>
                </w:p>
              </w:tc>
              <w:tc>
                <w:tcPr>
                  <w:tcW w:w="920" w:type="pct"/>
                  <w:tcBorders>
                    <w:bottom w:val="single" w:color="000000" w:sz="12" w:space="0"/>
                  </w:tcBorders>
                  <w:vAlign w:val="center"/>
                </w:tcPr>
                <w:p w14:paraId="3531C80F">
                  <w:pPr>
                    <w:jc w:val="center"/>
                    <w:rPr>
                      <w:b/>
                      <w:bCs/>
                      <w:color w:val="auto"/>
                      <w:sz w:val="21"/>
                      <w:szCs w:val="21"/>
                    </w:rPr>
                  </w:pPr>
                  <w:r>
                    <w:rPr>
                      <w:b/>
                      <w:bCs/>
                      <w:color w:val="auto"/>
                      <w:sz w:val="21"/>
                      <w:szCs w:val="21"/>
                    </w:rPr>
                    <w:t>中度危害（P3）</w:t>
                  </w:r>
                </w:p>
              </w:tc>
              <w:tc>
                <w:tcPr>
                  <w:tcW w:w="925" w:type="pct"/>
                  <w:tcBorders>
                    <w:bottom w:val="single" w:color="000000" w:sz="12" w:space="0"/>
                  </w:tcBorders>
                  <w:vAlign w:val="center"/>
                </w:tcPr>
                <w:p w14:paraId="639A0F4E">
                  <w:pPr>
                    <w:jc w:val="center"/>
                    <w:rPr>
                      <w:b/>
                      <w:bCs/>
                      <w:color w:val="auto"/>
                      <w:sz w:val="21"/>
                      <w:szCs w:val="21"/>
                    </w:rPr>
                  </w:pPr>
                  <w:r>
                    <w:rPr>
                      <w:b/>
                      <w:bCs/>
                      <w:color w:val="auto"/>
                      <w:sz w:val="21"/>
                      <w:szCs w:val="21"/>
                    </w:rPr>
                    <w:t>轻度危害（P4）</w:t>
                  </w:r>
                </w:p>
              </w:tc>
            </w:tr>
            <w:tr w14:paraId="5F4AD4D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9" w:type="pct"/>
                  <w:tcBorders>
                    <w:top w:val="single" w:color="000000" w:sz="12" w:space="0"/>
                  </w:tcBorders>
                  <w:vAlign w:val="center"/>
                </w:tcPr>
                <w:p w14:paraId="68973259">
                  <w:pPr>
                    <w:jc w:val="center"/>
                    <w:rPr>
                      <w:color w:val="auto"/>
                      <w:sz w:val="21"/>
                      <w:szCs w:val="21"/>
                    </w:rPr>
                  </w:pPr>
                  <w:r>
                    <w:rPr>
                      <w:color w:val="auto"/>
                      <w:sz w:val="21"/>
                      <w:szCs w:val="21"/>
                    </w:rPr>
                    <w:t>环境高度敏感区（E1）</w:t>
                  </w:r>
                </w:p>
              </w:tc>
              <w:tc>
                <w:tcPr>
                  <w:tcW w:w="726" w:type="pct"/>
                  <w:tcBorders>
                    <w:top w:val="single" w:color="000000" w:sz="12" w:space="0"/>
                  </w:tcBorders>
                  <w:vAlign w:val="center"/>
                </w:tcPr>
                <w:p w14:paraId="6303D59D">
                  <w:pPr>
                    <w:jc w:val="center"/>
                    <w:rPr>
                      <w:color w:val="auto"/>
                      <w:sz w:val="21"/>
                      <w:szCs w:val="21"/>
                    </w:rPr>
                  </w:pPr>
                  <w:r>
                    <w:rPr>
                      <w:color w:val="auto"/>
                      <w:sz w:val="21"/>
                      <w:szCs w:val="21"/>
                    </w:rPr>
                    <w:t>IV</w:t>
                  </w:r>
                  <w:r>
                    <w:rPr>
                      <w:color w:val="auto"/>
                      <w:sz w:val="21"/>
                      <w:szCs w:val="21"/>
                      <w:vertAlign w:val="superscript"/>
                    </w:rPr>
                    <w:t>＋</w:t>
                  </w:r>
                </w:p>
              </w:tc>
              <w:tc>
                <w:tcPr>
                  <w:tcW w:w="918" w:type="pct"/>
                  <w:tcBorders>
                    <w:top w:val="single" w:color="000000" w:sz="12" w:space="0"/>
                  </w:tcBorders>
                  <w:vAlign w:val="center"/>
                </w:tcPr>
                <w:p w14:paraId="1DD0D153">
                  <w:pPr>
                    <w:jc w:val="center"/>
                    <w:rPr>
                      <w:color w:val="auto"/>
                      <w:sz w:val="21"/>
                      <w:szCs w:val="21"/>
                    </w:rPr>
                  </w:pPr>
                  <w:r>
                    <w:rPr>
                      <w:color w:val="auto"/>
                      <w:sz w:val="21"/>
                      <w:szCs w:val="21"/>
                    </w:rPr>
                    <w:t>IV</w:t>
                  </w:r>
                </w:p>
              </w:tc>
              <w:tc>
                <w:tcPr>
                  <w:tcW w:w="920" w:type="pct"/>
                  <w:tcBorders>
                    <w:top w:val="single" w:color="000000" w:sz="12" w:space="0"/>
                  </w:tcBorders>
                  <w:vAlign w:val="center"/>
                </w:tcPr>
                <w:p w14:paraId="696CDF5E">
                  <w:pPr>
                    <w:jc w:val="center"/>
                    <w:rPr>
                      <w:color w:val="auto"/>
                      <w:sz w:val="21"/>
                      <w:szCs w:val="21"/>
                    </w:rPr>
                  </w:pPr>
                  <w:r>
                    <w:rPr>
                      <w:color w:val="auto"/>
                      <w:sz w:val="21"/>
                      <w:szCs w:val="21"/>
                    </w:rPr>
                    <w:t>III</w:t>
                  </w:r>
                </w:p>
              </w:tc>
              <w:tc>
                <w:tcPr>
                  <w:tcW w:w="925" w:type="pct"/>
                  <w:tcBorders>
                    <w:top w:val="single" w:color="000000" w:sz="12" w:space="0"/>
                  </w:tcBorders>
                  <w:vAlign w:val="center"/>
                </w:tcPr>
                <w:p w14:paraId="13137F2F">
                  <w:pPr>
                    <w:jc w:val="center"/>
                    <w:rPr>
                      <w:color w:val="auto"/>
                      <w:sz w:val="21"/>
                      <w:szCs w:val="21"/>
                    </w:rPr>
                  </w:pPr>
                  <w:r>
                    <w:rPr>
                      <w:color w:val="auto"/>
                      <w:sz w:val="21"/>
                      <w:szCs w:val="21"/>
                    </w:rPr>
                    <w:t>III</w:t>
                  </w:r>
                </w:p>
              </w:tc>
            </w:tr>
            <w:tr w14:paraId="0BA3B7B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9" w:type="pct"/>
                  <w:vAlign w:val="center"/>
                </w:tcPr>
                <w:p w14:paraId="65A12E24">
                  <w:pPr>
                    <w:jc w:val="center"/>
                    <w:rPr>
                      <w:color w:val="auto"/>
                      <w:sz w:val="21"/>
                      <w:szCs w:val="21"/>
                    </w:rPr>
                  </w:pPr>
                  <w:r>
                    <w:rPr>
                      <w:color w:val="auto"/>
                      <w:sz w:val="21"/>
                      <w:szCs w:val="21"/>
                    </w:rPr>
                    <w:t>环境中度敏感区（E2）</w:t>
                  </w:r>
                </w:p>
              </w:tc>
              <w:tc>
                <w:tcPr>
                  <w:tcW w:w="726" w:type="pct"/>
                  <w:vAlign w:val="center"/>
                </w:tcPr>
                <w:p w14:paraId="3DDB3869">
                  <w:pPr>
                    <w:jc w:val="center"/>
                    <w:rPr>
                      <w:color w:val="auto"/>
                      <w:sz w:val="21"/>
                      <w:szCs w:val="21"/>
                    </w:rPr>
                  </w:pPr>
                  <w:r>
                    <w:rPr>
                      <w:color w:val="auto"/>
                      <w:sz w:val="21"/>
                      <w:szCs w:val="21"/>
                    </w:rPr>
                    <w:t>IV</w:t>
                  </w:r>
                </w:p>
              </w:tc>
              <w:tc>
                <w:tcPr>
                  <w:tcW w:w="918" w:type="pct"/>
                  <w:vAlign w:val="center"/>
                </w:tcPr>
                <w:p w14:paraId="489EA917">
                  <w:pPr>
                    <w:jc w:val="center"/>
                    <w:rPr>
                      <w:color w:val="auto"/>
                      <w:sz w:val="21"/>
                      <w:szCs w:val="21"/>
                    </w:rPr>
                  </w:pPr>
                  <w:r>
                    <w:rPr>
                      <w:color w:val="auto"/>
                      <w:sz w:val="21"/>
                      <w:szCs w:val="21"/>
                    </w:rPr>
                    <w:t>III</w:t>
                  </w:r>
                </w:p>
              </w:tc>
              <w:tc>
                <w:tcPr>
                  <w:tcW w:w="920" w:type="pct"/>
                  <w:vAlign w:val="center"/>
                </w:tcPr>
                <w:p w14:paraId="6B219C1F">
                  <w:pPr>
                    <w:jc w:val="center"/>
                    <w:rPr>
                      <w:color w:val="auto"/>
                      <w:sz w:val="21"/>
                      <w:szCs w:val="21"/>
                    </w:rPr>
                  </w:pPr>
                  <w:r>
                    <w:rPr>
                      <w:color w:val="auto"/>
                      <w:sz w:val="21"/>
                      <w:szCs w:val="21"/>
                    </w:rPr>
                    <w:t>III</w:t>
                  </w:r>
                </w:p>
              </w:tc>
              <w:tc>
                <w:tcPr>
                  <w:tcW w:w="925" w:type="pct"/>
                  <w:vAlign w:val="center"/>
                </w:tcPr>
                <w:p w14:paraId="1A5308D6">
                  <w:pPr>
                    <w:jc w:val="center"/>
                    <w:rPr>
                      <w:color w:val="auto"/>
                      <w:sz w:val="21"/>
                      <w:szCs w:val="21"/>
                    </w:rPr>
                  </w:pPr>
                  <w:r>
                    <w:rPr>
                      <w:color w:val="auto"/>
                      <w:sz w:val="21"/>
                      <w:szCs w:val="21"/>
                    </w:rPr>
                    <w:t>II</w:t>
                  </w:r>
                </w:p>
              </w:tc>
            </w:tr>
            <w:tr w14:paraId="36A8CB28">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9" w:type="pct"/>
                  <w:vAlign w:val="center"/>
                </w:tcPr>
                <w:p w14:paraId="64F166D7">
                  <w:pPr>
                    <w:jc w:val="center"/>
                    <w:rPr>
                      <w:color w:val="auto"/>
                      <w:sz w:val="21"/>
                      <w:szCs w:val="21"/>
                    </w:rPr>
                  </w:pPr>
                  <w:r>
                    <w:rPr>
                      <w:color w:val="auto"/>
                      <w:sz w:val="21"/>
                      <w:szCs w:val="21"/>
                    </w:rPr>
                    <w:t>环境低度敏感区（E3）</w:t>
                  </w:r>
                </w:p>
              </w:tc>
              <w:tc>
                <w:tcPr>
                  <w:tcW w:w="726" w:type="pct"/>
                  <w:vAlign w:val="center"/>
                </w:tcPr>
                <w:p w14:paraId="457170CD">
                  <w:pPr>
                    <w:jc w:val="center"/>
                    <w:rPr>
                      <w:color w:val="auto"/>
                      <w:sz w:val="21"/>
                      <w:szCs w:val="21"/>
                    </w:rPr>
                  </w:pPr>
                  <w:r>
                    <w:rPr>
                      <w:color w:val="auto"/>
                      <w:sz w:val="21"/>
                      <w:szCs w:val="21"/>
                    </w:rPr>
                    <w:t>III</w:t>
                  </w:r>
                </w:p>
              </w:tc>
              <w:tc>
                <w:tcPr>
                  <w:tcW w:w="918" w:type="pct"/>
                  <w:vAlign w:val="center"/>
                </w:tcPr>
                <w:p w14:paraId="7AAE26A2">
                  <w:pPr>
                    <w:jc w:val="center"/>
                    <w:rPr>
                      <w:color w:val="auto"/>
                      <w:sz w:val="21"/>
                      <w:szCs w:val="21"/>
                    </w:rPr>
                  </w:pPr>
                  <w:r>
                    <w:rPr>
                      <w:color w:val="auto"/>
                      <w:sz w:val="21"/>
                      <w:szCs w:val="21"/>
                    </w:rPr>
                    <w:t>III</w:t>
                  </w:r>
                </w:p>
              </w:tc>
              <w:tc>
                <w:tcPr>
                  <w:tcW w:w="920" w:type="pct"/>
                  <w:vAlign w:val="center"/>
                </w:tcPr>
                <w:p w14:paraId="2AB73565">
                  <w:pPr>
                    <w:jc w:val="center"/>
                    <w:rPr>
                      <w:color w:val="auto"/>
                      <w:sz w:val="21"/>
                      <w:szCs w:val="21"/>
                    </w:rPr>
                  </w:pPr>
                  <w:r>
                    <w:rPr>
                      <w:color w:val="auto"/>
                      <w:sz w:val="21"/>
                      <w:szCs w:val="21"/>
                    </w:rPr>
                    <w:t>II</w:t>
                  </w:r>
                </w:p>
              </w:tc>
              <w:tc>
                <w:tcPr>
                  <w:tcW w:w="925" w:type="pct"/>
                  <w:vAlign w:val="center"/>
                </w:tcPr>
                <w:p w14:paraId="2A14A52D">
                  <w:pPr>
                    <w:jc w:val="center"/>
                    <w:rPr>
                      <w:color w:val="auto"/>
                      <w:sz w:val="21"/>
                      <w:szCs w:val="21"/>
                    </w:rPr>
                  </w:pPr>
                  <w:r>
                    <w:rPr>
                      <w:color w:val="auto"/>
                      <w:sz w:val="21"/>
                      <w:szCs w:val="21"/>
                    </w:rPr>
                    <w:t>I</w:t>
                  </w:r>
                </w:p>
              </w:tc>
            </w:tr>
          </w:tbl>
          <w:p w14:paraId="223729C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根据《建设项目环境风险评价技术导则》（HJ 169-2018）附录C及附录D确定危险物质及工艺系统危险性（P）及环境敏感程度（E）。其中危险物质及工艺系统危险性（P）由危险物质数量与临界量比值（Q）、行业及生产工艺（M）确定。</w:t>
            </w:r>
          </w:p>
          <w:p w14:paraId="72AE8B3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本项目涉及环境风险的物质为</w:t>
            </w:r>
            <w:r>
              <w:rPr>
                <w:rFonts w:hint="eastAsia" w:ascii="Times New Roman" w:hAnsi="Times New Roman" w:eastAsia="宋体" w:cs="Times New Roman"/>
                <w:color w:val="auto"/>
                <w:kern w:val="0"/>
                <w:sz w:val="24"/>
              </w:rPr>
              <w:t>废机油</w:t>
            </w:r>
            <w:r>
              <w:rPr>
                <w:rFonts w:ascii="Times New Roman" w:hAnsi="Times New Roman" w:eastAsia="宋体" w:cs="Times New Roman"/>
                <w:color w:val="auto"/>
                <w:kern w:val="0"/>
                <w:sz w:val="24"/>
              </w:rPr>
              <w:t>，根据《建设项目环境风险评价技术导则》（HJ</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169-2018）附录C规定与其在附录B对应临界量，当存在多种危险物质时，物质总量与其临界量比值</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Q</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结果见下表</w:t>
            </w:r>
            <w:r>
              <w:rPr>
                <w:rFonts w:hint="eastAsia" w:cs="Times New Roman"/>
                <w:color w:val="auto"/>
                <w:kern w:val="0"/>
                <w:sz w:val="24"/>
                <w:lang w:val="en-US" w:eastAsia="zh-CN"/>
              </w:rPr>
              <w:t>4-15</w:t>
            </w:r>
            <w:r>
              <w:rPr>
                <w:rFonts w:ascii="Times New Roman" w:hAnsi="Times New Roman" w:eastAsia="宋体" w:cs="Times New Roman"/>
                <w:color w:val="auto"/>
                <w:kern w:val="0"/>
                <w:sz w:val="24"/>
              </w:rPr>
              <w:t>。</w:t>
            </w:r>
          </w:p>
          <w:p w14:paraId="1D035258">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表4-1</w:t>
            </w:r>
            <w:r>
              <w:rPr>
                <w:rFonts w:hint="eastAsia" w:cs="Times New Roman"/>
                <w:color w:val="auto"/>
                <w:lang w:val="en-US" w:eastAsia="zh-CN"/>
              </w:rPr>
              <w:t>5</w:t>
            </w:r>
            <w:r>
              <w:rPr>
                <w:rFonts w:hint="default" w:ascii="Times New Roman" w:hAnsi="Times New Roman" w:eastAsia="宋体" w:cs="Times New Roman"/>
                <w:color w:val="auto"/>
              </w:rPr>
              <w:t xml:space="preserve">    临界量比值 </w:t>
            </w:r>
          </w:p>
          <w:tbl>
            <w:tblPr>
              <w:tblStyle w:val="21"/>
              <w:tblW w:w="4998" w:type="pct"/>
              <w:jc w:val="center"/>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91"/>
              <w:gridCol w:w="1591"/>
            </w:tblGrid>
            <w:tr w14:paraId="459D7A62">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tcBorders>
                    <w:top w:val="single" w:color="000000" w:sz="12" w:space="0"/>
                    <w:bottom w:val="single" w:color="000000" w:sz="12" w:space="0"/>
                  </w:tcBorders>
                  <w:vAlign w:val="center"/>
                </w:tcPr>
                <w:p w14:paraId="14717D18">
                  <w:pPr>
                    <w:jc w:val="center"/>
                    <w:rPr>
                      <w:b/>
                      <w:bCs/>
                      <w:color w:val="auto"/>
                      <w:sz w:val="21"/>
                      <w:szCs w:val="21"/>
                    </w:rPr>
                  </w:pPr>
                  <w:r>
                    <w:rPr>
                      <w:b/>
                      <w:bCs/>
                      <w:color w:val="auto"/>
                      <w:sz w:val="21"/>
                      <w:szCs w:val="21"/>
                    </w:rPr>
                    <w:t xml:space="preserve">序号 </w:t>
                  </w:r>
                </w:p>
              </w:tc>
              <w:tc>
                <w:tcPr>
                  <w:tcW w:w="999" w:type="pct"/>
                  <w:tcBorders>
                    <w:top w:val="single" w:color="000000" w:sz="12" w:space="0"/>
                    <w:bottom w:val="single" w:color="000000" w:sz="12" w:space="0"/>
                  </w:tcBorders>
                  <w:vAlign w:val="center"/>
                </w:tcPr>
                <w:p w14:paraId="05190B21">
                  <w:pPr>
                    <w:jc w:val="center"/>
                    <w:rPr>
                      <w:b/>
                      <w:bCs/>
                      <w:color w:val="auto"/>
                      <w:sz w:val="21"/>
                      <w:szCs w:val="21"/>
                    </w:rPr>
                  </w:pPr>
                  <w:r>
                    <w:rPr>
                      <w:b/>
                      <w:bCs/>
                      <w:color w:val="auto"/>
                      <w:sz w:val="21"/>
                      <w:szCs w:val="21"/>
                    </w:rPr>
                    <w:t xml:space="preserve">原料 </w:t>
                  </w:r>
                </w:p>
              </w:tc>
              <w:tc>
                <w:tcPr>
                  <w:tcW w:w="999" w:type="pct"/>
                  <w:tcBorders>
                    <w:top w:val="single" w:color="000000" w:sz="12" w:space="0"/>
                    <w:bottom w:val="single" w:color="000000" w:sz="12" w:space="0"/>
                  </w:tcBorders>
                  <w:vAlign w:val="center"/>
                </w:tcPr>
                <w:p w14:paraId="6AA7330B">
                  <w:pPr>
                    <w:jc w:val="center"/>
                    <w:rPr>
                      <w:b/>
                      <w:bCs/>
                      <w:color w:val="auto"/>
                      <w:sz w:val="21"/>
                      <w:szCs w:val="21"/>
                    </w:rPr>
                  </w:pPr>
                  <w:r>
                    <w:rPr>
                      <w:b/>
                      <w:bCs/>
                      <w:color w:val="auto"/>
                      <w:sz w:val="21"/>
                      <w:szCs w:val="21"/>
                    </w:rPr>
                    <w:t xml:space="preserve">最大储量（t） </w:t>
                  </w:r>
                </w:p>
              </w:tc>
              <w:tc>
                <w:tcPr>
                  <w:tcW w:w="1001" w:type="pct"/>
                  <w:tcBorders>
                    <w:top w:val="single" w:color="000000" w:sz="12" w:space="0"/>
                    <w:bottom w:val="single" w:color="000000" w:sz="12" w:space="0"/>
                  </w:tcBorders>
                  <w:vAlign w:val="center"/>
                </w:tcPr>
                <w:p w14:paraId="1A7B882D">
                  <w:pPr>
                    <w:jc w:val="center"/>
                    <w:rPr>
                      <w:b/>
                      <w:bCs/>
                      <w:color w:val="auto"/>
                      <w:sz w:val="21"/>
                      <w:szCs w:val="21"/>
                    </w:rPr>
                  </w:pPr>
                  <w:r>
                    <w:rPr>
                      <w:b/>
                      <w:bCs/>
                      <w:color w:val="auto"/>
                      <w:sz w:val="21"/>
                      <w:szCs w:val="21"/>
                    </w:rPr>
                    <w:t xml:space="preserve">临界量（t） </w:t>
                  </w:r>
                </w:p>
              </w:tc>
              <w:tc>
                <w:tcPr>
                  <w:tcW w:w="1001" w:type="pct"/>
                  <w:tcBorders>
                    <w:top w:val="single" w:color="000000" w:sz="12" w:space="0"/>
                    <w:bottom w:val="single" w:color="000000" w:sz="12" w:space="0"/>
                  </w:tcBorders>
                  <w:vAlign w:val="center"/>
                </w:tcPr>
                <w:p w14:paraId="231A13BC">
                  <w:pPr>
                    <w:jc w:val="center"/>
                    <w:rPr>
                      <w:b/>
                      <w:bCs/>
                      <w:color w:val="auto"/>
                      <w:sz w:val="21"/>
                      <w:szCs w:val="21"/>
                    </w:rPr>
                  </w:pPr>
                  <w:r>
                    <w:rPr>
                      <w:b/>
                      <w:bCs/>
                      <w:color w:val="auto"/>
                      <w:sz w:val="21"/>
                      <w:szCs w:val="21"/>
                    </w:rPr>
                    <w:t xml:space="preserve">Q值 </w:t>
                  </w:r>
                </w:p>
              </w:tc>
            </w:tr>
            <w:tr w14:paraId="62D425FD">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pct"/>
                  <w:tcBorders>
                    <w:top w:val="single" w:color="000000" w:sz="12" w:space="0"/>
                  </w:tcBorders>
                  <w:vAlign w:val="center"/>
                </w:tcPr>
                <w:p w14:paraId="4F43A886">
                  <w:pPr>
                    <w:jc w:val="center"/>
                    <w:rPr>
                      <w:color w:val="auto"/>
                      <w:sz w:val="21"/>
                      <w:szCs w:val="21"/>
                    </w:rPr>
                  </w:pPr>
                  <w:r>
                    <w:rPr>
                      <w:color w:val="auto"/>
                      <w:sz w:val="21"/>
                      <w:szCs w:val="21"/>
                    </w:rPr>
                    <w:t>1</w:t>
                  </w:r>
                </w:p>
              </w:tc>
              <w:tc>
                <w:tcPr>
                  <w:tcW w:w="999" w:type="pct"/>
                  <w:tcBorders>
                    <w:top w:val="single" w:color="000000" w:sz="12" w:space="0"/>
                  </w:tcBorders>
                  <w:vAlign w:val="center"/>
                </w:tcPr>
                <w:p w14:paraId="1A97E6D3">
                  <w:pPr>
                    <w:jc w:val="center"/>
                    <w:rPr>
                      <w:color w:val="auto"/>
                      <w:sz w:val="21"/>
                      <w:szCs w:val="21"/>
                    </w:rPr>
                  </w:pPr>
                  <w:r>
                    <w:rPr>
                      <w:rFonts w:hint="eastAsia"/>
                      <w:color w:val="auto"/>
                      <w:sz w:val="21"/>
                      <w:szCs w:val="21"/>
                    </w:rPr>
                    <w:t>废机油</w:t>
                  </w:r>
                </w:p>
              </w:tc>
              <w:tc>
                <w:tcPr>
                  <w:tcW w:w="999" w:type="pct"/>
                  <w:tcBorders>
                    <w:top w:val="single" w:color="000000" w:sz="12" w:space="0"/>
                  </w:tcBorders>
                  <w:vAlign w:val="center"/>
                </w:tcPr>
                <w:p w14:paraId="2A337AFB">
                  <w:pPr>
                    <w:jc w:val="center"/>
                    <w:rPr>
                      <w:rFonts w:hint="eastAsia"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w:t>
                  </w:r>
                </w:p>
              </w:tc>
              <w:tc>
                <w:tcPr>
                  <w:tcW w:w="1001" w:type="pct"/>
                  <w:tcBorders>
                    <w:top w:val="single" w:color="000000" w:sz="12" w:space="0"/>
                  </w:tcBorders>
                  <w:vAlign w:val="center"/>
                </w:tcPr>
                <w:p w14:paraId="2CFF7634">
                  <w:pPr>
                    <w:jc w:val="center"/>
                    <w:rPr>
                      <w:color w:val="auto"/>
                      <w:sz w:val="21"/>
                      <w:szCs w:val="21"/>
                    </w:rPr>
                  </w:pPr>
                  <w:r>
                    <w:rPr>
                      <w:color w:val="auto"/>
                      <w:sz w:val="21"/>
                      <w:szCs w:val="21"/>
                    </w:rPr>
                    <w:t>2500</w:t>
                  </w:r>
                </w:p>
              </w:tc>
              <w:tc>
                <w:tcPr>
                  <w:tcW w:w="1001" w:type="pct"/>
                  <w:tcBorders>
                    <w:top w:val="single" w:color="000000" w:sz="12" w:space="0"/>
                  </w:tcBorders>
                  <w:vAlign w:val="center"/>
                </w:tcPr>
                <w:p w14:paraId="02B29E4A">
                  <w:pPr>
                    <w:jc w:val="center"/>
                    <w:rPr>
                      <w:color w:val="auto"/>
                      <w:sz w:val="21"/>
                      <w:szCs w:val="21"/>
                    </w:rPr>
                  </w:pPr>
                  <w:r>
                    <w:rPr>
                      <w:color w:val="auto"/>
                      <w:sz w:val="21"/>
                      <w:szCs w:val="21"/>
                    </w:rPr>
                    <w:t>0.0</w:t>
                  </w:r>
                  <w:r>
                    <w:rPr>
                      <w:rFonts w:hint="eastAsia"/>
                      <w:color w:val="auto"/>
                      <w:sz w:val="21"/>
                      <w:szCs w:val="21"/>
                    </w:rPr>
                    <w:t>00</w:t>
                  </w:r>
                  <w:r>
                    <w:rPr>
                      <w:rFonts w:hint="eastAsia"/>
                      <w:color w:val="auto"/>
                      <w:sz w:val="21"/>
                      <w:szCs w:val="21"/>
                      <w:lang w:val="en-US" w:eastAsia="zh-CN"/>
                    </w:rPr>
                    <w:t>0</w:t>
                  </w:r>
                  <w:r>
                    <w:rPr>
                      <w:rFonts w:hint="eastAsia"/>
                      <w:color w:val="auto"/>
                      <w:sz w:val="21"/>
                      <w:szCs w:val="21"/>
                    </w:rPr>
                    <w:t>4</w:t>
                  </w:r>
                </w:p>
              </w:tc>
            </w:tr>
            <w:tr w14:paraId="747B3F7C">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8" w:type="pct"/>
                  <w:gridSpan w:val="4"/>
                  <w:vAlign w:val="center"/>
                </w:tcPr>
                <w:p w14:paraId="123C53F9">
                  <w:pPr>
                    <w:jc w:val="center"/>
                    <w:rPr>
                      <w:color w:val="auto"/>
                      <w:sz w:val="21"/>
                      <w:szCs w:val="21"/>
                    </w:rPr>
                  </w:pPr>
                  <w:r>
                    <w:rPr>
                      <w:rFonts w:hint="eastAsia"/>
                      <w:color w:val="auto"/>
                      <w:sz w:val="21"/>
                      <w:szCs w:val="21"/>
                    </w:rPr>
                    <w:t>合计</w:t>
                  </w:r>
                </w:p>
              </w:tc>
              <w:tc>
                <w:tcPr>
                  <w:tcW w:w="1001" w:type="pct"/>
                  <w:vAlign w:val="center"/>
                </w:tcPr>
                <w:p w14:paraId="614EF3B7">
                  <w:pPr>
                    <w:jc w:val="center"/>
                    <w:rPr>
                      <w:color w:val="auto"/>
                      <w:sz w:val="21"/>
                      <w:szCs w:val="21"/>
                    </w:rPr>
                  </w:pPr>
                  <w:r>
                    <w:rPr>
                      <w:rFonts w:hint="eastAsia"/>
                      <w:color w:val="auto"/>
                      <w:sz w:val="21"/>
                      <w:szCs w:val="21"/>
                    </w:rPr>
                    <w:t>0.000</w:t>
                  </w:r>
                  <w:r>
                    <w:rPr>
                      <w:rFonts w:hint="eastAsia"/>
                      <w:color w:val="auto"/>
                      <w:sz w:val="21"/>
                      <w:szCs w:val="21"/>
                      <w:lang w:val="en-US" w:eastAsia="zh-CN"/>
                    </w:rPr>
                    <w:t>0</w:t>
                  </w:r>
                  <w:r>
                    <w:rPr>
                      <w:rFonts w:hint="eastAsia"/>
                      <w:color w:val="auto"/>
                      <w:sz w:val="21"/>
                      <w:szCs w:val="21"/>
                    </w:rPr>
                    <w:t>4</w:t>
                  </w:r>
                </w:p>
              </w:tc>
            </w:tr>
          </w:tbl>
          <w:p w14:paraId="439347DC">
            <w:pPr>
              <w:widowControl/>
              <w:spacing w:line="360" w:lineRule="auto"/>
              <w:ind w:firstLine="480" w:firstLineChars="200"/>
              <w:jc w:val="left"/>
              <w:rPr>
                <w:color w:val="auto"/>
              </w:rPr>
            </w:pPr>
            <w:r>
              <w:rPr>
                <w:rFonts w:ascii="Times New Roman" w:hAnsi="Times New Roman" w:eastAsia="宋体" w:cs="Times New Roman"/>
                <w:color w:val="auto"/>
                <w:kern w:val="0"/>
                <w:sz w:val="24"/>
              </w:rPr>
              <w:t>依据《建设项目环境风险评价技术导则》（HJ</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 xml:space="preserve">169-2018）附录C规范Q值计算过程，当单元内存在的危险物质为多品种时，则按下式进行计算。 </w:t>
            </w:r>
          </w:p>
          <w:p w14:paraId="4A85B99D">
            <w:pPr>
              <w:jc w:val="center"/>
              <w:rPr>
                <w:color w:val="auto"/>
              </w:rPr>
            </w:pPr>
            <w:r>
              <w:rPr>
                <w:color w:val="auto"/>
                <w:position w:val="-30"/>
              </w:rPr>
              <w:object>
                <v:shape id="_x0000_i1026" o:spt="75" type="#_x0000_t75" style="height:33.8pt;width:110.2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p>
          <w:p w14:paraId="7E8BE747">
            <w:pPr>
              <w:widowControl/>
              <w:wordWrap w:val="0"/>
              <w:adjustRightInd w:val="0"/>
              <w:spacing w:line="360" w:lineRule="auto"/>
              <w:ind w:firstLine="480" w:firstLineChars="200"/>
              <w:outlineLvl w:val="2"/>
              <w:rPr>
                <w:color w:val="auto"/>
                <w:sz w:val="24"/>
              </w:rPr>
            </w:pPr>
            <w:r>
              <w:rPr>
                <w:color w:val="auto"/>
                <w:sz w:val="24"/>
              </w:rPr>
              <w:t>式中：q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—每种危险物质的最大存在量，t；</w:t>
            </w:r>
          </w:p>
          <w:p w14:paraId="69E95915">
            <w:pPr>
              <w:widowControl/>
              <w:wordWrap w:val="0"/>
              <w:adjustRightInd w:val="0"/>
              <w:spacing w:line="360" w:lineRule="auto"/>
              <w:ind w:firstLine="1200" w:firstLineChars="500"/>
              <w:outlineLvl w:val="2"/>
              <w:rPr>
                <w:color w:val="auto"/>
                <w:sz w:val="24"/>
              </w:rPr>
            </w:pPr>
            <w:r>
              <w:rPr>
                <w:color w:val="auto"/>
                <w:sz w:val="24"/>
              </w:rPr>
              <w:t>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—每种危险物质的临界量，t；</w:t>
            </w:r>
          </w:p>
          <w:p w14:paraId="6C477247">
            <w:pPr>
              <w:widowControl/>
              <w:wordWrap w:val="0"/>
              <w:adjustRightInd w:val="0"/>
              <w:spacing w:line="360" w:lineRule="auto"/>
              <w:ind w:firstLine="480" w:firstLineChars="200"/>
              <w:outlineLvl w:val="2"/>
              <w:rPr>
                <w:color w:val="auto"/>
                <w:sz w:val="24"/>
              </w:rPr>
            </w:pPr>
            <w:r>
              <w:rPr>
                <w:color w:val="auto"/>
                <w:sz w:val="24"/>
              </w:rPr>
              <w:t>当Q&lt;1时，该项目环境风险潜势为Ⅰ；</w:t>
            </w:r>
          </w:p>
          <w:p w14:paraId="7C6B7F3F">
            <w:pPr>
              <w:spacing w:line="360" w:lineRule="auto"/>
              <w:ind w:firstLine="480"/>
              <w:rPr>
                <w:color w:val="auto"/>
                <w:sz w:val="24"/>
              </w:rPr>
            </w:pPr>
            <w:r>
              <w:rPr>
                <w:color w:val="auto"/>
                <w:sz w:val="24"/>
              </w:rPr>
              <w:t xml:space="preserve">当Q≥1时，将Q值划分为（1）1≤Q＜10；（2）10≤Q＜100；（3）Q≥100。 </w:t>
            </w:r>
          </w:p>
          <w:p w14:paraId="41489C5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本项目Q=0.0</w:t>
            </w:r>
            <w:r>
              <w:rPr>
                <w:rFonts w:hint="eastAsia" w:ascii="Times New Roman" w:hAnsi="Times New Roman" w:eastAsia="宋体" w:cs="Times New Roman"/>
                <w:color w:val="auto"/>
                <w:kern w:val="0"/>
                <w:sz w:val="24"/>
              </w:rPr>
              <w:t>00</w:t>
            </w:r>
            <w:r>
              <w:rPr>
                <w:rFonts w:hint="eastAsia" w:cs="Times New Roman"/>
                <w:color w:val="auto"/>
                <w:kern w:val="0"/>
                <w:sz w:val="24"/>
                <w:lang w:val="en-US" w:eastAsia="zh-CN"/>
              </w:rPr>
              <w:t>0</w:t>
            </w:r>
            <w:r>
              <w:rPr>
                <w:rFonts w:hint="eastAsia" w:ascii="Times New Roman" w:hAnsi="Times New Roman" w:eastAsia="宋体" w:cs="Times New Roman"/>
                <w:color w:val="auto"/>
                <w:kern w:val="0"/>
                <w:sz w:val="24"/>
              </w:rPr>
              <w:t>4</w:t>
            </w:r>
            <w:r>
              <w:rPr>
                <w:rFonts w:ascii="Times New Roman" w:hAnsi="Times New Roman" w:eastAsia="宋体" w:cs="Times New Roman"/>
                <w:color w:val="auto"/>
                <w:kern w:val="0"/>
                <w:sz w:val="24"/>
              </w:rPr>
              <w:t>，因此，根据《建设项目环境风险评价技术导则》（HJ 169-2018）附录C要求，Q=0.0</w:t>
            </w:r>
            <w:r>
              <w:rPr>
                <w:rFonts w:hint="eastAsia" w:ascii="Times New Roman" w:hAnsi="Times New Roman" w:eastAsia="宋体" w:cs="Times New Roman"/>
                <w:color w:val="auto"/>
                <w:kern w:val="0"/>
                <w:sz w:val="24"/>
              </w:rPr>
              <w:t>00</w:t>
            </w:r>
            <w:r>
              <w:rPr>
                <w:rFonts w:hint="eastAsia" w:cs="Times New Roman"/>
                <w:color w:val="auto"/>
                <w:kern w:val="0"/>
                <w:sz w:val="24"/>
                <w:lang w:val="en-US" w:eastAsia="zh-CN"/>
              </w:rPr>
              <w:t>0</w:t>
            </w:r>
            <w:r>
              <w:rPr>
                <w:rFonts w:hint="eastAsia" w:ascii="Times New Roman" w:hAnsi="Times New Roman" w:eastAsia="宋体" w:cs="Times New Roman"/>
                <w:color w:val="auto"/>
                <w:kern w:val="0"/>
                <w:sz w:val="24"/>
              </w:rPr>
              <w:t>4</w:t>
            </w:r>
            <w:r>
              <w:rPr>
                <w:rFonts w:ascii="Times New Roman" w:hAnsi="Times New Roman" w:eastAsia="宋体" w:cs="Times New Roman"/>
                <w:color w:val="auto"/>
                <w:kern w:val="0"/>
                <w:sz w:val="24"/>
              </w:rPr>
              <w:t>＜1，该项目环境风险潜势为Ⅰ，不</w:t>
            </w:r>
            <w:r>
              <w:rPr>
                <w:rFonts w:hint="eastAsia" w:cs="Times New Roman"/>
                <w:color w:val="auto"/>
                <w:kern w:val="0"/>
                <w:sz w:val="24"/>
                <w:lang w:val="en-US" w:eastAsia="zh-CN"/>
              </w:rPr>
              <w:t>需要</w:t>
            </w:r>
            <w:r>
              <w:rPr>
                <w:rFonts w:ascii="Times New Roman" w:hAnsi="Times New Roman" w:eastAsia="宋体" w:cs="Times New Roman"/>
                <w:color w:val="auto"/>
                <w:kern w:val="0"/>
                <w:sz w:val="24"/>
              </w:rPr>
              <w:t>对行业及生产工艺（M）及环境敏感程度（E）进行判定。</w:t>
            </w:r>
          </w:p>
          <w:p w14:paraId="1C47BD1C">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8</w:t>
            </w:r>
            <w:r>
              <w:rPr>
                <w:rFonts w:hint="eastAsia" w:ascii="Times New Roman" w:hAnsi="Times New Roman" w:eastAsia="宋体" w:cs="Times New Roman"/>
                <w:b/>
                <w:bCs/>
                <w:color w:val="auto"/>
                <w:sz w:val="24"/>
              </w:rPr>
              <w:t>.2环境风险评价工作等级</w:t>
            </w:r>
          </w:p>
          <w:p w14:paraId="584178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环境风险评价技术导则</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（HJ 169-2018）中环境风险评价工作级别划分的判据见表4-</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6</w:t>
            </w:r>
            <w:r>
              <w:rPr>
                <w:rFonts w:ascii="Times New Roman" w:hAnsi="Times New Roman" w:eastAsia="宋体" w:cs="Times New Roman"/>
                <w:color w:val="auto"/>
                <w:kern w:val="0"/>
                <w:sz w:val="24"/>
              </w:rPr>
              <w:t>。</w:t>
            </w:r>
          </w:p>
          <w:p w14:paraId="283F1E6A">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ascii="Times New Roman" w:hAnsi="Times New Roman" w:eastAsia="宋体" w:cs="Times New Roman"/>
                <w:color w:val="auto"/>
              </w:rPr>
              <w:t>1</w:t>
            </w:r>
            <w:r>
              <w:rPr>
                <w:rFonts w:hint="eastAsia" w:cs="Times New Roman"/>
                <w:color w:val="auto"/>
                <w:lang w:val="en-US" w:eastAsia="zh-CN"/>
              </w:rPr>
              <w:t>6</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评价工作等级划分表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587"/>
              <w:gridCol w:w="1587"/>
              <w:gridCol w:w="1587"/>
              <w:gridCol w:w="1595"/>
            </w:tblGrid>
            <w:tr w14:paraId="2D81C96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99" w:type="pct"/>
                  <w:tcBorders>
                    <w:bottom w:val="single" w:color="000000" w:sz="12" w:space="0"/>
                  </w:tcBorders>
                  <w:vAlign w:val="center"/>
                </w:tcPr>
                <w:p w14:paraId="36A4DD5D">
                  <w:pPr>
                    <w:jc w:val="center"/>
                    <w:rPr>
                      <w:b/>
                      <w:bCs/>
                      <w:color w:val="auto"/>
                      <w:sz w:val="21"/>
                      <w:szCs w:val="21"/>
                    </w:rPr>
                  </w:pPr>
                  <w:r>
                    <w:rPr>
                      <w:b/>
                      <w:bCs/>
                      <w:color w:val="auto"/>
                      <w:sz w:val="21"/>
                      <w:szCs w:val="21"/>
                    </w:rPr>
                    <w:t>环境风险潜势</w:t>
                  </w:r>
                </w:p>
              </w:tc>
              <w:tc>
                <w:tcPr>
                  <w:tcW w:w="999" w:type="pct"/>
                  <w:tcBorders>
                    <w:bottom w:val="single" w:color="000000" w:sz="12" w:space="0"/>
                  </w:tcBorders>
                  <w:vAlign w:val="center"/>
                </w:tcPr>
                <w:p w14:paraId="232589C6">
                  <w:pPr>
                    <w:jc w:val="center"/>
                    <w:rPr>
                      <w:b/>
                      <w:bCs/>
                      <w:color w:val="auto"/>
                      <w:sz w:val="21"/>
                      <w:szCs w:val="21"/>
                    </w:rPr>
                  </w:pPr>
                  <w:r>
                    <w:rPr>
                      <w:b/>
                      <w:bCs/>
                      <w:color w:val="auto"/>
                      <w:sz w:val="21"/>
                      <w:szCs w:val="21"/>
                    </w:rPr>
                    <w:t>Ⅳ、Ⅳ+</w:t>
                  </w:r>
                </w:p>
              </w:tc>
              <w:tc>
                <w:tcPr>
                  <w:tcW w:w="999" w:type="pct"/>
                  <w:tcBorders>
                    <w:bottom w:val="single" w:color="000000" w:sz="12" w:space="0"/>
                  </w:tcBorders>
                  <w:vAlign w:val="center"/>
                </w:tcPr>
                <w:p w14:paraId="1BE1E8A8">
                  <w:pPr>
                    <w:jc w:val="center"/>
                    <w:rPr>
                      <w:b/>
                      <w:bCs/>
                      <w:color w:val="auto"/>
                      <w:sz w:val="21"/>
                      <w:szCs w:val="21"/>
                    </w:rPr>
                  </w:pPr>
                  <w:r>
                    <w:rPr>
                      <w:b/>
                      <w:bCs/>
                      <w:color w:val="auto"/>
                      <w:sz w:val="21"/>
                      <w:szCs w:val="21"/>
                    </w:rPr>
                    <w:t>Ⅲ</w:t>
                  </w:r>
                </w:p>
              </w:tc>
              <w:tc>
                <w:tcPr>
                  <w:tcW w:w="999" w:type="pct"/>
                  <w:tcBorders>
                    <w:bottom w:val="single" w:color="000000" w:sz="12" w:space="0"/>
                  </w:tcBorders>
                  <w:vAlign w:val="center"/>
                </w:tcPr>
                <w:p w14:paraId="29F664A4">
                  <w:pPr>
                    <w:jc w:val="center"/>
                    <w:rPr>
                      <w:b/>
                      <w:bCs/>
                      <w:color w:val="auto"/>
                      <w:sz w:val="21"/>
                      <w:szCs w:val="21"/>
                    </w:rPr>
                  </w:pPr>
                  <w:r>
                    <w:rPr>
                      <w:b/>
                      <w:bCs/>
                      <w:color w:val="auto"/>
                      <w:sz w:val="21"/>
                      <w:szCs w:val="21"/>
                    </w:rPr>
                    <w:t>Ⅱ</w:t>
                  </w:r>
                </w:p>
              </w:tc>
              <w:tc>
                <w:tcPr>
                  <w:tcW w:w="1001" w:type="pct"/>
                  <w:tcBorders>
                    <w:bottom w:val="single" w:color="000000" w:sz="12" w:space="0"/>
                  </w:tcBorders>
                  <w:vAlign w:val="center"/>
                </w:tcPr>
                <w:p w14:paraId="77B95E25">
                  <w:pPr>
                    <w:jc w:val="center"/>
                    <w:rPr>
                      <w:b/>
                      <w:bCs/>
                      <w:color w:val="auto"/>
                      <w:sz w:val="21"/>
                      <w:szCs w:val="21"/>
                    </w:rPr>
                  </w:pPr>
                  <w:r>
                    <w:rPr>
                      <w:b/>
                      <w:bCs/>
                      <w:color w:val="auto"/>
                      <w:sz w:val="21"/>
                      <w:szCs w:val="21"/>
                    </w:rPr>
                    <w:t>Ⅰ</w:t>
                  </w:r>
                </w:p>
              </w:tc>
            </w:tr>
            <w:tr w14:paraId="0ABE591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99" w:type="pct"/>
                  <w:tcBorders>
                    <w:top w:val="single" w:color="000000" w:sz="12" w:space="0"/>
                    <w:bottom w:val="single" w:color="000000" w:sz="12" w:space="0"/>
                  </w:tcBorders>
                  <w:vAlign w:val="center"/>
                </w:tcPr>
                <w:p w14:paraId="172ECE31">
                  <w:pPr>
                    <w:jc w:val="center"/>
                    <w:rPr>
                      <w:color w:val="auto"/>
                      <w:sz w:val="21"/>
                      <w:szCs w:val="21"/>
                    </w:rPr>
                  </w:pPr>
                  <w:r>
                    <w:rPr>
                      <w:color w:val="auto"/>
                      <w:sz w:val="21"/>
                      <w:szCs w:val="21"/>
                    </w:rPr>
                    <w:t>评价工作等级</w:t>
                  </w:r>
                </w:p>
              </w:tc>
              <w:tc>
                <w:tcPr>
                  <w:tcW w:w="999" w:type="pct"/>
                  <w:tcBorders>
                    <w:top w:val="single" w:color="000000" w:sz="12" w:space="0"/>
                    <w:bottom w:val="single" w:color="000000" w:sz="12" w:space="0"/>
                  </w:tcBorders>
                  <w:vAlign w:val="center"/>
                </w:tcPr>
                <w:p w14:paraId="0EE0D34D">
                  <w:pPr>
                    <w:jc w:val="center"/>
                    <w:rPr>
                      <w:color w:val="auto"/>
                      <w:sz w:val="21"/>
                      <w:szCs w:val="21"/>
                    </w:rPr>
                  </w:pPr>
                  <w:r>
                    <w:rPr>
                      <w:color w:val="auto"/>
                      <w:sz w:val="21"/>
                      <w:szCs w:val="21"/>
                    </w:rPr>
                    <w:t>一</w:t>
                  </w:r>
                </w:p>
              </w:tc>
              <w:tc>
                <w:tcPr>
                  <w:tcW w:w="999" w:type="pct"/>
                  <w:tcBorders>
                    <w:top w:val="single" w:color="000000" w:sz="12" w:space="0"/>
                    <w:bottom w:val="single" w:color="000000" w:sz="12" w:space="0"/>
                  </w:tcBorders>
                  <w:vAlign w:val="center"/>
                </w:tcPr>
                <w:p w14:paraId="099618C2">
                  <w:pPr>
                    <w:jc w:val="center"/>
                    <w:rPr>
                      <w:color w:val="auto"/>
                      <w:sz w:val="21"/>
                      <w:szCs w:val="21"/>
                    </w:rPr>
                  </w:pPr>
                  <w:r>
                    <w:rPr>
                      <w:color w:val="auto"/>
                      <w:sz w:val="21"/>
                      <w:szCs w:val="21"/>
                    </w:rPr>
                    <w:t>二</w:t>
                  </w:r>
                </w:p>
              </w:tc>
              <w:tc>
                <w:tcPr>
                  <w:tcW w:w="999" w:type="pct"/>
                  <w:tcBorders>
                    <w:top w:val="single" w:color="000000" w:sz="12" w:space="0"/>
                    <w:bottom w:val="single" w:color="000000" w:sz="12" w:space="0"/>
                  </w:tcBorders>
                  <w:vAlign w:val="center"/>
                </w:tcPr>
                <w:p w14:paraId="3CD3DBFC">
                  <w:pPr>
                    <w:jc w:val="center"/>
                    <w:rPr>
                      <w:color w:val="auto"/>
                      <w:sz w:val="21"/>
                      <w:szCs w:val="21"/>
                    </w:rPr>
                  </w:pPr>
                  <w:r>
                    <w:rPr>
                      <w:color w:val="auto"/>
                      <w:sz w:val="21"/>
                      <w:szCs w:val="21"/>
                    </w:rPr>
                    <w:t>三</w:t>
                  </w:r>
                </w:p>
              </w:tc>
              <w:tc>
                <w:tcPr>
                  <w:tcW w:w="1001" w:type="pct"/>
                  <w:tcBorders>
                    <w:top w:val="single" w:color="000000" w:sz="12" w:space="0"/>
                    <w:bottom w:val="single" w:color="000000" w:sz="12" w:space="0"/>
                  </w:tcBorders>
                  <w:vAlign w:val="center"/>
                </w:tcPr>
                <w:p w14:paraId="17DB16F5">
                  <w:pPr>
                    <w:jc w:val="center"/>
                    <w:rPr>
                      <w:color w:val="auto"/>
                      <w:sz w:val="21"/>
                      <w:szCs w:val="21"/>
                    </w:rPr>
                  </w:pPr>
                  <w:r>
                    <w:rPr>
                      <w:color w:val="auto"/>
                      <w:sz w:val="21"/>
                      <w:szCs w:val="21"/>
                    </w:rPr>
                    <w:t>简单分析a</w:t>
                  </w:r>
                </w:p>
              </w:tc>
            </w:tr>
            <w:tr w14:paraId="52D3684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000" w:type="pct"/>
                  <w:gridSpan w:val="5"/>
                  <w:tcBorders>
                    <w:top w:val="single" w:color="000000" w:sz="12" w:space="0"/>
                    <w:tl2br w:val="nil"/>
                    <w:tr2bl w:val="nil"/>
                  </w:tcBorders>
                  <w:vAlign w:val="center"/>
                </w:tcPr>
                <w:p w14:paraId="429C93EE">
                  <w:pPr>
                    <w:ind w:firstLine="420" w:firstLineChars="200"/>
                    <w:rPr>
                      <w:color w:val="auto"/>
                      <w:sz w:val="21"/>
                      <w:szCs w:val="21"/>
                    </w:rPr>
                  </w:pPr>
                  <w:r>
                    <w:rPr>
                      <w:color w:val="auto"/>
                      <w:sz w:val="21"/>
                      <w:szCs w:val="21"/>
                    </w:rPr>
                    <w:t>a是相对于详细评价工作内容而言，在描述危险物质、环境影响途径、环境危害后果、风险防范措施等方面给出定性的说明。</w:t>
                  </w:r>
                </w:p>
              </w:tc>
            </w:tr>
          </w:tbl>
          <w:p w14:paraId="1BEB58B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本项目环境风险潜势为Ⅰ，根据《建设项目环境风险评价技术导则》（HJ/T169-2018）环境风险评价工作级别划分的判据，确定本工程环境风险评价工作级别为简单分析。</w:t>
            </w:r>
          </w:p>
          <w:p w14:paraId="6EA80384">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8</w:t>
            </w:r>
            <w:r>
              <w:rPr>
                <w:rFonts w:hint="eastAsia" w:ascii="Times New Roman" w:hAnsi="Times New Roman" w:eastAsia="宋体" w:cs="Times New Roman"/>
                <w:b/>
                <w:bCs/>
                <w:color w:val="auto"/>
                <w:sz w:val="24"/>
              </w:rPr>
              <w:t>.3环境风险识别</w:t>
            </w:r>
          </w:p>
          <w:p w14:paraId="790CBE5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项目存在的主要环境风险为除尘设施故障导致的事故排放</w:t>
            </w:r>
            <w:r>
              <w:rPr>
                <w:rFonts w:hint="eastAsia" w:ascii="Times New Roman" w:hAnsi="Times New Roman" w:eastAsia="宋体" w:cs="Times New Roman"/>
                <w:color w:val="auto"/>
                <w:kern w:val="0"/>
                <w:sz w:val="24"/>
              </w:rPr>
              <w:t>，经采取相应防范措施后，项目风险可控。环评要求本项目采取以下措施减小事故发生的概率及其产生的影响：</w:t>
            </w:r>
          </w:p>
          <w:p w14:paraId="25515CC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①按照布袋使用期限，及时更换布袋，不允许袋收尘器布袋超期运行；按计划进行定期维护；有专门档案</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包括维护记录档案</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，文件齐全，建议单位依据实际制定《环境保护责任制》《安全环保风险管理制度》，可满足企业环境风险管理要求。</w:t>
            </w:r>
          </w:p>
          <w:p w14:paraId="78AD614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②收尘器发生故障时，立即停止相关设备</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尽快修复除尘设施和其他受损设备，防止类似事故再次发生。</w:t>
            </w:r>
          </w:p>
          <w:p w14:paraId="3AEE662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③对环保设施设置专人进行操作，管理、维护。尽快修复除尘设施和其他受损设备，防止类似事故再次发生。</w:t>
            </w:r>
          </w:p>
          <w:p w14:paraId="5708F38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cs="Times New Roman"/>
                <w:color w:val="auto"/>
                <w:kern w:val="0"/>
                <w:sz w:val="24"/>
                <w:lang w:val="en-US" w:eastAsia="zh-CN"/>
              </w:rPr>
              <w:t>④</w:t>
            </w:r>
            <w:r>
              <w:rPr>
                <w:rFonts w:hint="eastAsia" w:ascii="Times New Roman" w:hAnsi="Times New Roman" w:eastAsia="宋体" w:cs="Times New Roman"/>
                <w:color w:val="auto"/>
                <w:kern w:val="0"/>
                <w:sz w:val="24"/>
              </w:rPr>
              <w:t>制定严格的环保制度，加强环境管理</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提高环保意识，加强环境管理，确保企业运营符合环保要求。以制度对全厂环保实施进行管理，加强设备运行状态监控，发现问题及时处理。</w:t>
            </w:r>
          </w:p>
          <w:p w14:paraId="3ADD61E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cs="Times New Roman"/>
                <w:color w:val="auto"/>
                <w:kern w:val="0"/>
                <w:sz w:val="24"/>
                <w:lang w:val="en-US" w:eastAsia="zh-CN"/>
              </w:rPr>
              <w:t>⑤</w:t>
            </w:r>
            <w:r>
              <w:rPr>
                <w:rFonts w:hint="eastAsia" w:ascii="Times New Roman" w:hAnsi="Times New Roman" w:eastAsia="宋体" w:cs="Times New Roman"/>
                <w:color w:val="auto"/>
                <w:kern w:val="0"/>
                <w:sz w:val="24"/>
                <w:lang w:val="en-US" w:eastAsia="zh-CN"/>
              </w:rPr>
              <w:t>危废的存储需要避免发生泄漏、火灾等事故。搅拌站设置专门的危废暂存区，</w:t>
            </w:r>
            <w:r>
              <w:rPr>
                <w:rFonts w:hint="eastAsia" w:ascii="Times New Roman" w:hAnsi="Times New Roman" w:eastAsia="宋体" w:cs="Times New Roman"/>
                <w:color w:val="auto"/>
                <w:kern w:val="0"/>
                <w:sz w:val="24"/>
              </w:rPr>
              <w:t>铺设2mm厚高密度聚乙烯材料</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房间</w:t>
            </w:r>
            <w:r>
              <w:rPr>
                <w:rFonts w:hint="eastAsia" w:ascii="Times New Roman" w:hAnsi="Times New Roman" w:eastAsia="宋体" w:cs="Times New Roman"/>
                <w:color w:val="auto"/>
                <w:kern w:val="0"/>
                <w:sz w:val="24"/>
              </w:rPr>
              <w:t>内刷防渗、防腐漆</w:t>
            </w:r>
            <w:r>
              <w:rPr>
                <w:rFonts w:hint="eastAsia" w:ascii="Times New Roman" w:hAnsi="Times New Roman" w:eastAsia="宋体" w:cs="Times New Roman"/>
                <w:color w:val="auto"/>
                <w:kern w:val="0"/>
                <w:sz w:val="24"/>
                <w:lang w:val="en-US" w:eastAsia="zh-CN"/>
              </w:rPr>
              <w:t>，确保危废存储安全。</w:t>
            </w:r>
          </w:p>
          <w:p w14:paraId="3F10BE2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高度重视除尘设施的运行和维护工作，确保其在正常运行状态下发挥最大的环保效益。同时，在事故发生后，应采取及时有效的应急处置措施和环境恢复措施，减少污染物排放对环境和人体健康的影响。</w:t>
            </w:r>
          </w:p>
          <w:p w14:paraId="68D3AA1E">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default" w:ascii="Times New Roman" w:hAnsi="Times New Roman" w:eastAsia="宋体" w:cs="Times New Roman"/>
                <w:color w:val="auto"/>
              </w:rPr>
              <w:t>-</w:t>
            </w:r>
            <w:r>
              <w:rPr>
                <w:rFonts w:hint="eastAsia" w:ascii="Times New Roman" w:hAnsi="Times New Roman" w:eastAsia="宋体" w:cs="Times New Roman"/>
                <w:color w:val="auto"/>
              </w:rPr>
              <w:t>1</w:t>
            </w:r>
            <w:r>
              <w:rPr>
                <w:rFonts w:hint="eastAsia" w:cs="Times New Roman"/>
                <w:color w:val="auto"/>
                <w:lang w:val="en-US" w:eastAsia="zh-CN"/>
              </w:rPr>
              <w:t>7</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本项目环境风险应急预案内容一览表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0"/>
              <w:gridCol w:w="1419"/>
              <w:gridCol w:w="5784"/>
            </w:tblGrid>
            <w:tr w14:paraId="179F75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466" w:type="pct"/>
                  <w:tcBorders>
                    <w:bottom w:val="single" w:color="auto" w:sz="12" w:space="0"/>
                  </w:tcBorders>
                  <w:vAlign w:val="center"/>
                </w:tcPr>
                <w:p w14:paraId="6E417303">
                  <w:pPr>
                    <w:pStyle w:val="32"/>
                    <w:rPr>
                      <w:b/>
                      <w:bCs w:val="0"/>
                      <w:color w:val="auto"/>
                      <w:sz w:val="21"/>
                      <w:szCs w:val="21"/>
                    </w:rPr>
                  </w:pPr>
                  <w:r>
                    <w:rPr>
                      <w:rFonts w:hint="eastAsia"/>
                      <w:b/>
                      <w:bCs w:val="0"/>
                      <w:color w:val="auto"/>
                      <w:sz w:val="21"/>
                      <w:szCs w:val="21"/>
                    </w:rPr>
                    <w:t>序号</w:t>
                  </w:r>
                </w:p>
              </w:tc>
              <w:tc>
                <w:tcPr>
                  <w:tcW w:w="893" w:type="pct"/>
                  <w:tcBorders>
                    <w:bottom w:val="single" w:color="auto" w:sz="12" w:space="0"/>
                  </w:tcBorders>
                  <w:vAlign w:val="center"/>
                </w:tcPr>
                <w:p w14:paraId="2BDDDAB5">
                  <w:pPr>
                    <w:pStyle w:val="32"/>
                    <w:rPr>
                      <w:b/>
                      <w:bCs w:val="0"/>
                      <w:color w:val="auto"/>
                      <w:sz w:val="21"/>
                      <w:szCs w:val="21"/>
                    </w:rPr>
                  </w:pPr>
                  <w:r>
                    <w:rPr>
                      <w:rFonts w:hint="eastAsia"/>
                      <w:b/>
                      <w:bCs w:val="0"/>
                      <w:color w:val="auto"/>
                      <w:sz w:val="21"/>
                      <w:szCs w:val="21"/>
                    </w:rPr>
                    <w:t>项目</w:t>
                  </w:r>
                </w:p>
              </w:tc>
              <w:tc>
                <w:tcPr>
                  <w:tcW w:w="3640" w:type="pct"/>
                  <w:tcBorders>
                    <w:bottom w:val="single" w:color="auto" w:sz="12" w:space="0"/>
                  </w:tcBorders>
                  <w:vAlign w:val="center"/>
                </w:tcPr>
                <w:p w14:paraId="08711CFC">
                  <w:pPr>
                    <w:pStyle w:val="32"/>
                    <w:rPr>
                      <w:b/>
                      <w:bCs w:val="0"/>
                      <w:color w:val="auto"/>
                      <w:sz w:val="21"/>
                      <w:szCs w:val="21"/>
                    </w:rPr>
                  </w:pPr>
                  <w:r>
                    <w:rPr>
                      <w:rFonts w:hint="eastAsia"/>
                      <w:b/>
                      <w:bCs w:val="0"/>
                      <w:color w:val="auto"/>
                      <w:sz w:val="21"/>
                      <w:szCs w:val="21"/>
                    </w:rPr>
                    <w:t>主要内容</w:t>
                  </w:r>
                </w:p>
              </w:tc>
            </w:tr>
            <w:tr w14:paraId="3F4DD6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op w:val="single" w:color="auto" w:sz="12" w:space="0"/>
                    <w:tl2br w:val="nil"/>
                    <w:tr2bl w:val="nil"/>
                  </w:tcBorders>
                  <w:vAlign w:val="center"/>
                </w:tcPr>
                <w:p w14:paraId="2B1A7382">
                  <w:pPr>
                    <w:pStyle w:val="32"/>
                    <w:rPr>
                      <w:color w:val="auto"/>
                      <w:sz w:val="21"/>
                      <w:szCs w:val="21"/>
                    </w:rPr>
                  </w:pPr>
                  <w:r>
                    <w:rPr>
                      <w:rFonts w:hint="eastAsia"/>
                      <w:color w:val="auto"/>
                      <w:sz w:val="21"/>
                      <w:szCs w:val="21"/>
                    </w:rPr>
                    <w:t>1</w:t>
                  </w:r>
                </w:p>
              </w:tc>
              <w:tc>
                <w:tcPr>
                  <w:tcW w:w="893" w:type="pct"/>
                  <w:tcBorders>
                    <w:top w:val="single" w:color="auto" w:sz="12" w:space="0"/>
                    <w:tl2br w:val="nil"/>
                    <w:tr2bl w:val="nil"/>
                  </w:tcBorders>
                  <w:vAlign w:val="center"/>
                </w:tcPr>
                <w:p w14:paraId="2AE99097">
                  <w:pPr>
                    <w:pStyle w:val="32"/>
                    <w:rPr>
                      <w:color w:val="auto"/>
                      <w:sz w:val="21"/>
                      <w:szCs w:val="21"/>
                    </w:rPr>
                  </w:pPr>
                  <w:r>
                    <w:rPr>
                      <w:rFonts w:hint="eastAsia"/>
                      <w:color w:val="auto"/>
                      <w:sz w:val="21"/>
                      <w:szCs w:val="21"/>
                    </w:rPr>
                    <w:t>应急计划区</w:t>
                  </w:r>
                </w:p>
              </w:tc>
              <w:tc>
                <w:tcPr>
                  <w:tcW w:w="3640" w:type="pct"/>
                  <w:tcBorders>
                    <w:top w:val="single" w:color="auto" w:sz="12" w:space="0"/>
                    <w:tl2br w:val="nil"/>
                    <w:tr2bl w:val="nil"/>
                  </w:tcBorders>
                  <w:vAlign w:val="center"/>
                </w:tcPr>
                <w:p w14:paraId="12D6BDE4">
                  <w:pPr>
                    <w:pStyle w:val="32"/>
                    <w:rPr>
                      <w:color w:val="auto"/>
                      <w:sz w:val="21"/>
                      <w:szCs w:val="21"/>
                    </w:rPr>
                  </w:pPr>
                  <w:r>
                    <w:rPr>
                      <w:rFonts w:hint="eastAsia"/>
                      <w:color w:val="auto"/>
                      <w:sz w:val="21"/>
                      <w:szCs w:val="21"/>
                    </w:rPr>
                    <w:t>主要危险源：生产车间、储存区、相关环保设施等；</w:t>
                  </w:r>
                </w:p>
              </w:tc>
            </w:tr>
            <w:tr w14:paraId="0A847E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1DC4FF88">
                  <w:pPr>
                    <w:pStyle w:val="32"/>
                    <w:rPr>
                      <w:color w:val="auto"/>
                      <w:sz w:val="21"/>
                      <w:szCs w:val="21"/>
                    </w:rPr>
                  </w:pPr>
                  <w:r>
                    <w:rPr>
                      <w:rFonts w:hint="eastAsia"/>
                      <w:color w:val="auto"/>
                      <w:sz w:val="21"/>
                      <w:szCs w:val="21"/>
                    </w:rPr>
                    <w:t>2</w:t>
                  </w:r>
                </w:p>
              </w:tc>
              <w:tc>
                <w:tcPr>
                  <w:tcW w:w="893" w:type="pct"/>
                  <w:tcBorders>
                    <w:tl2br w:val="nil"/>
                    <w:tr2bl w:val="nil"/>
                  </w:tcBorders>
                  <w:vAlign w:val="center"/>
                </w:tcPr>
                <w:p w14:paraId="33ED8EE9">
                  <w:pPr>
                    <w:pStyle w:val="32"/>
                    <w:rPr>
                      <w:color w:val="auto"/>
                      <w:sz w:val="21"/>
                      <w:szCs w:val="21"/>
                    </w:rPr>
                  </w:pPr>
                  <w:r>
                    <w:rPr>
                      <w:rFonts w:hint="eastAsia"/>
                      <w:color w:val="auto"/>
                      <w:sz w:val="21"/>
                      <w:szCs w:val="21"/>
                    </w:rPr>
                    <w:t>应急组织结构</w:t>
                  </w:r>
                </w:p>
              </w:tc>
              <w:tc>
                <w:tcPr>
                  <w:tcW w:w="3640" w:type="pct"/>
                  <w:tcBorders>
                    <w:tl2br w:val="nil"/>
                    <w:tr2bl w:val="nil"/>
                  </w:tcBorders>
                  <w:vAlign w:val="center"/>
                </w:tcPr>
                <w:p w14:paraId="30A32143">
                  <w:pPr>
                    <w:pStyle w:val="32"/>
                    <w:rPr>
                      <w:rFonts w:ascii="宋体" w:hAnsi="宋体" w:cs="宋体"/>
                      <w:color w:val="auto"/>
                      <w:kern w:val="0"/>
                      <w:sz w:val="21"/>
                      <w:szCs w:val="21"/>
                    </w:rPr>
                  </w:pPr>
                  <w:r>
                    <w:rPr>
                      <w:rFonts w:hint="eastAsia" w:ascii="宋体" w:hAnsi="宋体" w:cs="宋体"/>
                      <w:color w:val="auto"/>
                      <w:kern w:val="0"/>
                      <w:sz w:val="21"/>
                      <w:szCs w:val="21"/>
                    </w:rPr>
                    <w:t>公司设置应急组织机构，经理为应急计划、协调第一人，应急人员必须为培训上岗熟练工；区域应急组织结构由当地政府、相关行业专家、卫生安全相关单位组成，并由当地政府进行统一调度。</w:t>
                  </w:r>
                </w:p>
              </w:tc>
            </w:tr>
            <w:tr w14:paraId="1A03D8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335160C7">
                  <w:pPr>
                    <w:pStyle w:val="32"/>
                    <w:rPr>
                      <w:color w:val="auto"/>
                      <w:sz w:val="21"/>
                      <w:szCs w:val="21"/>
                    </w:rPr>
                  </w:pPr>
                  <w:r>
                    <w:rPr>
                      <w:rFonts w:hint="eastAsia"/>
                      <w:color w:val="auto"/>
                      <w:sz w:val="21"/>
                      <w:szCs w:val="21"/>
                    </w:rPr>
                    <w:t>3</w:t>
                  </w:r>
                </w:p>
              </w:tc>
              <w:tc>
                <w:tcPr>
                  <w:tcW w:w="893" w:type="pct"/>
                  <w:tcBorders>
                    <w:tl2br w:val="nil"/>
                    <w:tr2bl w:val="nil"/>
                  </w:tcBorders>
                  <w:vAlign w:val="center"/>
                </w:tcPr>
                <w:p w14:paraId="6A920CA0">
                  <w:pPr>
                    <w:pStyle w:val="32"/>
                    <w:rPr>
                      <w:color w:val="auto"/>
                      <w:sz w:val="21"/>
                      <w:szCs w:val="21"/>
                    </w:rPr>
                  </w:pPr>
                  <w:r>
                    <w:rPr>
                      <w:rFonts w:hint="eastAsia" w:ascii="宋体" w:hAnsi="宋体" w:cs="宋体"/>
                      <w:color w:val="auto"/>
                      <w:kern w:val="0"/>
                      <w:sz w:val="21"/>
                      <w:szCs w:val="21"/>
                    </w:rPr>
                    <w:t>预案分级响应条件</w:t>
                  </w:r>
                </w:p>
              </w:tc>
              <w:tc>
                <w:tcPr>
                  <w:tcW w:w="3640" w:type="pct"/>
                  <w:tcBorders>
                    <w:tl2br w:val="nil"/>
                    <w:tr2bl w:val="nil"/>
                  </w:tcBorders>
                  <w:vAlign w:val="center"/>
                </w:tcPr>
                <w:p w14:paraId="63A1C7F3">
                  <w:pPr>
                    <w:pStyle w:val="32"/>
                    <w:rPr>
                      <w:rFonts w:ascii="宋体" w:hAnsi="宋体" w:cs="宋体"/>
                      <w:color w:val="auto"/>
                      <w:kern w:val="0"/>
                      <w:sz w:val="21"/>
                      <w:szCs w:val="21"/>
                    </w:rPr>
                  </w:pPr>
                  <w:r>
                    <w:rPr>
                      <w:rFonts w:hint="eastAsia" w:ascii="宋体" w:hAnsi="宋体" w:cs="宋体"/>
                      <w:color w:val="auto"/>
                      <w:kern w:val="0"/>
                      <w:sz w:val="21"/>
                      <w:szCs w:val="21"/>
                    </w:rPr>
                    <w:t>根据事故的严重程度制定相应级别的应急预案，以及适合相应情况的处理措施。</w:t>
                  </w:r>
                </w:p>
              </w:tc>
            </w:tr>
            <w:tr w14:paraId="139B85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6CFB0818">
                  <w:pPr>
                    <w:pStyle w:val="32"/>
                    <w:rPr>
                      <w:color w:val="auto"/>
                      <w:sz w:val="21"/>
                      <w:szCs w:val="21"/>
                    </w:rPr>
                  </w:pPr>
                  <w:r>
                    <w:rPr>
                      <w:rFonts w:hint="eastAsia"/>
                      <w:color w:val="auto"/>
                      <w:sz w:val="21"/>
                      <w:szCs w:val="21"/>
                    </w:rPr>
                    <w:t>4</w:t>
                  </w:r>
                </w:p>
              </w:tc>
              <w:tc>
                <w:tcPr>
                  <w:tcW w:w="893" w:type="pct"/>
                  <w:tcBorders>
                    <w:tl2br w:val="nil"/>
                    <w:tr2bl w:val="nil"/>
                  </w:tcBorders>
                  <w:vAlign w:val="center"/>
                </w:tcPr>
                <w:p w14:paraId="65F049B9">
                  <w:pPr>
                    <w:pStyle w:val="32"/>
                    <w:rPr>
                      <w:color w:val="auto"/>
                      <w:sz w:val="21"/>
                      <w:szCs w:val="21"/>
                    </w:rPr>
                  </w:pPr>
                  <w:r>
                    <w:rPr>
                      <w:rFonts w:hint="eastAsia" w:ascii="宋体" w:hAnsi="宋体" w:cs="宋体"/>
                      <w:color w:val="auto"/>
                      <w:kern w:val="0"/>
                      <w:sz w:val="21"/>
                      <w:szCs w:val="21"/>
                    </w:rPr>
                    <w:t>报警、通讯联络方式</w:t>
                  </w:r>
                </w:p>
              </w:tc>
              <w:tc>
                <w:tcPr>
                  <w:tcW w:w="3640" w:type="pct"/>
                  <w:tcBorders>
                    <w:tl2br w:val="nil"/>
                    <w:tr2bl w:val="nil"/>
                  </w:tcBorders>
                  <w:vAlign w:val="center"/>
                </w:tcPr>
                <w:p w14:paraId="56D7F748">
                  <w:pPr>
                    <w:pStyle w:val="32"/>
                    <w:rPr>
                      <w:color w:val="auto"/>
                      <w:sz w:val="21"/>
                      <w:szCs w:val="21"/>
                    </w:rPr>
                  </w:pPr>
                  <w:r>
                    <w:rPr>
                      <w:rFonts w:hint="eastAsia" w:ascii="宋体" w:hAnsi="宋体" w:cs="宋体"/>
                      <w:color w:val="auto"/>
                      <w:kern w:val="0"/>
                      <w:sz w:val="21"/>
                      <w:szCs w:val="21"/>
                    </w:rPr>
                    <w:t>逐一细化应急状态下各主要负责部门的</w:t>
                  </w:r>
                  <w:r>
                    <w:rPr>
                      <w:rFonts w:hint="eastAsia" w:ascii="宋体" w:hAnsi="宋体" w:cs="宋体"/>
                      <w:color w:val="auto"/>
                      <w:kern w:val="0"/>
                      <w:sz w:val="21"/>
                      <w:szCs w:val="21"/>
                      <w:lang w:eastAsia="zh-CN"/>
                    </w:rPr>
                    <w:t>报警通信</w:t>
                  </w:r>
                  <w:r>
                    <w:rPr>
                      <w:rFonts w:hint="eastAsia" w:ascii="宋体" w:hAnsi="宋体" w:cs="宋体"/>
                      <w:color w:val="auto"/>
                      <w:kern w:val="0"/>
                      <w:sz w:val="21"/>
                      <w:szCs w:val="21"/>
                    </w:rPr>
                    <w:t>方式、地点、电话号码以及相关配套的交通保障、管制、消防联络方法，涉及跨区域的还应与相关区域环境保护部门和上级环保部门保持联系，及时通报事故处理情况，以获得区域性支援。</w:t>
                  </w:r>
                </w:p>
              </w:tc>
            </w:tr>
            <w:tr w14:paraId="2759EA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59BCC110">
                  <w:pPr>
                    <w:pStyle w:val="32"/>
                    <w:rPr>
                      <w:color w:val="auto"/>
                      <w:sz w:val="21"/>
                      <w:szCs w:val="21"/>
                    </w:rPr>
                  </w:pPr>
                  <w:r>
                    <w:rPr>
                      <w:rFonts w:hint="eastAsia"/>
                      <w:color w:val="auto"/>
                      <w:sz w:val="21"/>
                      <w:szCs w:val="21"/>
                    </w:rPr>
                    <w:t>5</w:t>
                  </w:r>
                </w:p>
              </w:tc>
              <w:tc>
                <w:tcPr>
                  <w:tcW w:w="893" w:type="pct"/>
                  <w:tcBorders>
                    <w:tl2br w:val="nil"/>
                    <w:tr2bl w:val="nil"/>
                  </w:tcBorders>
                  <w:vAlign w:val="center"/>
                </w:tcPr>
                <w:p w14:paraId="53955573">
                  <w:pPr>
                    <w:pStyle w:val="32"/>
                    <w:rPr>
                      <w:color w:val="auto"/>
                      <w:sz w:val="21"/>
                      <w:szCs w:val="21"/>
                    </w:rPr>
                  </w:pPr>
                  <w:r>
                    <w:rPr>
                      <w:rFonts w:hint="eastAsia"/>
                      <w:color w:val="auto"/>
                      <w:sz w:val="21"/>
                      <w:szCs w:val="21"/>
                    </w:rPr>
                    <w:t>应急环境监测</w:t>
                  </w:r>
                </w:p>
              </w:tc>
              <w:tc>
                <w:tcPr>
                  <w:tcW w:w="3640" w:type="pct"/>
                  <w:tcBorders>
                    <w:tl2br w:val="nil"/>
                    <w:tr2bl w:val="nil"/>
                  </w:tcBorders>
                  <w:vAlign w:val="center"/>
                </w:tcPr>
                <w:p w14:paraId="23AC8605">
                  <w:pPr>
                    <w:pStyle w:val="32"/>
                    <w:rPr>
                      <w:color w:val="auto"/>
                      <w:sz w:val="21"/>
                      <w:szCs w:val="21"/>
                    </w:rPr>
                  </w:pPr>
                  <w:r>
                    <w:rPr>
                      <w:rFonts w:hint="eastAsia" w:ascii="宋体" w:hAnsi="宋体" w:cs="宋体"/>
                      <w:color w:val="auto"/>
                      <w:kern w:val="0"/>
                      <w:sz w:val="21"/>
                      <w:szCs w:val="21"/>
                    </w:rPr>
                    <w:t>组织专业队伍负责对事故现场进行侦察监测，对事故性质、参数与后果进行评估，专为指挥部门提供决策依据。</w:t>
                  </w:r>
                </w:p>
              </w:tc>
            </w:tr>
            <w:tr w14:paraId="416203A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7B464916">
                  <w:pPr>
                    <w:pStyle w:val="32"/>
                    <w:rPr>
                      <w:rFonts w:hint="eastAsia" w:eastAsia="宋体"/>
                      <w:color w:val="auto"/>
                      <w:sz w:val="21"/>
                      <w:szCs w:val="21"/>
                      <w:lang w:val="en-US" w:eastAsia="zh-CN"/>
                    </w:rPr>
                  </w:pPr>
                  <w:r>
                    <w:rPr>
                      <w:rFonts w:hint="eastAsia"/>
                      <w:lang w:val="en-US" w:eastAsia="zh-CN"/>
                    </w:rPr>
                    <w:t>6</w:t>
                  </w:r>
                </w:p>
              </w:tc>
              <w:tc>
                <w:tcPr>
                  <w:tcW w:w="893" w:type="pct"/>
                  <w:tcBorders>
                    <w:tl2br w:val="nil"/>
                    <w:tr2bl w:val="nil"/>
                  </w:tcBorders>
                  <w:vAlign w:val="center"/>
                </w:tcPr>
                <w:p w14:paraId="714186D6">
                  <w:pPr>
                    <w:pStyle w:val="32"/>
                    <w:rPr>
                      <w:color w:val="auto"/>
                      <w:sz w:val="21"/>
                      <w:szCs w:val="21"/>
                    </w:rPr>
                  </w:pPr>
                  <w:r>
                    <w:rPr>
                      <w:rFonts w:hint="eastAsia" w:ascii="宋体" w:hAnsi="宋体" w:cs="宋体"/>
                      <w:color w:val="auto"/>
                      <w:kern w:val="0"/>
                      <w:sz w:val="21"/>
                      <w:szCs w:val="21"/>
                    </w:rPr>
                    <w:t>抢险、救援控制措施</w:t>
                  </w:r>
                </w:p>
              </w:tc>
              <w:tc>
                <w:tcPr>
                  <w:tcW w:w="3640" w:type="pct"/>
                  <w:tcBorders>
                    <w:tl2br w:val="nil"/>
                    <w:tr2bl w:val="nil"/>
                  </w:tcBorders>
                  <w:vAlign w:val="center"/>
                </w:tcPr>
                <w:p w14:paraId="4906EA13">
                  <w:pPr>
                    <w:pStyle w:val="32"/>
                    <w:rPr>
                      <w:color w:val="auto"/>
                      <w:sz w:val="21"/>
                      <w:szCs w:val="21"/>
                    </w:rPr>
                  </w:pPr>
                  <w:r>
                    <w:rPr>
                      <w:rFonts w:hint="eastAsia" w:ascii="宋体" w:hAnsi="宋体" w:cs="宋体"/>
                      <w:color w:val="auto"/>
                      <w:kern w:val="0"/>
                      <w:sz w:val="21"/>
                      <w:szCs w:val="21"/>
                    </w:rPr>
                    <w:t>严格规定事故多发区、事故现场、邻近区域、控制防火区域设置控制和清除污染措施及相应设备的数量、使用方法、使用人员。</w:t>
                  </w:r>
                </w:p>
              </w:tc>
            </w:tr>
            <w:tr w14:paraId="2CA2FF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5E86089C">
                  <w:pPr>
                    <w:pStyle w:val="32"/>
                    <w:rPr>
                      <w:rFonts w:hint="eastAsia" w:eastAsia="宋体"/>
                      <w:color w:val="auto"/>
                      <w:sz w:val="21"/>
                      <w:szCs w:val="21"/>
                      <w:lang w:eastAsia="zh-CN"/>
                    </w:rPr>
                  </w:pPr>
                  <w:r>
                    <w:rPr>
                      <w:rFonts w:hint="eastAsia"/>
                      <w:color w:val="auto"/>
                      <w:sz w:val="21"/>
                      <w:szCs w:val="21"/>
                      <w:lang w:val="en-US" w:eastAsia="zh-CN"/>
                    </w:rPr>
                    <w:t>7</w:t>
                  </w:r>
                </w:p>
              </w:tc>
              <w:tc>
                <w:tcPr>
                  <w:tcW w:w="893" w:type="pct"/>
                  <w:tcBorders>
                    <w:tl2br w:val="nil"/>
                    <w:tr2bl w:val="nil"/>
                  </w:tcBorders>
                  <w:vAlign w:val="center"/>
                </w:tcPr>
                <w:p w14:paraId="6B8DD407">
                  <w:pPr>
                    <w:pStyle w:val="32"/>
                    <w:rPr>
                      <w:rFonts w:ascii="宋体" w:hAnsi="宋体" w:cs="宋体"/>
                      <w:color w:val="auto"/>
                      <w:kern w:val="0"/>
                      <w:sz w:val="21"/>
                      <w:szCs w:val="21"/>
                    </w:rPr>
                  </w:pPr>
                  <w:r>
                    <w:rPr>
                      <w:rFonts w:hint="eastAsia" w:ascii="宋体" w:hAnsi="宋体" w:cs="宋体"/>
                      <w:color w:val="auto"/>
                      <w:kern w:val="0"/>
                      <w:sz w:val="21"/>
                      <w:szCs w:val="21"/>
                    </w:rPr>
                    <w:t>人员紧急撤</w:t>
                  </w:r>
                </w:p>
                <w:p w14:paraId="7DD6563E">
                  <w:pPr>
                    <w:pStyle w:val="32"/>
                    <w:rPr>
                      <w:color w:val="auto"/>
                      <w:sz w:val="21"/>
                      <w:szCs w:val="21"/>
                    </w:rPr>
                  </w:pPr>
                  <w:r>
                    <w:rPr>
                      <w:rFonts w:hint="eastAsia" w:ascii="宋体" w:hAnsi="宋体" w:cs="宋体"/>
                      <w:color w:val="auto"/>
                      <w:kern w:val="0"/>
                      <w:sz w:val="21"/>
                      <w:szCs w:val="21"/>
                    </w:rPr>
                    <w:t>离、疏散计划</w:t>
                  </w:r>
                </w:p>
              </w:tc>
              <w:tc>
                <w:tcPr>
                  <w:tcW w:w="3640" w:type="pct"/>
                  <w:tcBorders>
                    <w:tl2br w:val="nil"/>
                    <w:tr2bl w:val="nil"/>
                  </w:tcBorders>
                  <w:vAlign w:val="center"/>
                </w:tcPr>
                <w:p w14:paraId="596E8239">
                  <w:pPr>
                    <w:pStyle w:val="32"/>
                    <w:rPr>
                      <w:color w:val="auto"/>
                      <w:sz w:val="21"/>
                      <w:szCs w:val="21"/>
                    </w:rPr>
                  </w:pPr>
                  <w:r>
                    <w:rPr>
                      <w:rFonts w:hint="eastAsia" w:ascii="宋体" w:hAnsi="宋体" w:cs="宋体"/>
                      <w:color w:val="auto"/>
                      <w:kern w:val="0"/>
                      <w:sz w:val="21"/>
                      <w:szCs w:val="21"/>
                    </w:rPr>
                    <w:t>事故现场、工厂邻近区、受事故影响的区域人员及公众对有毒有害物质应急剂量控制规定，制定紧急撤离组织计划和救护，医疗救护与公众健康。</w:t>
                  </w:r>
                </w:p>
              </w:tc>
            </w:tr>
            <w:tr w14:paraId="56835E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5A0E6EB6">
                  <w:pPr>
                    <w:pStyle w:val="32"/>
                    <w:rPr>
                      <w:rFonts w:hint="eastAsia" w:eastAsia="宋体"/>
                      <w:color w:val="auto"/>
                      <w:sz w:val="21"/>
                      <w:szCs w:val="21"/>
                      <w:lang w:eastAsia="zh-CN"/>
                    </w:rPr>
                  </w:pPr>
                  <w:r>
                    <w:rPr>
                      <w:rFonts w:hint="eastAsia"/>
                      <w:color w:val="auto"/>
                      <w:sz w:val="21"/>
                      <w:szCs w:val="21"/>
                      <w:lang w:val="en-US" w:eastAsia="zh-CN"/>
                    </w:rPr>
                    <w:t>8</w:t>
                  </w:r>
                </w:p>
              </w:tc>
              <w:tc>
                <w:tcPr>
                  <w:tcW w:w="893" w:type="pct"/>
                  <w:tcBorders>
                    <w:tl2br w:val="nil"/>
                    <w:tr2bl w:val="nil"/>
                  </w:tcBorders>
                  <w:vAlign w:val="center"/>
                </w:tcPr>
                <w:p w14:paraId="7ADBA8F7">
                  <w:pPr>
                    <w:pStyle w:val="32"/>
                    <w:rPr>
                      <w:color w:val="auto"/>
                      <w:sz w:val="21"/>
                      <w:szCs w:val="21"/>
                    </w:rPr>
                  </w:pPr>
                  <w:r>
                    <w:rPr>
                      <w:rFonts w:hint="eastAsia" w:ascii="宋体" w:hAnsi="宋体" w:cs="宋体"/>
                      <w:color w:val="auto"/>
                      <w:kern w:val="0"/>
                      <w:sz w:val="21"/>
                      <w:szCs w:val="21"/>
                    </w:rPr>
                    <w:t>事故应急救援关闭程序</w:t>
                  </w:r>
                </w:p>
              </w:tc>
              <w:tc>
                <w:tcPr>
                  <w:tcW w:w="3640" w:type="pct"/>
                  <w:tcBorders>
                    <w:tl2br w:val="nil"/>
                    <w:tr2bl w:val="nil"/>
                  </w:tcBorders>
                  <w:vAlign w:val="center"/>
                </w:tcPr>
                <w:p w14:paraId="5DCDBDF8">
                  <w:pPr>
                    <w:pStyle w:val="32"/>
                    <w:rPr>
                      <w:color w:val="auto"/>
                      <w:sz w:val="21"/>
                      <w:szCs w:val="21"/>
                    </w:rPr>
                  </w:pPr>
                  <w:r>
                    <w:rPr>
                      <w:rFonts w:hint="eastAsia" w:ascii="宋体" w:hAnsi="宋体" w:cs="宋体"/>
                      <w:color w:val="auto"/>
                      <w:kern w:val="0"/>
                      <w:sz w:val="21"/>
                      <w:szCs w:val="21"/>
                    </w:rPr>
                    <w:t>制定相关应急状态终止程序，事故现场、受影响范围内的善后处理、恢复措施，邻近区域解除事故警戒及善后恢复措施。</w:t>
                  </w:r>
                </w:p>
              </w:tc>
            </w:tr>
            <w:tr w14:paraId="57C5BF4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64C97DBA">
                  <w:pPr>
                    <w:pStyle w:val="32"/>
                    <w:rPr>
                      <w:rFonts w:hint="eastAsia" w:eastAsia="宋体"/>
                      <w:color w:val="auto"/>
                      <w:sz w:val="21"/>
                      <w:szCs w:val="21"/>
                      <w:lang w:eastAsia="zh-CN"/>
                    </w:rPr>
                  </w:pPr>
                  <w:r>
                    <w:rPr>
                      <w:rFonts w:hint="eastAsia"/>
                      <w:color w:val="auto"/>
                      <w:sz w:val="21"/>
                      <w:szCs w:val="21"/>
                      <w:lang w:val="en-US" w:eastAsia="zh-CN"/>
                    </w:rPr>
                    <w:t>9</w:t>
                  </w:r>
                </w:p>
              </w:tc>
              <w:tc>
                <w:tcPr>
                  <w:tcW w:w="893" w:type="pct"/>
                  <w:tcBorders>
                    <w:tl2br w:val="nil"/>
                    <w:tr2bl w:val="nil"/>
                  </w:tcBorders>
                  <w:vAlign w:val="center"/>
                </w:tcPr>
                <w:p w14:paraId="0024F948">
                  <w:pPr>
                    <w:pStyle w:val="32"/>
                    <w:rPr>
                      <w:color w:val="auto"/>
                      <w:sz w:val="21"/>
                      <w:szCs w:val="21"/>
                    </w:rPr>
                  </w:pPr>
                  <w:r>
                    <w:rPr>
                      <w:rFonts w:hint="eastAsia"/>
                      <w:color w:val="auto"/>
                      <w:sz w:val="21"/>
                      <w:szCs w:val="21"/>
                    </w:rPr>
                    <w:t>事故恢复措施</w:t>
                  </w:r>
                </w:p>
              </w:tc>
              <w:tc>
                <w:tcPr>
                  <w:tcW w:w="3640" w:type="pct"/>
                  <w:tcBorders>
                    <w:tl2br w:val="nil"/>
                    <w:tr2bl w:val="nil"/>
                  </w:tcBorders>
                  <w:vAlign w:val="center"/>
                </w:tcPr>
                <w:p w14:paraId="4BEE2604">
                  <w:pPr>
                    <w:pStyle w:val="32"/>
                    <w:rPr>
                      <w:color w:val="auto"/>
                      <w:sz w:val="21"/>
                      <w:szCs w:val="21"/>
                    </w:rPr>
                  </w:pPr>
                  <w:r>
                    <w:rPr>
                      <w:rFonts w:hint="eastAsia" w:ascii="宋体" w:hAnsi="宋体" w:cs="宋体"/>
                      <w:color w:val="auto"/>
                      <w:kern w:val="0"/>
                      <w:sz w:val="21"/>
                      <w:szCs w:val="21"/>
                    </w:rPr>
                    <w:t>制定有关的环境恢复措施，组织专业人员对事故后的环境变化进行监测，对事故应急措施的环境可行性进行后影响评价。</w:t>
                  </w:r>
                </w:p>
              </w:tc>
            </w:tr>
            <w:tr w14:paraId="51983E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682F7C9F">
                  <w:pPr>
                    <w:pStyle w:val="32"/>
                    <w:rPr>
                      <w:rFonts w:hint="default" w:eastAsia="宋体"/>
                      <w:color w:val="auto"/>
                      <w:sz w:val="21"/>
                      <w:szCs w:val="21"/>
                      <w:lang w:val="en-US" w:eastAsia="zh-CN"/>
                    </w:rPr>
                  </w:pPr>
                  <w:r>
                    <w:rPr>
                      <w:rFonts w:hint="eastAsia"/>
                      <w:color w:val="auto"/>
                      <w:sz w:val="21"/>
                      <w:szCs w:val="21"/>
                      <w:lang w:val="en-US" w:eastAsia="zh-CN"/>
                    </w:rPr>
                    <w:t>10</w:t>
                  </w:r>
                </w:p>
              </w:tc>
              <w:tc>
                <w:tcPr>
                  <w:tcW w:w="893" w:type="pct"/>
                  <w:tcBorders>
                    <w:tl2br w:val="nil"/>
                    <w:tr2bl w:val="nil"/>
                  </w:tcBorders>
                  <w:vAlign w:val="center"/>
                </w:tcPr>
                <w:p w14:paraId="0566C84E">
                  <w:pPr>
                    <w:pStyle w:val="32"/>
                    <w:rPr>
                      <w:color w:val="auto"/>
                      <w:sz w:val="21"/>
                      <w:szCs w:val="21"/>
                    </w:rPr>
                  </w:pPr>
                  <w:r>
                    <w:rPr>
                      <w:rFonts w:hint="eastAsia"/>
                      <w:color w:val="auto"/>
                      <w:sz w:val="21"/>
                      <w:szCs w:val="21"/>
                    </w:rPr>
                    <w:t>应急培训计划</w:t>
                  </w:r>
                </w:p>
              </w:tc>
              <w:tc>
                <w:tcPr>
                  <w:tcW w:w="3640" w:type="pct"/>
                  <w:tcBorders>
                    <w:tl2br w:val="nil"/>
                    <w:tr2bl w:val="nil"/>
                  </w:tcBorders>
                  <w:vAlign w:val="center"/>
                </w:tcPr>
                <w:p w14:paraId="74D0CE2C">
                  <w:pPr>
                    <w:pStyle w:val="32"/>
                    <w:rPr>
                      <w:color w:val="auto"/>
                      <w:sz w:val="21"/>
                      <w:szCs w:val="21"/>
                    </w:rPr>
                  </w:pPr>
                  <w:r>
                    <w:rPr>
                      <w:rFonts w:hint="eastAsia"/>
                      <w:color w:val="auto"/>
                      <w:sz w:val="21"/>
                      <w:szCs w:val="21"/>
                    </w:rPr>
                    <w:t>定期安排有关人员进行培训与演练。</w:t>
                  </w:r>
                </w:p>
              </w:tc>
            </w:tr>
            <w:tr w14:paraId="66E546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76F276C9">
                  <w:pPr>
                    <w:pStyle w:val="32"/>
                    <w:rPr>
                      <w:rFonts w:hint="default" w:eastAsia="宋体"/>
                      <w:color w:val="auto"/>
                      <w:sz w:val="21"/>
                      <w:szCs w:val="21"/>
                      <w:lang w:val="en-US" w:eastAsia="zh-CN"/>
                    </w:rPr>
                  </w:pPr>
                  <w:r>
                    <w:rPr>
                      <w:rFonts w:hint="eastAsia"/>
                      <w:color w:val="auto"/>
                      <w:sz w:val="21"/>
                      <w:szCs w:val="21"/>
                      <w:lang w:val="en-US" w:eastAsia="zh-CN"/>
                    </w:rPr>
                    <w:t>11</w:t>
                  </w:r>
                </w:p>
              </w:tc>
              <w:tc>
                <w:tcPr>
                  <w:tcW w:w="893" w:type="pct"/>
                  <w:tcBorders>
                    <w:tl2br w:val="nil"/>
                    <w:tr2bl w:val="nil"/>
                  </w:tcBorders>
                  <w:vAlign w:val="center"/>
                </w:tcPr>
                <w:p w14:paraId="27514204">
                  <w:pPr>
                    <w:pStyle w:val="32"/>
                    <w:rPr>
                      <w:color w:val="auto"/>
                      <w:sz w:val="21"/>
                      <w:szCs w:val="21"/>
                    </w:rPr>
                  </w:pPr>
                  <w:r>
                    <w:rPr>
                      <w:rFonts w:hint="eastAsia"/>
                      <w:color w:val="auto"/>
                      <w:sz w:val="21"/>
                      <w:szCs w:val="21"/>
                    </w:rPr>
                    <w:t>公众教育和信息</w:t>
                  </w:r>
                </w:p>
              </w:tc>
              <w:tc>
                <w:tcPr>
                  <w:tcW w:w="3640" w:type="pct"/>
                  <w:tcBorders>
                    <w:tl2br w:val="nil"/>
                    <w:tr2bl w:val="nil"/>
                  </w:tcBorders>
                  <w:vAlign w:val="center"/>
                </w:tcPr>
                <w:p w14:paraId="78A583D6">
                  <w:pPr>
                    <w:pStyle w:val="32"/>
                    <w:rPr>
                      <w:color w:val="auto"/>
                      <w:sz w:val="21"/>
                      <w:szCs w:val="21"/>
                    </w:rPr>
                  </w:pPr>
                  <w:r>
                    <w:rPr>
                      <w:rFonts w:hint="eastAsia"/>
                      <w:color w:val="auto"/>
                      <w:sz w:val="21"/>
                      <w:szCs w:val="21"/>
                    </w:rPr>
                    <w:t>对工厂邻近地区开展公众教育、培训和发布有关信息。</w:t>
                  </w:r>
                </w:p>
              </w:tc>
            </w:tr>
          </w:tbl>
          <w:p w14:paraId="230BE11B">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8</w:t>
            </w:r>
            <w:r>
              <w:rPr>
                <w:rFonts w:hint="eastAsia" w:ascii="Times New Roman" w:hAnsi="Times New Roman" w:eastAsia="宋体" w:cs="Times New Roman"/>
                <w:b/>
                <w:bCs/>
                <w:color w:val="auto"/>
                <w:sz w:val="24"/>
              </w:rPr>
              <w:t>.4环境风险影响分析结论</w:t>
            </w:r>
          </w:p>
          <w:p w14:paraId="5088747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w:t>
            </w:r>
            <w:r>
              <w:rPr>
                <w:rFonts w:hint="eastAsia" w:ascii="Times New Roman" w:hAnsi="Times New Roman" w:eastAsia="宋体" w:cs="Times New Roman"/>
                <w:color w:val="auto"/>
                <w:kern w:val="0"/>
                <w:sz w:val="24"/>
              </w:rPr>
              <w:t>未构成</w:t>
            </w:r>
            <w:r>
              <w:rPr>
                <w:rFonts w:ascii="Times New Roman" w:hAnsi="Times New Roman" w:eastAsia="宋体" w:cs="Times New Roman"/>
                <w:color w:val="auto"/>
                <w:kern w:val="0"/>
                <w:sz w:val="24"/>
              </w:rPr>
              <w:t>重大危险源，在经过安全防范措施后能够基本杜绝风险事故发生，经认真贯彻预案中的应急措施，可将风险降至接受水平内，故本项目的环境风险是可接受的。</w:t>
            </w:r>
          </w:p>
          <w:p w14:paraId="5362D890">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表4-1</w:t>
            </w:r>
            <w:r>
              <w:rPr>
                <w:rFonts w:hint="eastAsia" w:cs="Times New Roman"/>
                <w:color w:val="auto"/>
                <w:lang w:val="en-US" w:eastAsia="zh-CN"/>
              </w:rPr>
              <w:t>8</w:t>
            </w:r>
            <w:r>
              <w:rPr>
                <w:rFonts w:hint="eastAsia" w:ascii="Times New Roman" w:hAnsi="Times New Roman" w:eastAsia="宋体" w:cs="Times New Roman"/>
                <w:color w:val="auto"/>
              </w:rPr>
              <w:t xml:space="preserve">    建设项目环境风险简单分析内容表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90"/>
              <w:gridCol w:w="696"/>
              <w:gridCol w:w="2064"/>
              <w:gridCol w:w="805"/>
              <w:gridCol w:w="2288"/>
            </w:tblGrid>
            <w:tr w14:paraId="0B664B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bottom w:val="single" w:color="auto" w:sz="12" w:space="0"/>
                  </w:tcBorders>
                  <w:vAlign w:val="center"/>
                </w:tcPr>
                <w:p w14:paraId="7F65925F">
                  <w:pPr>
                    <w:jc w:val="center"/>
                    <w:rPr>
                      <w:color w:val="auto"/>
                      <w:sz w:val="21"/>
                      <w:szCs w:val="21"/>
                    </w:rPr>
                  </w:pPr>
                  <w:r>
                    <w:rPr>
                      <w:color w:val="auto"/>
                      <w:sz w:val="21"/>
                      <w:szCs w:val="21"/>
                    </w:rPr>
                    <w:t>建设项目名称</w:t>
                  </w:r>
                </w:p>
              </w:tc>
              <w:tc>
                <w:tcPr>
                  <w:tcW w:w="3683" w:type="pct"/>
                  <w:gridSpan w:val="4"/>
                  <w:tcBorders>
                    <w:bottom w:val="single" w:color="auto" w:sz="12" w:space="0"/>
                  </w:tcBorders>
                  <w:vAlign w:val="center"/>
                </w:tcPr>
                <w:p w14:paraId="4816D6A3">
                  <w:pPr>
                    <w:jc w:val="center"/>
                    <w:rPr>
                      <w:color w:val="auto"/>
                      <w:sz w:val="21"/>
                      <w:szCs w:val="21"/>
                    </w:rPr>
                  </w:pPr>
                  <w:r>
                    <w:rPr>
                      <w:rFonts w:hint="eastAsia"/>
                      <w:color w:val="auto"/>
                      <w:sz w:val="21"/>
                      <w:szCs w:val="21"/>
                      <w:lang w:eastAsia="zh-CN"/>
                    </w:rPr>
                    <w:t>木垒黑走马混凝土有限责任公司</w:t>
                  </w:r>
                  <w:r>
                    <w:rPr>
                      <w:rFonts w:hint="eastAsia"/>
                      <w:color w:val="auto"/>
                      <w:sz w:val="21"/>
                      <w:szCs w:val="21"/>
                      <w:lang w:val="en-US" w:eastAsia="zh-CN"/>
                    </w:rPr>
                    <w:t>老君庙西商砼站建设项目</w:t>
                  </w:r>
                </w:p>
              </w:tc>
            </w:tr>
            <w:tr w14:paraId="4F5240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op w:val="single" w:color="auto" w:sz="12" w:space="0"/>
                    <w:tl2br w:val="nil"/>
                    <w:tr2bl w:val="nil"/>
                  </w:tcBorders>
                  <w:vAlign w:val="center"/>
                </w:tcPr>
                <w:p w14:paraId="4589306D">
                  <w:pPr>
                    <w:jc w:val="center"/>
                    <w:rPr>
                      <w:color w:val="auto"/>
                      <w:sz w:val="21"/>
                      <w:szCs w:val="21"/>
                    </w:rPr>
                  </w:pPr>
                  <w:r>
                    <w:rPr>
                      <w:color w:val="auto"/>
                      <w:sz w:val="21"/>
                      <w:szCs w:val="21"/>
                    </w:rPr>
                    <w:t>建设地点</w:t>
                  </w:r>
                </w:p>
              </w:tc>
              <w:tc>
                <w:tcPr>
                  <w:tcW w:w="3683" w:type="pct"/>
                  <w:gridSpan w:val="4"/>
                  <w:tcBorders>
                    <w:top w:val="single" w:color="auto" w:sz="12" w:space="0"/>
                    <w:tl2br w:val="nil"/>
                    <w:tr2bl w:val="nil"/>
                  </w:tcBorders>
                  <w:vAlign w:val="center"/>
                </w:tcPr>
                <w:p w14:paraId="62495473">
                  <w:pPr>
                    <w:jc w:val="center"/>
                    <w:rPr>
                      <w:color w:val="auto"/>
                      <w:sz w:val="21"/>
                      <w:szCs w:val="21"/>
                    </w:rPr>
                  </w:pPr>
                  <w:r>
                    <w:rPr>
                      <w:rFonts w:hint="eastAsia"/>
                      <w:color w:val="auto"/>
                      <w:sz w:val="21"/>
                      <w:szCs w:val="21"/>
                    </w:rPr>
                    <w:t>昌吉回族自治州木垒县博斯塘乡直属</w:t>
                  </w:r>
                </w:p>
              </w:tc>
            </w:tr>
            <w:tr w14:paraId="026DD2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l2br w:val="nil"/>
                    <w:tr2bl w:val="nil"/>
                  </w:tcBorders>
                  <w:vAlign w:val="center"/>
                </w:tcPr>
                <w:p w14:paraId="715352AA">
                  <w:pPr>
                    <w:jc w:val="center"/>
                    <w:rPr>
                      <w:color w:val="auto"/>
                      <w:sz w:val="21"/>
                      <w:szCs w:val="21"/>
                    </w:rPr>
                  </w:pPr>
                  <w:r>
                    <w:rPr>
                      <w:color w:val="auto"/>
                      <w:sz w:val="21"/>
                      <w:szCs w:val="21"/>
                    </w:rPr>
                    <w:t>地理坐标</w:t>
                  </w:r>
                </w:p>
              </w:tc>
              <w:tc>
                <w:tcPr>
                  <w:tcW w:w="438" w:type="pct"/>
                  <w:tcBorders>
                    <w:tl2br w:val="nil"/>
                    <w:tr2bl w:val="nil"/>
                  </w:tcBorders>
                  <w:vAlign w:val="center"/>
                </w:tcPr>
                <w:p w14:paraId="2695D48F">
                  <w:pPr>
                    <w:jc w:val="center"/>
                    <w:rPr>
                      <w:color w:val="auto"/>
                      <w:sz w:val="21"/>
                      <w:szCs w:val="21"/>
                    </w:rPr>
                  </w:pPr>
                  <w:r>
                    <w:rPr>
                      <w:color w:val="auto"/>
                      <w:sz w:val="21"/>
                      <w:szCs w:val="21"/>
                    </w:rPr>
                    <w:t>经度</w:t>
                  </w:r>
                </w:p>
              </w:tc>
              <w:tc>
                <w:tcPr>
                  <w:tcW w:w="1299" w:type="pct"/>
                  <w:tcBorders>
                    <w:tl2br w:val="nil"/>
                    <w:tr2bl w:val="nil"/>
                  </w:tcBorders>
                  <w:vAlign w:val="center"/>
                </w:tcPr>
                <w:p w14:paraId="5EB697BD">
                  <w:pPr>
                    <w:jc w:val="center"/>
                    <w:rPr>
                      <w:color w:val="auto"/>
                      <w:sz w:val="21"/>
                      <w:szCs w:val="21"/>
                    </w:rPr>
                  </w:pPr>
                  <w:r>
                    <w:rPr>
                      <w:rFonts w:hint="eastAsia"/>
                      <w:color w:val="auto"/>
                      <w:sz w:val="21"/>
                      <w:szCs w:val="21"/>
                    </w:rPr>
                    <w:t>90°34′42.12″</w:t>
                  </w:r>
                </w:p>
              </w:tc>
              <w:tc>
                <w:tcPr>
                  <w:tcW w:w="507" w:type="pct"/>
                  <w:tcBorders>
                    <w:tl2br w:val="nil"/>
                    <w:tr2bl w:val="nil"/>
                  </w:tcBorders>
                  <w:vAlign w:val="center"/>
                </w:tcPr>
                <w:p w14:paraId="069313FA">
                  <w:pPr>
                    <w:jc w:val="center"/>
                    <w:rPr>
                      <w:color w:val="auto"/>
                      <w:sz w:val="21"/>
                      <w:szCs w:val="21"/>
                    </w:rPr>
                  </w:pPr>
                  <w:r>
                    <w:rPr>
                      <w:color w:val="auto"/>
                      <w:sz w:val="21"/>
                      <w:szCs w:val="21"/>
                    </w:rPr>
                    <w:t>纬度</w:t>
                  </w:r>
                </w:p>
              </w:tc>
              <w:tc>
                <w:tcPr>
                  <w:tcW w:w="1437" w:type="pct"/>
                  <w:tcBorders>
                    <w:tl2br w:val="nil"/>
                    <w:tr2bl w:val="nil"/>
                  </w:tcBorders>
                  <w:vAlign w:val="center"/>
                </w:tcPr>
                <w:p w14:paraId="32E92A86">
                  <w:pPr>
                    <w:jc w:val="center"/>
                    <w:rPr>
                      <w:color w:val="auto"/>
                      <w:sz w:val="21"/>
                      <w:szCs w:val="21"/>
                    </w:rPr>
                  </w:pPr>
                  <w:r>
                    <w:rPr>
                      <w:rFonts w:hint="eastAsia"/>
                      <w:color w:val="auto"/>
                      <w:sz w:val="21"/>
                      <w:szCs w:val="21"/>
                    </w:rPr>
                    <w:t>44°18′27.88″</w:t>
                  </w:r>
                </w:p>
              </w:tc>
            </w:tr>
            <w:tr w14:paraId="06A5C8C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316" w:type="pct"/>
                  <w:tcBorders>
                    <w:tl2br w:val="nil"/>
                    <w:tr2bl w:val="nil"/>
                  </w:tcBorders>
                  <w:vAlign w:val="center"/>
                </w:tcPr>
                <w:p w14:paraId="45128FF1">
                  <w:pPr>
                    <w:jc w:val="center"/>
                    <w:rPr>
                      <w:color w:val="auto"/>
                      <w:sz w:val="21"/>
                      <w:szCs w:val="21"/>
                    </w:rPr>
                  </w:pPr>
                  <w:r>
                    <w:rPr>
                      <w:color w:val="auto"/>
                      <w:spacing w:val="-20"/>
                      <w:sz w:val="21"/>
                      <w:szCs w:val="21"/>
                    </w:rPr>
                    <w:t>主要危险物质及分布</w:t>
                  </w:r>
                </w:p>
              </w:tc>
              <w:tc>
                <w:tcPr>
                  <w:tcW w:w="3683" w:type="pct"/>
                  <w:gridSpan w:val="4"/>
                  <w:tcBorders>
                    <w:tl2br w:val="nil"/>
                    <w:tr2bl w:val="nil"/>
                  </w:tcBorders>
                  <w:vAlign w:val="center"/>
                </w:tcPr>
                <w:p w14:paraId="183172FC">
                  <w:pPr>
                    <w:rPr>
                      <w:rFonts w:hint="default" w:eastAsia="宋体"/>
                      <w:color w:val="auto"/>
                      <w:sz w:val="21"/>
                      <w:szCs w:val="21"/>
                      <w:lang w:val="en-US" w:eastAsia="zh-CN"/>
                    </w:rPr>
                  </w:pPr>
                  <w:r>
                    <w:rPr>
                      <w:rFonts w:hint="eastAsia"/>
                      <w:color w:val="auto"/>
                      <w:sz w:val="21"/>
                      <w:szCs w:val="21"/>
                      <w:lang w:val="en-US" w:eastAsia="zh-CN"/>
                    </w:rPr>
                    <w:t>废机油：危废间</w:t>
                  </w:r>
                </w:p>
              </w:tc>
            </w:tr>
            <w:tr w14:paraId="4CB1F2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l2br w:val="nil"/>
                    <w:tr2bl w:val="nil"/>
                  </w:tcBorders>
                  <w:vAlign w:val="center"/>
                </w:tcPr>
                <w:p w14:paraId="2DFD5038">
                  <w:pPr>
                    <w:jc w:val="center"/>
                    <w:rPr>
                      <w:color w:val="auto"/>
                      <w:sz w:val="21"/>
                      <w:szCs w:val="21"/>
                    </w:rPr>
                  </w:pPr>
                  <w:r>
                    <w:rPr>
                      <w:color w:val="auto"/>
                      <w:sz w:val="21"/>
                      <w:szCs w:val="21"/>
                    </w:rPr>
                    <w:t>环境影响途径及危害后果（大气、地表水、地下水等）</w:t>
                  </w:r>
                </w:p>
              </w:tc>
              <w:tc>
                <w:tcPr>
                  <w:tcW w:w="3683" w:type="pct"/>
                  <w:gridSpan w:val="4"/>
                  <w:tcBorders>
                    <w:tl2br w:val="nil"/>
                    <w:tr2bl w:val="nil"/>
                  </w:tcBorders>
                  <w:vAlign w:val="center"/>
                </w:tcPr>
                <w:p w14:paraId="7B131B66">
                  <w:pPr>
                    <w:numPr>
                      <w:ilvl w:val="0"/>
                      <w:numId w:val="15"/>
                    </w:numPr>
                    <w:rPr>
                      <w:rFonts w:hint="eastAsia"/>
                      <w:sz w:val="21"/>
                      <w:szCs w:val="21"/>
                      <w:lang w:val="en-US" w:eastAsia="zh-CN"/>
                    </w:rPr>
                  </w:pPr>
                  <w:r>
                    <w:rPr>
                      <w:rFonts w:hint="eastAsia"/>
                      <w:color w:val="auto"/>
                      <w:sz w:val="21"/>
                      <w:szCs w:val="21"/>
                      <w:lang w:val="en-US" w:eastAsia="zh-CN"/>
                    </w:rPr>
                    <w:t>粉尘污染风险：</w:t>
                  </w:r>
                  <w:r>
                    <w:rPr>
                      <w:rFonts w:hint="eastAsia"/>
                      <w:sz w:val="21"/>
                      <w:szCs w:val="21"/>
                    </w:rPr>
                    <w:t>粉尘污染是本项目环境风险因素之一</w:t>
                  </w:r>
                  <w:r>
                    <w:rPr>
                      <w:rFonts w:hint="eastAsia"/>
                      <w:sz w:val="21"/>
                      <w:szCs w:val="21"/>
                      <w:lang w:eastAsia="zh-CN"/>
                    </w:rPr>
                    <w:t>，长期暴露于粉尘污染的环境中，人们容易患上各种心血管和呼吸道疾病，</w:t>
                  </w:r>
                  <w:r>
                    <w:rPr>
                      <w:rFonts w:hint="eastAsia"/>
                      <w:sz w:val="21"/>
                      <w:szCs w:val="21"/>
                      <w:lang w:val="en-US" w:eastAsia="zh-CN"/>
                    </w:rPr>
                    <w:t>本项目经过布袋除尘器，有效的较少了粉尘污染的风险。</w:t>
                  </w:r>
                </w:p>
                <w:p w14:paraId="4EEB55B7">
                  <w:pPr>
                    <w:pStyle w:val="20"/>
                    <w:numPr>
                      <w:ilvl w:val="0"/>
                      <w:numId w:val="15"/>
                    </w:numPr>
                    <w:ind w:left="0" w:leftChars="0" w:firstLine="0" w:firstLineChars="0"/>
                    <w:rPr>
                      <w:rFonts w:hint="default"/>
                      <w:lang w:val="en-US" w:eastAsia="zh-CN"/>
                    </w:rPr>
                  </w:pPr>
                  <w:r>
                    <w:rPr>
                      <w:rFonts w:hint="eastAsia" w:ascii="Times New Roman" w:hAnsi="Times New Roman" w:eastAsia="宋体" w:cs="Times New Roman"/>
                      <w:kern w:val="2"/>
                      <w:sz w:val="21"/>
                      <w:szCs w:val="21"/>
                      <w:lang w:val="en-US" w:eastAsia="zh-CN" w:bidi="ar-SA"/>
                    </w:rPr>
                    <w:t>废机油泄露风险：会对土壤及下水造成污染，处理不当也会发生火灾</w:t>
                  </w:r>
                  <w:r>
                    <w:rPr>
                      <w:rFonts w:hint="eastAsia" w:cs="Times New Roman"/>
                      <w:kern w:val="2"/>
                      <w:sz w:val="21"/>
                      <w:szCs w:val="21"/>
                      <w:lang w:val="en-US" w:eastAsia="zh-CN" w:bidi="ar-SA"/>
                    </w:rPr>
                    <w:t>，本项目对危废间的地板做了防漏处理，可以有效避免机油泄露。</w:t>
                  </w:r>
                </w:p>
              </w:tc>
            </w:tr>
            <w:tr w14:paraId="1557E6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16" w:type="pct"/>
                  <w:tcBorders>
                    <w:tl2br w:val="nil"/>
                    <w:tr2bl w:val="nil"/>
                  </w:tcBorders>
                  <w:vAlign w:val="center"/>
                </w:tcPr>
                <w:p w14:paraId="397B3BF3">
                  <w:pPr>
                    <w:jc w:val="center"/>
                    <w:rPr>
                      <w:color w:val="auto"/>
                      <w:sz w:val="21"/>
                      <w:szCs w:val="21"/>
                    </w:rPr>
                  </w:pPr>
                  <w:r>
                    <w:rPr>
                      <w:color w:val="auto"/>
                      <w:sz w:val="21"/>
                      <w:szCs w:val="21"/>
                    </w:rPr>
                    <w:t>风险防范措施要求</w:t>
                  </w:r>
                </w:p>
              </w:tc>
              <w:tc>
                <w:tcPr>
                  <w:tcW w:w="3683" w:type="pct"/>
                  <w:gridSpan w:val="4"/>
                  <w:tcBorders>
                    <w:tl2br w:val="nil"/>
                    <w:tr2bl w:val="nil"/>
                  </w:tcBorders>
                  <w:vAlign w:val="center"/>
                </w:tcPr>
                <w:p w14:paraId="1C3390B1">
                  <w:pPr>
                    <w:rPr>
                      <w:color w:val="auto"/>
                      <w:sz w:val="21"/>
                      <w:szCs w:val="21"/>
                    </w:rPr>
                  </w:pPr>
                  <w:r>
                    <w:rPr>
                      <w:color w:val="auto"/>
                      <w:sz w:val="21"/>
                      <w:szCs w:val="21"/>
                    </w:rPr>
                    <w:t>详见报告章节</w:t>
                  </w:r>
                  <w:r>
                    <w:rPr>
                      <w:rFonts w:hint="eastAsia"/>
                      <w:color w:val="auto"/>
                      <w:sz w:val="21"/>
                      <w:szCs w:val="21"/>
                    </w:rPr>
                    <w:t>7.3</w:t>
                  </w:r>
                </w:p>
              </w:tc>
            </w:tr>
            <w:tr w14:paraId="799023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00" w:type="pct"/>
                  <w:gridSpan w:val="5"/>
                  <w:tcBorders>
                    <w:tl2br w:val="nil"/>
                    <w:tr2bl w:val="nil"/>
                  </w:tcBorders>
                  <w:vAlign w:val="center"/>
                </w:tcPr>
                <w:p w14:paraId="55DB9837">
                  <w:pPr>
                    <w:rPr>
                      <w:color w:val="auto"/>
                      <w:sz w:val="21"/>
                      <w:szCs w:val="21"/>
                    </w:rPr>
                  </w:pPr>
                  <w:r>
                    <w:rPr>
                      <w:color w:val="auto"/>
                      <w:sz w:val="21"/>
                      <w:szCs w:val="21"/>
                    </w:rPr>
                    <w:t>填表说明（列出项目相关信息及评价说明）：</w:t>
                  </w:r>
                </w:p>
                <w:p w14:paraId="1F0F32DC">
                  <w:pPr>
                    <w:rPr>
                      <w:color w:val="auto"/>
                      <w:sz w:val="21"/>
                      <w:szCs w:val="21"/>
                    </w:rPr>
                  </w:pPr>
                  <w:r>
                    <w:rPr>
                      <w:color w:val="auto"/>
                      <w:sz w:val="21"/>
                      <w:szCs w:val="21"/>
                    </w:rPr>
                    <w:t>本项目风险评价根据《建设项目环境风险评价技术导则》（HJ169-2018）进行分析。</w:t>
                  </w:r>
                  <w:r>
                    <w:rPr>
                      <w:rFonts w:hint="eastAsia"/>
                      <w:color w:val="auto"/>
                      <w:sz w:val="21"/>
                      <w:szCs w:val="21"/>
                    </w:rPr>
                    <w:t>本项目</w:t>
                  </w:r>
                  <w:r>
                    <w:rPr>
                      <w:color w:val="auto"/>
                      <w:sz w:val="21"/>
                      <w:szCs w:val="21"/>
                    </w:rPr>
                    <w:t>环境风险潜势为</w:t>
                  </w:r>
                  <w:r>
                    <w:rPr>
                      <w:rFonts w:eastAsia="仿宋"/>
                      <w:color w:val="auto"/>
                      <w:sz w:val="21"/>
                      <w:szCs w:val="21"/>
                    </w:rPr>
                    <w:t>Ⅰ</w:t>
                  </w:r>
                  <w:r>
                    <w:rPr>
                      <w:color w:val="auto"/>
                      <w:sz w:val="21"/>
                      <w:szCs w:val="21"/>
                    </w:rPr>
                    <w:t>，评价等级为简单分析。在落实了环评提出的风险防范措施后，环境风险可控，不会对周围环境造成较大风险。</w:t>
                  </w:r>
                </w:p>
              </w:tc>
            </w:tr>
          </w:tbl>
          <w:p w14:paraId="0DA0078E">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9</w:t>
            </w:r>
            <w:r>
              <w:rPr>
                <w:rFonts w:hint="eastAsia" w:ascii="Times New Roman" w:hAnsi="Times New Roman" w:eastAsia="宋体" w:cs="Times New Roman"/>
                <w:b/>
                <w:bCs/>
                <w:color w:val="auto"/>
                <w:sz w:val="24"/>
                <w:lang w:val="en-US" w:eastAsia="zh-CN"/>
              </w:rPr>
              <w:t>.</w:t>
            </w:r>
            <w:r>
              <w:rPr>
                <w:rFonts w:hint="eastAsia" w:ascii="Times New Roman" w:hAnsi="Times New Roman" w:eastAsia="宋体" w:cs="Times New Roman"/>
                <w:b/>
                <w:bCs/>
                <w:color w:val="auto"/>
                <w:sz w:val="24"/>
              </w:rPr>
              <w:t>环保投资</w:t>
            </w:r>
          </w:p>
          <w:p w14:paraId="036D95C0">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本项目总投资</w:t>
            </w:r>
            <w:r>
              <w:rPr>
                <w:rFonts w:hint="eastAsia" w:ascii="Times New Roman" w:hAnsi="Times New Roman" w:cs="Times New Roman"/>
                <w:b w:val="0"/>
                <w:bCs/>
                <w:color w:val="auto"/>
                <w:kern w:val="0"/>
                <w:sz w:val="24"/>
                <w:szCs w:val="24"/>
                <w:lang w:val="en-US" w:eastAsia="zh-CN" w:bidi="ar-SA"/>
              </w:rPr>
              <w:t>500</w:t>
            </w:r>
            <w:r>
              <w:rPr>
                <w:rFonts w:hint="default" w:ascii="Times New Roman" w:hAnsi="Times New Roman" w:eastAsia="宋体" w:cs="Times New Roman"/>
                <w:b w:val="0"/>
                <w:bCs/>
                <w:color w:val="auto"/>
                <w:kern w:val="0"/>
                <w:sz w:val="24"/>
                <w:szCs w:val="24"/>
                <w:lang w:val="en-US" w:eastAsia="zh-CN" w:bidi="ar-SA"/>
              </w:rPr>
              <w:t>万元，其中环保投资</w:t>
            </w:r>
            <w:r>
              <w:rPr>
                <w:rFonts w:hint="eastAsia" w:ascii="Times New Roman" w:hAnsi="Times New Roman" w:cs="Times New Roman"/>
                <w:b w:val="0"/>
                <w:bCs/>
                <w:color w:val="auto"/>
                <w:kern w:val="0"/>
                <w:sz w:val="24"/>
                <w:szCs w:val="24"/>
                <w:lang w:val="en-US" w:eastAsia="zh-CN" w:bidi="ar-SA"/>
              </w:rPr>
              <w:t>95.31</w:t>
            </w:r>
            <w:r>
              <w:rPr>
                <w:rFonts w:hint="default" w:ascii="Times New Roman" w:hAnsi="Times New Roman" w:eastAsia="宋体" w:cs="Times New Roman"/>
                <w:b w:val="0"/>
                <w:bCs/>
                <w:color w:val="auto"/>
                <w:kern w:val="0"/>
                <w:sz w:val="24"/>
                <w:szCs w:val="24"/>
                <w:lang w:val="en-US" w:eastAsia="zh-CN" w:bidi="ar-SA"/>
              </w:rPr>
              <w:t>万元，占总投资比例为</w:t>
            </w:r>
            <w:r>
              <w:rPr>
                <w:rFonts w:hint="eastAsia" w:ascii="Times New Roman" w:hAnsi="Times New Roman" w:cs="Times New Roman"/>
                <w:b w:val="0"/>
                <w:bCs/>
                <w:color w:val="auto"/>
                <w:kern w:val="0"/>
                <w:sz w:val="24"/>
                <w:szCs w:val="24"/>
                <w:lang w:val="en-US" w:eastAsia="zh-CN" w:bidi="ar-SA"/>
              </w:rPr>
              <w:t>19.06</w:t>
            </w:r>
            <w:r>
              <w:rPr>
                <w:rFonts w:hint="default" w:ascii="Times New Roman" w:hAnsi="Times New Roman" w:eastAsia="宋体" w:cs="Times New Roman"/>
                <w:b w:val="0"/>
                <w:bCs/>
                <w:color w:val="auto"/>
                <w:kern w:val="0"/>
                <w:sz w:val="24"/>
                <w:szCs w:val="24"/>
                <w:lang w:val="en-US" w:eastAsia="zh-CN" w:bidi="ar-SA"/>
              </w:rPr>
              <w:t>%，环保投资明细见表4-1</w:t>
            </w:r>
            <w:r>
              <w:rPr>
                <w:rFonts w:hint="eastAsia" w:ascii="Times New Roman" w:hAnsi="Times New Roman" w:cs="Times New Roman"/>
                <w:b w:val="0"/>
                <w:bCs/>
                <w:color w:val="auto"/>
                <w:kern w:val="0"/>
                <w:sz w:val="24"/>
                <w:szCs w:val="24"/>
                <w:lang w:val="en-US" w:eastAsia="zh-CN" w:bidi="ar-SA"/>
              </w:rPr>
              <w:t>9</w:t>
            </w:r>
            <w:r>
              <w:rPr>
                <w:rFonts w:hint="default" w:ascii="Times New Roman" w:hAnsi="Times New Roman" w:eastAsia="宋体" w:cs="Times New Roman"/>
                <w:b w:val="0"/>
                <w:bCs/>
                <w:color w:val="auto"/>
                <w:kern w:val="0"/>
                <w:sz w:val="24"/>
                <w:szCs w:val="24"/>
                <w:lang w:val="en-US" w:eastAsia="zh-CN" w:bidi="ar-SA"/>
              </w:rPr>
              <w:t>。</w:t>
            </w:r>
          </w:p>
          <w:p w14:paraId="067FF026">
            <w:pPr>
              <w:pStyle w:val="2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4-1</w:t>
            </w:r>
            <w:r>
              <w:rPr>
                <w:rFonts w:hint="eastAsia" w:cs="Times New Roman"/>
                <w:color w:val="auto"/>
                <w:lang w:val="en-US" w:eastAsia="zh-CN"/>
              </w:rPr>
              <w:t>9</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环保措施及投资估算表</w:t>
            </w:r>
            <w:r>
              <w:rPr>
                <w:rFonts w:hint="eastAsia" w:ascii="Times New Roman" w:hAnsi="Times New Roman" w:eastAsia="宋体" w:cs="Times New Roman"/>
                <w:color w:val="auto"/>
              </w:rPr>
              <w:t xml:space="preserve">  单位：万元</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376"/>
              <w:gridCol w:w="1150"/>
              <w:gridCol w:w="3466"/>
              <w:gridCol w:w="735"/>
            </w:tblGrid>
            <w:tr w14:paraId="0197C6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bottom w:val="single" w:color="auto" w:sz="12" w:space="0"/>
                  </w:tcBorders>
                  <w:vAlign w:val="center"/>
                </w:tcPr>
                <w:p w14:paraId="5DFFDE8F">
                  <w:pPr>
                    <w:jc w:val="center"/>
                    <w:rPr>
                      <w:b/>
                      <w:bCs/>
                      <w:color w:val="auto"/>
                      <w:sz w:val="21"/>
                      <w:szCs w:val="21"/>
                    </w:rPr>
                  </w:pPr>
                  <w:r>
                    <w:rPr>
                      <w:rFonts w:hint="eastAsia"/>
                      <w:b/>
                      <w:bCs/>
                      <w:color w:val="auto"/>
                      <w:sz w:val="21"/>
                      <w:szCs w:val="21"/>
                    </w:rPr>
                    <w:t>序号</w:t>
                  </w:r>
                </w:p>
              </w:tc>
              <w:tc>
                <w:tcPr>
                  <w:tcW w:w="866" w:type="pct"/>
                  <w:tcBorders>
                    <w:bottom w:val="single" w:color="auto" w:sz="12" w:space="0"/>
                  </w:tcBorders>
                  <w:vAlign w:val="center"/>
                </w:tcPr>
                <w:p w14:paraId="75FA601B">
                  <w:pPr>
                    <w:jc w:val="center"/>
                    <w:rPr>
                      <w:b/>
                      <w:bCs/>
                      <w:color w:val="auto"/>
                      <w:sz w:val="21"/>
                      <w:szCs w:val="21"/>
                    </w:rPr>
                  </w:pPr>
                  <w:r>
                    <w:rPr>
                      <w:rFonts w:hint="eastAsia"/>
                      <w:b/>
                      <w:bCs/>
                      <w:color w:val="auto"/>
                      <w:sz w:val="21"/>
                      <w:szCs w:val="21"/>
                    </w:rPr>
                    <w:t>类别</w:t>
                  </w:r>
                </w:p>
              </w:tc>
              <w:tc>
                <w:tcPr>
                  <w:tcW w:w="723" w:type="pct"/>
                  <w:tcBorders>
                    <w:bottom w:val="single" w:color="auto" w:sz="12" w:space="0"/>
                  </w:tcBorders>
                  <w:vAlign w:val="center"/>
                </w:tcPr>
                <w:p w14:paraId="033534B0">
                  <w:pPr>
                    <w:jc w:val="center"/>
                    <w:rPr>
                      <w:b/>
                      <w:bCs/>
                      <w:color w:val="auto"/>
                      <w:sz w:val="21"/>
                      <w:szCs w:val="21"/>
                    </w:rPr>
                  </w:pPr>
                  <w:r>
                    <w:rPr>
                      <w:rFonts w:hint="eastAsia"/>
                      <w:b/>
                      <w:bCs/>
                      <w:color w:val="auto"/>
                      <w:sz w:val="21"/>
                      <w:szCs w:val="21"/>
                    </w:rPr>
                    <w:t>防治对象</w:t>
                  </w:r>
                </w:p>
              </w:tc>
              <w:tc>
                <w:tcPr>
                  <w:tcW w:w="2181" w:type="pct"/>
                  <w:tcBorders>
                    <w:bottom w:val="single" w:color="auto" w:sz="12" w:space="0"/>
                  </w:tcBorders>
                  <w:vAlign w:val="center"/>
                </w:tcPr>
                <w:p w14:paraId="01D09A5B">
                  <w:pPr>
                    <w:jc w:val="center"/>
                    <w:rPr>
                      <w:b/>
                      <w:bCs/>
                      <w:color w:val="auto"/>
                      <w:sz w:val="21"/>
                      <w:szCs w:val="21"/>
                    </w:rPr>
                  </w:pPr>
                  <w:r>
                    <w:rPr>
                      <w:rFonts w:hint="eastAsia"/>
                      <w:b/>
                      <w:bCs/>
                      <w:color w:val="auto"/>
                      <w:sz w:val="21"/>
                      <w:szCs w:val="21"/>
                    </w:rPr>
                    <w:t>环保措施</w:t>
                  </w:r>
                </w:p>
              </w:tc>
              <w:tc>
                <w:tcPr>
                  <w:tcW w:w="462" w:type="pct"/>
                  <w:tcBorders>
                    <w:bottom w:val="single" w:color="auto" w:sz="12" w:space="0"/>
                  </w:tcBorders>
                  <w:vAlign w:val="center"/>
                </w:tcPr>
                <w:p w14:paraId="54597CDB">
                  <w:pPr>
                    <w:jc w:val="center"/>
                    <w:rPr>
                      <w:b/>
                      <w:bCs/>
                      <w:color w:val="auto"/>
                      <w:sz w:val="21"/>
                      <w:szCs w:val="21"/>
                    </w:rPr>
                  </w:pPr>
                  <w:r>
                    <w:rPr>
                      <w:rFonts w:hint="eastAsia"/>
                      <w:b/>
                      <w:bCs/>
                      <w:color w:val="auto"/>
                      <w:sz w:val="21"/>
                      <w:szCs w:val="21"/>
                    </w:rPr>
                    <w:t>环保投资</w:t>
                  </w:r>
                </w:p>
              </w:tc>
            </w:tr>
            <w:tr w14:paraId="0129D0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op w:val="single" w:color="auto" w:sz="12" w:space="0"/>
                    <w:tl2br w:val="nil"/>
                    <w:tr2bl w:val="nil"/>
                  </w:tcBorders>
                  <w:vAlign w:val="center"/>
                </w:tcPr>
                <w:p w14:paraId="5F18234B">
                  <w:pPr>
                    <w:jc w:val="center"/>
                    <w:rPr>
                      <w:color w:val="auto"/>
                      <w:sz w:val="21"/>
                      <w:szCs w:val="21"/>
                    </w:rPr>
                  </w:pPr>
                  <w:r>
                    <w:rPr>
                      <w:rFonts w:hint="eastAsia"/>
                      <w:color w:val="auto"/>
                      <w:sz w:val="21"/>
                      <w:szCs w:val="21"/>
                    </w:rPr>
                    <w:t>1</w:t>
                  </w:r>
                </w:p>
              </w:tc>
              <w:tc>
                <w:tcPr>
                  <w:tcW w:w="866" w:type="pct"/>
                  <w:vMerge w:val="restart"/>
                  <w:tcBorders>
                    <w:top w:val="single" w:color="auto" w:sz="12" w:space="0"/>
                    <w:tl2br w:val="nil"/>
                    <w:tr2bl w:val="nil"/>
                  </w:tcBorders>
                  <w:vAlign w:val="center"/>
                </w:tcPr>
                <w:p w14:paraId="7DD8F00A">
                  <w:pPr>
                    <w:jc w:val="center"/>
                    <w:rPr>
                      <w:color w:val="auto"/>
                      <w:sz w:val="21"/>
                      <w:szCs w:val="21"/>
                    </w:rPr>
                  </w:pPr>
                  <w:r>
                    <w:rPr>
                      <w:rFonts w:hint="eastAsia"/>
                      <w:color w:val="auto"/>
                      <w:sz w:val="21"/>
                      <w:szCs w:val="21"/>
                    </w:rPr>
                    <w:t>废气</w:t>
                  </w:r>
                </w:p>
              </w:tc>
              <w:tc>
                <w:tcPr>
                  <w:tcW w:w="723" w:type="pct"/>
                  <w:tcBorders>
                    <w:top w:val="single" w:color="auto" w:sz="12" w:space="0"/>
                    <w:tl2br w:val="nil"/>
                    <w:tr2bl w:val="nil"/>
                  </w:tcBorders>
                  <w:vAlign w:val="center"/>
                </w:tcPr>
                <w:p w14:paraId="5021B407">
                  <w:pPr>
                    <w:jc w:val="center"/>
                    <w:rPr>
                      <w:color w:val="auto"/>
                      <w:sz w:val="21"/>
                      <w:szCs w:val="21"/>
                    </w:rPr>
                  </w:pPr>
                  <w:r>
                    <w:rPr>
                      <w:rFonts w:hint="eastAsia"/>
                      <w:color w:val="auto"/>
                      <w:sz w:val="21"/>
                      <w:szCs w:val="21"/>
                    </w:rPr>
                    <w:t>搅拌粉尘</w:t>
                  </w:r>
                </w:p>
              </w:tc>
              <w:tc>
                <w:tcPr>
                  <w:tcW w:w="2181" w:type="pct"/>
                  <w:tcBorders>
                    <w:top w:val="single" w:color="auto" w:sz="12" w:space="0"/>
                    <w:tl2br w:val="nil"/>
                    <w:tr2bl w:val="nil"/>
                  </w:tcBorders>
                  <w:vAlign w:val="center"/>
                </w:tcPr>
                <w:p w14:paraId="1380CE82">
                  <w:pPr>
                    <w:jc w:val="center"/>
                    <w:rPr>
                      <w:color w:val="auto"/>
                      <w:sz w:val="21"/>
                      <w:szCs w:val="21"/>
                    </w:rPr>
                  </w:pPr>
                  <w:r>
                    <w:rPr>
                      <w:rFonts w:hint="eastAsia"/>
                      <w:color w:val="auto"/>
                      <w:sz w:val="21"/>
                      <w:szCs w:val="21"/>
                    </w:rPr>
                    <w:t>搅拌楼密闭，</w:t>
                  </w:r>
                  <w:r>
                    <w:rPr>
                      <w:rFonts w:hint="eastAsia"/>
                      <w:color w:val="auto"/>
                      <w:sz w:val="21"/>
                      <w:szCs w:val="21"/>
                      <w:lang w:val="en-US" w:eastAsia="zh-CN"/>
                    </w:rPr>
                    <w:t>封闭式除尘器</w:t>
                  </w:r>
                </w:p>
              </w:tc>
              <w:tc>
                <w:tcPr>
                  <w:tcW w:w="462" w:type="pct"/>
                  <w:tcBorders>
                    <w:top w:val="single" w:color="auto" w:sz="12" w:space="0"/>
                    <w:tl2br w:val="nil"/>
                    <w:tr2bl w:val="nil"/>
                  </w:tcBorders>
                  <w:vAlign w:val="center"/>
                </w:tcPr>
                <w:p w14:paraId="2A94E8A8">
                  <w:pPr>
                    <w:jc w:val="center"/>
                    <w:rPr>
                      <w:rFonts w:hint="default" w:eastAsia="宋体"/>
                      <w:color w:val="auto"/>
                      <w:sz w:val="21"/>
                      <w:szCs w:val="21"/>
                      <w:lang w:val="en-US" w:eastAsia="zh-CN"/>
                    </w:rPr>
                  </w:pPr>
                  <w:r>
                    <w:rPr>
                      <w:rFonts w:hint="eastAsia"/>
                      <w:color w:val="auto"/>
                      <w:sz w:val="21"/>
                      <w:szCs w:val="21"/>
                      <w:lang w:val="en-US" w:eastAsia="zh-CN"/>
                    </w:rPr>
                    <w:t>15</w:t>
                  </w:r>
                </w:p>
              </w:tc>
            </w:tr>
            <w:tr w14:paraId="64246D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0276C45F">
                  <w:pPr>
                    <w:jc w:val="center"/>
                    <w:rPr>
                      <w:color w:val="auto"/>
                      <w:sz w:val="21"/>
                      <w:szCs w:val="21"/>
                    </w:rPr>
                  </w:pPr>
                </w:p>
              </w:tc>
              <w:tc>
                <w:tcPr>
                  <w:tcW w:w="866" w:type="pct"/>
                  <w:vMerge w:val="continue"/>
                  <w:tcBorders>
                    <w:tl2br w:val="nil"/>
                    <w:tr2bl w:val="nil"/>
                  </w:tcBorders>
                  <w:vAlign w:val="center"/>
                </w:tcPr>
                <w:p w14:paraId="74827A77">
                  <w:pPr>
                    <w:jc w:val="center"/>
                    <w:rPr>
                      <w:color w:val="auto"/>
                      <w:sz w:val="21"/>
                      <w:szCs w:val="21"/>
                    </w:rPr>
                  </w:pPr>
                </w:p>
              </w:tc>
              <w:tc>
                <w:tcPr>
                  <w:tcW w:w="723" w:type="pct"/>
                  <w:tcBorders>
                    <w:tl2br w:val="nil"/>
                    <w:tr2bl w:val="nil"/>
                  </w:tcBorders>
                  <w:vAlign w:val="center"/>
                </w:tcPr>
                <w:p w14:paraId="347F12B7">
                  <w:pPr>
                    <w:jc w:val="center"/>
                    <w:rPr>
                      <w:color w:val="auto"/>
                      <w:sz w:val="21"/>
                      <w:szCs w:val="21"/>
                    </w:rPr>
                  </w:pPr>
                  <w:r>
                    <w:rPr>
                      <w:rFonts w:hint="eastAsia"/>
                      <w:color w:val="auto"/>
                      <w:sz w:val="21"/>
                      <w:szCs w:val="21"/>
                    </w:rPr>
                    <w:t>筒仓粉尘</w:t>
                  </w:r>
                </w:p>
              </w:tc>
              <w:tc>
                <w:tcPr>
                  <w:tcW w:w="2181" w:type="pct"/>
                  <w:tcBorders>
                    <w:tl2br w:val="nil"/>
                    <w:tr2bl w:val="nil"/>
                  </w:tcBorders>
                  <w:vAlign w:val="center"/>
                </w:tcPr>
                <w:p w14:paraId="5FF2FE69">
                  <w:pPr>
                    <w:jc w:val="center"/>
                    <w:rPr>
                      <w:color w:val="auto"/>
                      <w:sz w:val="21"/>
                      <w:szCs w:val="21"/>
                    </w:rPr>
                  </w:pPr>
                  <w:r>
                    <w:rPr>
                      <w:rFonts w:hint="eastAsia"/>
                      <w:color w:val="auto"/>
                      <w:sz w:val="21"/>
                      <w:szCs w:val="21"/>
                    </w:rPr>
                    <w:t>筒仓配套脉冲布袋除尘器</w:t>
                  </w:r>
                </w:p>
              </w:tc>
              <w:tc>
                <w:tcPr>
                  <w:tcW w:w="462" w:type="pct"/>
                  <w:tcBorders>
                    <w:tl2br w:val="nil"/>
                    <w:tr2bl w:val="nil"/>
                  </w:tcBorders>
                  <w:vAlign w:val="center"/>
                </w:tcPr>
                <w:p w14:paraId="3F00C67B">
                  <w:pPr>
                    <w:jc w:val="center"/>
                    <w:rPr>
                      <w:rFonts w:hint="default" w:eastAsia="宋体"/>
                      <w:color w:val="auto"/>
                      <w:sz w:val="21"/>
                      <w:szCs w:val="21"/>
                      <w:lang w:val="en-US" w:eastAsia="zh-CN"/>
                    </w:rPr>
                  </w:pPr>
                  <w:r>
                    <w:rPr>
                      <w:rFonts w:hint="eastAsia"/>
                      <w:color w:val="auto"/>
                      <w:sz w:val="21"/>
                      <w:szCs w:val="21"/>
                      <w:lang w:val="en-US" w:eastAsia="zh-CN"/>
                    </w:rPr>
                    <w:t>10</w:t>
                  </w:r>
                </w:p>
              </w:tc>
            </w:tr>
            <w:tr w14:paraId="3CCA9E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765" w:type="pct"/>
                  <w:vMerge w:val="continue"/>
                  <w:tcBorders>
                    <w:tl2br w:val="nil"/>
                    <w:tr2bl w:val="nil"/>
                  </w:tcBorders>
                  <w:vAlign w:val="center"/>
                </w:tcPr>
                <w:p w14:paraId="6D6EA36B">
                  <w:pPr>
                    <w:jc w:val="center"/>
                    <w:rPr>
                      <w:color w:val="auto"/>
                      <w:sz w:val="21"/>
                      <w:szCs w:val="21"/>
                    </w:rPr>
                  </w:pPr>
                </w:p>
              </w:tc>
              <w:tc>
                <w:tcPr>
                  <w:tcW w:w="866" w:type="pct"/>
                  <w:vMerge w:val="continue"/>
                  <w:tcBorders>
                    <w:tl2br w:val="nil"/>
                    <w:tr2bl w:val="nil"/>
                  </w:tcBorders>
                  <w:vAlign w:val="center"/>
                </w:tcPr>
                <w:p w14:paraId="37287110">
                  <w:pPr>
                    <w:jc w:val="center"/>
                    <w:rPr>
                      <w:color w:val="auto"/>
                      <w:sz w:val="21"/>
                      <w:szCs w:val="21"/>
                    </w:rPr>
                  </w:pPr>
                </w:p>
              </w:tc>
              <w:tc>
                <w:tcPr>
                  <w:tcW w:w="723" w:type="pct"/>
                  <w:vMerge w:val="restart"/>
                  <w:tcBorders>
                    <w:tl2br w:val="nil"/>
                    <w:tr2bl w:val="nil"/>
                  </w:tcBorders>
                  <w:vAlign w:val="center"/>
                </w:tcPr>
                <w:p w14:paraId="7D125C71">
                  <w:pPr>
                    <w:jc w:val="center"/>
                    <w:rPr>
                      <w:color w:val="auto"/>
                      <w:sz w:val="21"/>
                      <w:szCs w:val="21"/>
                    </w:rPr>
                  </w:pPr>
                  <w:r>
                    <w:rPr>
                      <w:rFonts w:hint="eastAsia"/>
                      <w:color w:val="auto"/>
                      <w:sz w:val="21"/>
                      <w:szCs w:val="21"/>
                    </w:rPr>
                    <w:t>卸料扬尘</w:t>
                  </w:r>
                </w:p>
              </w:tc>
              <w:tc>
                <w:tcPr>
                  <w:tcW w:w="2181" w:type="pct"/>
                  <w:tcBorders>
                    <w:tl2br w:val="nil"/>
                    <w:tr2bl w:val="nil"/>
                  </w:tcBorders>
                  <w:vAlign w:val="center"/>
                </w:tcPr>
                <w:p w14:paraId="37CAA9FA">
                  <w:pPr>
                    <w:jc w:val="center"/>
                    <w:rPr>
                      <w:color w:val="auto"/>
                      <w:sz w:val="21"/>
                      <w:szCs w:val="21"/>
                    </w:rPr>
                  </w:pPr>
                  <w:r>
                    <w:rPr>
                      <w:rFonts w:hint="eastAsia"/>
                      <w:color w:val="auto"/>
                      <w:sz w:val="21"/>
                      <w:szCs w:val="21"/>
                      <w:lang w:val="en-US" w:eastAsia="zh-CN"/>
                    </w:rPr>
                    <w:t>半封闭料场</w:t>
                  </w:r>
                  <w:r>
                    <w:rPr>
                      <w:rFonts w:hint="eastAsia"/>
                      <w:color w:val="auto"/>
                      <w:sz w:val="21"/>
                      <w:szCs w:val="21"/>
                    </w:rPr>
                    <w:t>，洒水降尘</w:t>
                  </w:r>
                </w:p>
              </w:tc>
              <w:tc>
                <w:tcPr>
                  <w:tcW w:w="462" w:type="pct"/>
                  <w:tcBorders>
                    <w:tl2br w:val="nil"/>
                    <w:tr2bl w:val="nil"/>
                  </w:tcBorders>
                  <w:vAlign w:val="center"/>
                </w:tcPr>
                <w:p w14:paraId="6A310989">
                  <w:pPr>
                    <w:jc w:val="center"/>
                    <w:rPr>
                      <w:rFonts w:hint="default" w:eastAsia="宋体"/>
                      <w:color w:val="auto"/>
                      <w:sz w:val="21"/>
                      <w:szCs w:val="21"/>
                      <w:lang w:val="en-US" w:eastAsia="zh-CN"/>
                    </w:rPr>
                  </w:pPr>
                  <w:r>
                    <w:rPr>
                      <w:rFonts w:hint="eastAsia"/>
                      <w:color w:val="auto"/>
                      <w:sz w:val="21"/>
                      <w:szCs w:val="21"/>
                      <w:lang w:val="en-US" w:eastAsia="zh-CN"/>
                    </w:rPr>
                    <w:t>2</w:t>
                  </w:r>
                </w:p>
              </w:tc>
            </w:tr>
            <w:tr w14:paraId="4CDE8A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765" w:type="pct"/>
                  <w:vMerge w:val="continue"/>
                  <w:tcBorders>
                    <w:tl2br w:val="nil"/>
                    <w:tr2bl w:val="nil"/>
                  </w:tcBorders>
                  <w:vAlign w:val="center"/>
                </w:tcPr>
                <w:p w14:paraId="2DADD5D3">
                  <w:pPr>
                    <w:jc w:val="center"/>
                    <w:rPr>
                      <w:color w:val="auto"/>
                      <w:sz w:val="21"/>
                      <w:szCs w:val="21"/>
                    </w:rPr>
                  </w:pPr>
                </w:p>
              </w:tc>
              <w:tc>
                <w:tcPr>
                  <w:tcW w:w="866" w:type="pct"/>
                  <w:vMerge w:val="continue"/>
                  <w:tcBorders>
                    <w:tl2br w:val="nil"/>
                    <w:tr2bl w:val="nil"/>
                  </w:tcBorders>
                  <w:vAlign w:val="center"/>
                </w:tcPr>
                <w:p w14:paraId="3B05795C">
                  <w:pPr>
                    <w:jc w:val="center"/>
                    <w:rPr>
                      <w:color w:val="auto"/>
                      <w:sz w:val="21"/>
                      <w:szCs w:val="21"/>
                    </w:rPr>
                  </w:pPr>
                </w:p>
              </w:tc>
              <w:tc>
                <w:tcPr>
                  <w:tcW w:w="723" w:type="pct"/>
                  <w:vMerge w:val="continue"/>
                  <w:tcBorders>
                    <w:tl2br w:val="nil"/>
                    <w:tr2bl w:val="nil"/>
                  </w:tcBorders>
                  <w:vAlign w:val="center"/>
                </w:tcPr>
                <w:p w14:paraId="3C9B9BB6">
                  <w:pPr>
                    <w:jc w:val="center"/>
                    <w:rPr>
                      <w:rFonts w:hint="eastAsia"/>
                      <w:color w:val="auto"/>
                      <w:sz w:val="21"/>
                      <w:szCs w:val="21"/>
                    </w:rPr>
                  </w:pPr>
                </w:p>
              </w:tc>
              <w:tc>
                <w:tcPr>
                  <w:tcW w:w="2181" w:type="pct"/>
                  <w:tcBorders>
                    <w:tl2br w:val="nil"/>
                    <w:tr2bl w:val="nil"/>
                  </w:tcBorders>
                  <w:vAlign w:val="center"/>
                </w:tcPr>
                <w:p w14:paraId="2E8919E2">
                  <w:pPr>
                    <w:jc w:val="center"/>
                    <w:rPr>
                      <w:rFonts w:hint="eastAsia"/>
                      <w:color w:val="auto"/>
                      <w:sz w:val="21"/>
                      <w:szCs w:val="21"/>
                      <w:lang w:val="en-US" w:eastAsia="zh-CN"/>
                    </w:rPr>
                  </w:pPr>
                  <w:r>
                    <w:rPr>
                      <w:rFonts w:hint="eastAsia"/>
                      <w:color w:val="auto"/>
                      <w:sz w:val="21"/>
                      <w:szCs w:val="21"/>
                      <w:lang w:val="en-US" w:eastAsia="zh-CN"/>
                    </w:rPr>
                    <w:t>篷布覆盖</w:t>
                  </w:r>
                </w:p>
              </w:tc>
              <w:tc>
                <w:tcPr>
                  <w:tcW w:w="462" w:type="pct"/>
                  <w:tcBorders>
                    <w:tl2br w:val="nil"/>
                    <w:tr2bl w:val="nil"/>
                  </w:tcBorders>
                  <w:vAlign w:val="center"/>
                </w:tcPr>
                <w:p w14:paraId="4A59A86B">
                  <w:pPr>
                    <w:jc w:val="center"/>
                    <w:rPr>
                      <w:rFonts w:hint="default"/>
                      <w:color w:val="auto"/>
                      <w:sz w:val="21"/>
                      <w:szCs w:val="21"/>
                      <w:lang w:val="en-US" w:eastAsia="zh-CN"/>
                    </w:rPr>
                  </w:pPr>
                  <w:r>
                    <w:rPr>
                      <w:rFonts w:hint="eastAsia"/>
                      <w:color w:val="auto"/>
                      <w:sz w:val="21"/>
                      <w:szCs w:val="21"/>
                      <w:lang w:val="en-US" w:eastAsia="zh-CN"/>
                    </w:rPr>
                    <w:t>2</w:t>
                  </w:r>
                </w:p>
              </w:tc>
            </w:tr>
            <w:tr w14:paraId="10671A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765" w:type="pct"/>
                  <w:vMerge w:val="continue"/>
                  <w:tcBorders>
                    <w:tl2br w:val="nil"/>
                    <w:tr2bl w:val="nil"/>
                  </w:tcBorders>
                  <w:vAlign w:val="center"/>
                </w:tcPr>
                <w:p w14:paraId="59D3C64C">
                  <w:pPr>
                    <w:jc w:val="center"/>
                    <w:rPr>
                      <w:color w:val="auto"/>
                      <w:sz w:val="21"/>
                      <w:szCs w:val="21"/>
                    </w:rPr>
                  </w:pPr>
                </w:p>
              </w:tc>
              <w:tc>
                <w:tcPr>
                  <w:tcW w:w="866" w:type="pct"/>
                  <w:vMerge w:val="continue"/>
                  <w:tcBorders>
                    <w:tl2br w:val="nil"/>
                    <w:tr2bl w:val="nil"/>
                  </w:tcBorders>
                  <w:vAlign w:val="center"/>
                </w:tcPr>
                <w:p w14:paraId="401732A1">
                  <w:pPr>
                    <w:jc w:val="center"/>
                    <w:rPr>
                      <w:color w:val="auto"/>
                      <w:sz w:val="21"/>
                      <w:szCs w:val="21"/>
                    </w:rPr>
                  </w:pPr>
                </w:p>
              </w:tc>
              <w:tc>
                <w:tcPr>
                  <w:tcW w:w="723" w:type="pct"/>
                  <w:vMerge w:val="continue"/>
                  <w:tcBorders>
                    <w:tl2br w:val="nil"/>
                    <w:tr2bl w:val="nil"/>
                  </w:tcBorders>
                  <w:vAlign w:val="center"/>
                </w:tcPr>
                <w:p w14:paraId="0ABAF260">
                  <w:pPr>
                    <w:jc w:val="center"/>
                    <w:rPr>
                      <w:rFonts w:hint="eastAsia"/>
                      <w:color w:val="auto"/>
                      <w:sz w:val="21"/>
                      <w:szCs w:val="21"/>
                    </w:rPr>
                  </w:pPr>
                </w:p>
              </w:tc>
              <w:tc>
                <w:tcPr>
                  <w:tcW w:w="2181" w:type="pct"/>
                  <w:tcBorders>
                    <w:tl2br w:val="nil"/>
                    <w:tr2bl w:val="nil"/>
                  </w:tcBorders>
                  <w:vAlign w:val="center"/>
                </w:tcPr>
                <w:p w14:paraId="33281FAA">
                  <w:pPr>
                    <w:jc w:val="center"/>
                    <w:rPr>
                      <w:rFonts w:hint="default"/>
                      <w:color w:val="auto"/>
                      <w:sz w:val="21"/>
                      <w:szCs w:val="21"/>
                      <w:lang w:val="en-US" w:eastAsia="zh-CN"/>
                    </w:rPr>
                  </w:pPr>
                  <w:r>
                    <w:rPr>
                      <w:rFonts w:hint="eastAsia"/>
                      <w:color w:val="auto"/>
                      <w:sz w:val="21"/>
                      <w:szCs w:val="21"/>
                      <w:lang w:val="en-US" w:eastAsia="zh-CN"/>
                    </w:rPr>
                    <w:t>降尘喷淋设备</w:t>
                  </w:r>
                </w:p>
              </w:tc>
              <w:tc>
                <w:tcPr>
                  <w:tcW w:w="462" w:type="pct"/>
                  <w:tcBorders>
                    <w:tl2br w:val="nil"/>
                    <w:tr2bl w:val="nil"/>
                  </w:tcBorders>
                  <w:vAlign w:val="center"/>
                </w:tcPr>
                <w:p w14:paraId="3A08F6BF">
                  <w:pPr>
                    <w:jc w:val="center"/>
                    <w:rPr>
                      <w:rFonts w:hint="default"/>
                      <w:color w:val="auto"/>
                      <w:sz w:val="21"/>
                      <w:szCs w:val="21"/>
                      <w:lang w:val="en-US" w:eastAsia="zh-CN"/>
                    </w:rPr>
                  </w:pPr>
                  <w:r>
                    <w:rPr>
                      <w:rFonts w:hint="eastAsia"/>
                      <w:color w:val="auto"/>
                      <w:sz w:val="21"/>
                      <w:szCs w:val="21"/>
                      <w:lang w:val="en-US" w:eastAsia="zh-CN"/>
                    </w:rPr>
                    <w:t>4</w:t>
                  </w:r>
                </w:p>
              </w:tc>
            </w:tr>
            <w:tr w14:paraId="4D9CB7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4C6FB8B0">
                  <w:pPr>
                    <w:jc w:val="center"/>
                    <w:rPr>
                      <w:color w:val="auto"/>
                      <w:sz w:val="21"/>
                      <w:szCs w:val="21"/>
                    </w:rPr>
                  </w:pPr>
                </w:p>
              </w:tc>
              <w:tc>
                <w:tcPr>
                  <w:tcW w:w="866" w:type="pct"/>
                  <w:vMerge w:val="continue"/>
                  <w:tcBorders>
                    <w:tl2br w:val="nil"/>
                    <w:tr2bl w:val="nil"/>
                  </w:tcBorders>
                  <w:vAlign w:val="center"/>
                </w:tcPr>
                <w:p w14:paraId="445973D5">
                  <w:pPr>
                    <w:jc w:val="center"/>
                    <w:rPr>
                      <w:color w:val="auto"/>
                      <w:sz w:val="21"/>
                      <w:szCs w:val="21"/>
                    </w:rPr>
                  </w:pPr>
                </w:p>
              </w:tc>
              <w:tc>
                <w:tcPr>
                  <w:tcW w:w="723" w:type="pct"/>
                  <w:vMerge w:val="restart"/>
                  <w:tcBorders>
                    <w:tl2br w:val="nil"/>
                    <w:tr2bl w:val="nil"/>
                  </w:tcBorders>
                  <w:vAlign w:val="center"/>
                </w:tcPr>
                <w:p w14:paraId="06F11EE3">
                  <w:pPr>
                    <w:jc w:val="center"/>
                    <w:rPr>
                      <w:color w:val="auto"/>
                      <w:sz w:val="21"/>
                      <w:szCs w:val="21"/>
                    </w:rPr>
                  </w:pPr>
                  <w:r>
                    <w:rPr>
                      <w:rFonts w:hint="eastAsia"/>
                      <w:color w:val="auto"/>
                      <w:sz w:val="21"/>
                      <w:szCs w:val="21"/>
                    </w:rPr>
                    <w:t>运输扬尘</w:t>
                  </w:r>
                </w:p>
              </w:tc>
              <w:tc>
                <w:tcPr>
                  <w:tcW w:w="2181" w:type="pct"/>
                  <w:tcBorders>
                    <w:tl2br w:val="nil"/>
                    <w:tr2bl w:val="nil"/>
                  </w:tcBorders>
                  <w:vAlign w:val="center"/>
                </w:tcPr>
                <w:p w14:paraId="5586760D">
                  <w:pPr>
                    <w:jc w:val="center"/>
                    <w:rPr>
                      <w:color w:val="auto"/>
                      <w:sz w:val="21"/>
                      <w:szCs w:val="21"/>
                    </w:rPr>
                  </w:pPr>
                  <w:r>
                    <w:rPr>
                      <w:rFonts w:hint="eastAsia"/>
                      <w:color w:val="auto"/>
                      <w:sz w:val="21"/>
                      <w:szCs w:val="21"/>
                    </w:rPr>
                    <w:t>运输车辆要封闭遮盖，粉料采用密闭罐车运输</w:t>
                  </w:r>
                </w:p>
              </w:tc>
              <w:tc>
                <w:tcPr>
                  <w:tcW w:w="462" w:type="pct"/>
                  <w:tcBorders>
                    <w:tl2br w:val="nil"/>
                    <w:tr2bl w:val="nil"/>
                  </w:tcBorders>
                  <w:vAlign w:val="center"/>
                </w:tcPr>
                <w:p w14:paraId="4C477FDE">
                  <w:pPr>
                    <w:jc w:val="center"/>
                    <w:rPr>
                      <w:rFonts w:hint="eastAsia" w:eastAsia="宋体"/>
                      <w:color w:val="auto"/>
                      <w:sz w:val="21"/>
                      <w:szCs w:val="21"/>
                      <w:lang w:eastAsia="zh-CN"/>
                    </w:rPr>
                  </w:pPr>
                  <w:r>
                    <w:rPr>
                      <w:rFonts w:hint="eastAsia"/>
                      <w:color w:val="auto"/>
                      <w:sz w:val="21"/>
                      <w:szCs w:val="21"/>
                      <w:lang w:val="en-US" w:eastAsia="zh-CN"/>
                    </w:rPr>
                    <w:t>3</w:t>
                  </w:r>
                </w:p>
              </w:tc>
            </w:tr>
            <w:tr w14:paraId="0B0FFE4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56AECAEC">
                  <w:pPr>
                    <w:jc w:val="center"/>
                    <w:rPr>
                      <w:color w:val="auto"/>
                      <w:sz w:val="21"/>
                      <w:szCs w:val="21"/>
                    </w:rPr>
                  </w:pPr>
                </w:p>
              </w:tc>
              <w:tc>
                <w:tcPr>
                  <w:tcW w:w="866" w:type="pct"/>
                  <w:vMerge w:val="continue"/>
                  <w:tcBorders>
                    <w:tl2br w:val="nil"/>
                    <w:tr2bl w:val="nil"/>
                  </w:tcBorders>
                  <w:vAlign w:val="center"/>
                </w:tcPr>
                <w:p w14:paraId="345B665B">
                  <w:pPr>
                    <w:jc w:val="center"/>
                    <w:rPr>
                      <w:color w:val="auto"/>
                      <w:sz w:val="21"/>
                      <w:szCs w:val="21"/>
                    </w:rPr>
                  </w:pPr>
                </w:p>
              </w:tc>
              <w:tc>
                <w:tcPr>
                  <w:tcW w:w="723" w:type="pct"/>
                  <w:vMerge w:val="continue"/>
                  <w:tcBorders>
                    <w:tl2br w:val="nil"/>
                    <w:tr2bl w:val="nil"/>
                  </w:tcBorders>
                  <w:vAlign w:val="center"/>
                </w:tcPr>
                <w:p w14:paraId="3E6DEE12">
                  <w:pPr>
                    <w:jc w:val="center"/>
                    <w:rPr>
                      <w:rFonts w:hint="eastAsia"/>
                      <w:color w:val="auto"/>
                      <w:sz w:val="21"/>
                      <w:szCs w:val="21"/>
                    </w:rPr>
                  </w:pPr>
                </w:p>
              </w:tc>
              <w:tc>
                <w:tcPr>
                  <w:tcW w:w="2181" w:type="pct"/>
                  <w:tcBorders>
                    <w:tl2br w:val="nil"/>
                    <w:tr2bl w:val="nil"/>
                  </w:tcBorders>
                  <w:vAlign w:val="center"/>
                </w:tcPr>
                <w:p w14:paraId="61861BE2">
                  <w:pPr>
                    <w:jc w:val="center"/>
                    <w:rPr>
                      <w:rFonts w:hint="default" w:eastAsia="宋体"/>
                      <w:color w:val="auto"/>
                      <w:sz w:val="21"/>
                      <w:szCs w:val="21"/>
                      <w:lang w:val="en-US" w:eastAsia="zh-CN"/>
                    </w:rPr>
                  </w:pPr>
                  <w:r>
                    <w:rPr>
                      <w:rFonts w:hint="eastAsia"/>
                      <w:color w:val="auto"/>
                      <w:sz w:val="21"/>
                      <w:szCs w:val="21"/>
                      <w:lang w:val="en-US" w:eastAsia="zh-CN"/>
                    </w:rPr>
                    <w:t>建设洗车平台</w:t>
                  </w:r>
                </w:p>
              </w:tc>
              <w:tc>
                <w:tcPr>
                  <w:tcW w:w="462" w:type="pct"/>
                  <w:tcBorders>
                    <w:tl2br w:val="nil"/>
                    <w:tr2bl w:val="nil"/>
                  </w:tcBorders>
                  <w:vAlign w:val="center"/>
                </w:tcPr>
                <w:p w14:paraId="0B72070E">
                  <w:pPr>
                    <w:jc w:val="center"/>
                    <w:rPr>
                      <w:rFonts w:hint="default"/>
                      <w:color w:val="auto"/>
                      <w:sz w:val="21"/>
                      <w:szCs w:val="21"/>
                      <w:lang w:val="en-US" w:eastAsia="zh-CN"/>
                    </w:rPr>
                  </w:pPr>
                  <w:r>
                    <w:rPr>
                      <w:rFonts w:hint="eastAsia"/>
                      <w:color w:val="auto"/>
                      <w:sz w:val="21"/>
                      <w:szCs w:val="21"/>
                      <w:lang w:val="en-US" w:eastAsia="zh-CN"/>
                    </w:rPr>
                    <w:t>5</w:t>
                  </w:r>
                </w:p>
              </w:tc>
            </w:tr>
            <w:tr w14:paraId="3B7248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62652219">
                  <w:pPr>
                    <w:jc w:val="center"/>
                    <w:rPr>
                      <w:color w:val="auto"/>
                      <w:sz w:val="21"/>
                      <w:szCs w:val="21"/>
                    </w:rPr>
                  </w:pPr>
                </w:p>
              </w:tc>
              <w:tc>
                <w:tcPr>
                  <w:tcW w:w="866" w:type="pct"/>
                  <w:vMerge w:val="continue"/>
                  <w:tcBorders>
                    <w:tl2br w:val="nil"/>
                    <w:tr2bl w:val="nil"/>
                  </w:tcBorders>
                  <w:vAlign w:val="center"/>
                </w:tcPr>
                <w:p w14:paraId="53E223A3">
                  <w:pPr>
                    <w:jc w:val="center"/>
                    <w:rPr>
                      <w:color w:val="auto"/>
                      <w:sz w:val="21"/>
                      <w:szCs w:val="21"/>
                    </w:rPr>
                  </w:pPr>
                </w:p>
              </w:tc>
              <w:tc>
                <w:tcPr>
                  <w:tcW w:w="723" w:type="pct"/>
                  <w:tcBorders>
                    <w:tl2br w:val="nil"/>
                    <w:tr2bl w:val="nil"/>
                  </w:tcBorders>
                  <w:vAlign w:val="center"/>
                </w:tcPr>
                <w:p w14:paraId="18AD0106">
                  <w:pPr>
                    <w:jc w:val="center"/>
                    <w:rPr>
                      <w:color w:val="auto"/>
                      <w:sz w:val="21"/>
                      <w:szCs w:val="21"/>
                    </w:rPr>
                  </w:pPr>
                  <w:r>
                    <w:rPr>
                      <w:rFonts w:hint="eastAsia"/>
                      <w:color w:val="auto"/>
                      <w:sz w:val="21"/>
                      <w:szCs w:val="21"/>
                    </w:rPr>
                    <w:t>廊道运输</w:t>
                  </w:r>
                </w:p>
              </w:tc>
              <w:tc>
                <w:tcPr>
                  <w:tcW w:w="2181" w:type="pct"/>
                  <w:tcBorders>
                    <w:tl2br w:val="nil"/>
                    <w:tr2bl w:val="nil"/>
                  </w:tcBorders>
                  <w:vAlign w:val="center"/>
                </w:tcPr>
                <w:p w14:paraId="381C5B23">
                  <w:pPr>
                    <w:jc w:val="center"/>
                    <w:rPr>
                      <w:color w:val="auto"/>
                      <w:sz w:val="21"/>
                      <w:szCs w:val="21"/>
                    </w:rPr>
                  </w:pPr>
                  <w:r>
                    <w:rPr>
                      <w:rFonts w:hint="eastAsia"/>
                      <w:color w:val="auto"/>
                      <w:sz w:val="21"/>
                      <w:szCs w:val="21"/>
                    </w:rPr>
                    <w:t>廊道密闭</w:t>
                  </w:r>
                </w:p>
              </w:tc>
              <w:tc>
                <w:tcPr>
                  <w:tcW w:w="462" w:type="pct"/>
                  <w:tcBorders>
                    <w:tl2br w:val="nil"/>
                    <w:tr2bl w:val="nil"/>
                  </w:tcBorders>
                  <w:vAlign w:val="center"/>
                </w:tcPr>
                <w:p w14:paraId="65EF9E44">
                  <w:pPr>
                    <w:jc w:val="center"/>
                    <w:rPr>
                      <w:rFonts w:hint="eastAsia" w:eastAsia="宋体"/>
                      <w:color w:val="auto"/>
                      <w:sz w:val="21"/>
                      <w:szCs w:val="21"/>
                      <w:lang w:eastAsia="zh-CN"/>
                    </w:rPr>
                  </w:pPr>
                  <w:r>
                    <w:rPr>
                      <w:rFonts w:hint="eastAsia"/>
                      <w:color w:val="auto"/>
                      <w:sz w:val="21"/>
                      <w:szCs w:val="21"/>
                      <w:lang w:val="en-US" w:eastAsia="zh-CN"/>
                    </w:rPr>
                    <w:t>5</w:t>
                  </w:r>
                </w:p>
              </w:tc>
            </w:tr>
            <w:tr w14:paraId="46BA24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651ABEA8">
                  <w:pPr>
                    <w:jc w:val="center"/>
                    <w:rPr>
                      <w:color w:val="auto"/>
                      <w:sz w:val="21"/>
                      <w:szCs w:val="21"/>
                    </w:rPr>
                  </w:pPr>
                </w:p>
              </w:tc>
              <w:tc>
                <w:tcPr>
                  <w:tcW w:w="866" w:type="pct"/>
                  <w:vMerge w:val="continue"/>
                  <w:tcBorders>
                    <w:tl2br w:val="nil"/>
                    <w:tr2bl w:val="nil"/>
                  </w:tcBorders>
                  <w:vAlign w:val="center"/>
                </w:tcPr>
                <w:p w14:paraId="7AC3305F">
                  <w:pPr>
                    <w:jc w:val="center"/>
                    <w:rPr>
                      <w:color w:val="auto"/>
                      <w:sz w:val="21"/>
                      <w:szCs w:val="21"/>
                    </w:rPr>
                  </w:pPr>
                </w:p>
              </w:tc>
              <w:tc>
                <w:tcPr>
                  <w:tcW w:w="723" w:type="pct"/>
                  <w:tcBorders>
                    <w:tl2br w:val="nil"/>
                    <w:tr2bl w:val="nil"/>
                  </w:tcBorders>
                  <w:vAlign w:val="center"/>
                </w:tcPr>
                <w:p w14:paraId="0F92BC77">
                  <w:pPr>
                    <w:jc w:val="center"/>
                    <w:rPr>
                      <w:color w:val="auto"/>
                      <w:sz w:val="21"/>
                      <w:szCs w:val="21"/>
                    </w:rPr>
                  </w:pPr>
                  <w:r>
                    <w:rPr>
                      <w:rFonts w:hint="eastAsia"/>
                      <w:color w:val="auto"/>
                      <w:sz w:val="21"/>
                      <w:szCs w:val="21"/>
                    </w:rPr>
                    <w:t>食堂油烟</w:t>
                  </w:r>
                </w:p>
              </w:tc>
              <w:tc>
                <w:tcPr>
                  <w:tcW w:w="2181" w:type="pct"/>
                  <w:tcBorders>
                    <w:tl2br w:val="nil"/>
                    <w:tr2bl w:val="nil"/>
                  </w:tcBorders>
                  <w:vAlign w:val="center"/>
                </w:tcPr>
                <w:p w14:paraId="58D2F85C">
                  <w:pPr>
                    <w:jc w:val="center"/>
                    <w:rPr>
                      <w:color w:val="auto"/>
                      <w:sz w:val="21"/>
                      <w:szCs w:val="21"/>
                    </w:rPr>
                  </w:pPr>
                  <w:r>
                    <w:rPr>
                      <w:rFonts w:hint="eastAsia"/>
                      <w:color w:val="auto"/>
                      <w:sz w:val="21"/>
                      <w:szCs w:val="21"/>
                    </w:rPr>
                    <w:t>油烟净化器+专用烟道</w:t>
                  </w:r>
                </w:p>
              </w:tc>
              <w:tc>
                <w:tcPr>
                  <w:tcW w:w="462" w:type="pct"/>
                  <w:tcBorders>
                    <w:tl2br w:val="nil"/>
                    <w:tr2bl w:val="nil"/>
                  </w:tcBorders>
                  <w:vAlign w:val="center"/>
                </w:tcPr>
                <w:p w14:paraId="47F550DB">
                  <w:pPr>
                    <w:jc w:val="center"/>
                    <w:rPr>
                      <w:rFonts w:hint="default" w:eastAsia="宋体"/>
                      <w:color w:val="auto"/>
                      <w:sz w:val="21"/>
                      <w:szCs w:val="21"/>
                      <w:lang w:val="en-US" w:eastAsia="zh-CN"/>
                    </w:rPr>
                  </w:pPr>
                  <w:r>
                    <w:rPr>
                      <w:rFonts w:hint="eastAsia"/>
                      <w:color w:val="auto"/>
                      <w:sz w:val="21"/>
                      <w:szCs w:val="21"/>
                      <w:lang w:val="en-US" w:eastAsia="zh-CN"/>
                    </w:rPr>
                    <w:t>0.5</w:t>
                  </w:r>
                </w:p>
              </w:tc>
            </w:tr>
            <w:tr w14:paraId="095210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l2br w:val="nil"/>
                    <w:tr2bl w:val="nil"/>
                  </w:tcBorders>
                  <w:vAlign w:val="center"/>
                </w:tcPr>
                <w:p w14:paraId="1FEE98D8">
                  <w:pPr>
                    <w:jc w:val="center"/>
                    <w:rPr>
                      <w:color w:val="auto"/>
                      <w:sz w:val="21"/>
                      <w:szCs w:val="21"/>
                    </w:rPr>
                  </w:pPr>
                  <w:r>
                    <w:rPr>
                      <w:rFonts w:hint="eastAsia"/>
                      <w:color w:val="auto"/>
                      <w:sz w:val="21"/>
                      <w:szCs w:val="21"/>
                    </w:rPr>
                    <w:t>2</w:t>
                  </w:r>
                </w:p>
              </w:tc>
              <w:tc>
                <w:tcPr>
                  <w:tcW w:w="866" w:type="pct"/>
                  <w:vMerge w:val="restart"/>
                  <w:tcBorders>
                    <w:tl2br w:val="nil"/>
                    <w:tr2bl w:val="nil"/>
                  </w:tcBorders>
                  <w:vAlign w:val="center"/>
                </w:tcPr>
                <w:p w14:paraId="49B75370">
                  <w:pPr>
                    <w:jc w:val="center"/>
                    <w:rPr>
                      <w:color w:val="auto"/>
                      <w:sz w:val="21"/>
                      <w:szCs w:val="21"/>
                    </w:rPr>
                  </w:pPr>
                  <w:r>
                    <w:rPr>
                      <w:rFonts w:hint="eastAsia"/>
                      <w:color w:val="auto"/>
                      <w:sz w:val="21"/>
                      <w:szCs w:val="21"/>
                    </w:rPr>
                    <w:t>废水</w:t>
                  </w:r>
                </w:p>
              </w:tc>
              <w:tc>
                <w:tcPr>
                  <w:tcW w:w="723" w:type="pct"/>
                  <w:tcBorders>
                    <w:tl2br w:val="nil"/>
                    <w:tr2bl w:val="nil"/>
                  </w:tcBorders>
                  <w:vAlign w:val="center"/>
                </w:tcPr>
                <w:p w14:paraId="5797E92C">
                  <w:pPr>
                    <w:jc w:val="center"/>
                    <w:rPr>
                      <w:color w:val="auto"/>
                      <w:sz w:val="21"/>
                      <w:szCs w:val="21"/>
                    </w:rPr>
                  </w:pPr>
                  <w:r>
                    <w:rPr>
                      <w:rFonts w:hint="eastAsia"/>
                      <w:color w:val="auto"/>
                      <w:sz w:val="21"/>
                      <w:szCs w:val="21"/>
                    </w:rPr>
                    <w:t>生产废水</w:t>
                  </w:r>
                </w:p>
              </w:tc>
              <w:tc>
                <w:tcPr>
                  <w:tcW w:w="2181" w:type="pct"/>
                  <w:tcBorders>
                    <w:tl2br w:val="nil"/>
                    <w:tr2bl w:val="nil"/>
                  </w:tcBorders>
                  <w:vAlign w:val="center"/>
                </w:tcPr>
                <w:p w14:paraId="7FD5AC2D">
                  <w:pPr>
                    <w:jc w:val="center"/>
                    <w:rPr>
                      <w:rFonts w:hint="default" w:eastAsia="宋体"/>
                      <w:color w:val="auto"/>
                      <w:sz w:val="21"/>
                      <w:szCs w:val="21"/>
                      <w:lang w:val="en-US" w:eastAsia="zh-CN"/>
                    </w:rPr>
                  </w:pPr>
                  <w:r>
                    <w:rPr>
                      <w:rFonts w:hint="eastAsia"/>
                      <w:color w:val="auto"/>
                      <w:sz w:val="21"/>
                      <w:szCs w:val="21"/>
                      <w:lang w:val="en-US" w:eastAsia="zh-CN"/>
                    </w:rPr>
                    <w:t>30m</w:t>
                  </w:r>
                  <w:r>
                    <w:rPr>
                      <w:rFonts w:hint="eastAsia"/>
                      <w:color w:val="auto"/>
                      <w:sz w:val="21"/>
                      <w:szCs w:val="21"/>
                      <w:vertAlign w:val="superscript"/>
                      <w:lang w:val="en-US" w:eastAsia="zh-CN"/>
                    </w:rPr>
                    <w:t>3</w:t>
                  </w:r>
                  <w:r>
                    <w:rPr>
                      <w:rFonts w:hint="eastAsia"/>
                      <w:color w:val="auto"/>
                      <w:sz w:val="21"/>
                      <w:szCs w:val="21"/>
                      <w:lang w:val="en-US" w:eastAsia="zh-CN"/>
                    </w:rPr>
                    <w:t>三级沉淀池</w:t>
                  </w:r>
                </w:p>
              </w:tc>
              <w:tc>
                <w:tcPr>
                  <w:tcW w:w="462" w:type="pct"/>
                  <w:tcBorders>
                    <w:tl2br w:val="nil"/>
                    <w:tr2bl w:val="nil"/>
                  </w:tcBorders>
                  <w:vAlign w:val="center"/>
                </w:tcPr>
                <w:p w14:paraId="6F67DBF2">
                  <w:pPr>
                    <w:jc w:val="center"/>
                    <w:rPr>
                      <w:rFonts w:hint="eastAsia" w:eastAsia="宋体"/>
                      <w:color w:val="auto"/>
                      <w:sz w:val="21"/>
                      <w:szCs w:val="21"/>
                      <w:lang w:eastAsia="zh-CN"/>
                    </w:rPr>
                  </w:pPr>
                  <w:r>
                    <w:rPr>
                      <w:rFonts w:hint="eastAsia"/>
                      <w:color w:val="auto"/>
                      <w:sz w:val="21"/>
                      <w:szCs w:val="21"/>
                      <w:lang w:val="en-US" w:eastAsia="zh-CN"/>
                    </w:rPr>
                    <w:t>6</w:t>
                  </w:r>
                </w:p>
              </w:tc>
            </w:tr>
            <w:tr w14:paraId="4B0634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76A5D838">
                  <w:pPr>
                    <w:jc w:val="center"/>
                    <w:rPr>
                      <w:color w:val="auto"/>
                      <w:sz w:val="21"/>
                      <w:szCs w:val="21"/>
                    </w:rPr>
                  </w:pPr>
                </w:p>
              </w:tc>
              <w:tc>
                <w:tcPr>
                  <w:tcW w:w="866" w:type="pct"/>
                  <w:vMerge w:val="continue"/>
                  <w:tcBorders>
                    <w:tl2br w:val="nil"/>
                    <w:tr2bl w:val="nil"/>
                  </w:tcBorders>
                  <w:vAlign w:val="center"/>
                </w:tcPr>
                <w:p w14:paraId="0CD4BECD">
                  <w:pPr>
                    <w:jc w:val="center"/>
                    <w:rPr>
                      <w:color w:val="auto"/>
                      <w:sz w:val="21"/>
                      <w:szCs w:val="21"/>
                    </w:rPr>
                  </w:pPr>
                </w:p>
              </w:tc>
              <w:tc>
                <w:tcPr>
                  <w:tcW w:w="723" w:type="pct"/>
                  <w:tcBorders>
                    <w:tl2br w:val="nil"/>
                    <w:tr2bl w:val="nil"/>
                  </w:tcBorders>
                  <w:vAlign w:val="center"/>
                </w:tcPr>
                <w:p w14:paraId="3E595EF4">
                  <w:pPr>
                    <w:jc w:val="center"/>
                    <w:rPr>
                      <w:color w:val="auto"/>
                      <w:sz w:val="21"/>
                      <w:szCs w:val="21"/>
                    </w:rPr>
                  </w:pPr>
                  <w:r>
                    <w:rPr>
                      <w:rFonts w:hint="eastAsia"/>
                      <w:color w:val="auto"/>
                      <w:sz w:val="21"/>
                      <w:szCs w:val="21"/>
                    </w:rPr>
                    <w:t>生活污水</w:t>
                  </w:r>
                </w:p>
              </w:tc>
              <w:tc>
                <w:tcPr>
                  <w:tcW w:w="2181" w:type="pct"/>
                  <w:tcBorders>
                    <w:tl2br w:val="nil"/>
                    <w:tr2bl w:val="nil"/>
                  </w:tcBorders>
                  <w:vAlign w:val="center"/>
                </w:tcPr>
                <w:p w14:paraId="1A9B8544">
                  <w:pPr>
                    <w:jc w:val="center"/>
                    <w:rPr>
                      <w:color w:val="auto"/>
                      <w:sz w:val="21"/>
                      <w:szCs w:val="21"/>
                    </w:rPr>
                  </w:pPr>
                  <w:r>
                    <w:rPr>
                      <w:rFonts w:hint="eastAsia"/>
                      <w:color w:val="auto"/>
                      <w:sz w:val="21"/>
                      <w:szCs w:val="21"/>
                    </w:rPr>
                    <w:t>地埋式一体化污水处理系统</w:t>
                  </w:r>
                </w:p>
              </w:tc>
              <w:tc>
                <w:tcPr>
                  <w:tcW w:w="462" w:type="pct"/>
                  <w:tcBorders>
                    <w:tl2br w:val="nil"/>
                    <w:tr2bl w:val="nil"/>
                  </w:tcBorders>
                  <w:vAlign w:val="center"/>
                </w:tcPr>
                <w:p w14:paraId="35319C1E">
                  <w:pPr>
                    <w:jc w:val="center"/>
                    <w:rPr>
                      <w:rFonts w:hint="default" w:eastAsia="宋体"/>
                      <w:color w:val="auto"/>
                      <w:sz w:val="21"/>
                      <w:szCs w:val="21"/>
                      <w:lang w:val="en-US" w:eastAsia="zh-CN"/>
                    </w:rPr>
                  </w:pPr>
                  <w:r>
                    <w:rPr>
                      <w:rFonts w:hint="eastAsia"/>
                      <w:color w:val="auto"/>
                      <w:sz w:val="21"/>
                      <w:szCs w:val="21"/>
                      <w:lang w:val="en-US" w:eastAsia="zh-CN"/>
                    </w:rPr>
                    <w:t>10</w:t>
                  </w:r>
                </w:p>
              </w:tc>
            </w:tr>
            <w:tr w14:paraId="73259B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tl2br w:val="nil"/>
                    <w:tr2bl w:val="nil"/>
                  </w:tcBorders>
                  <w:vAlign w:val="center"/>
                </w:tcPr>
                <w:p w14:paraId="16F0AB73">
                  <w:pPr>
                    <w:jc w:val="center"/>
                    <w:rPr>
                      <w:color w:val="auto"/>
                      <w:sz w:val="21"/>
                      <w:szCs w:val="21"/>
                    </w:rPr>
                  </w:pPr>
                  <w:r>
                    <w:rPr>
                      <w:rFonts w:hint="eastAsia"/>
                      <w:color w:val="auto"/>
                      <w:sz w:val="21"/>
                      <w:szCs w:val="21"/>
                    </w:rPr>
                    <w:t>3</w:t>
                  </w:r>
                </w:p>
              </w:tc>
              <w:tc>
                <w:tcPr>
                  <w:tcW w:w="866" w:type="pct"/>
                  <w:tcBorders>
                    <w:tl2br w:val="nil"/>
                    <w:tr2bl w:val="nil"/>
                  </w:tcBorders>
                  <w:vAlign w:val="center"/>
                </w:tcPr>
                <w:p w14:paraId="00CBCA2A">
                  <w:pPr>
                    <w:jc w:val="center"/>
                    <w:rPr>
                      <w:color w:val="auto"/>
                      <w:sz w:val="21"/>
                      <w:szCs w:val="21"/>
                    </w:rPr>
                  </w:pPr>
                  <w:r>
                    <w:rPr>
                      <w:rFonts w:hint="eastAsia"/>
                      <w:color w:val="auto"/>
                      <w:sz w:val="21"/>
                      <w:szCs w:val="21"/>
                    </w:rPr>
                    <w:t>噪声</w:t>
                  </w:r>
                </w:p>
              </w:tc>
              <w:tc>
                <w:tcPr>
                  <w:tcW w:w="723" w:type="pct"/>
                  <w:tcBorders>
                    <w:tl2br w:val="nil"/>
                    <w:tr2bl w:val="nil"/>
                  </w:tcBorders>
                  <w:vAlign w:val="center"/>
                </w:tcPr>
                <w:p w14:paraId="720943F2">
                  <w:pPr>
                    <w:jc w:val="center"/>
                    <w:rPr>
                      <w:color w:val="auto"/>
                      <w:sz w:val="21"/>
                      <w:szCs w:val="21"/>
                    </w:rPr>
                  </w:pPr>
                  <w:r>
                    <w:rPr>
                      <w:snapToGrid w:val="0"/>
                      <w:color w:val="auto"/>
                      <w:kern w:val="0"/>
                      <w:sz w:val="21"/>
                      <w:szCs w:val="21"/>
                    </w:rPr>
                    <w:t>生产设备</w:t>
                  </w:r>
                </w:p>
              </w:tc>
              <w:tc>
                <w:tcPr>
                  <w:tcW w:w="2181" w:type="pct"/>
                  <w:tcBorders>
                    <w:tl2br w:val="nil"/>
                    <w:tr2bl w:val="nil"/>
                  </w:tcBorders>
                  <w:vAlign w:val="center"/>
                </w:tcPr>
                <w:p w14:paraId="6FF751EE">
                  <w:pPr>
                    <w:jc w:val="center"/>
                    <w:rPr>
                      <w:color w:val="auto"/>
                      <w:sz w:val="21"/>
                      <w:szCs w:val="21"/>
                    </w:rPr>
                  </w:pPr>
                  <w:r>
                    <w:rPr>
                      <w:bCs/>
                      <w:color w:val="auto"/>
                      <w:sz w:val="21"/>
                      <w:szCs w:val="21"/>
                    </w:rPr>
                    <w:t>基础减震，房屋隔声</w:t>
                  </w:r>
                </w:p>
              </w:tc>
              <w:tc>
                <w:tcPr>
                  <w:tcW w:w="462" w:type="pct"/>
                  <w:tcBorders>
                    <w:tl2br w:val="nil"/>
                    <w:tr2bl w:val="nil"/>
                  </w:tcBorders>
                  <w:vAlign w:val="center"/>
                </w:tcPr>
                <w:p w14:paraId="071CAB8B">
                  <w:pPr>
                    <w:jc w:val="center"/>
                    <w:rPr>
                      <w:color w:val="auto"/>
                      <w:sz w:val="21"/>
                      <w:szCs w:val="21"/>
                    </w:rPr>
                  </w:pPr>
                  <w:r>
                    <w:rPr>
                      <w:rFonts w:hint="eastAsia"/>
                      <w:color w:val="auto"/>
                      <w:sz w:val="21"/>
                      <w:szCs w:val="21"/>
                    </w:rPr>
                    <w:t>2</w:t>
                  </w:r>
                </w:p>
              </w:tc>
            </w:tr>
            <w:tr w14:paraId="0B52750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l2br w:val="nil"/>
                    <w:tr2bl w:val="nil"/>
                  </w:tcBorders>
                  <w:vAlign w:val="center"/>
                </w:tcPr>
                <w:p w14:paraId="64394C77">
                  <w:pPr>
                    <w:jc w:val="center"/>
                    <w:rPr>
                      <w:color w:val="auto"/>
                      <w:sz w:val="21"/>
                      <w:szCs w:val="21"/>
                    </w:rPr>
                  </w:pPr>
                  <w:r>
                    <w:rPr>
                      <w:rFonts w:hint="eastAsia"/>
                      <w:color w:val="auto"/>
                      <w:sz w:val="21"/>
                      <w:szCs w:val="21"/>
                    </w:rPr>
                    <w:t>4</w:t>
                  </w:r>
                </w:p>
              </w:tc>
              <w:tc>
                <w:tcPr>
                  <w:tcW w:w="866" w:type="pct"/>
                  <w:vMerge w:val="restart"/>
                  <w:tcBorders>
                    <w:tl2br w:val="nil"/>
                    <w:tr2bl w:val="nil"/>
                  </w:tcBorders>
                  <w:vAlign w:val="center"/>
                </w:tcPr>
                <w:p w14:paraId="4377595C">
                  <w:pPr>
                    <w:jc w:val="center"/>
                    <w:rPr>
                      <w:color w:val="auto"/>
                      <w:sz w:val="21"/>
                      <w:szCs w:val="21"/>
                    </w:rPr>
                  </w:pPr>
                  <w:r>
                    <w:rPr>
                      <w:rFonts w:hint="eastAsia"/>
                      <w:color w:val="auto"/>
                      <w:sz w:val="21"/>
                      <w:szCs w:val="21"/>
                    </w:rPr>
                    <w:t>固废</w:t>
                  </w:r>
                </w:p>
              </w:tc>
              <w:tc>
                <w:tcPr>
                  <w:tcW w:w="723" w:type="pct"/>
                  <w:tcBorders>
                    <w:tl2br w:val="nil"/>
                    <w:tr2bl w:val="nil"/>
                  </w:tcBorders>
                  <w:vAlign w:val="center"/>
                </w:tcPr>
                <w:p w14:paraId="0CAD30CD">
                  <w:pPr>
                    <w:jc w:val="center"/>
                    <w:rPr>
                      <w:snapToGrid w:val="0"/>
                      <w:color w:val="auto"/>
                      <w:kern w:val="0"/>
                      <w:sz w:val="21"/>
                      <w:szCs w:val="21"/>
                    </w:rPr>
                  </w:pPr>
                  <w:r>
                    <w:rPr>
                      <w:rFonts w:hint="eastAsia"/>
                      <w:snapToGrid w:val="0"/>
                      <w:color w:val="auto"/>
                      <w:kern w:val="0"/>
                      <w:sz w:val="21"/>
                      <w:szCs w:val="21"/>
                    </w:rPr>
                    <w:t>生活垃圾</w:t>
                  </w:r>
                </w:p>
              </w:tc>
              <w:tc>
                <w:tcPr>
                  <w:tcW w:w="2181" w:type="pct"/>
                  <w:tcBorders>
                    <w:tl2br w:val="nil"/>
                    <w:tr2bl w:val="nil"/>
                  </w:tcBorders>
                  <w:vAlign w:val="center"/>
                </w:tcPr>
                <w:p w14:paraId="1685A162">
                  <w:pPr>
                    <w:jc w:val="center"/>
                    <w:rPr>
                      <w:bCs/>
                      <w:color w:val="auto"/>
                      <w:sz w:val="21"/>
                      <w:szCs w:val="21"/>
                    </w:rPr>
                  </w:pPr>
                  <w:r>
                    <w:rPr>
                      <w:rFonts w:hint="eastAsia"/>
                      <w:bCs/>
                      <w:color w:val="auto"/>
                      <w:sz w:val="21"/>
                      <w:szCs w:val="21"/>
                    </w:rPr>
                    <w:t>垃圾桶、垃圾箱</w:t>
                  </w:r>
                </w:p>
              </w:tc>
              <w:tc>
                <w:tcPr>
                  <w:tcW w:w="462" w:type="pct"/>
                  <w:tcBorders>
                    <w:tl2br w:val="nil"/>
                    <w:tr2bl w:val="nil"/>
                  </w:tcBorders>
                  <w:vAlign w:val="center"/>
                </w:tcPr>
                <w:p w14:paraId="709ABD37">
                  <w:pPr>
                    <w:jc w:val="center"/>
                    <w:rPr>
                      <w:rFonts w:hint="eastAsia" w:eastAsia="宋体"/>
                      <w:color w:val="auto"/>
                      <w:sz w:val="21"/>
                      <w:szCs w:val="21"/>
                      <w:lang w:eastAsia="zh-CN"/>
                    </w:rPr>
                  </w:pPr>
                  <w:r>
                    <w:rPr>
                      <w:rFonts w:hint="eastAsia"/>
                      <w:color w:val="auto"/>
                      <w:sz w:val="21"/>
                      <w:szCs w:val="21"/>
                    </w:rPr>
                    <w:t>0.</w:t>
                  </w:r>
                  <w:r>
                    <w:rPr>
                      <w:rFonts w:hint="eastAsia"/>
                      <w:color w:val="auto"/>
                      <w:sz w:val="21"/>
                      <w:szCs w:val="21"/>
                      <w:lang w:val="en-US" w:eastAsia="zh-CN"/>
                    </w:rPr>
                    <w:t>1</w:t>
                  </w:r>
                </w:p>
              </w:tc>
            </w:tr>
            <w:tr w14:paraId="3B235A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7D4F5496">
                  <w:pPr>
                    <w:jc w:val="center"/>
                    <w:rPr>
                      <w:color w:val="auto"/>
                      <w:sz w:val="21"/>
                      <w:szCs w:val="21"/>
                    </w:rPr>
                  </w:pPr>
                </w:p>
              </w:tc>
              <w:tc>
                <w:tcPr>
                  <w:tcW w:w="866" w:type="pct"/>
                  <w:vMerge w:val="continue"/>
                  <w:tcBorders>
                    <w:tl2br w:val="nil"/>
                    <w:tr2bl w:val="nil"/>
                  </w:tcBorders>
                  <w:vAlign w:val="center"/>
                </w:tcPr>
                <w:p w14:paraId="6CC993F4">
                  <w:pPr>
                    <w:jc w:val="center"/>
                    <w:rPr>
                      <w:color w:val="auto"/>
                      <w:sz w:val="21"/>
                      <w:szCs w:val="21"/>
                    </w:rPr>
                  </w:pPr>
                </w:p>
              </w:tc>
              <w:tc>
                <w:tcPr>
                  <w:tcW w:w="723" w:type="pct"/>
                  <w:tcBorders>
                    <w:tl2br w:val="nil"/>
                    <w:tr2bl w:val="nil"/>
                  </w:tcBorders>
                  <w:vAlign w:val="center"/>
                </w:tcPr>
                <w:p w14:paraId="75D0DBAD">
                  <w:pPr>
                    <w:jc w:val="center"/>
                    <w:rPr>
                      <w:snapToGrid w:val="0"/>
                      <w:color w:val="auto"/>
                      <w:kern w:val="0"/>
                      <w:sz w:val="21"/>
                      <w:szCs w:val="21"/>
                    </w:rPr>
                  </w:pPr>
                  <w:r>
                    <w:rPr>
                      <w:rFonts w:hint="eastAsia"/>
                      <w:snapToGrid w:val="0"/>
                      <w:color w:val="auto"/>
                      <w:kern w:val="0"/>
                      <w:sz w:val="21"/>
                      <w:szCs w:val="21"/>
                    </w:rPr>
                    <w:t>废机油</w:t>
                  </w:r>
                </w:p>
              </w:tc>
              <w:tc>
                <w:tcPr>
                  <w:tcW w:w="2181" w:type="pct"/>
                  <w:tcBorders>
                    <w:tl2br w:val="nil"/>
                    <w:tr2bl w:val="nil"/>
                  </w:tcBorders>
                  <w:vAlign w:val="center"/>
                </w:tcPr>
                <w:p w14:paraId="73B607A2">
                  <w:pPr>
                    <w:jc w:val="center"/>
                    <w:rPr>
                      <w:bCs/>
                      <w:color w:val="auto"/>
                      <w:sz w:val="21"/>
                      <w:szCs w:val="21"/>
                    </w:rPr>
                  </w:pPr>
                  <w:r>
                    <w:rPr>
                      <w:rFonts w:hint="eastAsia"/>
                      <w:bCs/>
                      <w:color w:val="auto"/>
                      <w:sz w:val="21"/>
                      <w:szCs w:val="21"/>
                    </w:rPr>
                    <w:t>10m</w:t>
                  </w:r>
                  <w:r>
                    <w:rPr>
                      <w:rFonts w:hint="eastAsia"/>
                      <w:bCs/>
                      <w:color w:val="auto"/>
                      <w:sz w:val="21"/>
                      <w:szCs w:val="21"/>
                      <w:vertAlign w:val="superscript"/>
                    </w:rPr>
                    <w:t>3</w:t>
                  </w:r>
                  <w:r>
                    <w:rPr>
                      <w:rFonts w:hint="eastAsia"/>
                      <w:bCs/>
                      <w:color w:val="auto"/>
                      <w:sz w:val="21"/>
                      <w:szCs w:val="21"/>
                    </w:rPr>
                    <w:t>危废暂存间</w:t>
                  </w:r>
                </w:p>
              </w:tc>
              <w:tc>
                <w:tcPr>
                  <w:tcW w:w="462" w:type="pct"/>
                  <w:tcBorders>
                    <w:tl2br w:val="nil"/>
                    <w:tr2bl w:val="nil"/>
                  </w:tcBorders>
                  <w:vAlign w:val="center"/>
                </w:tcPr>
                <w:p w14:paraId="65614B94">
                  <w:pPr>
                    <w:jc w:val="center"/>
                    <w:rPr>
                      <w:rFonts w:hint="default" w:eastAsia="宋体"/>
                      <w:color w:val="auto"/>
                      <w:sz w:val="21"/>
                      <w:szCs w:val="21"/>
                      <w:lang w:val="en-US" w:eastAsia="zh-CN"/>
                    </w:rPr>
                  </w:pPr>
                  <w:r>
                    <w:rPr>
                      <w:rFonts w:hint="eastAsia"/>
                      <w:color w:val="auto"/>
                      <w:sz w:val="21"/>
                      <w:szCs w:val="21"/>
                      <w:lang w:val="en-US" w:eastAsia="zh-CN"/>
                    </w:rPr>
                    <w:t>2.5</w:t>
                  </w:r>
                </w:p>
              </w:tc>
            </w:tr>
            <w:tr w14:paraId="133CA5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0A2374D0">
                  <w:pPr>
                    <w:jc w:val="center"/>
                    <w:rPr>
                      <w:color w:val="auto"/>
                      <w:sz w:val="21"/>
                      <w:szCs w:val="21"/>
                    </w:rPr>
                  </w:pPr>
                </w:p>
              </w:tc>
              <w:tc>
                <w:tcPr>
                  <w:tcW w:w="866" w:type="pct"/>
                  <w:vMerge w:val="continue"/>
                  <w:tcBorders>
                    <w:tl2br w:val="nil"/>
                    <w:tr2bl w:val="nil"/>
                  </w:tcBorders>
                  <w:vAlign w:val="center"/>
                </w:tcPr>
                <w:p w14:paraId="0C6ED43B">
                  <w:pPr>
                    <w:jc w:val="center"/>
                    <w:rPr>
                      <w:color w:val="auto"/>
                      <w:sz w:val="21"/>
                      <w:szCs w:val="21"/>
                    </w:rPr>
                  </w:pPr>
                </w:p>
              </w:tc>
              <w:tc>
                <w:tcPr>
                  <w:tcW w:w="723" w:type="pct"/>
                  <w:tcBorders>
                    <w:tl2br w:val="nil"/>
                    <w:tr2bl w:val="nil"/>
                  </w:tcBorders>
                  <w:vAlign w:val="center"/>
                </w:tcPr>
                <w:p w14:paraId="2303305D">
                  <w:pPr>
                    <w:jc w:val="center"/>
                    <w:rPr>
                      <w:rFonts w:hint="eastAsia" w:eastAsia="宋体"/>
                      <w:snapToGrid w:val="0"/>
                      <w:color w:val="auto"/>
                      <w:kern w:val="0"/>
                      <w:sz w:val="21"/>
                      <w:szCs w:val="21"/>
                      <w:lang w:val="en-US" w:eastAsia="zh-CN"/>
                    </w:rPr>
                  </w:pPr>
                  <w:r>
                    <w:rPr>
                      <w:rFonts w:hint="eastAsia"/>
                      <w:snapToGrid w:val="0"/>
                      <w:color w:val="auto"/>
                      <w:kern w:val="0"/>
                      <w:sz w:val="21"/>
                      <w:szCs w:val="21"/>
                      <w:lang w:val="en-US" w:eastAsia="zh-CN"/>
                    </w:rPr>
                    <w:t>污泥</w:t>
                  </w:r>
                </w:p>
              </w:tc>
              <w:tc>
                <w:tcPr>
                  <w:tcW w:w="2181" w:type="pct"/>
                  <w:tcBorders>
                    <w:tl2br w:val="nil"/>
                    <w:tr2bl w:val="nil"/>
                  </w:tcBorders>
                  <w:vAlign w:val="center"/>
                </w:tcPr>
                <w:p w14:paraId="75FD7C9F">
                  <w:pPr>
                    <w:jc w:val="center"/>
                    <w:rPr>
                      <w:rFonts w:hint="eastAsia"/>
                      <w:bCs/>
                      <w:color w:val="auto"/>
                      <w:sz w:val="21"/>
                      <w:szCs w:val="21"/>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tc>
              <w:tc>
                <w:tcPr>
                  <w:tcW w:w="462" w:type="pct"/>
                  <w:tcBorders>
                    <w:tl2br w:val="nil"/>
                    <w:tr2bl w:val="nil"/>
                  </w:tcBorders>
                  <w:vAlign w:val="center"/>
                </w:tcPr>
                <w:p w14:paraId="25E3AF97">
                  <w:pPr>
                    <w:jc w:val="center"/>
                    <w:rPr>
                      <w:rFonts w:hint="default"/>
                      <w:color w:val="auto"/>
                      <w:sz w:val="21"/>
                      <w:szCs w:val="21"/>
                      <w:lang w:val="en-US" w:eastAsia="zh-CN"/>
                    </w:rPr>
                  </w:pPr>
                  <w:r>
                    <w:rPr>
                      <w:rFonts w:hint="eastAsia"/>
                      <w:color w:val="auto"/>
                      <w:sz w:val="21"/>
                      <w:szCs w:val="21"/>
                      <w:lang w:val="en-US" w:eastAsia="zh-CN"/>
                    </w:rPr>
                    <w:t>0.5</w:t>
                  </w:r>
                </w:p>
              </w:tc>
            </w:tr>
            <w:tr w14:paraId="7F6FC8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1609DDBC">
                  <w:pPr>
                    <w:jc w:val="center"/>
                    <w:rPr>
                      <w:color w:val="auto"/>
                      <w:sz w:val="21"/>
                      <w:szCs w:val="21"/>
                    </w:rPr>
                  </w:pPr>
                </w:p>
              </w:tc>
              <w:tc>
                <w:tcPr>
                  <w:tcW w:w="866" w:type="pct"/>
                  <w:vMerge w:val="continue"/>
                  <w:tcBorders>
                    <w:tl2br w:val="nil"/>
                    <w:tr2bl w:val="nil"/>
                  </w:tcBorders>
                  <w:vAlign w:val="center"/>
                </w:tcPr>
                <w:p w14:paraId="1098F193">
                  <w:pPr>
                    <w:jc w:val="center"/>
                    <w:rPr>
                      <w:color w:val="auto"/>
                      <w:sz w:val="21"/>
                      <w:szCs w:val="21"/>
                    </w:rPr>
                  </w:pPr>
                </w:p>
              </w:tc>
              <w:tc>
                <w:tcPr>
                  <w:tcW w:w="723" w:type="pct"/>
                  <w:tcBorders>
                    <w:tl2br w:val="nil"/>
                    <w:tr2bl w:val="nil"/>
                  </w:tcBorders>
                  <w:vAlign w:val="center"/>
                </w:tcPr>
                <w:p w14:paraId="196B2D33">
                  <w:pPr>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废包装</w:t>
                  </w:r>
                </w:p>
              </w:tc>
              <w:tc>
                <w:tcPr>
                  <w:tcW w:w="2181" w:type="pct"/>
                  <w:tcBorders>
                    <w:tl2br w:val="nil"/>
                    <w:tr2bl w:val="nil"/>
                  </w:tcBorders>
                  <w:vAlign w:val="center"/>
                </w:tcPr>
                <w:p w14:paraId="5CB1F941">
                  <w:pPr>
                    <w:jc w:val="center"/>
                    <w:rPr>
                      <w:rFonts w:hint="default" w:ascii="Times New Roman" w:hAnsi="Times New Roman" w:eastAsia="宋体" w:cs="Times New Roman"/>
                      <w:snapToGrid/>
                      <w:color w:val="auto"/>
                      <w:kern w:val="2"/>
                      <w:sz w:val="21"/>
                      <w:szCs w:val="21"/>
                      <w:lang w:val="en-US" w:eastAsia="zh-CN" w:bidi="ar-SA"/>
                    </w:rPr>
                  </w:pPr>
                  <w:r>
                    <w:rPr>
                      <w:rFonts w:hint="eastAsia" w:cs="Times New Roman"/>
                      <w:snapToGrid/>
                      <w:color w:val="auto"/>
                      <w:kern w:val="2"/>
                      <w:sz w:val="21"/>
                      <w:szCs w:val="21"/>
                      <w:lang w:val="en-US" w:eastAsia="zh-CN" w:bidi="ar-SA"/>
                    </w:rPr>
                    <w:t>一般固废垃圾箱</w:t>
                  </w:r>
                </w:p>
              </w:tc>
              <w:tc>
                <w:tcPr>
                  <w:tcW w:w="462" w:type="pct"/>
                  <w:tcBorders>
                    <w:tl2br w:val="nil"/>
                    <w:tr2bl w:val="nil"/>
                  </w:tcBorders>
                  <w:vAlign w:val="center"/>
                </w:tcPr>
                <w:p w14:paraId="1459B500">
                  <w:pPr>
                    <w:jc w:val="center"/>
                    <w:rPr>
                      <w:rFonts w:hint="default"/>
                      <w:color w:val="auto"/>
                      <w:sz w:val="21"/>
                      <w:szCs w:val="21"/>
                      <w:lang w:val="en-US" w:eastAsia="zh-CN"/>
                    </w:rPr>
                  </w:pPr>
                  <w:r>
                    <w:rPr>
                      <w:rFonts w:hint="eastAsia"/>
                      <w:color w:val="auto"/>
                      <w:sz w:val="21"/>
                      <w:szCs w:val="21"/>
                      <w:lang w:val="en-US" w:eastAsia="zh-CN"/>
                    </w:rPr>
                    <w:t>0.5</w:t>
                  </w:r>
                </w:p>
              </w:tc>
            </w:tr>
            <w:tr w14:paraId="5EC29C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l2br w:val="nil"/>
                    <w:tr2bl w:val="nil"/>
                  </w:tcBorders>
                  <w:vAlign w:val="center"/>
                </w:tcPr>
                <w:p w14:paraId="73352B27">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866" w:type="pct"/>
                  <w:vMerge w:val="restart"/>
                  <w:tcBorders>
                    <w:tl2br w:val="nil"/>
                    <w:tr2bl w:val="nil"/>
                  </w:tcBorders>
                  <w:vAlign w:val="center"/>
                </w:tcPr>
                <w:p w14:paraId="3F54FA2E">
                  <w:pPr>
                    <w:jc w:val="center"/>
                    <w:rPr>
                      <w:rFonts w:hint="eastAsia" w:eastAsia="宋体"/>
                      <w:color w:val="auto"/>
                      <w:sz w:val="21"/>
                      <w:szCs w:val="21"/>
                      <w:lang w:val="en-US" w:eastAsia="zh-CN"/>
                    </w:rPr>
                  </w:pPr>
                  <w:r>
                    <w:rPr>
                      <w:rFonts w:hint="eastAsia"/>
                      <w:color w:val="auto"/>
                      <w:sz w:val="21"/>
                      <w:szCs w:val="21"/>
                      <w:lang w:val="en-US" w:eastAsia="zh-CN"/>
                    </w:rPr>
                    <w:t>生态环境</w:t>
                  </w:r>
                </w:p>
              </w:tc>
              <w:tc>
                <w:tcPr>
                  <w:tcW w:w="723" w:type="pct"/>
                  <w:tcBorders>
                    <w:tl2br w:val="nil"/>
                    <w:tr2bl w:val="nil"/>
                  </w:tcBorders>
                  <w:vAlign w:val="center"/>
                </w:tcPr>
                <w:p w14:paraId="5683B5D3">
                  <w:pPr>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厂区绿化</w:t>
                  </w:r>
                </w:p>
              </w:tc>
              <w:tc>
                <w:tcPr>
                  <w:tcW w:w="2181" w:type="pct"/>
                  <w:tcBorders>
                    <w:tl2br w:val="nil"/>
                    <w:tr2bl w:val="nil"/>
                  </w:tcBorders>
                  <w:vAlign w:val="center"/>
                </w:tcPr>
                <w:p w14:paraId="3DA38B1B">
                  <w:pPr>
                    <w:jc w:val="center"/>
                    <w:rPr>
                      <w:rFonts w:hint="default" w:ascii="Times New Roman" w:hAnsi="Times New Roman" w:eastAsia="宋体" w:cs="Times New Roman"/>
                      <w:snapToGrid/>
                      <w:color w:val="auto"/>
                      <w:kern w:val="2"/>
                      <w:sz w:val="21"/>
                      <w:szCs w:val="21"/>
                      <w:lang w:val="en-US" w:eastAsia="zh-CN" w:bidi="ar-SA"/>
                    </w:rPr>
                  </w:pPr>
                  <w:r>
                    <w:rPr>
                      <w:rFonts w:hint="eastAsia" w:cs="Times New Roman"/>
                      <w:snapToGrid/>
                      <w:color w:val="auto"/>
                      <w:kern w:val="2"/>
                      <w:sz w:val="21"/>
                      <w:szCs w:val="21"/>
                      <w:lang w:val="en-US" w:eastAsia="zh-CN" w:bidi="ar-SA"/>
                    </w:rPr>
                    <w:t>厂区周围种植绿植</w:t>
                  </w:r>
                </w:p>
              </w:tc>
              <w:tc>
                <w:tcPr>
                  <w:tcW w:w="462" w:type="pct"/>
                  <w:tcBorders>
                    <w:tl2br w:val="nil"/>
                    <w:tr2bl w:val="nil"/>
                  </w:tcBorders>
                  <w:vAlign w:val="center"/>
                </w:tcPr>
                <w:p w14:paraId="3351FC90">
                  <w:pPr>
                    <w:jc w:val="center"/>
                    <w:rPr>
                      <w:rFonts w:hint="default"/>
                      <w:color w:val="auto"/>
                      <w:sz w:val="21"/>
                      <w:szCs w:val="21"/>
                      <w:lang w:val="en-US" w:eastAsia="zh-CN"/>
                    </w:rPr>
                  </w:pPr>
                  <w:r>
                    <w:rPr>
                      <w:rFonts w:hint="eastAsia"/>
                      <w:color w:val="auto"/>
                      <w:sz w:val="21"/>
                      <w:szCs w:val="21"/>
                      <w:lang w:val="en-US" w:eastAsia="zh-CN"/>
                    </w:rPr>
                    <w:t>1</w:t>
                  </w:r>
                </w:p>
              </w:tc>
            </w:tr>
            <w:tr w14:paraId="23CD50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0C9A4B99">
                  <w:pPr>
                    <w:jc w:val="center"/>
                    <w:rPr>
                      <w:rFonts w:hint="eastAsia"/>
                      <w:color w:val="auto"/>
                      <w:sz w:val="21"/>
                      <w:szCs w:val="21"/>
                      <w:lang w:val="en-US" w:eastAsia="zh-CN"/>
                    </w:rPr>
                  </w:pPr>
                </w:p>
              </w:tc>
              <w:tc>
                <w:tcPr>
                  <w:tcW w:w="866" w:type="pct"/>
                  <w:vMerge w:val="continue"/>
                  <w:tcBorders>
                    <w:tl2br w:val="nil"/>
                    <w:tr2bl w:val="nil"/>
                  </w:tcBorders>
                  <w:vAlign w:val="center"/>
                </w:tcPr>
                <w:p w14:paraId="4DE98B4A">
                  <w:pPr>
                    <w:jc w:val="center"/>
                    <w:rPr>
                      <w:rFonts w:hint="eastAsia"/>
                      <w:color w:val="auto"/>
                      <w:sz w:val="21"/>
                      <w:szCs w:val="21"/>
                      <w:lang w:val="en-US" w:eastAsia="zh-CN"/>
                    </w:rPr>
                  </w:pPr>
                </w:p>
              </w:tc>
              <w:tc>
                <w:tcPr>
                  <w:tcW w:w="723" w:type="pct"/>
                  <w:tcBorders>
                    <w:tl2br w:val="nil"/>
                    <w:tr2bl w:val="nil"/>
                  </w:tcBorders>
                  <w:vAlign w:val="center"/>
                </w:tcPr>
                <w:p w14:paraId="4C753B65">
                  <w:pPr>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土地复垦</w:t>
                  </w:r>
                </w:p>
              </w:tc>
              <w:tc>
                <w:tcPr>
                  <w:tcW w:w="2181" w:type="pct"/>
                  <w:tcBorders>
                    <w:tl2br w:val="nil"/>
                    <w:tr2bl w:val="nil"/>
                  </w:tcBorders>
                  <w:vAlign w:val="center"/>
                </w:tcPr>
                <w:p w14:paraId="404ECB20">
                  <w:pPr>
                    <w:jc w:val="center"/>
                    <w:rPr>
                      <w:rFonts w:hint="default" w:ascii="Times New Roman" w:hAnsi="Times New Roman" w:eastAsia="宋体" w:cs="Times New Roman"/>
                      <w:snapToGrid/>
                      <w:color w:val="auto"/>
                      <w:kern w:val="2"/>
                      <w:sz w:val="21"/>
                      <w:szCs w:val="21"/>
                      <w:lang w:val="en-US" w:eastAsia="zh-CN" w:bidi="ar-SA"/>
                    </w:rPr>
                  </w:pPr>
                  <w:r>
                    <w:rPr>
                      <w:rFonts w:hint="eastAsia" w:cs="Times New Roman"/>
                      <w:snapToGrid/>
                      <w:color w:val="auto"/>
                      <w:kern w:val="2"/>
                      <w:sz w:val="21"/>
                      <w:szCs w:val="21"/>
                      <w:lang w:val="en-US" w:eastAsia="zh-CN" w:bidi="ar-SA"/>
                    </w:rPr>
                    <w:t>土地恢复原来地貌</w:t>
                  </w:r>
                </w:p>
              </w:tc>
              <w:tc>
                <w:tcPr>
                  <w:tcW w:w="462" w:type="pct"/>
                  <w:tcBorders>
                    <w:tl2br w:val="nil"/>
                    <w:tr2bl w:val="nil"/>
                  </w:tcBorders>
                  <w:vAlign w:val="center"/>
                </w:tcPr>
                <w:p w14:paraId="2F90167F">
                  <w:pPr>
                    <w:jc w:val="center"/>
                    <w:rPr>
                      <w:rFonts w:hint="default"/>
                      <w:color w:val="auto"/>
                      <w:sz w:val="21"/>
                      <w:szCs w:val="21"/>
                      <w:lang w:val="en-US" w:eastAsia="zh-CN"/>
                    </w:rPr>
                  </w:pPr>
                  <w:r>
                    <w:rPr>
                      <w:rFonts w:hint="eastAsia"/>
                      <w:color w:val="auto"/>
                      <w:sz w:val="21"/>
                      <w:szCs w:val="21"/>
                      <w:lang w:val="en-US" w:eastAsia="zh-CN"/>
                    </w:rPr>
                    <w:t>26.21</w:t>
                  </w:r>
                </w:p>
              </w:tc>
            </w:tr>
            <w:tr w14:paraId="2028A33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tl2br w:val="nil"/>
                    <w:tr2bl w:val="nil"/>
                  </w:tcBorders>
                  <w:vAlign w:val="center"/>
                </w:tcPr>
                <w:p w14:paraId="3BFB7EDD">
                  <w:pPr>
                    <w:jc w:val="center"/>
                    <w:rPr>
                      <w:color w:val="auto"/>
                      <w:sz w:val="21"/>
                      <w:szCs w:val="21"/>
                    </w:rPr>
                  </w:pPr>
                  <w:r>
                    <w:rPr>
                      <w:rFonts w:hint="eastAsia"/>
                      <w:color w:val="auto"/>
                      <w:sz w:val="21"/>
                      <w:szCs w:val="21"/>
                    </w:rPr>
                    <w:t>合计</w:t>
                  </w:r>
                </w:p>
              </w:tc>
              <w:tc>
                <w:tcPr>
                  <w:tcW w:w="3771" w:type="pct"/>
                  <w:gridSpan w:val="3"/>
                  <w:tcBorders>
                    <w:tl2br w:val="nil"/>
                    <w:tr2bl w:val="nil"/>
                  </w:tcBorders>
                  <w:vAlign w:val="center"/>
                </w:tcPr>
                <w:p w14:paraId="0382FD9E">
                  <w:pPr>
                    <w:jc w:val="center"/>
                    <w:rPr>
                      <w:bCs/>
                      <w:color w:val="auto"/>
                      <w:sz w:val="21"/>
                      <w:szCs w:val="21"/>
                    </w:rPr>
                  </w:pPr>
                  <w:r>
                    <w:rPr>
                      <w:rFonts w:hint="eastAsia"/>
                      <w:bCs/>
                      <w:color w:val="auto"/>
                      <w:sz w:val="21"/>
                      <w:szCs w:val="21"/>
                    </w:rPr>
                    <w:t>/</w:t>
                  </w:r>
                </w:p>
              </w:tc>
              <w:tc>
                <w:tcPr>
                  <w:tcW w:w="462" w:type="pct"/>
                  <w:tcBorders>
                    <w:tl2br w:val="nil"/>
                    <w:tr2bl w:val="nil"/>
                  </w:tcBorders>
                  <w:vAlign w:val="center"/>
                </w:tcPr>
                <w:p w14:paraId="43D807B1">
                  <w:pPr>
                    <w:jc w:val="center"/>
                    <w:rPr>
                      <w:rFonts w:hint="default" w:eastAsia="宋体"/>
                      <w:color w:val="auto"/>
                      <w:sz w:val="21"/>
                      <w:szCs w:val="21"/>
                      <w:lang w:val="en-US" w:eastAsia="zh-CN"/>
                    </w:rPr>
                  </w:pPr>
                  <w:r>
                    <w:rPr>
                      <w:rFonts w:hint="eastAsia"/>
                      <w:color w:val="auto"/>
                      <w:sz w:val="21"/>
                      <w:szCs w:val="21"/>
                      <w:lang w:val="en-US" w:eastAsia="zh-CN"/>
                    </w:rPr>
                    <w:t>95.31</w:t>
                  </w:r>
                </w:p>
              </w:tc>
            </w:tr>
          </w:tbl>
          <w:p w14:paraId="1816988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Times New Roman" w:hAnsi="Times New Roman" w:eastAsia="宋体" w:cs="Times New Roman"/>
                <w:b/>
                <w:bCs/>
                <w:color w:val="auto"/>
                <w:sz w:val="24"/>
              </w:rPr>
            </w:pPr>
            <w:r>
              <w:rPr>
                <w:rFonts w:hint="eastAsia" w:cs="Times New Roman"/>
                <w:b/>
                <w:bCs/>
                <w:color w:val="auto"/>
                <w:sz w:val="24"/>
                <w:lang w:val="en-US" w:eastAsia="zh-CN"/>
              </w:rPr>
              <w:t>10</w:t>
            </w:r>
            <w:r>
              <w:rPr>
                <w:rFonts w:hint="eastAsia" w:ascii="Times New Roman" w:hAnsi="Times New Roman" w:eastAsia="宋体" w:cs="Times New Roman"/>
                <w:b/>
                <w:bCs/>
                <w:color w:val="auto"/>
                <w:sz w:val="24"/>
              </w:rPr>
              <w:t>.“三同时”验收</w:t>
            </w:r>
          </w:p>
          <w:p w14:paraId="4A738F6C">
            <w:pPr>
              <w:adjustRightInd w:val="0"/>
              <w:snapToGrid w:val="0"/>
              <w:spacing w:line="360" w:lineRule="auto"/>
              <w:ind w:firstLine="420" w:firstLineChars="200"/>
              <w:rPr>
                <w:kern w:val="0"/>
              </w:rPr>
            </w:pPr>
            <w:r>
              <w:rPr>
                <w:kern w:val="0"/>
              </w:rPr>
              <w:t>本工程完成后，根据《建设项目环境保护管理条例》（国务院令682号，2017年10月1日实施）和《建设项目环境保护事中事后监督管理办法》的要求，由企业自行进行验收调查。</w:t>
            </w:r>
          </w:p>
          <w:p w14:paraId="12F2657D">
            <w:pPr>
              <w:adjustRightInd w:val="0"/>
              <w:snapToGrid w:val="0"/>
              <w:spacing w:line="360" w:lineRule="auto"/>
              <w:ind w:firstLine="420" w:firstLineChars="200"/>
              <w:rPr>
                <w:rFonts w:hint="eastAsia"/>
                <w:kern w:val="0"/>
                <w:lang w:val="en-US" w:eastAsia="zh-CN"/>
              </w:rPr>
            </w:pPr>
            <w:r>
              <w:rPr>
                <w:kern w:val="0"/>
              </w:rPr>
              <w:t>环保验收的主要内容见表</w:t>
            </w:r>
            <w:r>
              <w:rPr>
                <w:rFonts w:hint="eastAsia"/>
                <w:kern w:val="0"/>
              </w:rPr>
              <w:t>4-</w:t>
            </w:r>
            <w:r>
              <w:rPr>
                <w:rFonts w:hint="eastAsia"/>
                <w:kern w:val="0"/>
                <w:lang w:val="en-US" w:eastAsia="zh-CN"/>
              </w:rPr>
              <w:t>20</w:t>
            </w:r>
          </w:p>
          <w:p w14:paraId="093AEFB6">
            <w:pPr>
              <w:adjustRightInd w:val="0"/>
              <w:snapToGrid w:val="0"/>
              <w:spacing w:line="360" w:lineRule="auto"/>
              <w:rPr>
                <w:rFonts w:hint="eastAsia"/>
                <w:kern w:val="0"/>
                <w:lang w:val="en-US" w:eastAsia="zh-CN"/>
              </w:rPr>
            </w:pPr>
          </w:p>
          <w:p w14:paraId="56C4A1C5">
            <w:pPr>
              <w:pStyle w:val="31"/>
              <w:rPr>
                <w:sz w:val="21"/>
              </w:rPr>
            </w:pPr>
            <w:r>
              <w:rPr>
                <w:sz w:val="21"/>
              </w:rPr>
              <w:t>表</w:t>
            </w:r>
            <w:r>
              <w:rPr>
                <w:rFonts w:hint="eastAsia"/>
                <w:sz w:val="21"/>
              </w:rPr>
              <w:t>4-</w:t>
            </w:r>
            <w:r>
              <w:rPr>
                <w:rFonts w:hint="eastAsia"/>
                <w:sz w:val="21"/>
                <w:lang w:val="en-US" w:eastAsia="zh-CN"/>
              </w:rPr>
              <w:t>20</w:t>
            </w:r>
            <w:r>
              <w:rPr>
                <w:rFonts w:hint="eastAsia"/>
                <w:sz w:val="21"/>
              </w:rPr>
              <w:t xml:space="preserve">  </w:t>
            </w:r>
            <w:r>
              <w:rPr>
                <w:sz w:val="21"/>
              </w:rPr>
              <w:t>环保措施“三同时”竣工验收一览表</w:t>
            </w:r>
            <w:r>
              <w:rPr>
                <w:rFonts w:hint="eastAsia"/>
                <w:sz w:val="21"/>
              </w:rPr>
              <w:t xml:space="preserve"> </w:t>
            </w:r>
          </w:p>
          <w:tbl>
            <w:tblPr>
              <w:tblStyle w:val="21"/>
              <w:tblW w:w="786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61"/>
              <w:gridCol w:w="1082"/>
              <w:gridCol w:w="1701"/>
              <w:gridCol w:w="914"/>
              <w:gridCol w:w="2665"/>
            </w:tblGrid>
            <w:tr w14:paraId="084958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41" w:type="dxa"/>
                  <w:tcBorders>
                    <w:top w:val="single" w:color="auto" w:sz="12" w:space="0"/>
                    <w:bottom w:val="single" w:color="auto" w:sz="12" w:space="0"/>
                  </w:tcBorders>
                  <w:shd w:val="clear" w:color="auto" w:fill="FFFFFF"/>
                  <w:vAlign w:val="center"/>
                </w:tcPr>
                <w:p w14:paraId="3EA131C5">
                  <w:pPr>
                    <w:pStyle w:val="32"/>
                    <w:rPr>
                      <w:b/>
                      <w:bCs w:val="0"/>
                      <w:sz w:val="21"/>
                    </w:rPr>
                  </w:pPr>
                  <w:r>
                    <w:rPr>
                      <w:b/>
                      <w:bCs w:val="0"/>
                      <w:sz w:val="21"/>
                    </w:rPr>
                    <w:t>环保</w:t>
                  </w:r>
                  <w:r>
                    <w:rPr>
                      <w:rFonts w:hint="eastAsia"/>
                      <w:b/>
                      <w:bCs w:val="0"/>
                      <w:sz w:val="21"/>
                    </w:rPr>
                    <w:t xml:space="preserve"> </w:t>
                  </w:r>
                  <w:r>
                    <w:rPr>
                      <w:b/>
                      <w:bCs w:val="0"/>
                      <w:sz w:val="21"/>
                    </w:rPr>
                    <w:t>工程</w:t>
                  </w:r>
                </w:p>
              </w:tc>
              <w:tc>
                <w:tcPr>
                  <w:tcW w:w="1843" w:type="dxa"/>
                  <w:gridSpan w:val="2"/>
                  <w:tcBorders>
                    <w:top w:val="single" w:color="auto" w:sz="12" w:space="0"/>
                    <w:bottom w:val="single" w:color="auto" w:sz="12" w:space="0"/>
                  </w:tcBorders>
                  <w:shd w:val="clear" w:color="auto" w:fill="FFFFFF"/>
                  <w:vAlign w:val="center"/>
                </w:tcPr>
                <w:p w14:paraId="46CF1E7B">
                  <w:pPr>
                    <w:pStyle w:val="32"/>
                    <w:rPr>
                      <w:b/>
                      <w:bCs w:val="0"/>
                      <w:sz w:val="21"/>
                    </w:rPr>
                  </w:pPr>
                  <w:r>
                    <w:rPr>
                      <w:b/>
                      <w:bCs w:val="0"/>
                      <w:sz w:val="21"/>
                    </w:rPr>
                    <w:t>监测项目</w:t>
                  </w:r>
                </w:p>
              </w:tc>
              <w:tc>
                <w:tcPr>
                  <w:tcW w:w="1701" w:type="dxa"/>
                  <w:tcBorders>
                    <w:top w:val="single" w:color="auto" w:sz="12" w:space="0"/>
                    <w:bottom w:val="single" w:color="auto" w:sz="12" w:space="0"/>
                  </w:tcBorders>
                  <w:shd w:val="clear" w:color="auto" w:fill="FFFFFF"/>
                  <w:vAlign w:val="center"/>
                </w:tcPr>
                <w:p w14:paraId="4CECAA63">
                  <w:pPr>
                    <w:pStyle w:val="32"/>
                    <w:rPr>
                      <w:b/>
                      <w:bCs w:val="0"/>
                      <w:sz w:val="21"/>
                    </w:rPr>
                  </w:pPr>
                  <w:r>
                    <w:rPr>
                      <w:b/>
                      <w:bCs w:val="0"/>
                      <w:sz w:val="21"/>
                    </w:rPr>
                    <w:t>设施或措施内容</w:t>
                  </w:r>
                </w:p>
              </w:tc>
              <w:tc>
                <w:tcPr>
                  <w:tcW w:w="914" w:type="dxa"/>
                  <w:tcBorders>
                    <w:top w:val="single" w:color="auto" w:sz="12" w:space="0"/>
                    <w:bottom w:val="single" w:color="auto" w:sz="12" w:space="0"/>
                  </w:tcBorders>
                  <w:shd w:val="clear" w:color="auto" w:fill="FFFFFF"/>
                  <w:vAlign w:val="center"/>
                </w:tcPr>
                <w:p w14:paraId="7CB88D43">
                  <w:pPr>
                    <w:pStyle w:val="32"/>
                    <w:rPr>
                      <w:b/>
                      <w:bCs w:val="0"/>
                      <w:sz w:val="21"/>
                    </w:rPr>
                  </w:pPr>
                  <w:r>
                    <w:rPr>
                      <w:b/>
                      <w:bCs w:val="0"/>
                      <w:sz w:val="21"/>
                    </w:rPr>
                    <w:t>监测位置</w:t>
                  </w:r>
                </w:p>
              </w:tc>
              <w:tc>
                <w:tcPr>
                  <w:tcW w:w="2665" w:type="dxa"/>
                  <w:tcBorders>
                    <w:top w:val="single" w:color="auto" w:sz="12" w:space="0"/>
                    <w:bottom w:val="single" w:color="auto" w:sz="12" w:space="0"/>
                  </w:tcBorders>
                  <w:shd w:val="clear" w:color="auto" w:fill="FFFFFF"/>
                  <w:vAlign w:val="center"/>
                </w:tcPr>
                <w:p w14:paraId="57E3D89F">
                  <w:pPr>
                    <w:pStyle w:val="32"/>
                    <w:rPr>
                      <w:b/>
                      <w:bCs w:val="0"/>
                      <w:sz w:val="21"/>
                    </w:rPr>
                  </w:pPr>
                  <w:r>
                    <w:rPr>
                      <w:b/>
                      <w:bCs w:val="0"/>
                      <w:sz w:val="21"/>
                    </w:rPr>
                    <w:t>执行标准或监测验收要求</w:t>
                  </w:r>
                </w:p>
              </w:tc>
            </w:tr>
            <w:tr w14:paraId="58774D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41" w:type="dxa"/>
                  <w:vMerge w:val="restart"/>
                  <w:tcBorders>
                    <w:top w:val="single" w:color="auto" w:sz="12" w:space="0"/>
                  </w:tcBorders>
                  <w:shd w:val="clear" w:color="auto" w:fill="FFFFFF"/>
                  <w:vAlign w:val="center"/>
                </w:tcPr>
                <w:p w14:paraId="01ACFB91">
                  <w:pPr>
                    <w:pStyle w:val="32"/>
                    <w:jc w:val="both"/>
                    <w:rPr>
                      <w:sz w:val="21"/>
                    </w:rPr>
                  </w:pPr>
                  <w:r>
                    <w:rPr>
                      <w:sz w:val="21"/>
                    </w:rPr>
                    <w:t>废气治理措施</w:t>
                  </w:r>
                </w:p>
              </w:tc>
              <w:tc>
                <w:tcPr>
                  <w:tcW w:w="761" w:type="dxa"/>
                  <w:tcBorders>
                    <w:top w:val="single" w:color="auto" w:sz="12" w:space="0"/>
                  </w:tcBorders>
                  <w:shd w:val="clear" w:color="auto" w:fill="FFFFFF"/>
                  <w:vAlign w:val="center"/>
                </w:tcPr>
                <w:p w14:paraId="41D71579">
                  <w:pPr>
                    <w:pStyle w:val="32"/>
                    <w:rPr>
                      <w:rFonts w:hint="default" w:eastAsia="宋体"/>
                      <w:sz w:val="21"/>
                      <w:lang w:val="en-US" w:eastAsia="zh-CN"/>
                    </w:rPr>
                  </w:pPr>
                  <w:r>
                    <w:rPr>
                      <w:rFonts w:hint="eastAsia"/>
                      <w:sz w:val="21"/>
                      <w:lang w:val="en-US" w:eastAsia="zh-CN"/>
                    </w:rPr>
                    <w:t>搅拌粉尘</w:t>
                  </w:r>
                </w:p>
              </w:tc>
              <w:tc>
                <w:tcPr>
                  <w:tcW w:w="1082" w:type="dxa"/>
                  <w:vMerge w:val="restart"/>
                  <w:tcBorders>
                    <w:top w:val="single" w:color="auto" w:sz="12" w:space="0"/>
                  </w:tcBorders>
                  <w:shd w:val="clear" w:color="auto" w:fill="FFFFFF"/>
                  <w:vAlign w:val="center"/>
                </w:tcPr>
                <w:p w14:paraId="218C65DF">
                  <w:pPr>
                    <w:pStyle w:val="32"/>
                    <w:rPr>
                      <w:sz w:val="21"/>
                    </w:rPr>
                  </w:pPr>
                  <w:r>
                    <w:rPr>
                      <w:rFonts w:hint="eastAsia"/>
                      <w:sz w:val="21"/>
                    </w:rPr>
                    <w:t>颗粒物</w:t>
                  </w:r>
                </w:p>
              </w:tc>
              <w:tc>
                <w:tcPr>
                  <w:tcW w:w="1701" w:type="dxa"/>
                  <w:tcBorders>
                    <w:top w:val="single" w:color="auto" w:sz="12" w:space="0"/>
                  </w:tcBorders>
                  <w:shd w:val="clear" w:color="auto" w:fill="FFFFFF"/>
                  <w:vAlign w:val="center"/>
                </w:tcPr>
                <w:p w14:paraId="7D3B7450">
                  <w:pPr>
                    <w:pStyle w:val="32"/>
                    <w:rPr>
                      <w:sz w:val="21"/>
                    </w:rPr>
                  </w:pPr>
                  <w:r>
                    <w:rPr>
                      <w:rFonts w:hint="eastAsia"/>
                      <w:sz w:val="21"/>
                    </w:rPr>
                    <w:t>搅拌机密闭+袋式除尘处理+1</w:t>
                  </w:r>
                  <w:r>
                    <w:rPr>
                      <w:sz w:val="21"/>
                    </w:rPr>
                    <w:t>5</w:t>
                  </w:r>
                  <w:r>
                    <w:rPr>
                      <w:rFonts w:hint="eastAsia"/>
                      <w:sz w:val="21"/>
                    </w:rPr>
                    <w:t>m排气筒</w:t>
                  </w:r>
                </w:p>
              </w:tc>
              <w:tc>
                <w:tcPr>
                  <w:tcW w:w="914" w:type="dxa"/>
                  <w:tcBorders>
                    <w:top w:val="single" w:color="auto" w:sz="12" w:space="0"/>
                  </w:tcBorders>
                  <w:shd w:val="clear" w:color="auto" w:fill="FFFFFF"/>
                  <w:vAlign w:val="center"/>
                </w:tcPr>
                <w:p w14:paraId="7DB83C92">
                  <w:pPr>
                    <w:pStyle w:val="32"/>
                    <w:rPr>
                      <w:sz w:val="21"/>
                    </w:rPr>
                  </w:pPr>
                  <w:r>
                    <w:rPr>
                      <w:rFonts w:hint="eastAsia"/>
                      <w:sz w:val="21"/>
                    </w:rPr>
                    <w:t>D</w:t>
                  </w:r>
                  <w:r>
                    <w:rPr>
                      <w:sz w:val="21"/>
                    </w:rPr>
                    <w:t>A001</w:t>
                  </w:r>
                </w:p>
              </w:tc>
              <w:tc>
                <w:tcPr>
                  <w:tcW w:w="2665" w:type="dxa"/>
                  <w:tcBorders>
                    <w:top w:val="single" w:color="auto" w:sz="12" w:space="0"/>
                  </w:tcBorders>
                  <w:shd w:val="clear" w:color="auto" w:fill="FFFFFF"/>
                  <w:vAlign w:val="center"/>
                </w:tcPr>
                <w:p w14:paraId="63206DFF">
                  <w:pPr>
                    <w:pStyle w:val="32"/>
                    <w:jc w:val="both"/>
                    <w:rPr>
                      <w:sz w:val="21"/>
                    </w:rPr>
                  </w:pPr>
                  <w:r>
                    <w:rPr>
                      <w:rFonts w:hint="eastAsia"/>
                      <w:sz w:val="21"/>
                    </w:rPr>
                    <w:t>《水泥工业大气污染物排放标准》（GB4915-2013）表</w:t>
                  </w:r>
                  <w:r>
                    <w:rPr>
                      <w:rFonts w:hint="eastAsia"/>
                      <w:sz w:val="21"/>
                      <w:lang w:val="en-US" w:eastAsia="zh-CN"/>
                    </w:rPr>
                    <w:t>1</w:t>
                  </w:r>
                  <w:r>
                    <w:rPr>
                      <w:rFonts w:hint="eastAsia"/>
                      <w:sz w:val="21"/>
                    </w:rPr>
                    <w:t>大气污染物排放限值</w:t>
                  </w:r>
                </w:p>
              </w:tc>
            </w:tr>
            <w:tr w14:paraId="0FF50B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41" w:type="dxa"/>
                  <w:vMerge w:val="continue"/>
                  <w:shd w:val="clear" w:color="auto" w:fill="FFFFFF"/>
                  <w:vAlign w:val="center"/>
                </w:tcPr>
                <w:p w14:paraId="709F4C05">
                  <w:pPr>
                    <w:pStyle w:val="32"/>
                    <w:jc w:val="both"/>
                    <w:rPr>
                      <w:sz w:val="21"/>
                    </w:rPr>
                  </w:pPr>
                </w:p>
              </w:tc>
              <w:tc>
                <w:tcPr>
                  <w:tcW w:w="761" w:type="dxa"/>
                  <w:shd w:val="clear" w:color="auto" w:fill="FFFFFF"/>
                  <w:vAlign w:val="center"/>
                </w:tcPr>
                <w:p w14:paraId="2E24D750">
                  <w:pPr>
                    <w:pStyle w:val="32"/>
                    <w:rPr>
                      <w:sz w:val="21"/>
                    </w:rPr>
                  </w:pPr>
                  <w:r>
                    <w:rPr>
                      <w:rFonts w:hint="eastAsia"/>
                      <w:sz w:val="21"/>
                    </w:rPr>
                    <w:t>无组织废气</w:t>
                  </w:r>
                </w:p>
              </w:tc>
              <w:tc>
                <w:tcPr>
                  <w:tcW w:w="1082" w:type="dxa"/>
                  <w:vMerge w:val="continue"/>
                  <w:shd w:val="clear" w:color="auto" w:fill="FFFFFF"/>
                  <w:vAlign w:val="center"/>
                </w:tcPr>
                <w:p w14:paraId="56CE5036">
                  <w:pPr>
                    <w:pStyle w:val="32"/>
                    <w:rPr>
                      <w:sz w:val="21"/>
                    </w:rPr>
                  </w:pPr>
                </w:p>
              </w:tc>
              <w:tc>
                <w:tcPr>
                  <w:tcW w:w="1701" w:type="dxa"/>
                  <w:shd w:val="clear" w:color="auto" w:fill="FFFFFF"/>
                  <w:vAlign w:val="center"/>
                </w:tcPr>
                <w:p w14:paraId="70A9342F">
                  <w:pPr>
                    <w:pStyle w:val="32"/>
                    <w:rPr>
                      <w:color w:val="FF0000"/>
                      <w:sz w:val="21"/>
                    </w:rPr>
                  </w:pPr>
                  <w:r>
                    <w:rPr>
                      <w:rFonts w:hint="eastAsia"/>
                      <w:sz w:val="21"/>
                    </w:rPr>
                    <w:t>筒仓脉冲除尘器</w:t>
                  </w:r>
                </w:p>
              </w:tc>
              <w:tc>
                <w:tcPr>
                  <w:tcW w:w="914" w:type="dxa"/>
                  <w:shd w:val="clear" w:color="auto" w:fill="FFFFFF"/>
                  <w:vAlign w:val="center"/>
                </w:tcPr>
                <w:p w14:paraId="38CB826B">
                  <w:pPr>
                    <w:pStyle w:val="32"/>
                    <w:rPr>
                      <w:sz w:val="21"/>
                    </w:rPr>
                  </w:pPr>
                  <w:r>
                    <w:rPr>
                      <w:rFonts w:hint="eastAsia"/>
                      <w:sz w:val="21"/>
                    </w:rPr>
                    <w:t>厂界</w:t>
                  </w:r>
                </w:p>
              </w:tc>
              <w:tc>
                <w:tcPr>
                  <w:tcW w:w="2665" w:type="dxa"/>
                  <w:shd w:val="clear" w:color="auto" w:fill="FFFFFF"/>
                </w:tcPr>
                <w:p w14:paraId="1148C67B">
                  <w:pPr>
                    <w:pStyle w:val="32"/>
                    <w:rPr>
                      <w:sz w:val="21"/>
                    </w:rPr>
                  </w:pPr>
                  <w:r>
                    <w:rPr>
                      <w:rFonts w:hint="eastAsia"/>
                      <w:sz w:val="21"/>
                    </w:rPr>
                    <w:t>《水泥工业大气污染物排放标准》（GB4915-2013）表3大气污染物无组织排放限值</w:t>
                  </w:r>
                </w:p>
              </w:tc>
            </w:tr>
            <w:tr w14:paraId="3C0DFB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41" w:type="dxa"/>
                  <w:vMerge w:val="continue"/>
                  <w:shd w:val="clear" w:color="auto" w:fill="FFFFFF"/>
                  <w:vAlign w:val="center"/>
                </w:tcPr>
                <w:p w14:paraId="2B61C1FA">
                  <w:pPr>
                    <w:pStyle w:val="32"/>
                    <w:jc w:val="both"/>
                    <w:rPr>
                      <w:sz w:val="21"/>
                    </w:rPr>
                  </w:pPr>
                </w:p>
              </w:tc>
              <w:tc>
                <w:tcPr>
                  <w:tcW w:w="761" w:type="dxa"/>
                  <w:shd w:val="clear" w:color="auto" w:fill="FFFFFF"/>
                  <w:vAlign w:val="center"/>
                </w:tcPr>
                <w:p w14:paraId="0F1E2E59">
                  <w:pPr>
                    <w:pStyle w:val="32"/>
                    <w:rPr>
                      <w:rFonts w:hint="eastAsia" w:eastAsia="宋体"/>
                      <w:sz w:val="21"/>
                      <w:lang w:val="en-US" w:eastAsia="zh-CN"/>
                    </w:rPr>
                  </w:pPr>
                  <w:r>
                    <w:rPr>
                      <w:rFonts w:hint="eastAsia"/>
                      <w:sz w:val="21"/>
                      <w:lang w:val="en-US" w:eastAsia="zh-CN"/>
                    </w:rPr>
                    <w:t>食堂油烟</w:t>
                  </w:r>
                </w:p>
              </w:tc>
              <w:tc>
                <w:tcPr>
                  <w:tcW w:w="1082" w:type="dxa"/>
                  <w:shd w:val="clear" w:color="auto" w:fill="FFFFFF"/>
                  <w:vAlign w:val="center"/>
                </w:tcPr>
                <w:p w14:paraId="57AD169B">
                  <w:pPr>
                    <w:pStyle w:val="32"/>
                    <w:rPr>
                      <w:sz w:val="21"/>
                    </w:rPr>
                  </w:pPr>
                  <w:r>
                    <w:rPr>
                      <w:rFonts w:hint="eastAsia"/>
                      <w:sz w:val="21"/>
                      <w:lang w:val="en-US" w:eastAsia="zh-CN"/>
                    </w:rPr>
                    <w:t>食堂油烟</w:t>
                  </w:r>
                </w:p>
              </w:tc>
              <w:tc>
                <w:tcPr>
                  <w:tcW w:w="1701" w:type="dxa"/>
                  <w:shd w:val="clear" w:color="auto" w:fill="FFFFFF"/>
                  <w:vAlign w:val="center"/>
                </w:tcPr>
                <w:p w14:paraId="0F102F6C">
                  <w:pPr>
                    <w:pStyle w:val="32"/>
                    <w:rPr>
                      <w:rFonts w:hint="eastAsia"/>
                      <w:sz w:val="21"/>
                    </w:rPr>
                  </w:pPr>
                  <w:r>
                    <w:rPr>
                      <w:rFonts w:hint="eastAsia" w:cs="Times New Roman"/>
                      <w:color w:val="auto"/>
                      <w:szCs w:val="21"/>
                      <w:highlight w:val="none"/>
                      <w:lang w:val="en-US" w:eastAsia="zh-CN"/>
                    </w:rPr>
                    <w:t>食堂油烟净化器+专用烟道</w:t>
                  </w:r>
                </w:p>
              </w:tc>
              <w:tc>
                <w:tcPr>
                  <w:tcW w:w="914" w:type="dxa"/>
                  <w:shd w:val="clear" w:color="auto" w:fill="FFFFFF"/>
                  <w:vAlign w:val="center"/>
                </w:tcPr>
                <w:p w14:paraId="2BC087D4">
                  <w:pPr>
                    <w:pStyle w:val="32"/>
                    <w:rPr>
                      <w:rFonts w:hint="eastAsia" w:eastAsia="宋体"/>
                      <w:sz w:val="21"/>
                      <w:lang w:val="en-US" w:eastAsia="zh-CN"/>
                    </w:rPr>
                  </w:pPr>
                  <w:r>
                    <w:rPr>
                      <w:rFonts w:hint="eastAsia"/>
                      <w:sz w:val="21"/>
                      <w:lang w:val="en-US" w:eastAsia="zh-CN"/>
                    </w:rPr>
                    <w:t>厂界</w:t>
                  </w:r>
                </w:p>
              </w:tc>
              <w:tc>
                <w:tcPr>
                  <w:tcW w:w="2665" w:type="dxa"/>
                  <w:shd w:val="clear" w:color="auto" w:fill="FFFFFF"/>
                  <w:vAlign w:val="center"/>
                </w:tcPr>
                <w:p w14:paraId="49E4E610">
                  <w:pPr>
                    <w:pStyle w:val="32"/>
                    <w:jc w:val="center"/>
                    <w:rPr>
                      <w:rFonts w:hint="eastAsia" w:eastAsia="宋体"/>
                      <w:sz w:val="21"/>
                      <w:lang w:val="en-US" w:eastAsia="zh-CN"/>
                    </w:rPr>
                  </w:pPr>
                  <w:r>
                    <w:rPr>
                      <w:rFonts w:hint="eastAsia"/>
                      <w:sz w:val="21"/>
                      <w:lang w:val="en-US" w:eastAsia="zh-CN"/>
                    </w:rPr>
                    <w:t>/</w:t>
                  </w:r>
                </w:p>
              </w:tc>
            </w:tr>
            <w:tr w14:paraId="22F2AE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41" w:type="dxa"/>
                  <w:shd w:val="clear" w:color="auto" w:fill="FFFFFF"/>
                  <w:vAlign w:val="center"/>
                </w:tcPr>
                <w:p w14:paraId="43FFCFB2">
                  <w:pPr>
                    <w:pStyle w:val="32"/>
                    <w:rPr>
                      <w:sz w:val="21"/>
                    </w:rPr>
                  </w:pPr>
                  <w:r>
                    <w:rPr>
                      <w:sz w:val="21"/>
                    </w:rPr>
                    <w:t>噪声治理措施</w:t>
                  </w:r>
                </w:p>
              </w:tc>
              <w:tc>
                <w:tcPr>
                  <w:tcW w:w="3544" w:type="dxa"/>
                  <w:gridSpan w:val="3"/>
                  <w:shd w:val="clear" w:color="auto" w:fill="FFFFFF"/>
                  <w:vAlign w:val="center"/>
                </w:tcPr>
                <w:p w14:paraId="305041E7">
                  <w:pPr>
                    <w:pStyle w:val="32"/>
                    <w:rPr>
                      <w:sz w:val="21"/>
                    </w:rPr>
                  </w:pPr>
                  <w:r>
                    <w:rPr>
                      <w:sz w:val="21"/>
                    </w:rPr>
                    <w:t>隔声、减振。</w:t>
                  </w:r>
                </w:p>
              </w:tc>
              <w:tc>
                <w:tcPr>
                  <w:tcW w:w="914" w:type="dxa"/>
                  <w:shd w:val="clear" w:color="auto" w:fill="FFFFFF"/>
                  <w:vAlign w:val="center"/>
                </w:tcPr>
                <w:p w14:paraId="7105E5F1">
                  <w:pPr>
                    <w:pStyle w:val="32"/>
                    <w:rPr>
                      <w:sz w:val="21"/>
                    </w:rPr>
                  </w:pPr>
                  <w:r>
                    <w:rPr>
                      <w:sz w:val="21"/>
                    </w:rPr>
                    <w:t>厂界四周</w:t>
                  </w:r>
                </w:p>
              </w:tc>
              <w:tc>
                <w:tcPr>
                  <w:tcW w:w="2665" w:type="dxa"/>
                  <w:shd w:val="clear" w:color="auto" w:fill="FFFFFF"/>
                  <w:vAlign w:val="center"/>
                </w:tcPr>
                <w:p w14:paraId="0857AEBD">
                  <w:pPr>
                    <w:pStyle w:val="32"/>
                    <w:jc w:val="both"/>
                    <w:rPr>
                      <w:rFonts w:hint="default" w:eastAsia="宋体"/>
                      <w:sz w:val="21"/>
                      <w:lang w:val="en-US" w:eastAsia="zh-CN"/>
                    </w:rPr>
                  </w:pPr>
                  <w:r>
                    <w:rPr>
                      <w:sz w:val="21"/>
                    </w:rPr>
                    <w:t>执行《工业企业厂界噪声标准》（GB12348-2008）中</w:t>
                  </w:r>
                  <w:r>
                    <w:rPr>
                      <w:rFonts w:hint="eastAsia"/>
                      <w:sz w:val="21"/>
                      <w:lang w:val="en-US" w:eastAsia="zh-CN"/>
                    </w:rPr>
                    <w:t>2类标准</w:t>
                  </w:r>
                </w:p>
              </w:tc>
            </w:tr>
            <w:tr w14:paraId="11A6EC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tcBorders>
                    <w:bottom w:val="single" w:color="auto" w:sz="4" w:space="0"/>
                  </w:tcBorders>
                  <w:shd w:val="clear" w:color="auto" w:fill="FFFFFF"/>
                  <w:vAlign w:val="center"/>
                </w:tcPr>
                <w:p w14:paraId="0E788A51">
                  <w:pPr>
                    <w:pStyle w:val="32"/>
                    <w:rPr>
                      <w:sz w:val="21"/>
                    </w:rPr>
                  </w:pPr>
                  <w:r>
                    <w:rPr>
                      <w:rFonts w:hint="eastAsia"/>
                      <w:sz w:val="21"/>
                    </w:rPr>
                    <w:t>废水治理措施</w:t>
                  </w:r>
                </w:p>
              </w:tc>
              <w:tc>
                <w:tcPr>
                  <w:tcW w:w="761" w:type="dxa"/>
                  <w:shd w:val="clear" w:color="auto" w:fill="FFFFFF"/>
                  <w:vAlign w:val="center"/>
                </w:tcPr>
                <w:p w14:paraId="39AFEF91">
                  <w:pPr>
                    <w:pStyle w:val="32"/>
                    <w:rPr>
                      <w:sz w:val="21"/>
                    </w:rPr>
                  </w:pPr>
                  <w:r>
                    <w:rPr>
                      <w:rFonts w:hint="eastAsia"/>
                      <w:sz w:val="21"/>
                    </w:rPr>
                    <w:t>生活污水</w:t>
                  </w:r>
                </w:p>
              </w:tc>
              <w:tc>
                <w:tcPr>
                  <w:tcW w:w="1082" w:type="dxa"/>
                  <w:shd w:val="clear" w:color="auto" w:fill="FFFFFF"/>
                  <w:vAlign w:val="center"/>
                </w:tcPr>
                <w:p w14:paraId="7D6F6FE4">
                  <w:pPr>
                    <w:pStyle w:val="32"/>
                    <w:rPr>
                      <w:sz w:val="21"/>
                    </w:rPr>
                  </w:pPr>
                  <w:r>
                    <w:rPr>
                      <w:sz w:val="21"/>
                    </w:rPr>
                    <w:t>COD</w:t>
                  </w:r>
                  <w:r>
                    <w:rPr>
                      <w:rFonts w:hint="eastAsia"/>
                      <w:sz w:val="21"/>
                      <w:vertAlign w:val="subscript"/>
                    </w:rPr>
                    <w:t>cr</w:t>
                  </w:r>
                  <w:r>
                    <w:rPr>
                      <w:sz w:val="21"/>
                    </w:rPr>
                    <w:t>、BOD</w:t>
                  </w:r>
                  <w:r>
                    <w:rPr>
                      <w:sz w:val="21"/>
                      <w:vertAlign w:val="subscript"/>
                    </w:rPr>
                    <w:t>5</w:t>
                  </w:r>
                  <w:r>
                    <w:rPr>
                      <w:sz w:val="21"/>
                    </w:rPr>
                    <w:t>、SS、NH</w:t>
                  </w:r>
                  <w:r>
                    <w:rPr>
                      <w:sz w:val="21"/>
                      <w:vertAlign w:val="subscript"/>
                    </w:rPr>
                    <w:t>3</w:t>
                  </w:r>
                  <w:r>
                    <w:rPr>
                      <w:sz w:val="21"/>
                    </w:rPr>
                    <w:t>-N</w:t>
                  </w:r>
                </w:p>
              </w:tc>
              <w:tc>
                <w:tcPr>
                  <w:tcW w:w="1701" w:type="dxa"/>
                  <w:shd w:val="clear" w:color="auto" w:fill="FFFFFF"/>
                  <w:vAlign w:val="center"/>
                </w:tcPr>
                <w:p w14:paraId="339675B5">
                  <w:pPr>
                    <w:pStyle w:val="32"/>
                    <w:rPr>
                      <w:sz w:val="21"/>
                    </w:rPr>
                  </w:pPr>
                  <w:r>
                    <w:rPr>
                      <w:rFonts w:hint="eastAsia"/>
                      <w:sz w:val="21"/>
                    </w:rPr>
                    <w:t>一体化污水处理设施处理后用于洒水降尘</w:t>
                  </w:r>
                </w:p>
              </w:tc>
              <w:tc>
                <w:tcPr>
                  <w:tcW w:w="914" w:type="dxa"/>
                  <w:shd w:val="clear" w:color="auto" w:fill="FFFFFF"/>
                  <w:vAlign w:val="center"/>
                </w:tcPr>
                <w:p w14:paraId="48A3F3B7">
                  <w:pPr>
                    <w:pStyle w:val="32"/>
                    <w:rPr>
                      <w:sz w:val="21"/>
                    </w:rPr>
                  </w:pPr>
                  <w:r>
                    <w:rPr>
                      <w:rFonts w:hint="eastAsia"/>
                      <w:sz w:val="21"/>
                    </w:rPr>
                    <w:t>一体化污水处理设施排口</w:t>
                  </w:r>
                </w:p>
              </w:tc>
              <w:tc>
                <w:tcPr>
                  <w:tcW w:w="2665" w:type="dxa"/>
                  <w:shd w:val="clear" w:color="auto" w:fill="FFFFFF"/>
                  <w:vAlign w:val="top"/>
                </w:tcPr>
                <w:p w14:paraId="3340BA63">
                  <w:pPr>
                    <w:pStyle w:val="32"/>
                    <w:jc w:val="both"/>
                    <w:rPr>
                      <w:rFonts w:hint="default" w:eastAsia="宋体"/>
                      <w:sz w:val="21"/>
                      <w:lang w:val="en-US" w:eastAsia="zh-CN"/>
                    </w:rPr>
                  </w:pPr>
                  <w:r>
                    <w:rPr>
                      <w:rFonts w:hint="eastAsia"/>
                      <w:sz w:val="21"/>
                    </w:rPr>
                    <w:t>《</w:t>
                  </w:r>
                  <w:r>
                    <w:rPr>
                      <w:rFonts w:hint="eastAsia" w:cs="Times New Roman"/>
                      <w:color w:val="auto"/>
                      <w:kern w:val="0"/>
                      <w:sz w:val="21"/>
                      <w:szCs w:val="21"/>
                      <w:highlight w:val="none"/>
                      <w:lang w:val="en-US" w:eastAsia="zh-CN" w:bidi="ar-SA"/>
                    </w:rPr>
                    <w:t>农村生活污水处理排放标准（发布稿）</w:t>
                  </w:r>
                  <w:r>
                    <w:rPr>
                      <w:rFonts w:hint="eastAsia"/>
                      <w:sz w:val="21"/>
                    </w:rPr>
                    <w:t>》（GB/T18920-2020）中表</w:t>
                  </w:r>
                  <w:r>
                    <w:rPr>
                      <w:rFonts w:hint="eastAsia"/>
                      <w:sz w:val="21"/>
                      <w:lang w:val="en-US" w:eastAsia="zh-CN"/>
                    </w:rPr>
                    <w:t>2中的C级排放标准。</w:t>
                  </w:r>
                </w:p>
              </w:tc>
            </w:tr>
            <w:tr w14:paraId="27082A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1" w:type="dxa"/>
                  <w:vMerge w:val="restart"/>
                  <w:tcBorders>
                    <w:bottom w:val="single" w:color="auto" w:sz="12" w:space="0"/>
                  </w:tcBorders>
                  <w:shd w:val="clear" w:color="auto" w:fill="FFFFFF"/>
                  <w:vAlign w:val="center"/>
                </w:tcPr>
                <w:p w14:paraId="2768AD25">
                  <w:pPr>
                    <w:pStyle w:val="32"/>
                    <w:rPr>
                      <w:sz w:val="21"/>
                    </w:rPr>
                  </w:pPr>
                  <w:r>
                    <w:rPr>
                      <w:sz w:val="21"/>
                    </w:rPr>
                    <w:t>固体废物治理措施</w:t>
                  </w:r>
                </w:p>
              </w:tc>
              <w:tc>
                <w:tcPr>
                  <w:tcW w:w="1843" w:type="dxa"/>
                  <w:gridSpan w:val="2"/>
                  <w:tcBorders>
                    <w:bottom w:val="single" w:color="auto" w:sz="4" w:space="0"/>
                  </w:tcBorders>
                  <w:shd w:val="clear" w:color="auto" w:fill="FFFFFF"/>
                  <w:vAlign w:val="center"/>
                </w:tcPr>
                <w:p w14:paraId="13CE1503">
                  <w:pPr>
                    <w:pStyle w:val="32"/>
                    <w:rPr>
                      <w:sz w:val="21"/>
                    </w:rPr>
                  </w:pPr>
                  <w:r>
                    <w:rPr>
                      <w:rFonts w:hint="eastAsia"/>
                      <w:sz w:val="21"/>
                    </w:rPr>
                    <w:t>生活垃圾</w:t>
                  </w:r>
                </w:p>
              </w:tc>
              <w:tc>
                <w:tcPr>
                  <w:tcW w:w="1701" w:type="dxa"/>
                  <w:tcBorders>
                    <w:bottom w:val="single" w:color="auto" w:sz="4" w:space="0"/>
                  </w:tcBorders>
                  <w:shd w:val="clear" w:color="auto" w:fill="FFFFFF"/>
                  <w:vAlign w:val="center"/>
                </w:tcPr>
                <w:p w14:paraId="729AE08B">
                  <w:pPr>
                    <w:pStyle w:val="32"/>
                    <w:rPr>
                      <w:sz w:val="21"/>
                    </w:rPr>
                  </w:pPr>
                  <w:r>
                    <w:rPr>
                      <w:rFonts w:hint="eastAsia"/>
                      <w:sz w:val="21"/>
                    </w:rPr>
                    <w:t>环卫机构统一清运</w:t>
                  </w:r>
                </w:p>
              </w:tc>
              <w:tc>
                <w:tcPr>
                  <w:tcW w:w="914" w:type="dxa"/>
                  <w:tcBorders>
                    <w:bottom w:val="single" w:color="auto" w:sz="4" w:space="0"/>
                  </w:tcBorders>
                  <w:shd w:val="clear" w:color="auto" w:fill="FFFFFF"/>
                  <w:vAlign w:val="center"/>
                </w:tcPr>
                <w:p w14:paraId="2E437CCE">
                  <w:pPr>
                    <w:pStyle w:val="32"/>
                    <w:rPr>
                      <w:sz w:val="21"/>
                    </w:rPr>
                  </w:pPr>
                  <w:r>
                    <w:rPr>
                      <w:sz w:val="21"/>
                    </w:rPr>
                    <w:t>/</w:t>
                  </w:r>
                </w:p>
              </w:tc>
              <w:tc>
                <w:tcPr>
                  <w:tcW w:w="2665" w:type="dxa"/>
                  <w:tcBorders>
                    <w:bottom w:val="single" w:color="auto" w:sz="4" w:space="0"/>
                  </w:tcBorders>
                  <w:shd w:val="clear" w:color="auto" w:fill="FFFFFF"/>
                  <w:vAlign w:val="center"/>
                </w:tcPr>
                <w:p w14:paraId="10FC937E">
                  <w:pPr>
                    <w:pStyle w:val="32"/>
                    <w:jc w:val="both"/>
                    <w:rPr>
                      <w:sz w:val="21"/>
                    </w:rPr>
                  </w:pPr>
                  <w:r>
                    <w:rPr>
                      <w:sz w:val="21"/>
                    </w:rPr>
                    <w:t xml:space="preserve">《生活垃圾填埋场污染物控制标准》(GB16889-2008) </w:t>
                  </w:r>
                </w:p>
              </w:tc>
            </w:tr>
            <w:tr w14:paraId="4B6F93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1" w:type="dxa"/>
                  <w:vMerge w:val="continue"/>
                  <w:shd w:val="clear" w:color="auto" w:fill="FFFFFF"/>
                  <w:vAlign w:val="center"/>
                </w:tcPr>
                <w:p w14:paraId="3617FE2C">
                  <w:pPr>
                    <w:pStyle w:val="32"/>
                    <w:rPr>
                      <w:sz w:val="21"/>
                    </w:rPr>
                  </w:pPr>
                </w:p>
              </w:tc>
              <w:tc>
                <w:tcPr>
                  <w:tcW w:w="1843" w:type="dxa"/>
                  <w:gridSpan w:val="2"/>
                  <w:tcBorders>
                    <w:bottom w:val="single" w:color="auto" w:sz="4" w:space="0"/>
                  </w:tcBorders>
                  <w:shd w:val="clear" w:color="auto" w:fill="FFFFFF"/>
                  <w:vAlign w:val="center"/>
                </w:tcPr>
                <w:p w14:paraId="245DBE9B">
                  <w:pPr>
                    <w:pStyle w:val="32"/>
                    <w:rPr>
                      <w:rFonts w:hint="eastAsia" w:eastAsia="宋体"/>
                      <w:sz w:val="21"/>
                      <w:lang w:val="en-US" w:eastAsia="zh-CN"/>
                    </w:rPr>
                  </w:pPr>
                  <w:r>
                    <w:rPr>
                      <w:rFonts w:hint="eastAsia"/>
                      <w:sz w:val="21"/>
                      <w:lang w:val="en-US" w:eastAsia="zh-CN"/>
                    </w:rPr>
                    <w:t>污泥</w:t>
                  </w:r>
                </w:p>
              </w:tc>
              <w:tc>
                <w:tcPr>
                  <w:tcW w:w="1701" w:type="dxa"/>
                  <w:tcBorders>
                    <w:bottom w:val="single" w:color="auto" w:sz="4" w:space="0"/>
                  </w:tcBorders>
                  <w:shd w:val="clear" w:color="auto" w:fill="FFFFFF"/>
                  <w:vAlign w:val="center"/>
                </w:tcPr>
                <w:p w14:paraId="58BAFEC9">
                  <w:pPr>
                    <w:pStyle w:val="32"/>
                    <w:rPr>
                      <w:rFonts w:hint="eastAsia"/>
                      <w:sz w:val="21"/>
                    </w:rPr>
                  </w:pPr>
                  <w:r>
                    <w:rPr>
                      <w:rFonts w:hint="eastAsia" w:ascii="Times New Roman" w:hAnsi="Times New Roman" w:eastAsia="宋体" w:cs="Times New Roman"/>
                      <w:snapToGrid/>
                      <w:color w:val="auto"/>
                      <w:kern w:val="2"/>
                      <w:sz w:val="21"/>
                      <w:szCs w:val="21"/>
                      <w:lang w:val="en-US" w:eastAsia="zh-CN" w:bidi="ar-SA"/>
                    </w:rPr>
                    <w:t>定期将</w:t>
                  </w:r>
                  <w:r>
                    <w:rPr>
                      <w:rFonts w:hint="default" w:ascii="Times New Roman" w:hAnsi="Times New Roman" w:eastAsia="宋体" w:cs="Times New Roman"/>
                      <w:snapToGrid/>
                      <w:color w:val="auto"/>
                      <w:kern w:val="2"/>
                      <w:sz w:val="21"/>
                      <w:szCs w:val="21"/>
                      <w:lang w:val="en-US" w:eastAsia="zh-CN" w:bidi="ar-SA"/>
                    </w:rPr>
                    <w:t>污泥拉运至生活垃圾填埋场处置</w:t>
                  </w:r>
                </w:p>
              </w:tc>
              <w:tc>
                <w:tcPr>
                  <w:tcW w:w="914" w:type="dxa"/>
                  <w:tcBorders>
                    <w:bottom w:val="single" w:color="auto" w:sz="4" w:space="0"/>
                  </w:tcBorders>
                  <w:shd w:val="clear" w:color="auto" w:fill="FFFFFF"/>
                  <w:vAlign w:val="center"/>
                </w:tcPr>
                <w:p w14:paraId="3CF87910">
                  <w:pPr>
                    <w:pStyle w:val="32"/>
                    <w:rPr>
                      <w:rFonts w:hint="eastAsia" w:eastAsia="宋体"/>
                      <w:sz w:val="21"/>
                      <w:lang w:val="en-US" w:eastAsia="zh-CN"/>
                    </w:rPr>
                  </w:pPr>
                  <w:r>
                    <w:rPr>
                      <w:rFonts w:hint="eastAsia"/>
                      <w:sz w:val="21"/>
                      <w:lang w:val="en-US" w:eastAsia="zh-CN"/>
                    </w:rPr>
                    <w:t>/</w:t>
                  </w:r>
                </w:p>
              </w:tc>
              <w:tc>
                <w:tcPr>
                  <w:tcW w:w="2665" w:type="dxa"/>
                  <w:vMerge w:val="restart"/>
                  <w:shd w:val="clear" w:color="auto" w:fill="FFFFFF"/>
                  <w:vAlign w:val="center"/>
                </w:tcPr>
                <w:p w14:paraId="5469C6FD">
                  <w:pPr>
                    <w:pStyle w:val="32"/>
                    <w:jc w:val="both"/>
                    <w:rPr>
                      <w:rFonts w:hint="eastAsia" w:ascii="Times New Roman" w:hAnsi="Times New Roman" w:eastAsia="宋体" w:cs="Times New Roman"/>
                      <w:snapToGrid/>
                      <w:color w:val="auto"/>
                      <w:kern w:val="2"/>
                      <w:sz w:val="21"/>
                      <w:szCs w:val="21"/>
                      <w:lang w:val="en-US" w:eastAsia="zh-CN" w:bidi="ar-SA"/>
                    </w:rPr>
                  </w:pPr>
                  <w:r>
                    <w:rPr>
                      <w:rFonts w:hint="default" w:ascii="Times New Roman" w:hAnsi="Times New Roman" w:cs="Times New Roman"/>
                      <w:szCs w:val="21"/>
                    </w:rPr>
                    <w:t>《一般工业固体废物贮存和填埋污染控制标准》（GB18599-2020）</w:t>
                  </w:r>
                </w:p>
              </w:tc>
            </w:tr>
            <w:tr w14:paraId="13FF70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shd w:val="clear" w:color="auto" w:fill="FFFFFF"/>
                  <w:vAlign w:val="center"/>
                </w:tcPr>
                <w:p w14:paraId="215A2FC7">
                  <w:pPr>
                    <w:pStyle w:val="32"/>
                    <w:rPr>
                      <w:sz w:val="21"/>
                    </w:rPr>
                  </w:pPr>
                </w:p>
              </w:tc>
              <w:tc>
                <w:tcPr>
                  <w:tcW w:w="1843" w:type="dxa"/>
                  <w:gridSpan w:val="2"/>
                  <w:tcBorders>
                    <w:bottom w:val="single" w:color="auto" w:sz="4" w:space="0"/>
                  </w:tcBorders>
                  <w:shd w:val="clear" w:color="auto" w:fill="FFFFFF"/>
                  <w:vAlign w:val="center"/>
                </w:tcPr>
                <w:p w14:paraId="7E7B5878">
                  <w:pPr>
                    <w:pStyle w:val="32"/>
                    <w:rPr>
                      <w:rFonts w:hint="eastAsia"/>
                      <w:sz w:val="21"/>
                      <w:lang w:val="en-US" w:eastAsia="zh-CN"/>
                    </w:rPr>
                  </w:pPr>
                  <w:r>
                    <w:rPr>
                      <w:rFonts w:hint="eastAsia"/>
                      <w:snapToGrid w:val="0"/>
                      <w:color w:val="auto"/>
                      <w:kern w:val="0"/>
                      <w:sz w:val="21"/>
                      <w:szCs w:val="21"/>
                    </w:rPr>
                    <w:t>不合格混凝土</w:t>
                  </w:r>
                </w:p>
              </w:tc>
              <w:tc>
                <w:tcPr>
                  <w:tcW w:w="1701" w:type="dxa"/>
                  <w:tcBorders>
                    <w:bottom w:val="single" w:color="auto" w:sz="4" w:space="0"/>
                  </w:tcBorders>
                  <w:shd w:val="clear" w:color="auto" w:fill="FFFFFF"/>
                  <w:vAlign w:val="center"/>
                </w:tcPr>
                <w:p w14:paraId="0DEB3C3C">
                  <w:pPr>
                    <w:pStyle w:val="32"/>
                    <w:rPr>
                      <w:rFonts w:hint="eastAsia" w:ascii="Times New Roman" w:hAnsi="Times New Roman" w:eastAsia="宋体" w:cs="Times New Roman"/>
                      <w:snapToGrid/>
                      <w:color w:val="auto"/>
                      <w:kern w:val="2"/>
                      <w:sz w:val="21"/>
                      <w:szCs w:val="21"/>
                      <w:lang w:val="en-US" w:eastAsia="zh-CN" w:bidi="ar-SA"/>
                    </w:rPr>
                  </w:pPr>
                  <w:r>
                    <w:rPr>
                      <w:rFonts w:hint="eastAsia"/>
                      <w:bCs/>
                      <w:color w:val="auto"/>
                      <w:sz w:val="21"/>
                      <w:szCs w:val="21"/>
                      <w:lang w:val="en-US" w:eastAsia="zh-CN"/>
                    </w:rPr>
                    <w:t>集中收集后回用于生产</w:t>
                  </w:r>
                </w:p>
              </w:tc>
              <w:tc>
                <w:tcPr>
                  <w:tcW w:w="914" w:type="dxa"/>
                  <w:tcBorders>
                    <w:bottom w:val="single" w:color="auto" w:sz="4" w:space="0"/>
                  </w:tcBorders>
                  <w:shd w:val="clear" w:color="auto" w:fill="FFFFFF"/>
                  <w:vAlign w:val="center"/>
                </w:tcPr>
                <w:p w14:paraId="3FF2E249">
                  <w:pPr>
                    <w:pStyle w:val="32"/>
                    <w:rPr>
                      <w:rFonts w:hint="default"/>
                      <w:sz w:val="21"/>
                      <w:lang w:val="en-US" w:eastAsia="zh-CN"/>
                    </w:rPr>
                  </w:pPr>
                  <w:r>
                    <w:rPr>
                      <w:rFonts w:hint="eastAsia"/>
                      <w:sz w:val="21"/>
                      <w:lang w:val="en-US" w:eastAsia="zh-CN"/>
                    </w:rPr>
                    <w:t>/</w:t>
                  </w:r>
                </w:p>
              </w:tc>
              <w:tc>
                <w:tcPr>
                  <w:tcW w:w="2665" w:type="dxa"/>
                  <w:vMerge w:val="continue"/>
                  <w:shd w:val="clear" w:color="auto" w:fill="FFFFFF"/>
                  <w:vAlign w:val="center"/>
                </w:tcPr>
                <w:p w14:paraId="3B110913">
                  <w:pPr>
                    <w:pStyle w:val="32"/>
                    <w:jc w:val="both"/>
                    <w:rPr>
                      <w:rFonts w:hint="eastAsia" w:ascii="Times New Roman" w:hAnsi="Times New Roman" w:eastAsia="宋体" w:cs="Times New Roman"/>
                      <w:snapToGrid/>
                      <w:color w:val="auto"/>
                      <w:kern w:val="2"/>
                      <w:sz w:val="21"/>
                      <w:szCs w:val="21"/>
                      <w:lang w:val="en-US" w:eastAsia="zh-CN" w:bidi="ar-SA"/>
                    </w:rPr>
                  </w:pPr>
                </w:p>
              </w:tc>
            </w:tr>
            <w:tr w14:paraId="04F66E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shd w:val="clear" w:color="auto" w:fill="FFFFFF"/>
                  <w:vAlign w:val="center"/>
                </w:tcPr>
                <w:p w14:paraId="34B7EA25">
                  <w:pPr>
                    <w:pStyle w:val="32"/>
                    <w:rPr>
                      <w:sz w:val="21"/>
                    </w:rPr>
                  </w:pPr>
                </w:p>
              </w:tc>
              <w:tc>
                <w:tcPr>
                  <w:tcW w:w="1843" w:type="dxa"/>
                  <w:gridSpan w:val="2"/>
                  <w:tcBorders>
                    <w:bottom w:val="single" w:color="auto" w:sz="4" w:space="0"/>
                  </w:tcBorders>
                  <w:shd w:val="clear" w:color="auto" w:fill="FFFFFF"/>
                  <w:vAlign w:val="center"/>
                </w:tcPr>
                <w:p w14:paraId="3917B766">
                  <w:pPr>
                    <w:pStyle w:val="32"/>
                    <w:rPr>
                      <w:rFonts w:hint="eastAsia"/>
                      <w:snapToGrid w:val="0"/>
                      <w:color w:val="auto"/>
                      <w:kern w:val="0"/>
                      <w:sz w:val="21"/>
                      <w:szCs w:val="21"/>
                    </w:rPr>
                  </w:pPr>
                  <w:r>
                    <w:rPr>
                      <w:rFonts w:hint="eastAsia"/>
                      <w:snapToGrid w:val="0"/>
                      <w:color w:val="auto"/>
                      <w:kern w:val="0"/>
                      <w:sz w:val="21"/>
                      <w:szCs w:val="21"/>
                      <w:lang w:eastAsia="zh-CN"/>
                    </w:rPr>
                    <w:t>布袋除尘器收集的粉尘</w:t>
                  </w:r>
                </w:p>
              </w:tc>
              <w:tc>
                <w:tcPr>
                  <w:tcW w:w="1701" w:type="dxa"/>
                  <w:tcBorders>
                    <w:bottom w:val="single" w:color="auto" w:sz="4" w:space="0"/>
                  </w:tcBorders>
                  <w:shd w:val="clear" w:color="auto" w:fill="FFFFFF"/>
                  <w:vAlign w:val="center"/>
                </w:tcPr>
                <w:p w14:paraId="4BFB9F9D">
                  <w:pPr>
                    <w:pStyle w:val="32"/>
                    <w:rPr>
                      <w:rFonts w:hint="eastAsia"/>
                      <w:bCs/>
                      <w:color w:val="auto"/>
                      <w:sz w:val="21"/>
                      <w:szCs w:val="21"/>
                      <w:lang w:val="en-US" w:eastAsia="zh-CN"/>
                    </w:rPr>
                  </w:pPr>
                  <w:r>
                    <w:rPr>
                      <w:rFonts w:hint="eastAsia"/>
                      <w:bCs/>
                      <w:color w:val="auto"/>
                      <w:sz w:val="21"/>
                      <w:szCs w:val="21"/>
                      <w:lang w:val="en-US" w:eastAsia="zh-CN"/>
                    </w:rPr>
                    <w:t>集中收集后回用于生产</w:t>
                  </w:r>
                </w:p>
              </w:tc>
              <w:tc>
                <w:tcPr>
                  <w:tcW w:w="914" w:type="dxa"/>
                  <w:tcBorders>
                    <w:bottom w:val="single" w:color="auto" w:sz="4" w:space="0"/>
                  </w:tcBorders>
                  <w:shd w:val="clear" w:color="auto" w:fill="FFFFFF"/>
                  <w:vAlign w:val="center"/>
                </w:tcPr>
                <w:p w14:paraId="5963713B">
                  <w:pPr>
                    <w:pStyle w:val="32"/>
                    <w:rPr>
                      <w:rFonts w:hint="default"/>
                      <w:sz w:val="21"/>
                      <w:lang w:val="en-US" w:eastAsia="zh-CN"/>
                    </w:rPr>
                  </w:pPr>
                  <w:r>
                    <w:rPr>
                      <w:rFonts w:hint="eastAsia"/>
                      <w:sz w:val="21"/>
                      <w:lang w:val="en-US" w:eastAsia="zh-CN"/>
                    </w:rPr>
                    <w:t>/</w:t>
                  </w:r>
                </w:p>
              </w:tc>
              <w:tc>
                <w:tcPr>
                  <w:tcW w:w="2665" w:type="dxa"/>
                  <w:vMerge w:val="continue"/>
                  <w:shd w:val="clear" w:color="auto" w:fill="FFFFFF"/>
                  <w:vAlign w:val="center"/>
                </w:tcPr>
                <w:p w14:paraId="034B7644">
                  <w:pPr>
                    <w:pStyle w:val="32"/>
                    <w:jc w:val="both"/>
                    <w:rPr>
                      <w:rFonts w:hint="default" w:ascii="Times New Roman" w:hAnsi="Times New Roman" w:cs="Times New Roman"/>
                      <w:szCs w:val="21"/>
                    </w:rPr>
                  </w:pPr>
                </w:p>
              </w:tc>
            </w:tr>
            <w:tr w14:paraId="4667BB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41" w:type="dxa"/>
                  <w:vMerge w:val="continue"/>
                  <w:shd w:val="clear" w:color="auto" w:fill="FFFFFF"/>
                  <w:vAlign w:val="center"/>
                </w:tcPr>
                <w:p w14:paraId="000D161C">
                  <w:pPr>
                    <w:pStyle w:val="32"/>
                    <w:rPr>
                      <w:sz w:val="21"/>
                    </w:rPr>
                  </w:pPr>
                </w:p>
              </w:tc>
              <w:tc>
                <w:tcPr>
                  <w:tcW w:w="1843" w:type="dxa"/>
                  <w:gridSpan w:val="2"/>
                  <w:tcBorders>
                    <w:bottom w:val="single" w:color="auto" w:sz="4" w:space="0"/>
                  </w:tcBorders>
                  <w:shd w:val="clear" w:color="auto" w:fill="FFFFFF"/>
                  <w:vAlign w:val="center"/>
                </w:tcPr>
                <w:p w14:paraId="48F3DC2C">
                  <w:pPr>
                    <w:pStyle w:val="32"/>
                    <w:rPr>
                      <w:rFonts w:hint="eastAsia" w:eastAsia="宋体"/>
                      <w:sz w:val="21"/>
                      <w:lang w:val="en-US" w:eastAsia="zh-CN"/>
                    </w:rPr>
                  </w:pPr>
                  <w:r>
                    <w:rPr>
                      <w:rFonts w:hint="eastAsia"/>
                      <w:snapToGrid w:val="0"/>
                      <w:color w:val="auto"/>
                      <w:kern w:val="0"/>
                      <w:sz w:val="21"/>
                      <w:szCs w:val="21"/>
                      <w:lang w:eastAsia="zh-CN"/>
                    </w:rPr>
                    <w:t>沉淀池沉淀物</w:t>
                  </w:r>
                </w:p>
              </w:tc>
              <w:tc>
                <w:tcPr>
                  <w:tcW w:w="1701" w:type="dxa"/>
                  <w:tcBorders>
                    <w:bottom w:val="single" w:color="auto" w:sz="4" w:space="0"/>
                  </w:tcBorders>
                  <w:shd w:val="clear" w:color="auto" w:fill="FFFFFF"/>
                  <w:vAlign w:val="center"/>
                </w:tcPr>
                <w:p w14:paraId="1C2CF941">
                  <w:pPr>
                    <w:pStyle w:val="32"/>
                    <w:rPr>
                      <w:rFonts w:hint="default" w:eastAsia="宋体"/>
                      <w:sz w:val="21"/>
                      <w:lang w:val="en-US" w:eastAsia="zh-CN"/>
                    </w:rPr>
                  </w:pPr>
                  <w:r>
                    <w:rPr>
                      <w:rFonts w:hint="eastAsia"/>
                      <w:bCs/>
                      <w:color w:val="auto"/>
                      <w:sz w:val="21"/>
                      <w:szCs w:val="21"/>
                      <w:lang w:val="en-US" w:eastAsia="zh-CN"/>
                    </w:rPr>
                    <w:t>集中收集后回用于生产</w:t>
                  </w:r>
                </w:p>
              </w:tc>
              <w:tc>
                <w:tcPr>
                  <w:tcW w:w="914" w:type="dxa"/>
                  <w:tcBorders>
                    <w:bottom w:val="single" w:color="auto" w:sz="4" w:space="0"/>
                  </w:tcBorders>
                  <w:shd w:val="clear" w:color="auto" w:fill="FFFFFF"/>
                  <w:vAlign w:val="center"/>
                </w:tcPr>
                <w:p w14:paraId="529A88BF">
                  <w:pPr>
                    <w:pStyle w:val="32"/>
                    <w:rPr>
                      <w:rFonts w:hint="eastAsia" w:eastAsia="宋体"/>
                      <w:sz w:val="21"/>
                      <w:lang w:val="en-US" w:eastAsia="zh-CN"/>
                    </w:rPr>
                  </w:pPr>
                  <w:r>
                    <w:rPr>
                      <w:rFonts w:hint="eastAsia"/>
                      <w:sz w:val="21"/>
                      <w:lang w:val="en-US" w:eastAsia="zh-CN"/>
                    </w:rPr>
                    <w:t>/</w:t>
                  </w:r>
                </w:p>
              </w:tc>
              <w:tc>
                <w:tcPr>
                  <w:tcW w:w="2665" w:type="dxa"/>
                  <w:vMerge w:val="continue"/>
                  <w:tcBorders>
                    <w:bottom w:val="single" w:color="auto" w:sz="4" w:space="0"/>
                  </w:tcBorders>
                  <w:shd w:val="clear" w:color="auto" w:fill="FFFFFF"/>
                  <w:vAlign w:val="center"/>
                </w:tcPr>
                <w:p w14:paraId="316AA177">
                  <w:pPr>
                    <w:pStyle w:val="32"/>
                    <w:jc w:val="center"/>
                    <w:rPr>
                      <w:rFonts w:hint="eastAsia" w:eastAsia="宋体"/>
                      <w:sz w:val="21"/>
                      <w:lang w:val="en-US" w:eastAsia="zh-CN"/>
                    </w:rPr>
                  </w:pPr>
                </w:p>
              </w:tc>
            </w:tr>
            <w:tr w14:paraId="37FA09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1" w:type="dxa"/>
                  <w:vMerge w:val="continue"/>
                  <w:tcBorders>
                    <w:bottom w:val="single" w:color="auto" w:sz="12" w:space="0"/>
                  </w:tcBorders>
                  <w:shd w:val="clear" w:color="auto" w:fill="FFFFFF"/>
                  <w:vAlign w:val="center"/>
                </w:tcPr>
                <w:p w14:paraId="57B9D045">
                  <w:pPr>
                    <w:pStyle w:val="32"/>
                    <w:rPr>
                      <w:sz w:val="21"/>
                    </w:rPr>
                  </w:pPr>
                </w:p>
              </w:tc>
              <w:tc>
                <w:tcPr>
                  <w:tcW w:w="1843" w:type="dxa"/>
                  <w:gridSpan w:val="2"/>
                  <w:tcBorders>
                    <w:bottom w:val="single" w:color="auto" w:sz="12" w:space="0"/>
                  </w:tcBorders>
                  <w:shd w:val="clear" w:color="auto" w:fill="FFFFFF"/>
                  <w:vAlign w:val="center"/>
                </w:tcPr>
                <w:p w14:paraId="4F83D2CB">
                  <w:pPr>
                    <w:pStyle w:val="32"/>
                    <w:rPr>
                      <w:sz w:val="21"/>
                    </w:rPr>
                  </w:pPr>
                  <w:r>
                    <w:rPr>
                      <w:rFonts w:hint="eastAsia"/>
                      <w:sz w:val="21"/>
                    </w:rPr>
                    <w:t>废机油</w:t>
                  </w:r>
                </w:p>
              </w:tc>
              <w:tc>
                <w:tcPr>
                  <w:tcW w:w="1701" w:type="dxa"/>
                  <w:tcBorders>
                    <w:bottom w:val="single" w:color="auto" w:sz="12" w:space="0"/>
                  </w:tcBorders>
                  <w:shd w:val="clear" w:color="auto" w:fill="FFFFFF"/>
                  <w:vAlign w:val="center"/>
                </w:tcPr>
                <w:p w14:paraId="0580D763">
                  <w:pPr>
                    <w:pStyle w:val="32"/>
                    <w:rPr>
                      <w:sz w:val="21"/>
                    </w:rPr>
                  </w:pPr>
                  <w:r>
                    <w:rPr>
                      <w:rFonts w:hint="eastAsia"/>
                      <w:sz w:val="21"/>
                    </w:rPr>
                    <w:t>危废间暂存，委托有资质单位处理</w:t>
                  </w:r>
                </w:p>
              </w:tc>
              <w:tc>
                <w:tcPr>
                  <w:tcW w:w="914" w:type="dxa"/>
                  <w:tcBorders>
                    <w:bottom w:val="single" w:color="auto" w:sz="12" w:space="0"/>
                  </w:tcBorders>
                  <w:shd w:val="clear" w:color="auto" w:fill="FFFFFF"/>
                  <w:vAlign w:val="center"/>
                </w:tcPr>
                <w:p w14:paraId="09375064">
                  <w:pPr>
                    <w:pStyle w:val="32"/>
                    <w:rPr>
                      <w:sz w:val="21"/>
                    </w:rPr>
                  </w:pPr>
                  <w:r>
                    <w:rPr>
                      <w:rFonts w:hint="eastAsia"/>
                      <w:sz w:val="21"/>
                    </w:rPr>
                    <w:t>/</w:t>
                  </w:r>
                </w:p>
              </w:tc>
              <w:tc>
                <w:tcPr>
                  <w:tcW w:w="2665" w:type="dxa"/>
                  <w:tcBorders>
                    <w:bottom w:val="single" w:color="auto" w:sz="12" w:space="0"/>
                  </w:tcBorders>
                  <w:shd w:val="clear" w:color="auto" w:fill="FFFFFF"/>
                  <w:vAlign w:val="center"/>
                </w:tcPr>
                <w:p w14:paraId="2D412364">
                  <w:pPr>
                    <w:pStyle w:val="32"/>
                    <w:jc w:val="both"/>
                    <w:rPr>
                      <w:sz w:val="21"/>
                    </w:rPr>
                  </w:pPr>
                  <w:r>
                    <w:rPr>
                      <w:rFonts w:hint="eastAsia"/>
                      <w:sz w:val="21"/>
                    </w:rPr>
                    <w:t>《危险废物贮存污染控制标准》（GB18597-20</w:t>
                  </w:r>
                  <w:r>
                    <w:rPr>
                      <w:sz w:val="21"/>
                    </w:rPr>
                    <w:t>23</w:t>
                  </w:r>
                  <w:r>
                    <w:rPr>
                      <w:rFonts w:hint="eastAsia"/>
                      <w:sz w:val="21"/>
                    </w:rPr>
                    <w:t>）</w:t>
                  </w:r>
                </w:p>
              </w:tc>
            </w:tr>
          </w:tbl>
          <w:p w14:paraId="2D6012B2">
            <w:pPr>
              <w:adjustRightInd w:val="0"/>
              <w:snapToGrid w:val="0"/>
              <w:rPr>
                <w:rFonts w:ascii="宋体" w:hAnsi="宋体" w:cs="宋体"/>
                <w:bCs/>
                <w:color w:val="auto"/>
                <w:spacing w:val="-10"/>
                <w:szCs w:val="21"/>
              </w:rPr>
            </w:pPr>
          </w:p>
        </w:tc>
      </w:tr>
    </w:tbl>
    <w:p w14:paraId="2F4A59E6">
      <w:pPr>
        <w:adjustRightInd w:val="0"/>
        <w:snapToGrid w:val="0"/>
        <w:spacing w:line="360" w:lineRule="auto"/>
        <w:rPr>
          <w:rFonts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656BE59">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6" w:name="_Hlk54167917"/>
      <w:r>
        <w:rPr>
          <w:rFonts w:hint="eastAsia" w:ascii="黑体" w:hAnsi="黑体" w:eastAsia="黑体"/>
          <w:snapToGrid w:val="0"/>
          <w:color w:val="auto"/>
          <w:sz w:val="30"/>
          <w:szCs w:val="30"/>
        </w:rPr>
        <w:t>环境保护措施监督检查清单</w:t>
      </w:r>
      <w:bookmarkEnd w:id="6"/>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556"/>
        <w:gridCol w:w="1669"/>
        <w:gridCol w:w="2042"/>
      </w:tblGrid>
      <w:tr w14:paraId="1BF90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tcBorders>
              <w:tl2br w:val="single" w:color="auto" w:sz="4" w:space="0"/>
            </w:tcBorders>
            <w:vAlign w:val="center"/>
          </w:tcPr>
          <w:p w14:paraId="0201278C">
            <w:pPr>
              <w:adjustRightInd w:val="0"/>
              <w:snapToGrid w:val="0"/>
              <w:jc w:val="center"/>
              <w:rPr>
                <w:rFonts w:ascii="宋体" w:hAnsi="宋体" w:cs="宋体"/>
                <w:color w:val="auto"/>
                <w:szCs w:val="21"/>
              </w:rPr>
            </w:pPr>
            <w:r>
              <w:rPr>
                <w:rFonts w:hint="eastAsia" w:ascii="宋体" w:hAnsi="宋体" w:cs="宋体"/>
                <w:color w:val="auto"/>
                <w:szCs w:val="21"/>
              </w:rPr>
              <w:t>内容</w:t>
            </w:r>
          </w:p>
          <w:p w14:paraId="24E68A15">
            <w:pPr>
              <w:adjustRightInd w:val="0"/>
              <w:snapToGrid w:val="0"/>
              <w:jc w:val="center"/>
              <w:rPr>
                <w:rFonts w:ascii="宋体" w:hAnsi="宋体" w:cs="宋体"/>
                <w:color w:val="auto"/>
                <w:szCs w:val="21"/>
              </w:rPr>
            </w:pPr>
            <w:r>
              <w:rPr>
                <w:rFonts w:hint="eastAsia" w:ascii="宋体" w:hAnsi="宋体" w:cs="宋体"/>
                <w:color w:val="auto"/>
                <w:szCs w:val="21"/>
              </w:rPr>
              <w:t>要素</w:t>
            </w:r>
          </w:p>
        </w:tc>
        <w:tc>
          <w:tcPr>
            <w:tcW w:w="1755" w:type="dxa"/>
            <w:vAlign w:val="center"/>
          </w:tcPr>
          <w:p w14:paraId="64719F52">
            <w:pPr>
              <w:adjustRightInd w:val="0"/>
              <w:snapToGrid w:val="0"/>
              <w:jc w:val="center"/>
              <w:rPr>
                <w:rFonts w:ascii="宋体" w:hAnsi="宋体" w:cs="宋体"/>
                <w:color w:val="auto"/>
                <w:szCs w:val="21"/>
              </w:rPr>
            </w:pPr>
            <w:r>
              <w:rPr>
                <w:rFonts w:hint="eastAsia" w:ascii="宋体" w:hAnsi="宋体" w:cs="宋体"/>
                <w:color w:val="auto"/>
                <w:szCs w:val="21"/>
              </w:rPr>
              <w:t>排放口</w:t>
            </w:r>
            <w:r>
              <w:rPr>
                <w:rFonts w:hint="eastAsia" w:ascii="宋体" w:hAnsi="宋体" w:cs="宋体"/>
                <w:color w:val="auto"/>
                <w:szCs w:val="21"/>
                <w:lang w:eastAsia="zh-CN"/>
              </w:rPr>
              <w:t>（</w:t>
            </w:r>
            <w:r>
              <w:rPr>
                <w:rFonts w:hint="eastAsia" w:ascii="宋体" w:hAnsi="宋体" w:cs="宋体"/>
                <w:color w:val="auto"/>
                <w:szCs w:val="21"/>
              </w:rPr>
              <w:t>编号、</w:t>
            </w:r>
          </w:p>
          <w:p w14:paraId="4D0943EB">
            <w:pPr>
              <w:adjustRightInd w:val="0"/>
              <w:snapToGrid w:val="0"/>
              <w:jc w:val="center"/>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lang w:eastAsia="zh-CN"/>
              </w:rPr>
              <w:t>）</w:t>
            </w:r>
            <w:r>
              <w:rPr>
                <w:rFonts w:hint="eastAsia" w:ascii="宋体" w:hAnsi="宋体" w:cs="宋体"/>
                <w:color w:val="auto"/>
                <w:szCs w:val="21"/>
              </w:rPr>
              <w:t>/污染源</w:t>
            </w:r>
          </w:p>
        </w:tc>
        <w:tc>
          <w:tcPr>
            <w:tcW w:w="1556" w:type="dxa"/>
            <w:vAlign w:val="center"/>
          </w:tcPr>
          <w:p w14:paraId="61CBD7C3">
            <w:pPr>
              <w:adjustRightInd w:val="0"/>
              <w:snapToGrid w:val="0"/>
              <w:jc w:val="center"/>
              <w:rPr>
                <w:rFonts w:ascii="宋体" w:hAnsi="宋体" w:cs="宋体"/>
                <w:color w:val="auto"/>
                <w:szCs w:val="21"/>
              </w:rPr>
            </w:pPr>
            <w:r>
              <w:rPr>
                <w:rFonts w:hint="eastAsia" w:ascii="宋体" w:hAnsi="宋体" w:cs="宋体"/>
                <w:color w:val="auto"/>
                <w:szCs w:val="21"/>
              </w:rPr>
              <w:t>污染物项目</w:t>
            </w:r>
          </w:p>
        </w:tc>
        <w:tc>
          <w:tcPr>
            <w:tcW w:w="1669" w:type="dxa"/>
            <w:vAlign w:val="center"/>
          </w:tcPr>
          <w:p w14:paraId="002D1DF9">
            <w:pPr>
              <w:adjustRightInd w:val="0"/>
              <w:snapToGrid w:val="0"/>
              <w:jc w:val="center"/>
              <w:rPr>
                <w:rFonts w:ascii="宋体" w:hAnsi="宋体" w:cs="宋体"/>
                <w:color w:val="auto"/>
                <w:szCs w:val="21"/>
              </w:rPr>
            </w:pPr>
            <w:r>
              <w:rPr>
                <w:rFonts w:hint="eastAsia" w:ascii="宋体" w:hAnsi="宋体" w:cs="宋体"/>
                <w:color w:val="auto"/>
                <w:szCs w:val="21"/>
              </w:rPr>
              <w:t>环境保护措施</w:t>
            </w:r>
          </w:p>
        </w:tc>
        <w:tc>
          <w:tcPr>
            <w:tcW w:w="2042" w:type="dxa"/>
            <w:vAlign w:val="center"/>
          </w:tcPr>
          <w:p w14:paraId="31DB60F4">
            <w:pPr>
              <w:adjustRightInd w:val="0"/>
              <w:snapToGrid w:val="0"/>
              <w:jc w:val="center"/>
              <w:rPr>
                <w:rFonts w:ascii="宋体" w:hAnsi="宋体" w:cs="宋体"/>
                <w:color w:val="auto"/>
                <w:szCs w:val="21"/>
              </w:rPr>
            </w:pPr>
            <w:r>
              <w:rPr>
                <w:rFonts w:hint="eastAsia" w:ascii="宋体" w:hAnsi="宋体" w:cs="宋体"/>
                <w:color w:val="auto"/>
                <w:szCs w:val="21"/>
              </w:rPr>
              <w:t>执行标准</w:t>
            </w:r>
          </w:p>
        </w:tc>
      </w:tr>
      <w:tr w14:paraId="1FD23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778" w:type="dxa"/>
            <w:vMerge w:val="restart"/>
            <w:vAlign w:val="center"/>
          </w:tcPr>
          <w:p w14:paraId="4C07DC2F">
            <w:pPr>
              <w:adjustRightInd w:val="0"/>
              <w:snapToGrid w:val="0"/>
              <w:jc w:val="center"/>
              <w:rPr>
                <w:rFonts w:ascii="宋体" w:hAnsi="宋体" w:cs="宋体"/>
                <w:color w:val="auto"/>
                <w:szCs w:val="21"/>
              </w:rPr>
            </w:pPr>
            <w:r>
              <w:rPr>
                <w:rFonts w:hint="eastAsia" w:ascii="宋体" w:hAnsi="宋体" w:cs="宋体"/>
                <w:color w:val="auto"/>
                <w:szCs w:val="21"/>
              </w:rPr>
              <w:t>大气环境</w:t>
            </w:r>
          </w:p>
        </w:tc>
        <w:tc>
          <w:tcPr>
            <w:tcW w:w="1755" w:type="dxa"/>
            <w:vAlign w:val="center"/>
          </w:tcPr>
          <w:p w14:paraId="3C9EDE90">
            <w:pPr>
              <w:jc w:val="center"/>
              <w:rPr>
                <w:rFonts w:ascii="宋体" w:hAnsi="宋体" w:cs="宋体"/>
                <w:color w:val="auto"/>
                <w:szCs w:val="21"/>
              </w:rPr>
            </w:pPr>
            <w:r>
              <w:rPr>
                <w:rFonts w:hint="eastAsia"/>
                <w:color w:val="auto"/>
                <w:szCs w:val="21"/>
              </w:rPr>
              <w:t>搅拌粉尘</w:t>
            </w:r>
          </w:p>
        </w:tc>
        <w:tc>
          <w:tcPr>
            <w:tcW w:w="1556" w:type="dxa"/>
            <w:vAlign w:val="center"/>
          </w:tcPr>
          <w:p w14:paraId="460B08D8">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79E91075">
            <w:pPr>
              <w:jc w:val="center"/>
              <w:rPr>
                <w:rFonts w:ascii="宋体" w:hAnsi="宋体" w:cs="宋体"/>
                <w:color w:val="auto"/>
                <w:szCs w:val="21"/>
              </w:rPr>
            </w:pPr>
            <w:r>
              <w:rPr>
                <w:rFonts w:hint="eastAsia"/>
                <w:color w:val="auto"/>
                <w:szCs w:val="21"/>
              </w:rPr>
              <w:t>搅拌楼密闭，每台搅拌机配套脉冲布袋除尘器</w:t>
            </w:r>
          </w:p>
        </w:tc>
        <w:tc>
          <w:tcPr>
            <w:tcW w:w="2042" w:type="dxa"/>
            <w:vAlign w:val="center"/>
          </w:tcPr>
          <w:p w14:paraId="41E2422A">
            <w:pPr>
              <w:adjustRightInd w:val="0"/>
              <w:snapToGrid w:val="0"/>
              <w:jc w:val="both"/>
              <w:rPr>
                <w:rFonts w:ascii="宋体" w:hAnsi="宋体" w:cs="宋体"/>
                <w:color w:val="auto"/>
                <w:szCs w:val="21"/>
              </w:rPr>
            </w:pPr>
            <w:r>
              <w:rPr>
                <w:rFonts w:hint="eastAsia"/>
                <w:color w:val="auto"/>
                <w:szCs w:val="21"/>
              </w:rPr>
              <w:t>《水泥工业大气污染物排放标准》（GB4915-2013）表</w:t>
            </w:r>
            <w:r>
              <w:rPr>
                <w:rFonts w:hint="eastAsia"/>
                <w:color w:val="auto"/>
                <w:szCs w:val="21"/>
                <w:lang w:val="en-US" w:eastAsia="zh-CN"/>
              </w:rPr>
              <w:t>1</w:t>
            </w:r>
            <w:r>
              <w:rPr>
                <w:rFonts w:hint="eastAsia"/>
                <w:color w:val="auto"/>
                <w:szCs w:val="21"/>
              </w:rPr>
              <w:t>大气污染物排放限值</w:t>
            </w:r>
          </w:p>
        </w:tc>
      </w:tr>
      <w:tr w14:paraId="3048D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6A4BFB11">
            <w:pPr>
              <w:adjustRightInd w:val="0"/>
              <w:snapToGrid w:val="0"/>
              <w:jc w:val="center"/>
              <w:rPr>
                <w:rFonts w:ascii="宋体" w:hAnsi="宋体" w:cs="宋体"/>
                <w:color w:val="auto"/>
                <w:szCs w:val="21"/>
              </w:rPr>
            </w:pPr>
          </w:p>
        </w:tc>
        <w:tc>
          <w:tcPr>
            <w:tcW w:w="1755" w:type="dxa"/>
            <w:vAlign w:val="center"/>
          </w:tcPr>
          <w:p w14:paraId="1010C24C">
            <w:pPr>
              <w:jc w:val="center"/>
              <w:rPr>
                <w:rFonts w:ascii="宋体" w:hAnsi="宋体" w:cs="宋体"/>
                <w:color w:val="auto"/>
                <w:szCs w:val="21"/>
              </w:rPr>
            </w:pPr>
            <w:r>
              <w:rPr>
                <w:rFonts w:hint="eastAsia"/>
                <w:color w:val="auto"/>
                <w:szCs w:val="21"/>
              </w:rPr>
              <w:t>筒仓粉尘</w:t>
            </w:r>
          </w:p>
        </w:tc>
        <w:tc>
          <w:tcPr>
            <w:tcW w:w="1556" w:type="dxa"/>
            <w:vAlign w:val="center"/>
          </w:tcPr>
          <w:p w14:paraId="53EBB60B">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093E1784">
            <w:pPr>
              <w:jc w:val="center"/>
              <w:rPr>
                <w:rFonts w:hint="default" w:ascii="宋体" w:hAnsi="宋体" w:eastAsia="宋体" w:cs="宋体"/>
                <w:color w:val="auto"/>
                <w:szCs w:val="21"/>
                <w:lang w:val="en-US" w:eastAsia="zh-CN"/>
              </w:rPr>
            </w:pPr>
            <w:r>
              <w:rPr>
                <w:rFonts w:hint="eastAsia"/>
                <w:color w:val="auto"/>
                <w:szCs w:val="21"/>
                <w:lang w:val="en-US" w:eastAsia="zh-CN"/>
              </w:rPr>
              <w:t>筒仓采用一套脉冲布袋除尘器</w:t>
            </w:r>
          </w:p>
        </w:tc>
        <w:tc>
          <w:tcPr>
            <w:tcW w:w="2042" w:type="dxa"/>
            <w:vMerge w:val="restart"/>
            <w:vAlign w:val="center"/>
          </w:tcPr>
          <w:p w14:paraId="712FB7B8">
            <w:pPr>
              <w:adjustRightInd w:val="0"/>
              <w:snapToGrid w:val="0"/>
              <w:jc w:val="both"/>
              <w:rPr>
                <w:rFonts w:ascii="宋体" w:hAnsi="宋体" w:cs="宋体"/>
                <w:color w:val="auto"/>
                <w:szCs w:val="21"/>
              </w:rPr>
            </w:pPr>
            <w:r>
              <w:rPr>
                <w:rFonts w:hint="eastAsia"/>
                <w:color w:val="auto"/>
                <w:spacing w:val="0"/>
                <w:sz w:val="21"/>
                <w:szCs w:val="21"/>
              </w:rPr>
              <w:t>《水泥工业大气污染物排放标准》（GB4915-2013）表3大气污染物无组织排放限值</w:t>
            </w:r>
          </w:p>
        </w:tc>
      </w:tr>
      <w:tr w14:paraId="140FC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46ECD009">
            <w:pPr>
              <w:adjustRightInd w:val="0"/>
              <w:snapToGrid w:val="0"/>
              <w:jc w:val="center"/>
              <w:rPr>
                <w:rFonts w:ascii="宋体" w:hAnsi="宋体" w:cs="宋体"/>
                <w:color w:val="auto"/>
                <w:szCs w:val="21"/>
              </w:rPr>
            </w:pPr>
          </w:p>
        </w:tc>
        <w:tc>
          <w:tcPr>
            <w:tcW w:w="1755" w:type="dxa"/>
            <w:vAlign w:val="center"/>
          </w:tcPr>
          <w:p w14:paraId="70ED2D67">
            <w:pPr>
              <w:adjustRightInd w:val="0"/>
              <w:snapToGrid w:val="0"/>
              <w:jc w:val="center"/>
              <w:rPr>
                <w:rFonts w:ascii="宋体" w:hAnsi="宋体" w:cs="宋体"/>
                <w:color w:val="auto"/>
                <w:szCs w:val="21"/>
              </w:rPr>
            </w:pPr>
            <w:r>
              <w:rPr>
                <w:rFonts w:hint="eastAsia" w:ascii="宋体" w:hAnsi="宋体" w:cs="宋体"/>
                <w:color w:val="auto"/>
                <w:szCs w:val="21"/>
              </w:rPr>
              <w:t>卸料粉尘</w:t>
            </w:r>
          </w:p>
        </w:tc>
        <w:tc>
          <w:tcPr>
            <w:tcW w:w="1556" w:type="dxa"/>
            <w:vAlign w:val="center"/>
          </w:tcPr>
          <w:p w14:paraId="60DC5E21">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6100DADB">
            <w:pPr>
              <w:jc w:val="center"/>
              <w:rPr>
                <w:rFonts w:ascii="宋体" w:hAnsi="宋体" w:cs="宋体"/>
                <w:color w:val="auto"/>
                <w:szCs w:val="21"/>
              </w:rPr>
            </w:pPr>
            <w:r>
              <w:rPr>
                <w:rFonts w:hint="eastAsia"/>
                <w:color w:val="auto"/>
                <w:szCs w:val="21"/>
              </w:rPr>
              <w:t>料场封闭，全覆盖洒水降尘</w:t>
            </w:r>
          </w:p>
        </w:tc>
        <w:tc>
          <w:tcPr>
            <w:tcW w:w="2042" w:type="dxa"/>
            <w:vMerge w:val="continue"/>
            <w:vAlign w:val="center"/>
          </w:tcPr>
          <w:p w14:paraId="44AB4E31">
            <w:pPr>
              <w:adjustRightInd w:val="0"/>
              <w:snapToGrid w:val="0"/>
              <w:jc w:val="both"/>
              <w:rPr>
                <w:rFonts w:ascii="宋体" w:hAnsi="宋体" w:cs="宋体"/>
                <w:color w:val="auto"/>
                <w:szCs w:val="21"/>
              </w:rPr>
            </w:pPr>
          </w:p>
        </w:tc>
      </w:tr>
      <w:tr w14:paraId="3CF23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183799F3">
            <w:pPr>
              <w:adjustRightInd w:val="0"/>
              <w:snapToGrid w:val="0"/>
              <w:jc w:val="center"/>
              <w:rPr>
                <w:rFonts w:ascii="宋体" w:hAnsi="宋体" w:cs="宋体"/>
                <w:color w:val="auto"/>
                <w:szCs w:val="21"/>
              </w:rPr>
            </w:pPr>
          </w:p>
        </w:tc>
        <w:tc>
          <w:tcPr>
            <w:tcW w:w="1755" w:type="dxa"/>
            <w:vAlign w:val="center"/>
          </w:tcPr>
          <w:p w14:paraId="4708E8F7">
            <w:pPr>
              <w:adjustRightInd w:val="0"/>
              <w:snapToGrid w:val="0"/>
              <w:jc w:val="center"/>
              <w:rPr>
                <w:rFonts w:ascii="宋体" w:hAnsi="宋体" w:cs="宋体"/>
                <w:color w:val="auto"/>
                <w:szCs w:val="21"/>
              </w:rPr>
            </w:pPr>
            <w:r>
              <w:rPr>
                <w:rFonts w:hint="eastAsia" w:ascii="宋体" w:hAnsi="宋体" w:cs="宋体"/>
                <w:color w:val="auto"/>
                <w:szCs w:val="21"/>
              </w:rPr>
              <w:t>运输粉尘</w:t>
            </w:r>
          </w:p>
        </w:tc>
        <w:tc>
          <w:tcPr>
            <w:tcW w:w="1556" w:type="dxa"/>
            <w:vAlign w:val="center"/>
          </w:tcPr>
          <w:p w14:paraId="6AE26482">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2CD4AAE5">
            <w:pPr>
              <w:jc w:val="center"/>
              <w:rPr>
                <w:rFonts w:ascii="宋体" w:hAnsi="宋体" w:cs="宋体"/>
                <w:color w:val="auto"/>
                <w:szCs w:val="21"/>
              </w:rPr>
            </w:pPr>
            <w:r>
              <w:rPr>
                <w:rFonts w:hint="eastAsia"/>
                <w:color w:val="auto"/>
                <w:szCs w:val="21"/>
              </w:rPr>
              <w:t>运输车辆要封闭遮盖，粉料采用密闭罐车运输，车辆清洗，地面洒水降尘、及时清扫</w:t>
            </w:r>
          </w:p>
        </w:tc>
        <w:tc>
          <w:tcPr>
            <w:tcW w:w="2042" w:type="dxa"/>
            <w:vMerge w:val="continue"/>
            <w:vAlign w:val="center"/>
          </w:tcPr>
          <w:p w14:paraId="7A624F3D">
            <w:pPr>
              <w:adjustRightInd w:val="0"/>
              <w:snapToGrid w:val="0"/>
              <w:jc w:val="center"/>
              <w:rPr>
                <w:rFonts w:ascii="宋体" w:hAnsi="宋体" w:cs="宋体"/>
                <w:color w:val="auto"/>
                <w:szCs w:val="21"/>
              </w:rPr>
            </w:pPr>
          </w:p>
        </w:tc>
      </w:tr>
      <w:tr w14:paraId="00460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26C6D6F6">
            <w:pPr>
              <w:adjustRightInd w:val="0"/>
              <w:snapToGrid w:val="0"/>
              <w:jc w:val="center"/>
              <w:rPr>
                <w:rFonts w:ascii="宋体" w:hAnsi="宋体" w:cs="宋体"/>
                <w:color w:val="auto"/>
                <w:szCs w:val="21"/>
              </w:rPr>
            </w:pPr>
          </w:p>
        </w:tc>
        <w:tc>
          <w:tcPr>
            <w:tcW w:w="1755" w:type="dxa"/>
            <w:vAlign w:val="center"/>
          </w:tcPr>
          <w:p w14:paraId="49A449BD">
            <w:pPr>
              <w:adjustRightInd w:val="0"/>
              <w:snapToGrid w:val="0"/>
              <w:jc w:val="center"/>
              <w:rPr>
                <w:rFonts w:ascii="宋体" w:hAnsi="宋体" w:cs="宋体"/>
                <w:color w:val="auto"/>
                <w:szCs w:val="21"/>
              </w:rPr>
            </w:pPr>
            <w:r>
              <w:rPr>
                <w:rFonts w:hint="eastAsia" w:ascii="宋体" w:hAnsi="宋体" w:cs="宋体"/>
                <w:color w:val="auto"/>
                <w:szCs w:val="21"/>
              </w:rPr>
              <w:t>廊道运输</w:t>
            </w:r>
          </w:p>
        </w:tc>
        <w:tc>
          <w:tcPr>
            <w:tcW w:w="1556" w:type="dxa"/>
            <w:vAlign w:val="center"/>
          </w:tcPr>
          <w:p w14:paraId="0D98BB83">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22863BC8">
            <w:pPr>
              <w:jc w:val="center"/>
              <w:rPr>
                <w:rFonts w:ascii="宋体" w:hAnsi="宋体" w:cs="宋体"/>
                <w:color w:val="auto"/>
                <w:szCs w:val="21"/>
              </w:rPr>
            </w:pPr>
            <w:r>
              <w:rPr>
                <w:rFonts w:hint="eastAsia"/>
                <w:color w:val="auto"/>
                <w:szCs w:val="21"/>
              </w:rPr>
              <w:t>廊道密闭</w:t>
            </w:r>
          </w:p>
        </w:tc>
        <w:tc>
          <w:tcPr>
            <w:tcW w:w="2042" w:type="dxa"/>
            <w:vMerge w:val="continue"/>
            <w:vAlign w:val="center"/>
          </w:tcPr>
          <w:p w14:paraId="3094F9F9">
            <w:pPr>
              <w:adjustRightInd w:val="0"/>
              <w:snapToGrid w:val="0"/>
              <w:jc w:val="center"/>
              <w:rPr>
                <w:rFonts w:ascii="宋体" w:hAnsi="宋体" w:cs="宋体"/>
                <w:color w:val="auto"/>
                <w:szCs w:val="21"/>
              </w:rPr>
            </w:pPr>
          </w:p>
        </w:tc>
      </w:tr>
      <w:tr w14:paraId="7D89D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43D918F4">
            <w:pPr>
              <w:adjustRightInd w:val="0"/>
              <w:snapToGrid w:val="0"/>
              <w:jc w:val="center"/>
              <w:rPr>
                <w:rFonts w:ascii="宋体" w:hAnsi="宋体" w:cs="宋体"/>
                <w:color w:val="auto"/>
                <w:szCs w:val="21"/>
              </w:rPr>
            </w:pPr>
          </w:p>
        </w:tc>
        <w:tc>
          <w:tcPr>
            <w:tcW w:w="1755" w:type="dxa"/>
            <w:vAlign w:val="center"/>
          </w:tcPr>
          <w:p w14:paraId="418A6592">
            <w:pPr>
              <w:adjustRightInd w:val="0"/>
              <w:snapToGrid w:val="0"/>
              <w:jc w:val="center"/>
              <w:rPr>
                <w:rFonts w:ascii="宋体" w:hAnsi="宋体" w:cs="宋体"/>
                <w:color w:val="auto"/>
                <w:szCs w:val="21"/>
              </w:rPr>
            </w:pPr>
            <w:r>
              <w:rPr>
                <w:rFonts w:hint="eastAsia" w:ascii="宋体" w:hAnsi="宋体" w:cs="宋体"/>
                <w:color w:val="auto"/>
                <w:szCs w:val="21"/>
              </w:rPr>
              <w:t>食堂油烟</w:t>
            </w:r>
          </w:p>
        </w:tc>
        <w:tc>
          <w:tcPr>
            <w:tcW w:w="1556" w:type="dxa"/>
            <w:vAlign w:val="center"/>
          </w:tcPr>
          <w:p w14:paraId="32EA97B5">
            <w:pPr>
              <w:adjustRightInd w:val="0"/>
              <w:snapToGrid w:val="0"/>
              <w:jc w:val="center"/>
              <w:rPr>
                <w:rFonts w:ascii="宋体" w:hAnsi="宋体" w:cs="宋体"/>
                <w:color w:val="auto"/>
                <w:szCs w:val="21"/>
              </w:rPr>
            </w:pPr>
            <w:r>
              <w:rPr>
                <w:rFonts w:hint="eastAsia" w:ascii="宋体" w:hAnsi="宋体" w:cs="宋体"/>
                <w:color w:val="auto"/>
                <w:szCs w:val="21"/>
              </w:rPr>
              <w:t>油烟</w:t>
            </w:r>
          </w:p>
        </w:tc>
        <w:tc>
          <w:tcPr>
            <w:tcW w:w="1669" w:type="dxa"/>
            <w:vAlign w:val="center"/>
          </w:tcPr>
          <w:p w14:paraId="073347F8">
            <w:pPr>
              <w:jc w:val="center"/>
              <w:rPr>
                <w:rFonts w:ascii="宋体" w:hAnsi="宋体" w:cs="宋体"/>
                <w:color w:val="auto"/>
                <w:szCs w:val="21"/>
              </w:rPr>
            </w:pPr>
            <w:r>
              <w:rPr>
                <w:rFonts w:hint="eastAsia"/>
                <w:color w:val="auto"/>
                <w:szCs w:val="21"/>
              </w:rPr>
              <w:t>油烟净化器+专用烟道</w:t>
            </w:r>
          </w:p>
        </w:tc>
        <w:tc>
          <w:tcPr>
            <w:tcW w:w="2042" w:type="dxa"/>
            <w:vAlign w:val="center"/>
          </w:tcPr>
          <w:p w14:paraId="44CF3761">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r>
      <w:tr w14:paraId="636CD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restart"/>
            <w:vAlign w:val="center"/>
          </w:tcPr>
          <w:p w14:paraId="5126D6E7">
            <w:pPr>
              <w:adjustRightInd w:val="0"/>
              <w:snapToGrid w:val="0"/>
              <w:jc w:val="center"/>
              <w:rPr>
                <w:rFonts w:ascii="宋体" w:hAnsi="宋体" w:cs="宋体"/>
                <w:color w:val="auto"/>
                <w:szCs w:val="21"/>
              </w:rPr>
            </w:pPr>
            <w:r>
              <w:rPr>
                <w:rFonts w:hint="eastAsia" w:ascii="宋体" w:hAnsi="宋体" w:cs="宋体"/>
                <w:color w:val="auto"/>
                <w:szCs w:val="21"/>
              </w:rPr>
              <w:t>地表水环境</w:t>
            </w:r>
          </w:p>
        </w:tc>
        <w:tc>
          <w:tcPr>
            <w:tcW w:w="1755" w:type="dxa"/>
            <w:vAlign w:val="center"/>
          </w:tcPr>
          <w:p w14:paraId="4FFD3AD1">
            <w:pPr>
              <w:adjustRightInd w:val="0"/>
              <w:snapToGrid w:val="0"/>
              <w:jc w:val="center"/>
              <w:rPr>
                <w:rFonts w:ascii="宋体" w:hAnsi="宋体" w:cs="宋体"/>
                <w:color w:val="auto"/>
                <w:szCs w:val="21"/>
              </w:rPr>
            </w:pPr>
            <w:r>
              <w:rPr>
                <w:rFonts w:hint="eastAsia" w:ascii="宋体" w:hAnsi="宋体" w:cs="宋体"/>
                <w:color w:val="auto"/>
                <w:szCs w:val="21"/>
              </w:rPr>
              <w:t>生产废水</w:t>
            </w:r>
          </w:p>
        </w:tc>
        <w:tc>
          <w:tcPr>
            <w:tcW w:w="1556" w:type="dxa"/>
            <w:vAlign w:val="center"/>
          </w:tcPr>
          <w:p w14:paraId="4B9D1FE6">
            <w:pPr>
              <w:adjustRightInd w:val="0"/>
              <w:snapToGrid w:val="0"/>
              <w:jc w:val="center"/>
              <w:rPr>
                <w:rFonts w:ascii="宋体" w:hAnsi="宋体" w:cs="宋体"/>
                <w:color w:val="auto"/>
                <w:szCs w:val="21"/>
              </w:rPr>
            </w:pPr>
            <w:r>
              <w:rPr>
                <w:rFonts w:hint="eastAsia" w:ascii="宋体" w:hAnsi="宋体" w:cs="宋体"/>
                <w:color w:val="auto"/>
                <w:szCs w:val="21"/>
              </w:rPr>
              <w:t>/</w:t>
            </w:r>
          </w:p>
        </w:tc>
        <w:tc>
          <w:tcPr>
            <w:tcW w:w="1669" w:type="dxa"/>
            <w:vAlign w:val="center"/>
          </w:tcPr>
          <w:p w14:paraId="1CBB1AB7">
            <w:pPr>
              <w:jc w:val="center"/>
              <w:rPr>
                <w:rFonts w:ascii="宋体" w:hAnsi="宋体" w:cs="宋体"/>
                <w:color w:val="auto"/>
                <w:szCs w:val="21"/>
              </w:rPr>
            </w:pPr>
            <w:r>
              <w:rPr>
                <w:rFonts w:hint="eastAsia"/>
                <w:color w:val="auto"/>
                <w:szCs w:val="21"/>
              </w:rPr>
              <w:t>1座</w:t>
            </w:r>
            <w:r>
              <w:rPr>
                <w:rFonts w:hint="eastAsia"/>
                <w:color w:val="auto"/>
                <w:szCs w:val="21"/>
                <w:lang w:val="en-US" w:eastAsia="zh-CN"/>
              </w:rPr>
              <w:t>3</w:t>
            </w:r>
            <w:r>
              <w:rPr>
                <w:rFonts w:hint="eastAsia"/>
                <w:color w:val="auto"/>
                <w:szCs w:val="21"/>
              </w:rPr>
              <w:t>0m</w:t>
            </w:r>
            <w:r>
              <w:rPr>
                <w:rFonts w:hint="eastAsia"/>
                <w:color w:val="auto"/>
                <w:szCs w:val="21"/>
                <w:vertAlign w:val="superscript"/>
              </w:rPr>
              <w:t>3</w:t>
            </w:r>
            <w:r>
              <w:rPr>
                <w:rFonts w:hint="eastAsia"/>
                <w:color w:val="auto"/>
                <w:szCs w:val="21"/>
              </w:rPr>
              <w:t>三级沉淀池</w:t>
            </w:r>
          </w:p>
        </w:tc>
        <w:tc>
          <w:tcPr>
            <w:tcW w:w="2042" w:type="dxa"/>
            <w:vAlign w:val="center"/>
          </w:tcPr>
          <w:p w14:paraId="12ECCE2A">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555D8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4BF0AE36">
            <w:pPr>
              <w:adjustRightInd w:val="0"/>
              <w:snapToGrid w:val="0"/>
              <w:jc w:val="center"/>
              <w:rPr>
                <w:rFonts w:ascii="宋体" w:hAnsi="宋体" w:cs="宋体"/>
                <w:color w:val="auto"/>
                <w:szCs w:val="21"/>
              </w:rPr>
            </w:pPr>
          </w:p>
        </w:tc>
        <w:tc>
          <w:tcPr>
            <w:tcW w:w="1755" w:type="dxa"/>
            <w:vAlign w:val="center"/>
          </w:tcPr>
          <w:p w14:paraId="68A3D60E">
            <w:pPr>
              <w:adjustRightInd w:val="0"/>
              <w:snapToGrid w:val="0"/>
              <w:jc w:val="center"/>
              <w:rPr>
                <w:rFonts w:ascii="宋体" w:hAnsi="宋体" w:cs="宋体"/>
                <w:color w:val="auto"/>
                <w:szCs w:val="21"/>
              </w:rPr>
            </w:pPr>
            <w:r>
              <w:rPr>
                <w:rFonts w:hint="eastAsia" w:ascii="宋体" w:hAnsi="宋体" w:cs="宋体"/>
                <w:color w:val="auto"/>
                <w:szCs w:val="21"/>
              </w:rPr>
              <w:t>生活污水</w:t>
            </w:r>
          </w:p>
        </w:tc>
        <w:tc>
          <w:tcPr>
            <w:tcW w:w="1556" w:type="dxa"/>
            <w:vAlign w:val="center"/>
          </w:tcPr>
          <w:p w14:paraId="7016911C">
            <w:pPr>
              <w:pStyle w:val="34"/>
              <w:tabs>
                <w:tab w:val="left" w:pos="312"/>
                <w:tab w:val="clear" w:pos="1845"/>
              </w:tabs>
              <w:adjustRightInd/>
              <w:snapToGrid/>
              <w:spacing w:line="240" w:lineRule="auto"/>
              <w:rPr>
                <w:rFonts w:ascii="宋体" w:hAnsi="宋体" w:cs="宋体"/>
                <w:color w:val="auto"/>
                <w:szCs w:val="21"/>
              </w:rPr>
            </w:pPr>
            <w:r>
              <w:rPr>
                <w:rFonts w:hint="default" w:ascii="Times New Roman" w:hAnsi="Times New Roman"/>
                <w:b w:val="0"/>
                <w:bCs/>
                <w:color w:val="auto"/>
                <w:sz w:val="21"/>
              </w:rPr>
              <w:t>COD、BOD</w:t>
            </w:r>
            <w:r>
              <w:rPr>
                <w:rFonts w:hint="default" w:ascii="Times New Roman" w:hAnsi="Times New Roman"/>
                <w:b w:val="0"/>
                <w:bCs/>
                <w:color w:val="auto"/>
                <w:sz w:val="21"/>
                <w:vertAlign w:val="subscript"/>
              </w:rPr>
              <w:t>5</w:t>
            </w:r>
            <w:r>
              <w:rPr>
                <w:rFonts w:hint="default" w:ascii="Times New Roman" w:hAnsi="Times New Roman"/>
                <w:b w:val="0"/>
                <w:bCs/>
                <w:color w:val="auto"/>
                <w:sz w:val="21"/>
              </w:rPr>
              <w:t>、NH</w:t>
            </w:r>
            <w:r>
              <w:rPr>
                <w:rFonts w:hint="default" w:ascii="Times New Roman" w:hAnsi="Times New Roman"/>
                <w:b w:val="0"/>
                <w:bCs/>
                <w:color w:val="auto"/>
                <w:sz w:val="21"/>
                <w:vertAlign w:val="subscript"/>
              </w:rPr>
              <w:t>3</w:t>
            </w:r>
            <w:r>
              <w:rPr>
                <w:rFonts w:hint="default" w:ascii="Times New Roman" w:hAnsi="Times New Roman"/>
                <w:b w:val="0"/>
                <w:bCs/>
                <w:color w:val="auto"/>
                <w:sz w:val="21"/>
              </w:rPr>
              <w:t>-N、</w:t>
            </w:r>
            <w:r>
              <w:rPr>
                <w:bCs/>
                <w:color w:val="auto"/>
                <w:szCs w:val="21"/>
              </w:rPr>
              <w:t>SS</w:t>
            </w:r>
          </w:p>
        </w:tc>
        <w:tc>
          <w:tcPr>
            <w:tcW w:w="1669" w:type="dxa"/>
            <w:vAlign w:val="center"/>
          </w:tcPr>
          <w:p w14:paraId="5048818F">
            <w:pPr>
              <w:jc w:val="center"/>
              <w:rPr>
                <w:rFonts w:ascii="宋体" w:hAnsi="宋体" w:cs="宋体"/>
                <w:color w:val="auto"/>
                <w:szCs w:val="21"/>
              </w:rPr>
            </w:pPr>
            <w:r>
              <w:rPr>
                <w:rFonts w:hint="eastAsia"/>
                <w:color w:val="auto"/>
                <w:szCs w:val="21"/>
              </w:rPr>
              <w:t>地埋式污水处理系统</w:t>
            </w:r>
          </w:p>
        </w:tc>
        <w:tc>
          <w:tcPr>
            <w:tcW w:w="2042" w:type="dxa"/>
            <w:vAlign w:val="center"/>
          </w:tcPr>
          <w:p w14:paraId="192B924A">
            <w:pPr>
              <w:adjustRightInd w:val="0"/>
              <w:snapToGrid w:val="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cs="Times New Roman"/>
                <w:color w:val="auto"/>
                <w:kern w:val="0"/>
                <w:sz w:val="21"/>
                <w:szCs w:val="21"/>
                <w:highlight w:val="none"/>
                <w:lang w:val="en-US" w:eastAsia="zh-CN" w:bidi="ar-SA"/>
              </w:rPr>
              <w:t>农村生活污水处理排放标准（发布稿）</w:t>
            </w:r>
            <w:r>
              <w:rPr>
                <w:rFonts w:hint="eastAsia" w:ascii="Times New Roman" w:hAnsi="Times New Roman" w:eastAsia="宋体" w:cs="Times New Roman"/>
                <w:color w:val="auto"/>
                <w:szCs w:val="21"/>
              </w:rPr>
              <w:t>》（GB8978-1996）</w:t>
            </w:r>
            <w:r>
              <w:rPr>
                <w:rFonts w:hint="eastAsia" w:cs="Times New Roman"/>
                <w:color w:val="auto"/>
                <w:szCs w:val="21"/>
                <w:lang w:val="en-US" w:eastAsia="zh-CN"/>
              </w:rPr>
              <w:t>表</w:t>
            </w:r>
            <w:r>
              <w:rPr>
                <w:rFonts w:hint="eastAsia" w:ascii="Times New Roman" w:hAnsi="Times New Roman" w:eastAsia="宋体" w:cs="Times New Roman"/>
                <w:color w:val="auto"/>
                <w:szCs w:val="21"/>
                <w:lang w:val="en-US" w:eastAsia="zh-CN"/>
              </w:rPr>
              <w:t>二</w:t>
            </w:r>
            <w:r>
              <w:rPr>
                <w:rFonts w:hint="eastAsia" w:cs="Times New Roman"/>
                <w:color w:val="auto"/>
                <w:szCs w:val="21"/>
                <w:lang w:val="en-US" w:eastAsia="zh-CN"/>
              </w:rPr>
              <w:t>的C</w:t>
            </w:r>
            <w:r>
              <w:rPr>
                <w:rFonts w:hint="eastAsia" w:ascii="Times New Roman" w:hAnsi="Times New Roman" w:eastAsia="宋体" w:cs="Times New Roman"/>
                <w:color w:val="auto"/>
                <w:szCs w:val="21"/>
              </w:rPr>
              <w:t>级标准</w:t>
            </w:r>
          </w:p>
        </w:tc>
      </w:tr>
      <w:tr w14:paraId="51101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5EA35AEB">
            <w:pPr>
              <w:adjustRightInd w:val="0"/>
              <w:snapToGrid w:val="0"/>
              <w:jc w:val="center"/>
              <w:rPr>
                <w:rFonts w:ascii="宋体" w:hAnsi="宋体" w:cs="宋体"/>
                <w:color w:val="auto"/>
                <w:szCs w:val="21"/>
              </w:rPr>
            </w:pPr>
            <w:r>
              <w:rPr>
                <w:rFonts w:hint="eastAsia" w:ascii="宋体" w:hAnsi="宋体" w:cs="宋体"/>
                <w:color w:val="auto"/>
                <w:szCs w:val="21"/>
              </w:rPr>
              <w:t>声环境</w:t>
            </w:r>
          </w:p>
        </w:tc>
        <w:tc>
          <w:tcPr>
            <w:tcW w:w="1755" w:type="dxa"/>
            <w:vAlign w:val="center"/>
          </w:tcPr>
          <w:p w14:paraId="7753A5C2">
            <w:pPr>
              <w:adjustRightInd w:val="0"/>
              <w:snapToGrid w:val="0"/>
              <w:jc w:val="center"/>
              <w:rPr>
                <w:rFonts w:ascii="宋体" w:hAnsi="宋体" w:cs="宋体"/>
                <w:color w:val="auto"/>
                <w:szCs w:val="21"/>
              </w:rPr>
            </w:pPr>
            <w:r>
              <w:rPr>
                <w:rFonts w:hint="eastAsia" w:ascii="宋体" w:hAnsi="宋体" w:cs="宋体"/>
                <w:color w:val="auto"/>
                <w:szCs w:val="21"/>
              </w:rPr>
              <w:t>生产设备</w:t>
            </w:r>
          </w:p>
        </w:tc>
        <w:tc>
          <w:tcPr>
            <w:tcW w:w="1556" w:type="dxa"/>
            <w:vAlign w:val="center"/>
          </w:tcPr>
          <w:p w14:paraId="604C2406">
            <w:pPr>
              <w:adjustRightInd w:val="0"/>
              <w:snapToGrid w:val="0"/>
              <w:jc w:val="center"/>
              <w:rPr>
                <w:rFonts w:ascii="宋体" w:hAnsi="宋体" w:cs="宋体"/>
                <w:color w:val="auto"/>
                <w:szCs w:val="21"/>
              </w:rPr>
            </w:pPr>
            <w:r>
              <w:rPr>
                <w:rFonts w:hint="eastAsia" w:ascii="宋体" w:hAnsi="宋体" w:cs="宋体"/>
                <w:color w:val="auto"/>
                <w:szCs w:val="21"/>
              </w:rPr>
              <w:t>机械噪声</w:t>
            </w:r>
          </w:p>
        </w:tc>
        <w:tc>
          <w:tcPr>
            <w:tcW w:w="1669" w:type="dxa"/>
            <w:vAlign w:val="center"/>
          </w:tcPr>
          <w:p w14:paraId="30E71F92">
            <w:pPr>
              <w:adjustRightInd w:val="0"/>
              <w:snapToGrid w:val="0"/>
              <w:jc w:val="center"/>
              <w:rPr>
                <w:rFonts w:ascii="宋体" w:hAnsi="宋体" w:cs="宋体"/>
                <w:color w:val="auto"/>
                <w:szCs w:val="21"/>
              </w:rPr>
            </w:pPr>
            <w:r>
              <w:rPr>
                <w:color w:val="auto"/>
                <w:szCs w:val="21"/>
              </w:rPr>
              <w:t>基础减震+厂房隔声+</w:t>
            </w:r>
            <w:r>
              <w:rPr>
                <w:rFonts w:hint="eastAsia"/>
                <w:color w:val="auto"/>
                <w:szCs w:val="21"/>
              </w:rPr>
              <w:t>设备</w:t>
            </w:r>
            <w:r>
              <w:rPr>
                <w:color w:val="auto"/>
                <w:szCs w:val="21"/>
              </w:rPr>
              <w:t>定期维护保养</w:t>
            </w:r>
          </w:p>
        </w:tc>
        <w:tc>
          <w:tcPr>
            <w:tcW w:w="2042" w:type="dxa"/>
            <w:vAlign w:val="center"/>
          </w:tcPr>
          <w:p w14:paraId="431A1D63">
            <w:pPr>
              <w:adjustRightInd w:val="0"/>
              <w:snapToGrid w:val="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《工业企业厂界环境噪声排放标准》（GB12348-2008）中</w:t>
            </w:r>
            <w:r>
              <w:rPr>
                <w:rFonts w:hint="eastAsia" w:cs="Times New Roman"/>
                <w:color w:val="auto"/>
                <w:szCs w:val="21"/>
                <w:lang w:val="en-US" w:eastAsia="zh-CN"/>
              </w:rPr>
              <w:t>2</w:t>
            </w:r>
            <w:r>
              <w:rPr>
                <w:rFonts w:hint="eastAsia" w:ascii="Times New Roman" w:hAnsi="Times New Roman" w:eastAsia="宋体" w:cs="Times New Roman"/>
                <w:color w:val="auto"/>
                <w:szCs w:val="21"/>
              </w:rPr>
              <w:t>类标准</w:t>
            </w:r>
          </w:p>
        </w:tc>
      </w:tr>
      <w:tr w14:paraId="35B6D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62C37C93">
            <w:pPr>
              <w:adjustRightInd w:val="0"/>
              <w:snapToGrid w:val="0"/>
              <w:jc w:val="center"/>
              <w:rPr>
                <w:rFonts w:ascii="宋体" w:hAnsi="宋体" w:cs="宋体"/>
                <w:color w:val="auto"/>
                <w:szCs w:val="21"/>
              </w:rPr>
            </w:pPr>
            <w:r>
              <w:rPr>
                <w:rFonts w:hint="eastAsia" w:ascii="宋体" w:hAnsi="宋体" w:cs="宋体"/>
                <w:color w:val="auto"/>
                <w:szCs w:val="21"/>
              </w:rPr>
              <w:t>电磁辐射</w:t>
            </w:r>
          </w:p>
        </w:tc>
        <w:tc>
          <w:tcPr>
            <w:tcW w:w="7022" w:type="dxa"/>
            <w:gridSpan w:val="4"/>
            <w:vAlign w:val="center"/>
          </w:tcPr>
          <w:p w14:paraId="6B5EC903">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5CD1D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5BF92E49">
            <w:pPr>
              <w:adjustRightInd w:val="0"/>
              <w:snapToGrid w:val="0"/>
              <w:jc w:val="center"/>
              <w:rPr>
                <w:rFonts w:ascii="宋体" w:hAnsi="宋体" w:cs="宋体"/>
                <w:color w:val="auto"/>
                <w:szCs w:val="21"/>
              </w:rPr>
            </w:pPr>
            <w:r>
              <w:rPr>
                <w:rFonts w:hint="eastAsia" w:ascii="宋体" w:hAnsi="宋体" w:cs="宋体"/>
                <w:color w:val="auto"/>
                <w:szCs w:val="21"/>
              </w:rPr>
              <w:t>固体废物</w:t>
            </w:r>
          </w:p>
        </w:tc>
        <w:tc>
          <w:tcPr>
            <w:tcW w:w="7022" w:type="dxa"/>
            <w:gridSpan w:val="4"/>
            <w:vAlign w:val="center"/>
          </w:tcPr>
          <w:p w14:paraId="01EECCCC">
            <w:pPr>
              <w:adjustRightInd w:val="0"/>
              <w:snapToGrid w:val="0"/>
              <w:jc w:val="both"/>
              <w:rPr>
                <w:rFonts w:hint="default" w:ascii="宋体" w:hAnsi="宋体" w:eastAsia="宋体" w:cs="宋体"/>
                <w:color w:val="auto"/>
                <w:szCs w:val="21"/>
                <w:lang w:val="en-US" w:eastAsia="zh-CN"/>
              </w:rPr>
            </w:pPr>
            <w:r>
              <w:rPr>
                <w:rFonts w:hint="eastAsia" w:ascii="宋体" w:hAnsi="宋体" w:cs="宋体"/>
                <w:color w:val="auto"/>
                <w:szCs w:val="21"/>
              </w:rPr>
              <w:t>本项目生产废物全部回用于混凝土的生产过程；生活垃圾</w:t>
            </w:r>
            <w:r>
              <w:rPr>
                <w:rFonts w:hint="eastAsia"/>
                <w:color w:val="auto"/>
                <w:szCs w:val="21"/>
              </w:rPr>
              <w:t>集中收集于垃圾箱，</w:t>
            </w:r>
            <w:r>
              <w:rPr>
                <w:rFonts w:hint="eastAsia"/>
                <w:color w:val="auto"/>
                <w:szCs w:val="21"/>
                <w:lang w:val="en-US" w:eastAsia="zh-CN"/>
              </w:rPr>
              <w:t>定</w:t>
            </w:r>
            <w:r>
              <w:rPr>
                <w:rFonts w:hint="eastAsia" w:ascii="Times New Roman" w:hAnsi="Times New Roman" w:cs="Times New Roman"/>
                <w:color w:val="auto"/>
                <w:highlight w:val="none"/>
                <w:lang w:val="en-US" w:eastAsia="zh-CN"/>
              </w:rPr>
              <w:t>期</w:t>
            </w:r>
            <w:r>
              <w:rPr>
                <w:rFonts w:hint="default" w:ascii="Times New Roman" w:hAnsi="Times New Roman" w:cs="Times New Roman"/>
                <w:color w:val="auto"/>
                <w:highlight w:val="none"/>
              </w:rPr>
              <w:t>将污泥拉运至生活垃圾填埋场处置</w:t>
            </w:r>
            <w:r>
              <w:rPr>
                <w:rFonts w:hint="eastAsia" w:cs="Times New Roman"/>
                <w:color w:val="auto"/>
                <w:highlight w:val="none"/>
                <w:lang w:eastAsia="zh-CN"/>
              </w:rPr>
              <w:t>，</w:t>
            </w:r>
            <w:r>
              <w:rPr>
                <w:rFonts w:hint="eastAsia"/>
                <w:color w:val="auto"/>
                <w:szCs w:val="21"/>
              </w:rPr>
              <w:t>集中收集后交由环卫部门统一清运，</w:t>
            </w:r>
            <w:r>
              <w:rPr>
                <w:color w:val="auto"/>
                <w:szCs w:val="21"/>
              </w:rPr>
              <w:t>一般固体废物满足《一般工业固体废物贮存和填埋污染控制标准》（GB18599-20</w:t>
            </w:r>
            <w:r>
              <w:rPr>
                <w:rFonts w:hint="eastAsia"/>
                <w:color w:val="auto"/>
                <w:szCs w:val="21"/>
              </w:rPr>
              <w:t>20</w:t>
            </w:r>
            <w:r>
              <w:rPr>
                <w:color w:val="auto"/>
                <w:szCs w:val="21"/>
              </w:rPr>
              <w:t>）</w:t>
            </w:r>
            <w:r>
              <w:rPr>
                <w:rFonts w:hint="eastAsia"/>
                <w:color w:val="auto"/>
                <w:szCs w:val="21"/>
                <w:lang w:val="en-US" w:eastAsia="zh-CN"/>
              </w:rPr>
              <w:t>,</w:t>
            </w:r>
            <w:r>
              <w:rPr>
                <w:rFonts w:hint="default"/>
                <w:color w:val="auto"/>
                <w:szCs w:val="21"/>
                <w:lang w:val="en-US" w:eastAsia="zh-CN"/>
              </w:rPr>
              <w:t>禁止随意倾倒不合格混凝土、罐车剩余</w:t>
            </w:r>
            <w:r>
              <w:rPr>
                <w:rFonts w:hint="eastAsia"/>
                <w:color w:val="auto"/>
                <w:szCs w:val="21"/>
              </w:rPr>
              <w:t>；危险废物暂存于10m</w:t>
            </w:r>
            <w:r>
              <w:rPr>
                <w:rFonts w:hint="eastAsia"/>
                <w:color w:val="auto"/>
                <w:szCs w:val="21"/>
                <w:vertAlign w:val="superscript"/>
              </w:rPr>
              <w:t>2</w:t>
            </w:r>
            <w:r>
              <w:rPr>
                <w:rFonts w:hint="eastAsia"/>
                <w:color w:val="auto"/>
                <w:szCs w:val="21"/>
              </w:rPr>
              <w:t>危废暂存间，定期交由有资质的单位进行处置，</w:t>
            </w:r>
            <w:r>
              <w:rPr>
                <w:rFonts w:hint="eastAsia"/>
                <w:bCs/>
                <w:color w:val="auto"/>
                <w:szCs w:val="21"/>
              </w:rPr>
              <w:t>危险废物执行</w:t>
            </w:r>
            <w:r>
              <w:rPr>
                <w:rFonts w:hint="eastAsia" w:hAnsi="宋体"/>
                <w:color w:val="auto"/>
                <w:szCs w:val="21"/>
              </w:rPr>
              <w:t>《危险废物贮存污染控制标准》（GB18597-</w:t>
            </w:r>
            <w:r>
              <w:rPr>
                <w:rFonts w:hint="eastAsia" w:hAnsi="宋体"/>
                <w:color w:val="auto"/>
                <w:szCs w:val="21"/>
                <w:lang w:val="en-US" w:eastAsia="zh-CN"/>
              </w:rPr>
              <w:t>2023）</w:t>
            </w:r>
          </w:p>
        </w:tc>
      </w:tr>
      <w:tr w14:paraId="0C49E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37302867">
            <w:pPr>
              <w:adjustRightInd w:val="0"/>
              <w:snapToGrid w:val="0"/>
              <w:jc w:val="center"/>
              <w:rPr>
                <w:rFonts w:ascii="宋体" w:hAnsi="宋体" w:cs="宋体"/>
                <w:color w:val="auto"/>
                <w:szCs w:val="21"/>
              </w:rPr>
            </w:pPr>
            <w:r>
              <w:rPr>
                <w:rFonts w:hint="eastAsia" w:ascii="宋体" w:hAnsi="宋体" w:cs="宋体"/>
                <w:color w:val="auto"/>
                <w:szCs w:val="21"/>
              </w:rPr>
              <w:t>土壤及地下水</w:t>
            </w:r>
          </w:p>
          <w:p w14:paraId="76987FB0">
            <w:pPr>
              <w:adjustRightInd w:val="0"/>
              <w:snapToGrid w:val="0"/>
              <w:jc w:val="center"/>
              <w:rPr>
                <w:rFonts w:ascii="宋体" w:hAnsi="宋体" w:cs="宋体"/>
                <w:color w:val="auto"/>
                <w:szCs w:val="21"/>
              </w:rPr>
            </w:pPr>
            <w:r>
              <w:rPr>
                <w:rFonts w:hint="eastAsia" w:ascii="宋体" w:hAnsi="宋体" w:cs="宋体"/>
                <w:color w:val="auto"/>
                <w:szCs w:val="21"/>
              </w:rPr>
              <w:t>污染防治措施</w:t>
            </w:r>
          </w:p>
        </w:tc>
        <w:tc>
          <w:tcPr>
            <w:tcW w:w="7022" w:type="dxa"/>
            <w:gridSpan w:val="4"/>
            <w:vAlign w:val="center"/>
          </w:tcPr>
          <w:p w14:paraId="72B45C46">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5CB58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50AF191D">
            <w:pPr>
              <w:adjustRightInd w:val="0"/>
              <w:snapToGrid w:val="0"/>
              <w:jc w:val="center"/>
              <w:rPr>
                <w:rFonts w:ascii="宋体" w:hAnsi="宋体" w:cs="宋体"/>
                <w:color w:val="auto"/>
                <w:szCs w:val="21"/>
              </w:rPr>
            </w:pPr>
            <w:r>
              <w:rPr>
                <w:rFonts w:hint="eastAsia" w:ascii="宋体" w:hAnsi="宋体" w:cs="宋体"/>
                <w:color w:val="auto"/>
                <w:szCs w:val="21"/>
              </w:rPr>
              <w:t>生态保护措施</w:t>
            </w:r>
          </w:p>
        </w:tc>
        <w:tc>
          <w:tcPr>
            <w:tcW w:w="7022" w:type="dxa"/>
            <w:gridSpan w:val="4"/>
            <w:vAlign w:val="center"/>
          </w:tcPr>
          <w:p w14:paraId="57D4CCFF">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r>
      <w:tr w14:paraId="41D07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31D9C8F2">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环境风险</w:t>
            </w:r>
          </w:p>
          <w:p w14:paraId="261E0341">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防范措施</w:t>
            </w:r>
          </w:p>
        </w:tc>
        <w:tc>
          <w:tcPr>
            <w:tcW w:w="7022" w:type="dxa"/>
            <w:gridSpan w:val="4"/>
            <w:vAlign w:val="center"/>
          </w:tcPr>
          <w:p w14:paraId="34D8D6F3">
            <w:pPr>
              <w:adjustRightInd w:val="0"/>
              <w:snapToGrid w:val="0"/>
              <w:jc w:val="left"/>
              <w:rPr>
                <w:rFonts w:ascii="宋体" w:hAnsi="宋体" w:cs="宋体"/>
                <w:color w:val="auto"/>
                <w:szCs w:val="21"/>
              </w:rPr>
            </w:pPr>
            <w:r>
              <w:rPr>
                <w:rFonts w:hint="eastAsia" w:ascii="宋体" w:hAnsi="宋体" w:cs="宋体"/>
                <w:color w:val="auto"/>
                <w:szCs w:val="21"/>
              </w:rPr>
              <w:t>①坚持“安全第一，预防为主”的基本原则</w:t>
            </w:r>
            <w:r>
              <w:rPr>
                <w:rFonts w:hint="eastAsia" w:ascii="宋体" w:hAnsi="宋体" w:cs="宋体"/>
                <w:color w:val="auto"/>
                <w:szCs w:val="21"/>
                <w:lang w:eastAsia="zh-CN"/>
              </w:rPr>
              <w:t>，</w:t>
            </w:r>
            <w:r>
              <w:rPr>
                <w:rFonts w:hint="eastAsia" w:ascii="宋体" w:hAnsi="宋体" w:cs="宋体"/>
                <w:color w:val="auto"/>
                <w:szCs w:val="21"/>
              </w:rPr>
              <w:t>加强员工的安全意识与知识教育，提高员工安全意识。</w:t>
            </w:r>
          </w:p>
          <w:p w14:paraId="4BE41409">
            <w:pPr>
              <w:adjustRightInd w:val="0"/>
              <w:snapToGrid w:val="0"/>
              <w:jc w:val="left"/>
              <w:rPr>
                <w:rFonts w:ascii="宋体" w:hAnsi="宋体" w:cs="宋体"/>
                <w:color w:val="auto"/>
                <w:szCs w:val="21"/>
              </w:rPr>
            </w:pPr>
            <w:r>
              <w:rPr>
                <w:rFonts w:hint="eastAsia" w:ascii="宋体" w:hAnsi="宋体" w:cs="宋体"/>
                <w:color w:val="auto"/>
                <w:szCs w:val="21"/>
              </w:rPr>
              <w:t>②</w:t>
            </w:r>
            <w:r>
              <w:rPr>
                <w:rFonts w:hint="eastAsia"/>
                <w:color w:val="auto"/>
              </w:rPr>
              <w:t>要落实安全责任制，严格规章制度。</w:t>
            </w:r>
          </w:p>
          <w:p w14:paraId="466EC3D4">
            <w:pPr>
              <w:adjustRightInd w:val="0"/>
              <w:snapToGrid w:val="0"/>
              <w:rPr>
                <w:rFonts w:ascii="宋体" w:hAnsi="宋体" w:cs="宋体"/>
                <w:color w:val="auto"/>
                <w:szCs w:val="21"/>
              </w:rPr>
            </w:pPr>
            <w:r>
              <w:rPr>
                <w:rFonts w:hint="eastAsia" w:ascii="宋体" w:hAnsi="宋体" w:cs="宋体"/>
                <w:color w:val="auto"/>
                <w:szCs w:val="21"/>
              </w:rPr>
              <w:t>③按照布袋使用期限，及时更换布袋，不允许袋收尘器布袋超期运行；按计划进行定期维护。</w:t>
            </w:r>
          </w:p>
          <w:p w14:paraId="19003C51">
            <w:pPr>
              <w:adjustRightInd w:val="0"/>
              <w:snapToGrid w:val="0"/>
              <w:rPr>
                <w:rFonts w:ascii="宋体" w:hAnsi="宋体" w:cs="宋体"/>
                <w:color w:val="auto"/>
                <w:szCs w:val="21"/>
              </w:rPr>
            </w:pPr>
            <w:r>
              <w:rPr>
                <w:rFonts w:hint="eastAsia" w:ascii="宋体" w:hAnsi="宋体" w:cs="宋体"/>
                <w:color w:val="auto"/>
                <w:szCs w:val="21"/>
              </w:rPr>
              <w:t>④收尘器发生故障时，及时关闭相应的袋体进行维修更换。</w:t>
            </w:r>
          </w:p>
          <w:p w14:paraId="3B4F6543">
            <w:pPr>
              <w:adjustRightInd w:val="0"/>
              <w:snapToGrid w:val="0"/>
              <w:rPr>
                <w:rFonts w:ascii="宋体" w:hAnsi="宋体" w:cs="宋体"/>
                <w:color w:val="auto"/>
                <w:szCs w:val="21"/>
              </w:rPr>
            </w:pPr>
            <w:r>
              <w:rPr>
                <w:rFonts w:hint="eastAsia" w:ascii="宋体" w:hAnsi="宋体" w:cs="宋体"/>
                <w:color w:val="auto"/>
                <w:szCs w:val="21"/>
              </w:rPr>
              <w:t>⑤厂区内设置报警仪，防火、防爆、防静电安全装置等相关防护措施，并纳入日常安全生产管理制度中去。</w:t>
            </w:r>
          </w:p>
          <w:p w14:paraId="07BDDC5D">
            <w:pPr>
              <w:adjustRightInd w:val="0"/>
              <w:snapToGrid w:val="0"/>
              <w:rPr>
                <w:rFonts w:ascii="宋体" w:hAnsi="宋体" w:cs="宋体"/>
                <w:color w:val="auto"/>
                <w:szCs w:val="21"/>
              </w:rPr>
            </w:pPr>
            <w:r>
              <w:rPr>
                <w:rFonts w:hint="eastAsia" w:ascii="宋体" w:hAnsi="宋体" w:cs="宋体"/>
                <w:color w:val="auto"/>
                <w:szCs w:val="21"/>
              </w:rPr>
              <w:t>⑥制定严格的环保制度，所有人员必须遵守环保制度，以制度对全厂环保实施进行管理，加强设备运行状态监控，发现问题及时处理。</w:t>
            </w:r>
          </w:p>
          <w:p w14:paraId="095A2E07">
            <w:pPr>
              <w:adjustRightInd w:val="0"/>
              <w:snapToGrid w:val="0"/>
              <w:rPr>
                <w:rFonts w:ascii="宋体" w:hAnsi="宋体" w:cs="宋体"/>
                <w:color w:val="auto"/>
                <w:szCs w:val="21"/>
              </w:rPr>
            </w:pPr>
            <w:r>
              <w:rPr>
                <w:rFonts w:hint="eastAsia" w:ascii="宋体" w:hAnsi="宋体" w:cs="宋体"/>
                <w:color w:val="auto"/>
                <w:szCs w:val="21"/>
              </w:rPr>
              <w:t>⑦完善全厂突发环境事件应急预案，定期开展应急演练和培训。</w:t>
            </w:r>
          </w:p>
        </w:tc>
      </w:tr>
      <w:tr w14:paraId="1A9E4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1778" w:type="dxa"/>
            <w:vAlign w:val="center"/>
          </w:tcPr>
          <w:p w14:paraId="59FE3FD7">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其他环境</w:t>
            </w:r>
          </w:p>
          <w:p w14:paraId="0144E275">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管理要求</w:t>
            </w:r>
          </w:p>
        </w:tc>
        <w:tc>
          <w:tcPr>
            <w:tcW w:w="7022" w:type="dxa"/>
            <w:gridSpan w:val="4"/>
            <w:vAlign w:val="top"/>
          </w:tcPr>
          <w:p w14:paraId="67EDF7CB">
            <w:pPr>
              <w:adjustRightInd w:val="0"/>
              <w:snapToGrid w:val="0"/>
              <w:jc w:val="both"/>
              <w:rPr>
                <w:rFonts w:hint="default" w:ascii="宋体" w:hAnsi="宋体" w:cs="宋体"/>
                <w:color w:val="auto"/>
                <w:szCs w:val="21"/>
                <w:lang w:val="en-US" w:eastAsia="zh-CN"/>
              </w:rPr>
            </w:pPr>
            <w:r>
              <w:rPr>
                <w:rFonts w:hint="eastAsia" w:ascii="宋体" w:hAnsi="宋体" w:cs="宋体"/>
                <w:color w:val="auto"/>
                <w:szCs w:val="21"/>
                <w:lang w:val="en-US" w:eastAsia="zh-CN"/>
              </w:rPr>
              <w:t>1.</w:t>
            </w:r>
            <w:r>
              <w:rPr>
                <w:rFonts w:hint="default" w:ascii="宋体" w:hAnsi="宋体" w:cs="宋体"/>
                <w:color w:val="auto"/>
                <w:szCs w:val="21"/>
                <w:lang w:val="en-US" w:eastAsia="zh-CN"/>
              </w:rPr>
              <w:t>排污许可衔接</w:t>
            </w:r>
          </w:p>
          <w:p w14:paraId="6772F638">
            <w:pPr>
              <w:adjustRightInd w:val="0"/>
              <w:snapToGrid w:val="0"/>
              <w:jc w:val="both"/>
              <w:rPr>
                <w:rFonts w:hint="default" w:ascii="宋体" w:hAnsi="宋体" w:cs="宋体"/>
                <w:color w:val="auto"/>
                <w:szCs w:val="21"/>
              </w:rPr>
            </w:pPr>
            <w:r>
              <w:rPr>
                <w:rFonts w:hint="default" w:ascii="宋体" w:hAnsi="宋体" w:cs="宋体"/>
                <w:color w:val="auto"/>
                <w:szCs w:val="21"/>
              </w:rPr>
              <w:t>按照《一般工业固体废物管理台账制定指南（试行）》（生态环境部 公告 2021年 第82号）要求，建立并规范运行工业固废利用台账。企业申请排污许可证，然后根据排污许可要求规范执行排污许可执行报告、台账、环境信息公开、监测计划。根据《固定污染源排污许可分类管理名录（2019年版）》，本项目属于“</w:t>
            </w:r>
            <w:r>
              <w:rPr>
                <w:rFonts w:hint="eastAsia" w:ascii="宋体" w:hAnsi="宋体" w:cs="宋体"/>
                <w:color w:val="auto"/>
                <w:szCs w:val="21"/>
                <w:lang w:val="en-US" w:eastAsia="zh-CN"/>
              </w:rPr>
              <w:t>二十五</w:t>
            </w:r>
            <w:r>
              <w:rPr>
                <w:rFonts w:hint="default" w:ascii="宋体" w:hAnsi="宋体" w:cs="宋体"/>
                <w:color w:val="auto"/>
                <w:szCs w:val="21"/>
              </w:rPr>
              <w:t>、</w:t>
            </w:r>
            <w:r>
              <w:rPr>
                <w:rFonts w:hint="eastAsia" w:ascii="宋体" w:hAnsi="宋体" w:cs="宋体"/>
                <w:color w:val="auto"/>
                <w:szCs w:val="21"/>
                <w:lang w:val="en-US" w:eastAsia="zh-CN"/>
              </w:rPr>
              <w:t>非金属矿物制品业63</w:t>
            </w:r>
            <w:r>
              <w:rPr>
                <w:rFonts w:hint="default" w:ascii="宋体" w:hAnsi="宋体" w:cs="宋体"/>
                <w:color w:val="auto"/>
                <w:szCs w:val="21"/>
              </w:rPr>
              <w:t>——</w:t>
            </w:r>
            <w:r>
              <w:rPr>
                <w:rFonts w:hint="eastAsia" w:ascii="宋体" w:hAnsi="宋体" w:cs="宋体"/>
                <w:color w:val="auto"/>
                <w:szCs w:val="21"/>
                <w:lang w:val="en-US" w:eastAsia="zh-CN"/>
              </w:rPr>
              <w:t>石膏、水泥制品及类似制品制造302</w:t>
            </w:r>
            <w:r>
              <w:rPr>
                <w:rFonts w:hint="default" w:ascii="宋体" w:hAnsi="宋体" w:cs="宋体"/>
                <w:color w:val="auto"/>
                <w:szCs w:val="21"/>
              </w:rPr>
              <w:t>——</w:t>
            </w:r>
            <w:r>
              <w:rPr>
                <w:rFonts w:hint="eastAsia" w:ascii="宋体" w:hAnsi="宋体" w:cs="宋体"/>
                <w:color w:val="auto"/>
                <w:szCs w:val="21"/>
                <w:lang w:val="en-US" w:eastAsia="zh-CN"/>
              </w:rPr>
              <w:t>登记管理</w:t>
            </w:r>
            <w:r>
              <w:rPr>
                <w:rFonts w:hint="default" w:ascii="宋体" w:hAnsi="宋体" w:cs="宋体"/>
                <w:color w:val="auto"/>
                <w:szCs w:val="21"/>
              </w:rPr>
              <w:t>”</w:t>
            </w:r>
            <w:r>
              <w:rPr>
                <w:rFonts w:hint="eastAsia" w:ascii="宋体" w:hAnsi="宋体" w:cs="宋体"/>
                <w:color w:val="auto"/>
                <w:szCs w:val="21"/>
                <w:lang w:eastAsia="zh-CN"/>
              </w:rPr>
              <w:t>，</w:t>
            </w:r>
            <w:r>
              <w:rPr>
                <w:rFonts w:hint="default" w:ascii="宋体" w:hAnsi="宋体" w:cs="宋体"/>
                <w:color w:val="auto"/>
                <w:szCs w:val="21"/>
              </w:rPr>
              <w:t>为</w:t>
            </w:r>
            <w:r>
              <w:rPr>
                <w:rFonts w:hint="eastAsia" w:ascii="宋体" w:hAnsi="宋体" w:cs="宋体"/>
                <w:color w:val="auto"/>
                <w:szCs w:val="21"/>
                <w:lang w:val="en-US" w:eastAsia="zh-CN"/>
              </w:rPr>
              <w:t>登记</w:t>
            </w:r>
            <w:r>
              <w:rPr>
                <w:rFonts w:hint="default" w:ascii="宋体" w:hAnsi="宋体" w:cs="宋体"/>
                <w:color w:val="auto"/>
                <w:szCs w:val="21"/>
              </w:rPr>
              <w:t>管理行业。</w:t>
            </w:r>
          </w:p>
          <w:p w14:paraId="448546A2">
            <w:pPr>
              <w:adjustRightInd w:val="0"/>
              <w:snapToGrid w:val="0"/>
              <w:jc w:val="both"/>
              <w:rPr>
                <w:rFonts w:hint="default" w:ascii="宋体" w:hAnsi="宋体" w:cs="宋体"/>
                <w:color w:val="auto"/>
                <w:szCs w:val="21"/>
              </w:rPr>
            </w:pPr>
            <w:r>
              <w:rPr>
                <w:rFonts w:hint="eastAsia" w:ascii="宋体" w:hAnsi="宋体" w:cs="宋体"/>
                <w:color w:val="auto"/>
                <w:szCs w:val="21"/>
                <w:lang w:val="en-US" w:eastAsia="zh-CN"/>
              </w:rPr>
              <w:t>2.</w:t>
            </w:r>
            <w:r>
              <w:rPr>
                <w:rFonts w:hint="default" w:ascii="宋体" w:hAnsi="宋体" w:cs="宋体"/>
                <w:color w:val="auto"/>
                <w:szCs w:val="21"/>
              </w:rPr>
              <w:t>排污口规范化建设要求</w:t>
            </w:r>
          </w:p>
          <w:p w14:paraId="2D3E7A72">
            <w:pPr>
              <w:adjustRightInd w:val="0"/>
              <w:snapToGrid w:val="0"/>
              <w:jc w:val="both"/>
              <w:rPr>
                <w:rFonts w:hint="default" w:ascii="宋体" w:hAnsi="宋体" w:cs="宋体"/>
                <w:color w:val="auto"/>
                <w:szCs w:val="21"/>
              </w:rPr>
            </w:pPr>
            <w:r>
              <w:rPr>
                <w:rFonts w:hint="default" w:ascii="宋体" w:hAnsi="宋体" w:cs="宋体"/>
                <w:color w:val="auto"/>
                <w:szCs w:val="21"/>
              </w:rPr>
              <w:t>建设单位应在各排污口处设立较明显的排污口标志牌，对排放源及固体废物贮存场也应设立明显的标志牌。标志的设置应严格执行《环境保护图形标志排放口（源）》（GB15562.1-1995）和《环境保护图形标志</w:t>
            </w:r>
            <w:r>
              <w:rPr>
                <w:rFonts w:hint="eastAsia" w:ascii="宋体" w:hAnsi="宋体" w:cs="宋体"/>
                <w:color w:val="auto"/>
                <w:szCs w:val="21"/>
                <w:lang w:val="en-US" w:eastAsia="zh-CN"/>
              </w:rPr>
              <w:t>-</w:t>
            </w:r>
            <w:r>
              <w:rPr>
                <w:rFonts w:hint="default" w:ascii="宋体" w:hAnsi="宋体" w:cs="宋体"/>
                <w:color w:val="auto"/>
                <w:szCs w:val="21"/>
              </w:rPr>
              <w:t>固体废物贮存（处置）场》（GB15562.2-1995）</w:t>
            </w:r>
            <w:r>
              <w:rPr>
                <w:rFonts w:hint="eastAsia" w:ascii="宋体" w:hAnsi="宋体" w:cs="宋体"/>
                <w:color w:val="auto"/>
                <w:szCs w:val="21"/>
                <w:lang w:val="en-US" w:eastAsia="zh-CN"/>
              </w:rPr>
              <w:t>修改单</w:t>
            </w:r>
            <w:r>
              <w:rPr>
                <w:rFonts w:hint="default" w:ascii="宋体" w:hAnsi="宋体" w:cs="宋体"/>
                <w:color w:val="auto"/>
                <w:szCs w:val="21"/>
              </w:rPr>
              <w:t>《危险废物贮存污染控制标准》（GB18597-2023）中有关规定。</w:t>
            </w:r>
          </w:p>
          <w:p w14:paraId="24B69BA6">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lang w:val="en-US" w:eastAsia="zh-CN"/>
              </w:rPr>
              <w:t>需按照《排污单位污染物排放口二维码标识技术规范》（HJ1297—2023）中唯一性原则、稳定性原则、便捷性原则设置排污口二维码。</w:t>
            </w:r>
          </w:p>
          <w:p w14:paraId="2D37EEC3">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lang w:val="en-US" w:eastAsia="zh-CN"/>
              </w:rPr>
              <w:t>危险废物标签需按照《危险废物识别标志设置技术规范》（HJ1276—2022）进行管理，其中规定：危险废物标签的设置位置应明显可见且易读，不应被容器、包装物自身的任何部分或其他标签遮挡。对于盛装同一类危险废物的组合包装容器，应在组合包装容器的外表面设置危险废物标签。</w:t>
            </w:r>
          </w:p>
          <w:p w14:paraId="2350F8DC">
            <w:pPr>
              <w:adjustRightInd w:val="0"/>
              <w:snapToGrid w:val="0"/>
              <w:jc w:val="both"/>
              <w:rPr>
                <w:rFonts w:hint="default" w:ascii="宋体" w:hAnsi="宋体" w:cs="宋体"/>
                <w:color w:val="auto"/>
                <w:szCs w:val="21"/>
              </w:rPr>
            </w:pPr>
            <w:r>
              <w:rPr>
                <w:rFonts w:hint="default" w:ascii="宋体" w:hAnsi="宋体" w:cs="宋体"/>
                <w:color w:val="auto"/>
                <w:szCs w:val="21"/>
              </w:rPr>
              <w:t>各排污口环境保护图形标志</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533"/>
              <w:gridCol w:w="1132"/>
              <w:gridCol w:w="1067"/>
              <w:gridCol w:w="975"/>
            </w:tblGrid>
            <w:tr w14:paraId="295C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top w:val="single" w:color="000000" w:sz="12" w:space="0"/>
                    <w:left w:val="nil"/>
                    <w:bottom w:val="single" w:color="000000" w:sz="12" w:space="0"/>
                  </w:tcBorders>
                  <w:noWrap w:val="0"/>
                  <w:vAlign w:val="center"/>
                </w:tcPr>
                <w:p w14:paraId="6764B0DB">
                  <w:pPr>
                    <w:adjustRightInd w:val="0"/>
                    <w:snapToGrid w:val="0"/>
                    <w:jc w:val="both"/>
                    <w:rPr>
                      <w:rFonts w:hint="default" w:ascii="宋体" w:hAnsi="宋体" w:cs="宋体"/>
                      <w:color w:val="auto"/>
                      <w:szCs w:val="21"/>
                    </w:rPr>
                  </w:pPr>
                  <w:r>
                    <w:rPr>
                      <w:rFonts w:hint="default" w:ascii="宋体" w:hAnsi="宋体" w:cs="宋体"/>
                      <w:color w:val="auto"/>
                      <w:szCs w:val="21"/>
                    </w:rPr>
                    <w:t>排放口名称</w:t>
                  </w:r>
                </w:p>
              </w:tc>
              <w:tc>
                <w:tcPr>
                  <w:tcW w:w="1059" w:type="pct"/>
                  <w:tcBorders>
                    <w:top w:val="single" w:color="000000" w:sz="12" w:space="0"/>
                    <w:left w:val="nil"/>
                    <w:bottom w:val="single" w:color="000000" w:sz="12" w:space="0"/>
                  </w:tcBorders>
                  <w:noWrap w:val="0"/>
                  <w:vAlign w:val="center"/>
                </w:tcPr>
                <w:p w14:paraId="38B5A66D">
                  <w:pPr>
                    <w:adjustRightInd w:val="0"/>
                    <w:snapToGrid w:val="0"/>
                    <w:jc w:val="both"/>
                    <w:rPr>
                      <w:rFonts w:hint="default" w:ascii="宋体" w:hAnsi="宋体" w:cs="宋体"/>
                      <w:color w:val="auto"/>
                      <w:szCs w:val="21"/>
                    </w:rPr>
                  </w:pPr>
                  <w:r>
                    <w:rPr>
                      <w:rFonts w:hint="default" w:ascii="宋体" w:hAnsi="宋体" w:cs="宋体"/>
                      <w:color w:val="auto"/>
                      <w:szCs w:val="21"/>
                    </w:rPr>
                    <w:t>图形符号</w:t>
                  </w:r>
                </w:p>
              </w:tc>
              <w:tc>
                <w:tcPr>
                  <w:tcW w:w="851" w:type="pct"/>
                  <w:tcBorders>
                    <w:top w:val="single" w:color="000000" w:sz="12" w:space="0"/>
                    <w:left w:val="nil"/>
                    <w:bottom w:val="single" w:color="000000" w:sz="12" w:space="0"/>
                  </w:tcBorders>
                  <w:noWrap w:val="0"/>
                  <w:vAlign w:val="center"/>
                </w:tcPr>
                <w:p w14:paraId="54505D50">
                  <w:pPr>
                    <w:adjustRightInd w:val="0"/>
                    <w:snapToGrid w:val="0"/>
                    <w:jc w:val="both"/>
                    <w:rPr>
                      <w:rFonts w:hint="default" w:ascii="宋体" w:hAnsi="宋体" w:cs="宋体"/>
                      <w:color w:val="auto"/>
                      <w:szCs w:val="21"/>
                    </w:rPr>
                  </w:pPr>
                  <w:r>
                    <w:rPr>
                      <w:rFonts w:hint="default" w:ascii="宋体" w:hAnsi="宋体" w:cs="宋体"/>
                      <w:color w:val="auto"/>
                      <w:szCs w:val="21"/>
                    </w:rPr>
                    <w:t>形状</w:t>
                  </w:r>
                </w:p>
              </w:tc>
              <w:tc>
                <w:tcPr>
                  <w:tcW w:w="802" w:type="pct"/>
                  <w:tcBorders>
                    <w:top w:val="single" w:color="000000" w:sz="12" w:space="0"/>
                    <w:left w:val="nil"/>
                    <w:bottom w:val="single" w:color="000000" w:sz="12" w:space="0"/>
                  </w:tcBorders>
                  <w:noWrap w:val="0"/>
                  <w:vAlign w:val="center"/>
                </w:tcPr>
                <w:p w14:paraId="74E4FBDD">
                  <w:pPr>
                    <w:adjustRightInd w:val="0"/>
                    <w:snapToGrid w:val="0"/>
                    <w:jc w:val="both"/>
                    <w:rPr>
                      <w:rFonts w:hint="default" w:ascii="宋体" w:hAnsi="宋体" w:cs="宋体"/>
                      <w:color w:val="auto"/>
                      <w:szCs w:val="21"/>
                    </w:rPr>
                  </w:pPr>
                  <w:r>
                    <w:rPr>
                      <w:rFonts w:hint="default" w:ascii="宋体" w:hAnsi="宋体" w:cs="宋体"/>
                      <w:color w:val="auto"/>
                      <w:szCs w:val="21"/>
                    </w:rPr>
                    <w:t>背景颜色</w:t>
                  </w:r>
                </w:p>
              </w:tc>
              <w:tc>
                <w:tcPr>
                  <w:tcW w:w="734" w:type="pct"/>
                  <w:tcBorders>
                    <w:top w:val="single" w:color="000000" w:sz="12" w:space="0"/>
                    <w:left w:val="nil"/>
                    <w:bottom w:val="single" w:color="000000" w:sz="12" w:space="0"/>
                    <w:right w:val="nil"/>
                  </w:tcBorders>
                  <w:noWrap w:val="0"/>
                  <w:vAlign w:val="center"/>
                </w:tcPr>
                <w:p w14:paraId="6AE2236C">
                  <w:pPr>
                    <w:adjustRightInd w:val="0"/>
                    <w:snapToGrid w:val="0"/>
                    <w:jc w:val="both"/>
                    <w:rPr>
                      <w:rFonts w:hint="default" w:ascii="宋体" w:hAnsi="宋体" w:cs="宋体"/>
                      <w:color w:val="auto"/>
                      <w:szCs w:val="21"/>
                    </w:rPr>
                  </w:pPr>
                  <w:r>
                    <w:rPr>
                      <w:rFonts w:hint="default" w:ascii="宋体" w:hAnsi="宋体" w:cs="宋体"/>
                      <w:color w:val="auto"/>
                      <w:szCs w:val="21"/>
                    </w:rPr>
                    <w:t>图形颜色</w:t>
                  </w:r>
                </w:p>
              </w:tc>
            </w:tr>
            <w:tr w14:paraId="57C0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top w:val="single" w:color="000000" w:sz="12" w:space="0"/>
                    <w:left w:val="nil"/>
                  </w:tcBorders>
                  <w:noWrap w:val="0"/>
                  <w:vAlign w:val="center"/>
                </w:tcPr>
                <w:p w14:paraId="52437578">
                  <w:pPr>
                    <w:adjustRightInd w:val="0"/>
                    <w:snapToGrid w:val="0"/>
                    <w:jc w:val="both"/>
                    <w:rPr>
                      <w:rFonts w:hint="default" w:ascii="宋体" w:hAnsi="宋体" w:cs="宋体"/>
                      <w:color w:val="auto"/>
                      <w:szCs w:val="21"/>
                    </w:rPr>
                  </w:pPr>
                  <w:r>
                    <w:rPr>
                      <w:rFonts w:hint="default" w:ascii="宋体" w:hAnsi="宋体" w:cs="宋体"/>
                      <w:color w:val="auto"/>
                      <w:szCs w:val="21"/>
                    </w:rPr>
                    <w:t>噪声源</w:t>
                  </w:r>
                </w:p>
              </w:tc>
              <w:tc>
                <w:tcPr>
                  <w:tcW w:w="1059" w:type="pct"/>
                  <w:tcBorders>
                    <w:top w:val="single" w:color="000000" w:sz="12" w:space="0"/>
                    <w:left w:val="nil"/>
                  </w:tcBorders>
                  <w:noWrap w:val="0"/>
                  <w:vAlign w:val="center"/>
                </w:tcPr>
                <w:p w14:paraId="12CD86A0">
                  <w:pPr>
                    <w:adjustRightInd w:val="0"/>
                    <w:snapToGrid w:val="0"/>
                    <w:jc w:val="both"/>
                    <w:rPr>
                      <w:rFonts w:hint="default" w:ascii="宋体" w:hAnsi="宋体" w:cs="宋体"/>
                      <w:color w:val="auto"/>
                      <w:szCs w:val="21"/>
                    </w:rPr>
                  </w:pPr>
                  <w:r>
                    <w:rPr>
                      <w:rFonts w:hint="default" w:ascii="宋体" w:hAnsi="宋体" w:cs="宋体"/>
                      <w:color w:val="auto"/>
                      <w:szCs w:val="21"/>
                    </w:rPr>
                    <w:drawing>
                      <wp:inline distT="0" distB="0" distL="114300" distR="114300">
                        <wp:extent cx="752475" cy="75247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8"/>
                                <a:stretch>
                                  <a:fillRect/>
                                </a:stretch>
                              </pic:blipFill>
                              <pic:spPr>
                                <a:xfrm>
                                  <a:off x="0" y="0"/>
                                  <a:ext cx="752475" cy="752475"/>
                                </a:xfrm>
                                <a:prstGeom prst="rect">
                                  <a:avLst/>
                                </a:prstGeom>
                                <a:noFill/>
                                <a:ln>
                                  <a:noFill/>
                                </a:ln>
                              </pic:spPr>
                            </pic:pic>
                          </a:graphicData>
                        </a:graphic>
                      </wp:inline>
                    </w:drawing>
                  </w:r>
                </w:p>
              </w:tc>
              <w:tc>
                <w:tcPr>
                  <w:tcW w:w="851" w:type="pct"/>
                  <w:tcBorders>
                    <w:top w:val="single" w:color="000000" w:sz="12" w:space="0"/>
                    <w:left w:val="nil"/>
                  </w:tcBorders>
                  <w:noWrap w:val="0"/>
                  <w:vAlign w:val="center"/>
                </w:tcPr>
                <w:p w14:paraId="7BC5A07C">
                  <w:pPr>
                    <w:adjustRightInd w:val="0"/>
                    <w:snapToGrid w:val="0"/>
                    <w:jc w:val="both"/>
                    <w:rPr>
                      <w:rFonts w:hint="default" w:ascii="宋体" w:hAnsi="宋体" w:cs="宋体"/>
                      <w:color w:val="auto"/>
                      <w:szCs w:val="21"/>
                    </w:rPr>
                  </w:pPr>
                  <w:r>
                    <w:rPr>
                      <w:rFonts w:hint="default" w:ascii="宋体" w:hAnsi="宋体" w:cs="宋体"/>
                      <w:color w:val="auto"/>
                      <w:szCs w:val="21"/>
                    </w:rPr>
                    <w:t>正方形边框</w:t>
                  </w:r>
                </w:p>
              </w:tc>
              <w:tc>
                <w:tcPr>
                  <w:tcW w:w="802" w:type="pct"/>
                  <w:tcBorders>
                    <w:top w:val="single" w:color="000000" w:sz="12" w:space="0"/>
                    <w:left w:val="nil"/>
                  </w:tcBorders>
                  <w:noWrap w:val="0"/>
                  <w:vAlign w:val="center"/>
                </w:tcPr>
                <w:p w14:paraId="7D1882D2">
                  <w:pPr>
                    <w:adjustRightInd w:val="0"/>
                    <w:snapToGrid w:val="0"/>
                    <w:jc w:val="both"/>
                    <w:rPr>
                      <w:rFonts w:hint="default" w:ascii="宋体" w:hAnsi="宋体" w:cs="宋体"/>
                      <w:color w:val="auto"/>
                      <w:szCs w:val="21"/>
                    </w:rPr>
                  </w:pPr>
                  <w:r>
                    <w:rPr>
                      <w:rFonts w:hint="default" w:ascii="宋体" w:hAnsi="宋体" w:cs="宋体"/>
                      <w:color w:val="auto"/>
                      <w:szCs w:val="21"/>
                    </w:rPr>
                    <w:t>绿色</w:t>
                  </w:r>
                </w:p>
              </w:tc>
              <w:tc>
                <w:tcPr>
                  <w:tcW w:w="734" w:type="pct"/>
                  <w:tcBorders>
                    <w:top w:val="single" w:color="000000" w:sz="12" w:space="0"/>
                    <w:left w:val="nil"/>
                    <w:right w:val="nil"/>
                  </w:tcBorders>
                  <w:noWrap w:val="0"/>
                  <w:vAlign w:val="center"/>
                </w:tcPr>
                <w:p w14:paraId="14CF09D0">
                  <w:pPr>
                    <w:adjustRightInd w:val="0"/>
                    <w:snapToGrid w:val="0"/>
                    <w:jc w:val="both"/>
                    <w:rPr>
                      <w:rFonts w:hint="default" w:ascii="宋体" w:hAnsi="宋体" w:cs="宋体"/>
                      <w:color w:val="auto"/>
                      <w:szCs w:val="21"/>
                    </w:rPr>
                  </w:pPr>
                  <w:r>
                    <w:rPr>
                      <w:rFonts w:hint="default" w:ascii="宋体" w:hAnsi="宋体" w:cs="宋体"/>
                      <w:color w:val="auto"/>
                      <w:szCs w:val="21"/>
                    </w:rPr>
                    <w:t>白色</w:t>
                  </w:r>
                </w:p>
              </w:tc>
            </w:tr>
            <w:tr w14:paraId="125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15FEEDB0">
                  <w:pPr>
                    <w:adjustRightInd w:val="0"/>
                    <w:snapToGrid w:val="0"/>
                    <w:jc w:val="both"/>
                    <w:rPr>
                      <w:rFonts w:hint="default" w:ascii="宋体" w:hAnsi="宋体" w:cs="宋体"/>
                      <w:color w:val="auto"/>
                      <w:szCs w:val="21"/>
                      <w:lang w:eastAsia="zh-CN"/>
                    </w:rPr>
                  </w:pPr>
                  <w:r>
                    <w:rPr>
                      <w:rFonts w:hint="default" w:ascii="宋体" w:hAnsi="宋体" w:cs="宋体"/>
                      <w:color w:val="auto"/>
                      <w:szCs w:val="21"/>
                      <w:lang w:eastAsia="zh-CN"/>
                    </w:rPr>
                    <w:t>废水</w:t>
                  </w:r>
                </w:p>
              </w:tc>
              <w:tc>
                <w:tcPr>
                  <w:tcW w:w="1059" w:type="pct"/>
                  <w:tcBorders>
                    <w:left w:val="nil"/>
                  </w:tcBorders>
                  <w:noWrap w:val="0"/>
                  <w:vAlign w:val="center"/>
                </w:tcPr>
                <w:p w14:paraId="0AC08F17">
                  <w:pPr>
                    <w:adjustRightInd w:val="0"/>
                    <w:snapToGrid w:val="0"/>
                    <w:jc w:val="both"/>
                    <w:rPr>
                      <w:rFonts w:hint="default" w:ascii="宋体" w:hAnsi="宋体" w:cs="宋体"/>
                      <w:color w:val="auto"/>
                      <w:szCs w:val="21"/>
                    </w:rPr>
                  </w:pPr>
                  <w:r>
                    <w:rPr>
                      <w:rFonts w:hint="default" w:ascii="宋体" w:hAnsi="宋体" w:cs="宋体"/>
                      <w:color w:val="auto"/>
                      <w:szCs w:val="21"/>
                    </w:rPr>
                    <w:drawing>
                      <wp:inline distT="0" distB="0" distL="114300" distR="114300">
                        <wp:extent cx="772795" cy="767715"/>
                        <wp:effectExtent l="0" t="0" r="8255" b="1333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9"/>
                                <a:stretch>
                                  <a:fillRect/>
                                </a:stretch>
                              </pic:blipFill>
                              <pic:spPr>
                                <a:xfrm>
                                  <a:off x="0" y="0"/>
                                  <a:ext cx="772795" cy="767715"/>
                                </a:xfrm>
                                <a:prstGeom prst="rect">
                                  <a:avLst/>
                                </a:prstGeom>
                                <a:noFill/>
                                <a:ln>
                                  <a:noFill/>
                                </a:ln>
                              </pic:spPr>
                            </pic:pic>
                          </a:graphicData>
                        </a:graphic>
                      </wp:inline>
                    </w:drawing>
                  </w:r>
                </w:p>
              </w:tc>
              <w:tc>
                <w:tcPr>
                  <w:tcW w:w="851" w:type="pct"/>
                  <w:tcBorders>
                    <w:left w:val="nil"/>
                  </w:tcBorders>
                  <w:noWrap w:val="0"/>
                  <w:vAlign w:val="center"/>
                </w:tcPr>
                <w:p w14:paraId="3B0BC0E1">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rPr>
                    <w:t>三角形边框</w:t>
                  </w:r>
                </w:p>
              </w:tc>
              <w:tc>
                <w:tcPr>
                  <w:tcW w:w="802" w:type="pct"/>
                  <w:tcBorders>
                    <w:left w:val="nil"/>
                  </w:tcBorders>
                  <w:noWrap w:val="0"/>
                  <w:vAlign w:val="center"/>
                </w:tcPr>
                <w:p w14:paraId="04030642">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rPr>
                    <w:t>黄色</w:t>
                  </w:r>
                </w:p>
              </w:tc>
              <w:tc>
                <w:tcPr>
                  <w:tcW w:w="734" w:type="pct"/>
                  <w:tcBorders>
                    <w:left w:val="nil"/>
                    <w:right w:val="nil"/>
                  </w:tcBorders>
                  <w:noWrap w:val="0"/>
                  <w:vAlign w:val="center"/>
                </w:tcPr>
                <w:p w14:paraId="68EAACCA">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rPr>
                    <w:t>黑色</w:t>
                  </w:r>
                </w:p>
              </w:tc>
            </w:tr>
            <w:tr w14:paraId="50BA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3E72A583">
                  <w:pPr>
                    <w:adjustRightInd w:val="0"/>
                    <w:snapToGrid w:val="0"/>
                    <w:jc w:val="both"/>
                    <w:rPr>
                      <w:rFonts w:hint="default" w:ascii="宋体" w:hAnsi="宋体" w:cs="宋体"/>
                      <w:color w:val="auto"/>
                      <w:szCs w:val="21"/>
                      <w:lang w:eastAsia="zh-CN"/>
                    </w:rPr>
                  </w:pPr>
                  <w:r>
                    <w:rPr>
                      <w:rFonts w:hint="default" w:ascii="宋体" w:hAnsi="宋体" w:cs="宋体"/>
                      <w:color w:val="auto"/>
                      <w:szCs w:val="21"/>
                      <w:lang w:eastAsia="zh-CN"/>
                    </w:rPr>
                    <w:t>一般固体废物</w:t>
                  </w:r>
                </w:p>
              </w:tc>
              <w:tc>
                <w:tcPr>
                  <w:tcW w:w="1059" w:type="pct"/>
                  <w:tcBorders>
                    <w:left w:val="nil"/>
                  </w:tcBorders>
                  <w:noWrap w:val="0"/>
                  <w:vAlign w:val="center"/>
                </w:tcPr>
                <w:p w14:paraId="33A1E4C4">
                  <w:pPr>
                    <w:adjustRightInd w:val="0"/>
                    <w:snapToGrid w:val="0"/>
                    <w:jc w:val="both"/>
                    <w:rPr>
                      <w:rFonts w:hint="default" w:ascii="宋体" w:hAnsi="宋体" w:cs="宋体"/>
                      <w:color w:val="auto"/>
                      <w:szCs w:val="21"/>
                    </w:rPr>
                  </w:pPr>
                  <w:r>
                    <w:rPr>
                      <w:rFonts w:hint="default" w:ascii="宋体" w:hAnsi="宋体" w:cs="宋体"/>
                      <w:color w:val="auto"/>
                      <w:szCs w:val="21"/>
                    </w:rPr>
                    <w:drawing>
                      <wp:inline distT="0" distB="0" distL="114300" distR="114300">
                        <wp:extent cx="855345" cy="861060"/>
                        <wp:effectExtent l="0" t="0" r="1905" b="1524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20"/>
                                <a:stretch>
                                  <a:fillRect/>
                                </a:stretch>
                              </pic:blipFill>
                              <pic:spPr>
                                <a:xfrm>
                                  <a:off x="0" y="0"/>
                                  <a:ext cx="855345" cy="861060"/>
                                </a:xfrm>
                                <a:prstGeom prst="rect">
                                  <a:avLst/>
                                </a:prstGeom>
                                <a:noFill/>
                                <a:ln>
                                  <a:noFill/>
                                </a:ln>
                              </pic:spPr>
                            </pic:pic>
                          </a:graphicData>
                        </a:graphic>
                      </wp:inline>
                    </w:drawing>
                  </w:r>
                </w:p>
              </w:tc>
              <w:tc>
                <w:tcPr>
                  <w:tcW w:w="851" w:type="pct"/>
                  <w:tcBorders>
                    <w:left w:val="nil"/>
                  </w:tcBorders>
                  <w:noWrap w:val="0"/>
                  <w:vAlign w:val="center"/>
                </w:tcPr>
                <w:p w14:paraId="4BD79F4D">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rPr>
                    <w:t>正方形边框</w:t>
                  </w:r>
                </w:p>
              </w:tc>
              <w:tc>
                <w:tcPr>
                  <w:tcW w:w="802" w:type="pct"/>
                  <w:tcBorders>
                    <w:left w:val="nil"/>
                  </w:tcBorders>
                  <w:noWrap w:val="0"/>
                  <w:vAlign w:val="center"/>
                </w:tcPr>
                <w:p w14:paraId="562DE5DF">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rPr>
                    <w:t>绿色</w:t>
                  </w:r>
                </w:p>
              </w:tc>
              <w:tc>
                <w:tcPr>
                  <w:tcW w:w="734" w:type="pct"/>
                  <w:tcBorders>
                    <w:left w:val="nil"/>
                    <w:right w:val="nil"/>
                  </w:tcBorders>
                  <w:noWrap w:val="0"/>
                  <w:vAlign w:val="center"/>
                </w:tcPr>
                <w:p w14:paraId="76F26A22">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rPr>
                    <w:t>白色</w:t>
                  </w:r>
                </w:p>
              </w:tc>
            </w:tr>
            <w:tr w14:paraId="0344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bottom w:val="single" w:color="000000" w:sz="12" w:space="0"/>
                  </w:tcBorders>
                  <w:noWrap w:val="0"/>
                  <w:vAlign w:val="center"/>
                </w:tcPr>
                <w:p w14:paraId="60414669">
                  <w:pPr>
                    <w:adjustRightInd w:val="0"/>
                    <w:snapToGrid w:val="0"/>
                    <w:jc w:val="both"/>
                    <w:rPr>
                      <w:rFonts w:hint="default" w:ascii="宋体" w:hAnsi="宋体" w:cs="宋体"/>
                      <w:color w:val="auto"/>
                      <w:szCs w:val="21"/>
                      <w:lang w:val="en-US" w:eastAsia="zh-CN"/>
                    </w:rPr>
                  </w:pPr>
                  <w:r>
                    <w:rPr>
                      <w:rFonts w:hint="default" w:ascii="宋体" w:hAnsi="宋体" w:cs="宋体"/>
                      <w:color w:val="auto"/>
                      <w:szCs w:val="21"/>
                      <w:lang w:val="en-US" w:eastAsia="zh-CN"/>
                    </w:rPr>
                    <w:t>危险废物</w:t>
                  </w:r>
                </w:p>
              </w:tc>
              <w:tc>
                <w:tcPr>
                  <w:tcW w:w="1059" w:type="pct"/>
                  <w:tcBorders>
                    <w:left w:val="nil"/>
                    <w:bottom w:val="single" w:color="000000" w:sz="12" w:space="0"/>
                  </w:tcBorders>
                  <w:noWrap w:val="0"/>
                  <w:vAlign w:val="center"/>
                </w:tcPr>
                <w:p w14:paraId="3765DD43">
                  <w:pPr>
                    <w:adjustRightInd w:val="0"/>
                    <w:snapToGrid w:val="0"/>
                    <w:jc w:val="both"/>
                    <w:rPr>
                      <w:rFonts w:hint="default" w:ascii="宋体" w:hAnsi="宋体" w:cs="宋体"/>
                      <w:color w:val="auto"/>
                      <w:szCs w:val="21"/>
                    </w:rPr>
                  </w:pPr>
                  <w:r>
                    <w:rPr>
                      <w:rFonts w:hint="default" w:ascii="宋体" w:hAnsi="宋体" w:cs="宋体"/>
                      <w:color w:val="auto"/>
                      <w:szCs w:val="21"/>
                    </w:rPr>
                    <w:drawing>
                      <wp:inline distT="0" distB="0" distL="114300" distR="114300">
                        <wp:extent cx="819150" cy="77470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a:stretch>
                                  <a:fillRect/>
                                </a:stretch>
                              </pic:blipFill>
                              <pic:spPr>
                                <a:xfrm>
                                  <a:off x="0" y="0"/>
                                  <a:ext cx="819150" cy="774700"/>
                                </a:xfrm>
                                <a:prstGeom prst="rect">
                                  <a:avLst/>
                                </a:prstGeom>
                                <a:noFill/>
                                <a:ln>
                                  <a:noFill/>
                                </a:ln>
                              </pic:spPr>
                            </pic:pic>
                          </a:graphicData>
                        </a:graphic>
                      </wp:inline>
                    </w:drawing>
                  </w:r>
                </w:p>
              </w:tc>
              <w:tc>
                <w:tcPr>
                  <w:tcW w:w="851" w:type="pct"/>
                  <w:tcBorders>
                    <w:left w:val="nil"/>
                    <w:bottom w:val="single" w:color="000000" w:sz="12" w:space="0"/>
                  </w:tcBorders>
                  <w:noWrap w:val="0"/>
                  <w:vAlign w:val="center"/>
                </w:tcPr>
                <w:p w14:paraId="07064C30">
                  <w:pPr>
                    <w:adjustRightInd w:val="0"/>
                    <w:snapToGrid w:val="0"/>
                    <w:jc w:val="both"/>
                    <w:rPr>
                      <w:rFonts w:hint="default" w:ascii="宋体" w:hAnsi="宋体" w:cs="宋体"/>
                      <w:color w:val="auto"/>
                      <w:szCs w:val="21"/>
                    </w:rPr>
                  </w:pPr>
                  <w:r>
                    <w:rPr>
                      <w:rFonts w:hint="default" w:ascii="宋体" w:hAnsi="宋体" w:cs="宋体"/>
                      <w:color w:val="auto"/>
                      <w:szCs w:val="21"/>
                    </w:rPr>
                    <w:t>三角形边框</w:t>
                  </w:r>
                </w:p>
              </w:tc>
              <w:tc>
                <w:tcPr>
                  <w:tcW w:w="802" w:type="pct"/>
                  <w:tcBorders>
                    <w:left w:val="nil"/>
                    <w:bottom w:val="single" w:color="000000" w:sz="12" w:space="0"/>
                  </w:tcBorders>
                  <w:noWrap w:val="0"/>
                  <w:vAlign w:val="center"/>
                </w:tcPr>
                <w:p w14:paraId="27D05125">
                  <w:pPr>
                    <w:adjustRightInd w:val="0"/>
                    <w:snapToGrid w:val="0"/>
                    <w:jc w:val="both"/>
                    <w:rPr>
                      <w:rFonts w:hint="default" w:ascii="宋体" w:hAnsi="宋体" w:cs="宋体"/>
                      <w:color w:val="auto"/>
                      <w:szCs w:val="21"/>
                    </w:rPr>
                  </w:pPr>
                  <w:r>
                    <w:rPr>
                      <w:rFonts w:hint="default" w:ascii="宋体" w:hAnsi="宋体" w:cs="宋体"/>
                      <w:color w:val="auto"/>
                      <w:szCs w:val="21"/>
                    </w:rPr>
                    <w:t>黄色</w:t>
                  </w:r>
                </w:p>
              </w:tc>
              <w:tc>
                <w:tcPr>
                  <w:tcW w:w="734" w:type="pct"/>
                  <w:tcBorders>
                    <w:left w:val="nil"/>
                    <w:bottom w:val="single" w:color="000000" w:sz="12" w:space="0"/>
                    <w:right w:val="nil"/>
                  </w:tcBorders>
                  <w:noWrap w:val="0"/>
                  <w:vAlign w:val="center"/>
                </w:tcPr>
                <w:p w14:paraId="5C83E9C4">
                  <w:pPr>
                    <w:adjustRightInd w:val="0"/>
                    <w:snapToGrid w:val="0"/>
                    <w:jc w:val="both"/>
                    <w:rPr>
                      <w:rFonts w:hint="default" w:ascii="宋体" w:hAnsi="宋体" w:cs="宋体"/>
                      <w:color w:val="auto"/>
                      <w:szCs w:val="21"/>
                    </w:rPr>
                  </w:pPr>
                  <w:r>
                    <w:rPr>
                      <w:rFonts w:hint="default" w:ascii="宋体" w:hAnsi="宋体" w:cs="宋体"/>
                      <w:color w:val="auto"/>
                      <w:szCs w:val="21"/>
                    </w:rPr>
                    <w:t>黑色</w:t>
                  </w:r>
                </w:p>
              </w:tc>
            </w:tr>
          </w:tbl>
          <w:p w14:paraId="05B55BAD">
            <w:pPr>
              <w:adjustRightInd w:val="0"/>
              <w:snapToGrid w:val="0"/>
              <w:jc w:val="both"/>
              <w:rPr>
                <w:rFonts w:hint="default" w:ascii="宋体" w:hAnsi="宋体" w:cs="宋体"/>
                <w:color w:val="auto"/>
                <w:szCs w:val="21"/>
              </w:rPr>
            </w:pPr>
            <w:r>
              <w:rPr>
                <w:rFonts w:hint="default" w:ascii="宋体" w:hAnsi="宋体" w:cs="宋体"/>
                <w:color w:val="auto"/>
                <w:szCs w:val="21"/>
              </w:rPr>
              <w:t>竣工验收管理及要求</w:t>
            </w:r>
          </w:p>
          <w:p w14:paraId="27F92A0D">
            <w:pPr>
              <w:adjustRightInd w:val="0"/>
              <w:snapToGrid w:val="0"/>
              <w:jc w:val="both"/>
              <w:rPr>
                <w:rFonts w:hint="default" w:ascii="宋体" w:hAnsi="宋体" w:cs="宋体"/>
                <w:color w:val="auto"/>
                <w:szCs w:val="21"/>
              </w:rPr>
            </w:pPr>
            <w:r>
              <w:rPr>
                <w:rFonts w:hint="default" w:ascii="宋体" w:hAnsi="宋体" w:cs="宋体"/>
                <w:color w:val="auto"/>
                <w:szCs w:val="21"/>
              </w:rPr>
              <w:t>鼓励建设单位委托具备相应技术条件的第三方机构开展建设期环境监理。建设项目在投入生产或者使用前，建设单位应当依据环评文件及其审批意见，委托第三方机构编制建设项目环境保护设施竣工验收报告，向社会公开并向</w:t>
            </w:r>
            <w:r>
              <w:rPr>
                <w:rFonts w:hint="default" w:ascii="宋体" w:hAnsi="宋体" w:cs="宋体"/>
                <w:color w:val="auto"/>
                <w:szCs w:val="21"/>
                <w:lang w:val="en-US" w:eastAsia="zh-CN"/>
              </w:rPr>
              <w:t>生态环境</w:t>
            </w:r>
            <w:r>
              <w:rPr>
                <w:rFonts w:hint="default" w:ascii="宋体" w:hAnsi="宋体" w:cs="宋体"/>
                <w:color w:val="auto"/>
                <w:szCs w:val="21"/>
              </w:rPr>
              <w:t>部门备案。</w:t>
            </w:r>
          </w:p>
          <w:p w14:paraId="38F4AD2F">
            <w:pPr>
              <w:adjustRightInd w:val="0"/>
              <w:snapToGrid w:val="0"/>
              <w:jc w:val="both"/>
              <w:rPr>
                <w:rFonts w:hint="default" w:ascii="宋体" w:hAnsi="宋体" w:cs="宋体"/>
                <w:color w:val="auto"/>
                <w:szCs w:val="21"/>
              </w:rPr>
            </w:pPr>
            <w:r>
              <w:rPr>
                <w:rFonts w:hint="default" w:ascii="宋体" w:hAnsi="宋体" w:cs="宋体"/>
                <w:color w:val="auto"/>
                <w:szCs w:val="21"/>
              </w:rPr>
              <w:t>申请环境保护竣工验收条件为：</w:t>
            </w:r>
          </w:p>
          <w:p w14:paraId="3ADAEA8F">
            <w:pPr>
              <w:adjustRightInd w:val="0"/>
              <w:snapToGrid w:val="0"/>
              <w:jc w:val="both"/>
              <w:rPr>
                <w:rFonts w:hint="default" w:ascii="宋体" w:hAnsi="宋体" w:cs="宋体"/>
                <w:color w:val="auto"/>
                <w:szCs w:val="21"/>
              </w:rPr>
            </w:pPr>
            <w:r>
              <w:rPr>
                <w:rFonts w:hint="default" w:ascii="宋体" w:hAnsi="宋体" w:cs="宋体"/>
                <w:color w:val="auto"/>
                <w:szCs w:val="21"/>
              </w:rPr>
              <w:t>（1）建设项目建设前期环境保护审查、审批手续完备，技术资料与环境保护档案齐全。</w:t>
            </w:r>
          </w:p>
          <w:p w14:paraId="3FCA7BEA">
            <w:pPr>
              <w:adjustRightInd w:val="0"/>
              <w:snapToGrid w:val="0"/>
              <w:jc w:val="both"/>
              <w:rPr>
                <w:rFonts w:hint="default" w:ascii="宋体" w:hAnsi="宋体" w:cs="宋体"/>
                <w:color w:val="auto"/>
                <w:szCs w:val="21"/>
              </w:rPr>
            </w:pPr>
            <w:r>
              <w:rPr>
                <w:rFonts w:hint="default" w:ascii="宋体" w:hAnsi="宋体" w:cs="宋体"/>
                <w:color w:val="auto"/>
                <w:szCs w:val="21"/>
              </w:rPr>
              <w:t>（2）环境保护设施按批准的环境影响报告书和设计要求建成，环境保护设施经负荷试车检测合格，其污染防治能力适应主体工程的需要。</w:t>
            </w:r>
          </w:p>
          <w:p w14:paraId="79BA86AF">
            <w:pPr>
              <w:adjustRightInd w:val="0"/>
              <w:snapToGrid w:val="0"/>
              <w:jc w:val="both"/>
              <w:rPr>
                <w:rFonts w:ascii="宋体" w:hAnsi="宋体" w:cs="宋体"/>
                <w:color w:val="auto"/>
                <w:szCs w:val="21"/>
              </w:rPr>
            </w:pPr>
          </w:p>
        </w:tc>
      </w:tr>
    </w:tbl>
    <w:p w14:paraId="0BE78555">
      <w:pPr>
        <w:pStyle w:val="19"/>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DC7E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69C7C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rPr>
            </w:pPr>
            <w:r>
              <w:rPr>
                <w:rFonts w:hint="eastAsia" w:ascii="宋体" w:cs="宋体"/>
                <w:color w:val="auto"/>
                <w:sz w:val="24"/>
              </w:rPr>
              <w:t>综上所述，本项目的建设，符合国家有关产业政策，污染物经相应治理后能达标排放。建设单位必须在该项目的建设过程中切实落实本评价中提出的各项污染防治措施，使工程对环境的影响减小到最低程度，以达到经济、社会、环境效益三统一的效果。从环保角度看，本项目的选址、建设是可行的。</w:t>
            </w:r>
          </w:p>
        </w:tc>
      </w:tr>
    </w:tbl>
    <w:p w14:paraId="191BF945">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0CD0E83">
      <w:pPr>
        <w:pStyle w:val="19"/>
        <w:adjustRightInd w:val="0"/>
        <w:snapToGrid w:val="0"/>
        <w:spacing w:before="0" w:beforeAutospacing="0" w:after="0" w:afterAutospacing="0" w:line="36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65EA691C">
      <w:pPr>
        <w:pStyle w:val="19"/>
        <w:adjustRightInd w:val="0"/>
        <w:snapToGrid w:val="0"/>
        <w:spacing w:before="0" w:beforeAutospacing="0" w:after="0" w:afterAutospacing="0" w:line="360" w:lineRule="auto"/>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11"/>
        <w:gridCol w:w="1074"/>
      </w:tblGrid>
      <w:tr w14:paraId="29D99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278928B2">
            <w:pPr>
              <w:pStyle w:val="44"/>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14946E1B">
            <w:pPr>
              <w:pStyle w:val="44"/>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417" w:type="dxa"/>
            <w:tcMar>
              <w:left w:w="28" w:type="dxa"/>
              <w:right w:w="28" w:type="dxa"/>
            </w:tcMar>
            <w:vAlign w:val="center"/>
          </w:tcPr>
          <w:p w14:paraId="117D8828">
            <w:pPr>
              <w:pStyle w:val="44"/>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701" w:type="dxa"/>
            <w:tcMar>
              <w:left w:w="28" w:type="dxa"/>
              <w:right w:w="28" w:type="dxa"/>
            </w:tcMar>
            <w:vAlign w:val="center"/>
          </w:tcPr>
          <w:p w14:paraId="0C8C222D">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381D8666">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276" w:type="dxa"/>
            <w:tcMar>
              <w:left w:w="28" w:type="dxa"/>
              <w:right w:w="28" w:type="dxa"/>
            </w:tcMar>
            <w:vAlign w:val="center"/>
          </w:tcPr>
          <w:p w14:paraId="68B95C9C">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2654D3E1">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0B7CD0BB">
            <w:pPr>
              <w:pStyle w:val="44"/>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01" w:type="dxa"/>
            <w:tcMar>
              <w:left w:w="28" w:type="dxa"/>
              <w:right w:w="28" w:type="dxa"/>
            </w:tcMar>
            <w:vAlign w:val="center"/>
          </w:tcPr>
          <w:p w14:paraId="59785C45">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3ABD0EC1">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59" w:type="dxa"/>
            <w:tcMar>
              <w:left w:w="28" w:type="dxa"/>
              <w:right w:w="28" w:type="dxa"/>
            </w:tcMar>
            <w:vAlign w:val="center"/>
          </w:tcPr>
          <w:p w14:paraId="18C61058">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42819A58">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761" w:type="dxa"/>
            <w:tcMar>
              <w:left w:w="28" w:type="dxa"/>
              <w:right w:w="28" w:type="dxa"/>
            </w:tcMar>
            <w:vAlign w:val="center"/>
          </w:tcPr>
          <w:p w14:paraId="2AA69543">
            <w:pPr>
              <w:pStyle w:val="44"/>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3AD7E4F5">
            <w:pPr>
              <w:pStyle w:val="44"/>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711" w:type="dxa"/>
            <w:tcMar>
              <w:left w:w="28" w:type="dxa"/>
              <w:right w:w="28" w:type="dxa"/>
            </w:tcMar>
            <w:vAlign w:val="center"/>
          </w:tcPr>
          <w:p w14:paraId="61CF38F6">
            <w:pPr>
              <w:pStyle w:val="44"/>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23A24D23">
            <w:pPr>
              <w:pStyle w:val="44"/>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074" w:type="dxa"/>
            <w:tcMar>
              <w:left w:w="28" w:type="dxa"/>
              <w:right w:w="28" w:type="dxa"/>
            </w:tcMar>
            <w:vAlign w:val="center"/>
          </w:tcPr>
          <w:p w14:paraId="28ACF790">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3740A75F">
            <w:pPr>
              <w:pStyle w:val="44"/>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171C1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56A180A">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1417" w:type="dxa"/>
            <w:vAlign w:val="center"/>
          </w:tcPr>
          <w:p w14:paraId="331822EC">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颗粒物</w:t>
            </w:r>
          </w:p>
        </w:tc>
        <w:tc>
          <w:tcPr>
            <w:tcW w:w="1701" w:type="dxa"/>
            <w:vAlign w:val="center"/>
          </w:tcPr>
          <w:p w14:paraId="455677CA">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66A6E2D9">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31699C8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3904A4D8">
            <w:pPr>
              <w:pStyle w:val="44"/>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.753</w:t>
            </w:r>
            <w:r>
              <w:rPr>
                <w:rFonts w:ascii="Times New Roman"/>
                <w:snapToGrid w:val="0"/>
                <w:color w:val="auto"/>
                <w:kern w:val="21"/>
                <w:szCs w:val="21"/>
              </w:rPr>
              <w:t>t/a</w:t>
            </w:r>
          </w:p>
        </w:tc>
        <w:tc>
          <w:tcPr>
            <w:tcW w:w="1761" w:type="dxa"/>
            <w:vAlign w:val="center"/>
          </w:tcPr>
          <w:p w14:paraId="6331654B">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5ABF57BA">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753</w:t>
            </w:r>
            <w:r>
              <w:rPr>
                <w:rFonts w:ascii="Times New Roman"/>
                <w:snapToGrid w:val="0"/>
                <w:color w:val="auto"/>
                <w:kern w:val="21"/>
                <w:szCs w:val="21"/>
              </w:rPr>
              <w:t>t/a</w:t>
            </w:r>
          </w:p>
        </w:tc>
        <w:tc>
          <w:tcPr>
            <w:tcW w:w="1074" w:type="dxa"/>
            <w:vAlign w:val="center"/>
          </w:tcPr>
          <w:p w14:paraId="2AE49816">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753</w:t>
            </w:r>
            <w:r>
              <w:rPr>
                <w:rFonts w:ascii="Times New Roman"/>
                <w:snapToGrid w:val="0"/>
                <w:color w:val="auto"/>
                <w:kern w:val="21"/>
                <w:szCs w:val="21"/>
              </w:rPr>
              <w:t>t/a</w:t>
            </w:r>
          </w:p>
        </w:tc>
      </w:tr>
      <w:tr w14:paraId="631E5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183522C">
            <w:pPr>
              <w:pStyle w:val="44"/>
              <w:spacing w:beforeLines="0" w:afterLines="0" w:line="240" w:lineRule="auto"/>
              <w:rPr>
                <w:rFonts w:hAnsi="宋体" w:cs="宋体"/>
                <w:snapToGrid w:val="0"/>
                <w:color w:val="auto"/>
                <w:kern w:val="21"/>
                <w:szCs w:val="21"/>
              </w:rPr>
            </w:pPr>
          </w:p>
        </w:tc>
        <w:tc>
          <w:tcPr>
            <w:tcW w:w="1417" w:type="dxa"/>
            <w:vAlign w:val="center"/>
          </w:tcPr>
          <w:p w14:paraId="6E153788">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油烟</w:t>
            </w:r>
          </w:p>
        </w:tc>
        <w:tc>
          <w:tcPr>
            <w:tcW w:w="1701" w:type="dxa"/>
            <w:vAlign w:val="center"/>
          </w:tcPr>
          <w:p w14:paraId="53A03D27">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0E739BE3">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01AD338D">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3AB00268">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5.444</w:t>
            </w:r>
            <w:r>
              <w:rPr>
                <w:rFonts w:ascii="Times New Roman"/>
                <w:snapToGrid w:val="0"/>
                <w:color w:val="auto"/>
                <w:kern w:val="21"/>
                <w:szCs w:val="21"/>
              </w:rPr>
              <w:t>kg/a</w:t>
            </w:r>
          </w:p>
        </w:tc>
        <w:tc>
          <w:tcPr>
            <w:tcW w:w="1761" w:type="dxa"/>
            <w:vAlign w:val="center"/>
          </w:tcPr>
          <w:p w14:paraId="59DD974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7D1DFCD3">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5.444</w:t>
            </w:r>
            <w:r>
              <w:rPr>
                <w:rFonts w:ascii="Times New Roman"/>
                <w:snapToGrid w:val="0"/>
                <w:color w:val="auto"/>
                <w:kern w:val="21"/>
                <w:szCs w:val="21"/>
              </w:rPr>
              <w:t>kg/a</w:t>
            </w:r>
          </w:p>
        </w:tc>
        <w:tc>
          <w:tcPr>
            <w:tcW w:w="1074" w:type="dxa"/>
            <w:vAlign w:val="center"/>
          </w:tcPr>
          <w:p w14:paraId="2961081D">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5.444</w:t>
            </w:r>
            <w:r>
              <w:rPr>
                <w:rFonts w:ascii="Times New Roman"/>
                <w:snapToGrid w:val="0"/>
                <w:color w:val="auto"/>
                <w:kern w:val="21"/>
                <w:szCs w:val="21"/>
              </w:rPr>
              <w:t>kg/a</w:t>
            </w:r>
          </w:p>
        </w:tc>
      </w:tr>
      <w:tr w14:paraId="5DBCB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0F89A808">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废水</w:t>
            </w:r>
          </w:p>
        </w:tc>
        <w:tc>
          <w:tcPr>
            <w:tcW w:w="1417" w:type="dxa"/>
            <w:vAlign w:val="center"/>
          </w:tcPr>
          <w:p w14:paraId="3A1A0EC6">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COD</w:t>
            </w:r>
          </w:p>
        </w:tc>
        <w:tc>
          <w:tcPr>
            <w:tcW w:w="1701" w:type="dxa"/>
            <w:vAlign w:val="center"/>
          </w:tcPr>
          <w:p w14:paraId="48E72C15">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2A093248">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2FDEDC8A">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1ACF0EEE">
            <w:pPr>
              <w:pStyle w:val="44"/>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017</w:t>
            </w:r>
            <w:r>
              <w:rPr>
                <w:rFonts w:ascii="Times New Roman"/>
                <w:snapToGrid w:val="0"/>
                <w:color w:val="auto"/>
                <w:kern w:val="21"/>
                <w:szCs w:val="21"/>
              </w:rPr>
              <w:t>t/a</w:t>
            </w:r>
          </w:p>
        </w:tc>
        <w:tc>
          <w:tcPr>
            <w:tcW w:w="1761" w:type="dxa"/>
            <w:vAlign w:val="center"/>
          </w:tcPr>
          <w:p w14:paraId="0C7AC657">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44B4DEC5">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0.017</w:t>
            </w:r>
            <w:r>
              <w:rPr>
                <w:rFonts w:ascii="Times New Roman"/>
                <w:snapToGrid w:val="0"/>
                <w:color w:val="auto"/>
                <w:kern w:val="21"/>
                <w:szCs w:val="21"/>
              </w:rPr>
              <w:t>t/a</w:t>
            </w:r>
          </w:p>
        </w:tc>
        <w:tc>
          <w:tcPr>
            <w:tcW w:w="1074" w:type="dxa"/>
            <w:vAlign w:val="center"/>
          </w:tcPr>
          <w:p w14:paraId="69ECC5FE">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017</w:t>
            </w:r>
            <w:r>
              <w:rPr>
                <w:rFonts w:ascii="Times New Roman"/>
                <w:snapToGrid w:val="0"/>
                <w:color w:val="auto"/>
                <w:kern w:val="21"/>
                <w:szCs w:val="21"/>
              </w:rPr>
              <w:t>t/a</w:t>
            </w:r>
          </w:p>
        </w:tc>
      </w:tr>
      <w:tr w14:paraId="7BD1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B843126">
            <w:pPr>
              <w:pStyle w:val="44"/>
              <w:spacing w:beforeLines="0" w:afterLines="0" w:line="240" w:lineRule="auto"/>
              <w:rPr>
                <w:rFonts w:hAnsi="宋体" w:cs="宋体"/>
                <w:snapToGrid w:val="0"/>
                <w:color w:val="auto"/>
                <w:kern w:val="21"/>
                <w:szCs w:val="21"/>
              </w:rPr>
            </w:pPr>
          </w:p>
        </w:tc>
        <w:tc>
          <w:tcPr>
            <w:tcW w:w="1417" w:type="dxa"/>
            <w:vAlign w:val="center"/>
          </w:tcPr>
          <w:p w14:paraId="4748AE18">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BOD</w:t>
            </w:r>
            <w:r>
              <w:rPr>
                <w:rFonts w:ascii="Times New Roman"/>
                <w:snapToGrid w:val="0"/>
                <w:color w:val="auto"/>
                <w:kern w:val="21"/>
                <w:szCs w:val="21"/>
                <w:vertAlign w:val="subscript"/>
              </w:rPr>
              <w:t>5</w:t>
            </w:r>
          </w:p>
        </w:tc>
        <w:tc>
          <w:tcPr>
            <w:tcW w:w="1701" w:type="dxa"/>
            <w:vAlign w:val="center"/>
          </w:tcPr>
          <w:p w14:paraId="3BF1DA18">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578DB28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54B58C86">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18E57F5E">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0.021</w:t>
            </w:r>
            <w:r>
              <w:rPr>
                <w:rFonts w:hint="eastAsia" w:ascii="Times New Roman"/>
                <w:snapToGrid w:val="0"/>
                <w:color w:val="auto"/>
                <w:kern w:val="21"/>
                <w:szCs w:val="21"/>
              </w:rPr>
              <w:t>t/a</w:t>
            </w:r>
          </w:p>
        </w:tc>
        <w:tc>
          <w:tcPr>
            <w:tcW w:w="1761" w:type="dxa"/>
            <w:vAlign w:val="center"/>
          </w:tcPr>
          <w:p w14:paraId="33FB10E4">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450F0028">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0.021</w:t>
            </w:r>
            <w:r>
              <w:rPr>
                <w:rFonts w:hint="eastAsia" w:ascii="Times New Roman"/>
                <w:snapToGrid w:val="0"/>
                <w:color w:val="auto"/>
                <w:kern w:val="21"/>
                <w:szCs w:val="21"/>
              </w:rPr>
              <w:t>t/a</w:t>
            </w:r>
          </w:p>
        </w:tc>
        <w:tc>
          <w:tcPr>
            <w:tcW w:w="1074" w:type="dxa"/>
            <w:vAlign w:val="center"/>
          </w:tcPr>
          <w:p w14:paraId="33F11250">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rPr>
              <w:t>0.0</w:t>
            </w:r>
            <w:r>
              <w:rPr>
                <w:rFonts w:hint="eastAsia" w:ascii="Times New Roman"/>
                <w:snapToGrid w:val="0"/>
                <w:color w:val="auto"/>
                <w:kern w:val="21"/>
                <w:szCs w:val="21"/>
                <w:lang w:val="en-US" w:eastAsia="zh-CN"/>
              </w:rPr>
              <w:t>21</w:t>
            </w:r>
            <w:r>
              <w:rPr>
                <w:rFonts w:hint="eastAsia" w:ascii="Times New Roman"/>
                <w:snapToGrid w:val="0"/>
                <w:color w:val="auto"/>
                <w:kern w:val="21"/>
                <w:szCs w:val="21"/>
              </w:rPr>
              <w:t>t/a</w:t>
            </w:r>
          </w:p>
        </w:tc>
      </w:tr>
      <w:tr w14:paraId="0CF58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1FE4A0E">
            <w:pPr>
              <w:pStyle w:val="44"/>
              <w:spacing w:beforeLines="0" w:afterLines="0" w:line="240" w:lineRule="auto"/>
              <w:rPr>
                <w:rFonts w:hAnsi="宋体" w:cs="宋体"/>
                <w:snapToGrid w:val="0"/>
                <w:color w:val="auto"/>
                <w:kern w:val="21"/>
                <w:szCs w:val="21"/>
              </w:rPr>
            </w:pPr>
          </w:p>
        </w:tc>
        <w:tc>
          <w:tcPr>
            <w:tcW w:w="1417" w:type="dxa"/>
            <w:vAlign w:val="center"/>
          </w:tcPr>
          <w:p w14:paraId="7D93B8B8">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NH</w:t>
            </w:r>
            <w:r>
              <w:rPr>
                <w:rFonts w:ascii="Times New Roman"/>
                <w:snapToGrid w:val="0"/>
                <w:color w:val="auto"/>
                <w:kern w:val="21"/>
                <w:szCs w:val="21"/>
                <w:vertAlign w:val="subscript"/>
              </w:rPr>
              <w:t>3</w:t>
            </w:r>
            <w:r>
              <w:rPr>
                <w:rFonts w:ascii="Times New Roman"/>
                <w:snapToGrid w:val="0"/>
                <w:color w:val="auto"/>
                <w:kern w:val="21"/>
                <w:szCs w:val="21"/>
              </w:rPr>
              <w:t>-N</w:t>
            </w:r>
          </w:p>
        </w:tc>
        <w:tc>
          <w:tcPr>
            <w:tcW w:w="1701" w:type="dxa"/>
            <w:vAlign w:val="center"/>
          </w:tcPr>
          <w:p w14:paraId="42327E3F">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0F25E411">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2312B87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5ADEC9BD">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0.003</w:t>
            </w:r>
            <w:r>
              <w:rPr>
                <w:rFonts w:hint="eastAsia" w:ascii="Times New Roman"/>
                <w:snapToGrid w:val="0"/>
                <w:color w:val="auto"/>
                <w:kern w:val="21"/>
                <w:szCs w:val="21"/>
              </w:rPr>
              <w:t>t/a</w:t>
            </w:r>
          </w:p>
        </w:tc>
        <w:tc>
          <w:tcPr>
            <w:tcW w:w="1761" w:type="dxa"/>
            <w:vAlign w:val="center"/>
          </w:tcPr>
          <w:p w14:paraId="1434237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4DC26276">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0.003</w:t>
            </w:r>
            <w:r>
              <w:rPr>
                <w:rFonts w:hint="eastAsia" w:ascii="Times New Roman"/>
                <w:snapToGrid w:val="0"/>
                <w:color w:val="auto"/>
                <w:kern w:val="21"/>
                <w:szCs w:val="21"/>
              </w:rPr>
              <w:t>t/a</w:t>
            </w:r>
          </w:p>
        </w:tc>
        <w:tc>
          <w:tcPr>
            <w:tcW w:w="1074" w:type="dxa"/>
            <w:vAlign w:val="center"/>
          </w:tcPr>
          <w:p w14:paraId="5640843A">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0.003</w:t>
            </w:r>
            <w:r>
              <w:rPr>
                <w:rFonts w:hint="eastAsia" w:ascii="Times New Roman"/>
                <w:snapToGrid w:val="0"/>
                <w:color w:val="auto"/>
                <w:kern w:val="21"/>
                <w:szCs w:val="21"/>
              </w:rPr>
              <w:t>t/a</w:t>
            </w:r>
          </w:p>
        </w:tc>
      </w:tr>
      <w:tr w14:paraId="07204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BB33864">
            <w:pPr>
              <w:pStyle w:val="44"/>
              <w:spacing w:beforeLines="0" w:afterLines="0" w:line="240" w:lineRule="auto"/>
              <w:rPr>
                <w:rFonts w:hAnsi="宋体" w:cs="宋体"/>
                <w:snapToGrid w:val="0"/>
                <w:color w:val="auto"/>
                <w:kern w:val="21"/>
                <w:szCs w:val="21"/>
              </w:rPr>
            </w:pPr>
          </w:p>
        </w:tc>
        <w:tc>
          <w:tcPr>
            <w:tcW w:w="1417" w:type="dxa"/>
            <w:vAlign w:val="center"/>
          </w:tcPr>
          <w:p w14:paraId="7CF84350">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SS</w:t>
            </w:r>
          </w:p>
        </w:tc>
        <w:tc>
          <w:tcPr>
            <w:tcW w:w="1701" w:type="dxa"/>
            <w:vAlign w:val="center"/>
          </w:tcPr>
          <w:p w14:paraId="50560DE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300425C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5A1AD9F2">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6F73B10D">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0.008</w:t>
            </w:r>
            <w:r>
              <w:rPr>
                <w:rFonts w:hint="eastAsia" w:ascii="Times New Roman"/>
                <w:snapToGrid w:val="0"/>
                <w:color w:val="auto"/>
                <w:kern w:val="21"/>
                <w:szCs w:val="21"/>
              </w:rPr>
              <w:t>/a</w:t>
            </w:r>
          </w:p>
        </w:tc>
        <w:tc>
          <w:tcPr>
            <w:tcW w:w="1761" w:type="dxa"/>
            <w:vAlign w:val="center"/>
          </w:tcPr>
          <w:p w14:paraId="50E74CC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153C82DC">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0.008</w:t>
            </w:r>
            <w:r>
              <w:rPr>
                <w:rFonts w:hint="eastAsia" w:ascii="Times New Roman"/>
                <w:snapToGrid w:val="0"/>
                <w:color w:val="auto"/>
                <w:kern w:val="21"/>
                <w:szCs w:val="21"/>
              </w:rPr>
              <w:t>t/a</w:t>
            </w:r>
          </w:p>
        </w:tc>
        <w:tc>
          <w:tcPr>
            <w:tcW w:w="1074" w:type="dxa"/>
            <w:vAlign w:val="center"/>
          </w:tcPr>
          <w:p w14:paraId="087EFAE8">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0.008</w:t>
            </w:r>
            <w:r>
              <w:rPr>
                <w:rFonts w:hint="eastAsia" w:ascii="Times New Roman"/>
                <w:snapToGrid w:val="0"/>
                <w:color w:val="auto"/>
                <w:kern w:val="21"/>
                <w:szCs w:val="21"/>
              </w:rPr>
              <w:t>t/a</w:t>
            </w:r>
          </w:p>
        </w:tc>
      </w:tr>
      <w:tr w14:paraId="6C6EC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43A19CA7">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14:paraId="34A92906">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1417" w:type="dxa"/>
            <w:vAlign w:val="center"/>
          </w:tcPr>
          <w:p w14:paraId="7A549921">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不合格混凝土</w:t>
            </w:r>
          </w:p>
        </w:tc>
        <w:tc>
          <w:tcPr>
            <w:tcW w:w="1701" w:type="dxa"/>
            <w:vAlign w:val="center"/>
          </w:tcPr>
          <w:p w14:paraId="554E88C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57ADB8C7">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21B907EC">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117B22D9">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33.46</w:t>
            </w:r>
            <w:r>
              <w:rPr>
                <w:rFonts w:hint="eastAsia" w:ascii="Times New Roman"/>
                <w:snapToGrid w:val="0"/>
                <w:color w:val="auto"/>
                <w:kern w:val="21"/>
                <w:szCs w:val="21"/>
              </w:rPr>
              <w:t>t/a</w:t>
            </w:r>
          </w:p>
        </w:tc>
        <w:tc>
          <w:tcPr>
            <w:tcW w:w="1761" w:type="dxa"/>
            <w:vAlign w:val="center"/>
          </w:tcPr>
          <w:p w14:paraId="66537EBE">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2DEEB5E2">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33.46</w:t>
            </w:r>
            <w:r>
              <w:rPr>
                <w:rFonts w:hint="eastAsia" w:ascii="Times New Roman"/>
                <w:snapToGrid w:val="0"/>
                <w:color w:val="auto"/>
                <w:kern w:val="21"/>
                <w:szCs w:val="21"/>
              </w:rPr>
              <w:t>t/a</w:t>
            </w:r>
          </w:p>
        </w:tc>
        <w:tc>
          <w:tcPr>
            <w:tcW w:w="1074" w:type="dxa"/>
            <w:vAlign w:val="center"/>
          </w:tcPr>
          <w:p w14:paraId="328B2C51">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33.46</w:t>
            </w:r>
            <w:r>
              <w:rPr>
                <w:rFonts w:hint="eastAsia" w:ascii="Times New Roman"/>
                <w:snapToGrid w:val="0"/>
                <w:color w:val="auto"/>
                <w:kern w:val="21"/>
                <w:szCs w:val="21"/>
              </w:rPr>
              <w:t>t/a</w:t>
            </w:r>
          </w:p>
        </w:tc>
      </w:tr>
      <w:tr w14:paraId="7D877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6C1CB82">
            <w:pPr>
              <w:pStyle w:val="44"/>
              <w:spacing w:beforeLines="0" w:afterLines="0" w:line="240" w:lineRule="auto"/>
              <w:rPr>
                <w:rFonts w:hAnsi="宋体" w:cs="宋体"/>
                <w:snapToGrid w:val="0"/>
                <w:color w:val="auto"/>
                <w:kern w:val="21"/>
                <w:szCs w:val="21"/>
              </w:rPr>
            </w:pPr>
          </w:p>
        </w:tc>
        <w:tc>
          <w:tcPr>
            <w:tcW w:w="1417" w:type="dxa"/>
            <w:vAlign w:val="center"/>
          </w:tcPr>
          <w:p w14:paraId="5BFAB38E">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除尘灰</w:t>
            </w:r>
          </w:p>
        </w:tc>
        <w:tc>
          <w:tcPr>
            <w:tcW w:w="1701" w:type="dxa"/>
            <w:vAlign w:val="center"/>
          </w:tcPr>
          <w:p w14:paraId="6477AAB3">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0948B52C">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0C526360">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3824F537">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1</w:t>
            </w:r>
            <w:r>
              <w:rPr>
                <w:rFonts w:hint="eastAsia" w:ascii="Times New Roman"/>
                <w:snapToGrid w:val="0"/>
                <w:color w:val="auto"/>
                <w:kern w:val="21"/>
                <w:szCs w:val="21"/>
                <w:lang w:val="en-US" w:eastAsia="zh-CN"/>
              </w:rPr>
              <w:t>20</w:t>
            </w:r>
            <w:r>
              <w:rPr>
                <w:rFonts w:hint="eastAsia" w:ascii="Times New Roman"/>
                <w:snapToGrid w:val="0"/>
                <w:color w:val="auto"/>
                <w:kern w:val="21"/>
                <w:szCs w:val="21"/>
              </w:rPr>
              <w:t>t/a</w:t>
            </w:r>
          </w:p>
        </w:tc>
        <w:tc>
          <w:tcPr>
            <w:tcW w:w="1761" w:type="dxa"/>
            <w:vAlign w:val="center"/>
          </w:tcPr>
          <w:p w14:paraId="69FD8AC8">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0BAE7AE9">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308.24</w:t>
            </w:r>
            <w:r>
              <w:rPr>
                <w:rFonts w:hint="eastAsia" w:ascii="Times New Roman"/>
                <w:snapToGrid w:val="0"/>
                <w:color w:val="auto"/>
                <w:kern w:val="21"/>
                <w:szCs w:val="21"/>
              </w:rPr>
              <w:t>t/a</w:t>
            </w:r>
          </w:p>
        </w:tc>
        <w:tc>
          <w:tcPr>
            <w:tcW w:w="1074" w:type="dxa"/>
            <w:vAlign w:val="center"/>
          </w:tcPr>
          <w:p w14:paraId="52A0154B">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308.24</w:t>
            </w:r>
            <w:r>
              <w:rPr>
                <w:rFonts w:hint="eastAsia" w:ascii="Times New Roman"/>
                <w:snapToGrid w:val="0"/>
                <w:color w:val="auto"/>
                <w:kern w:val="21"/>
                <w:szCs w:val="21"/>
              </w:rPr>
              <w:t>t/a</w:t>
            </w:r>
          </w:p>
        </w:tc>
      </w:tr>
      <w:tr w14:paraId="78AB8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CA3F897">
            <w:pPr>
              <w:pStyle w:val="44"/>
              <w:spacing w:beforeLines="0" w:afterLines="0" w:line="240" w:lineRule="auto"/>
              <w:rPr>
                <w:rFonts w:hAnsi="宋体" w:cs="宋体"/>
                <w:snapToGrid w:val="0"/>
                <w:color w:val="auto"/>
                <w:kern w:val="21"/>
                <w:szCs w:val="21"/>
              </w:rPr>
            </w:pPr>
          </w:p>
        </w:tc>
        <w:tc>
          <w:tcPr>
            <w:tcW w:w="1417" w:type="dxa"/>
            <w:vAlign w:val="center"/>
          </w:tcPr>
          <w:p w14:paraId="3F84B9BC">
            <w:pPr>
              <w:pStyle w:val="44"/>
              <w:spacing w:beforeLines="0" w:afterLines="0" w:line="240" w:lineRule="auto"/>
              <w:rPr>
                <w:rFonts w:hAnsi="宋体" w:cs="宋体"/>
                <w:snapToGrid w:val="0"/>
                <w:color w:val="auto"/>
                <w:kern w:val="21"/>
                <w:szCs w:val="21"/>
              </w:rPr>
            </w:pPr>
            <w:r>
              <w:rPr>
                <w:rFonts w:ascii="Times New Roman"/>
                <w:snapToGrid w:val="0"/>
                <w:color w:val="auto"/>
                <w:kern w:val="21"/>
                <w:szCs w:val="21"/>
              </w:rPr>
              <w:t>沉淀池沉</w:t>
            </w:r>
            <w:r>
              <w:rPr>
                <w:rFonts w:hint="eastAsia" w:ascii="Times New Roman"/>
                <w:snapToGrid w:val="0"/>
                <w:color w:val="auto"/>
                <w:kern w:val="21"/>
                <w:szCs w:val="21"/>
              </w:rPr>
              <w:t>渣</w:t>
            </w:r>
          </w:p>
        </w:tc>
        <w:tc>
          <w:tcPr>
            <w:tcW w:w="1701" w:type="dxa"/>
            <w:vAlign w:val="center"/>
          </w:tcPr>
          <w:p w14:paraId="07E5D9DD">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33C640FB">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383ADC1E">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26459735">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7.47</w:t>
            </w:r>
            <w:r>
              <w:rPr>
                <w:rFonts w:hint="eastAsia" w:ascii="Times New Roman"/>
                <w:snapToGrid w:val="0"/>
                <w:color w:val="auto"/>
                <w:kern w:val="21"/>
                <w:szCs w:val="21"/>
              </w:rPr>
              <w:t>t/a</w:t>
            </w:r>
          </w:p>
        </w:tc>
        <w:tc>
          <w:tcPr>
            <w:tcW w:w="1761" w:type="dxa"/>
            <w:vAlign w:val="center"/>
          </w:tcPr>
          <w:p w14:paraId="41D12571">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211AFC1F">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7.47</w:t>
            </w:r>
            <w:r>
              <w:rPr>
                <w:rFonts w:hint="eastAsia" w:ascii="Times New Roman"/>
                <w:snapToGrid w:val="0"/>
                <w:color w:val="auto"/>
                <w:kern w:val="21"/>
                <w:szCs w:val="21"/>
              </w:rPr>
              <w:t>t/a</w:t>
            </w:r>
          </w:p>
        </w:tc>
        <w:tc>
          <w:tcPr>
            <w:tcW w:w="1074" w:type="dxa"/>
            <w:vAlign w:val="center"/>
          </w:tcPr>
          <w:p w14:paraId="6FD843CF">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lang w:val="en-US" w:eastAsia="zh-CN"/>
              </w:rPr>
              <w:t>7.47</w:t>
            </w:r>
            <w:r>
              <w:rPr>
                <w:rFonts w:hint="eastAsia" w:ascii="Times New Roman"/>
                <w:snapToGrid w:val="0"/>
                <w:color w:val="auto"/>
                <w:kern w:val="21"/>
                <w:szCs w:val="21"/>
              </w:rPr>
              <w:t>t/a</w:t>
            </w:r>
          </w:p>
        </w:tc>
      </w:tr>
      <w:tr w14:paraId="5BBC4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479218F8">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危险废物</w:t>
            </w:r>
          </w:p>
        </w:tc>
        <w:tc>
          <w:tcPr>
            <w:tcW w:w="1417" w:type="dxa"/>
            <w:vAlign w:val="center"/>
          </w:tcPr>
          <w:p w14:paraId="01FCB0AD">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rPr>
              <w:t>废机油</w:t>
            </w:r>
          </w:p>
        </w:tc>
        <w:tc>
          <w:tcPr>
            <w:tcW w:w="1701" w:type="dxa"/>
            <w:vAlign w:val="center"/>
          </w:tcPr>
          <w:p w14:paraId="742312A9">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14:paraId="041B885B">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14:paraId="59FAE0E2">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14:paraId="42EBEDD4">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r>
              <w:rPr>
                <w:rFonts w:hint="eastAsia" w:ascii="Times New Roman"/>
                <w:snapToGrid w:val="0"/>
                <w:color w:val="auto"/>
                <w:kern w:val="21"/>
                <w:szCs w:val="21"/>
                <w:lang w:val="en-US" w:eastAsia="zh-CN"/>
              </w:rPr>
              <w:t>1</w:t>
            </w:r>
            <w:r>
              <w:rPr>
                <w:rFonts w:hint="eastAsia" w:ascii="Times New Roman"/>
                <w:snapToGrid w:val="0"/>
                <w:color w:val="auto"/>
                <w:kern w:val="21"/>
                <w:szCs w:val="21"/>
              </w:rPr>
              <w:t>t/a</w:t>
            </w:r>
          </w:p>
        </w:tc>
        <w:tc>
          <w:tcPr>
            <w:tcW w:w="1761" w:type="dxa"/>
            <w:vAlign w:val="center"/>
          </w:tcPr>
          <w:p w14:paraId="50BB7269">
            <w:pPr>
              <w:pStyle w:val="44"/>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11" w:type="dxa"/>
            <w:vAlign w:val="center"/>
          </w:tcPr>
          <w:p w14:paraId="726B9CAF">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rPr>
              <w:t>0.</w:t>
            </w:r>
            <w:r>
              <w:rPr>
                <w:rFonts w:hint="eastAsia" w:ascii="Times New Roman"/>
                <w:snapToGrid w:val="0"/>
                <w:color w:val="auto"/>
                <w:kern w:val="21"/>
                <w:szCs w:val="21"/>
                <w:lang w:val="en-US" w:eastAsia="zh-CN"/>
              </w:rPr>
              <w:t>1</w:t>
            </w:r>
            <w:r>
              <w:rPr>
                <w:rFonts w:hint="eastAsia" w:ascii="Times New Roman"/>
                <w:snapToGrid w:val="0"/>
                <w:color w:val="auto"/>
                <w:kern w:val="21"/>
                <w:szCs w:val="21"/>
              </w:rPr>
              <w:t>t/a</w:t>
            </w:r>
          </w:p>
        </w:tc>
        <w:tc>
          <w:tcPr>
            <w:tcW w:w="1074" w:type="dxa"/>
            <w:vAlign w:val="center"/>
          </w:tcPr>
          <w:p w14:paraId="23B26EF1">
            <w:pPr>
              <w:pStyle w:val="44"/>
              <w:spacing w:beforeLines="0" w:afterLines="0" w:line="240" w:lineRule="auto"/>
              <w:rPr>
                <w:rFonts w:hAnsi="宋体" w:cs="宋体"/>
                <w:snapToGrid w:val="0"/>
                <w:color w:val="auto"/>
                <w:kern w:val="21"/>
                <w:szCs w:val="21"/>
              </w:rPr>
            </w:pPr>
            <w:r>
              <w:rPr>
                <w:rFonts w:hint="eastAsia" w:ascii="Times New Roman"/>
                <w:snapToGrid w:val="0"/>
                <w:color w:val="auto"/>
                <w:kern w:val="21"/>
                <w:szCs w:val="21"/>
              </w:rPr>
              <w:t>0.</w:t>
            </w:r>
            <w:r>
              <w:rPr>
                <w:rFonts w:hint="eastAsia" w:ascii="Times New Roman"/>
                <w:snapToGrid w:val="0"/>
                <w:color w:val="auto"/>
                <w:kern w:val="21"/>
                <w:szCs w:val="21"/>
                <w:lang w:val="en-US" w:eastAsia="zh-CN"/>
              </w:rPr>
              <w:t>1</w:t>
            </w:r>
            <w:r>
              <w:rPr>
                <w:rFonts w:hint="eastAsia" w:ascii="Times New Roman"/>
                <w:snapToGrid w:val="0"/>
                <w:color w:val="auto"/>
                <w:kern w:val="21"/>
                <w:szCs w:val="21"/>
              </w:rPr>
              <w:t>t/a</w:t>
            </w:r>
          </w:p>
        </w:tc>
      </w:tr>
    </w:tbl>
    <w:p w14:paraId="1576BB57">
      <w:pPr>
        <w:pStyle w:val="44"/>
        <w:spacing w:before="192" w:beforeLines="80" w:after="24"/>
        <w:jc w:val="left"/>
        <w:rPr>
          <w:rFonts w:ascii="宋体" w:hAnsi="宋体" w:eastAsia="黑体"/>
          <w:color w:val="auto"/>
        </w:rPr>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733436DF"/>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0"/>
    <w:family w:val="auto"/>
    <w:pitch w:val="default"/>
    <w:sig w:usb0="00000000" w:usb1="00000000" w:usb2="00000010" w:usb3="00000000" w:csb0="0002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C7F8">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BBCF8">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AFBE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2AFBE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B917">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2E9A4">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C2E9A4">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25ED7"/>
    <w:multiLevelType w:val="singleLevel"/>
    <w:tmpl w:val="87A25ED7"/>
    <w:lvl w:ilvl="0" w:tentative="0">
      <w:start w:val="1"/>
      <w:numFmt w:val="decimal"/>
      <w:lvlText w:val="%1."/>
      <w:lvlJc w:val="left"/>
      <w:pPr>
        <w:tabs>
          <w:tab w:val="left" w:pos="312"/>
        </w:tabs>
      </w:pPr>
    </w:lvl>
  </w:abstractNum>
  <w:abstractNum w:abstractNumId="1">
    <w:nsid w:val="A01F420B"/>
    <w:multiLevelType w:val="singleLevel"/>
    <w:tmpl w:val="A01F420B"/>
    <w:lvl w:ilvl="0" w:tentative="0">
      <w:start w:val="1"/>
      <w:numFmt w:val="decimal"/>
      <w:suff w:val="nothing"/>
      <w:lvlText w:val="（%1）"/>
      <w:lvlJc w:val="left"/>
    </w:lvl>
  </w:abstractNum>
  <w:abstractNum w:abstractNumId="2">
    <w:nsid w:val="C275DA9C"/>
    <w:multiLevelType w:val="singleLevel"/>
    <w:tmpl w:val="C275DA9C"/>
    <w:lvl w:ilvl="0" w:tentative="0">
      <w:start w:val="8"/>
      <w:numFmt w:val="decimal"/>
      <w:lvlText w:val="%1."/>
      <w:lvlJc w:val="left"/>
      <w:pPr>
        <w:tabs>
          <w:tab w:val="left" w:pos="312"/>
        </w:tabs>
      </w:pPr>
    </w:lvl>
  </w:abstractNum>
  <w:abstractNum w:abstractNumId="3">
    <w:nsid w:val="EF307A00"/>
    <w:multiLevelType w:val="singleLevel"/>
    <w:tmpl w:val="EF307A00"/>
    <w:lvl w:ilvl="0" w:tentative="0">
      <w:start w:val="1"/>
      <w:numFmt w:val="decimal"/>
      <w:suff w:val="space"/>
      <w:lvlText w:val="%1."/>
      <w:lvlJc w:val="left"/>
    </w:lvl>
  </w:abstractNum>
  <w:abstractNum w:abstractNumId="4">
    <w:nsid w:val="F59B521D"/>
    <w:multiLevelType w:val="singleLevel"/>
    <w:tmpl w:val="F59B521D"/>
    <w:lvl w:ilvl="0" w:tentative="0">
      <w:start w:val="2"/>
      <w:numFmt w:val="decimal"/>
      <w:suff w:val="space"/>
      <w:lvlText w:val="%1."/>
      <w:lvlJc w:val="left"/>
    </w:lvl>
  </w:abstractNum>
  <w:abstractNum w:abstractNumId="5">
    <w:nsid w:val="FA3945D6"/>
    <w:multiLevelType w:val="singleLevel"/>
    <w:tmpl w:val="FA3945D6"/>
    <w:lvl w:ilvl="0" w:tentative="0">
      <w:start w:val="2"/>
      <w:numFmt w:val="decimal"/>
      <w:suff w:val="nothing"/>
      <w:lvlText w:val="（%1）"/>
      <w:lvlJc w:val="left"/>
    </w:lvl>
  </w:abstractNum>
  <w:abstractNum w:abstractNumId="6">
    <w:nsid w:val="00000003"/>
    <w:multiLevelType w:val="singleLevel"/>
    <w:tmpl w:val="00000003"/>
    <w:lvl w:ilvl="0" w:tentative="0">
      <w:start w:val="1"/>
      <w:numFmt w:val="decimal"/>
      <w:suff w:val="nothing"/>
      <w:lvlText w:val="（%1）"/>
      <w:lvlJc w:val="left"/>
    </w:lvl>
  </w:abstractNum>
  <w:abstractNum w:abstractNumId="7">
    <w:nsid w:val="161BE799"/>
    <w:multiLevelType w:val="singleLevel"/>
    <w:tmpl w:val="161BE799"/>
    <w:lvl w:ilvl="0" w:tentative="0">
      <w:start w:val="1"/>
      <w:numFmt w:val="decimal"/>
      <w:suff w:val="nothing"/>
      <w:lvlText w:val="（%1）"/>
      <w:lvlJc w:val="left"/>
    </w:lvl>
  </w:abstractNum>
  <w:abstractNum w:abstractNumId="8">
    <w:nsid w:val="2ADD8510"/>
    <w:multiLevelType w:val="singleLevel"/>
    <w:tmpl w:val="2ADD8510"/>
    <w:lvl w:ilvl="0" w:tentative="0">
      <w:start w:val="1"/>
      <w:numFmt w:val="decimal"/>
      <w:suff w:val="space"/>
      <w:lvlText w:val="%1."/>
      <w:lvlJc w:val="left"/>
    </w:lvl>
  </w:abstractNum>
  <w:abstractNum w:abstractNumId="9">
    <w:nsid w:val="3DAA578F"/>
    <w:multiLevelType w:val="multilevel"/>
    <w:tmpl w:val="3DAA578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3DFF7135"/>
    <w:multiLevelType w:val="singleLevel"/>
    <w:tmpl w:val="3DFF7135"/>
    <w:lvl w:ilvl="0" w:tentative="0">
      <w:start w:val="1"/>
      <w:numFmt w:val="decimal"/>
      <w:suff w:val="nothing"/>
      <w:lvlText w:val="（%1）"/>
      <w:lvlJc w:val="left"/>
    </w:lvl>
  </w:abstractNum>
  <w:abstractNum w:abstractNumId="11">
    <w:nsid w:val="407B2A57"/>
    <w:multiLevelType w:val="singleLevel"/>
    <w:tmpl w:val="407B2A57"/>
    <w:lvl w:ilvl="0" w:tentative="0">
      <w:start w:val="1"/>
      <w:numFmt w:val="decimal"/>
      <w:suff w:val="space"/>
      <w:lvlText w:val="%1."/>
      <w:lvlJc w:val="left"/>
    </w:lvl>
  </w:abstractNum>
  <w:abstractNum w:abstractNumId="12">
    <w:nsid w:val="4478006F"/>
    <w:multiLevelType w:val="singleLevel"/>
    <w:tmpl w:val="4478006F"/>
    <w:lvl w:ilvl="0" w:tentative="0">
      <w:start w:val="2"/>
      <w:numFmt w:val="decimal"/>
      <w:suff w:val="space"/>
      <w:lvlText w:val="%1."/>
      <w:lvlJc w:val="left"/>
    </w:lvl>
  </w:abstractNum>
  <w:abstractNum w:abstractNumId="13">
    <w:nsid w:val="686C33A8"/>
    <w:multiLevelType w:val="singleLevel"/>
    <w:tmpl w:val="686C33A8"/>
    <w:lvl w:ilvl="0" w:tentative="0">
      <w:start w:val="4"/>
      <w:numFmt w:val="decimal"/>
      <w:suff w:val="nothing"/>
      <w:lvlText w:val="%1）"/>
      <w:lvlJc w:val="left"/>
    </w:lvl>
  </w:abstractNum>
  <w:abstractNum w:abstractNumId="14">
    <w:nsid w:val="69D88FC4"/>
    <w:multiLevelType w:val="singleLevel"/>
    <w:tmpl w:val="69D88FC4"/>
    <w:lvl w:ilvl="0" w:tentative="0">
      <w:start w:val="1"/>
      <w:numFmt w:val="decimal"/>
      <w:pStyle w:val="12"/>
      <w:lvlText w:val="%1."/>
      <w:lvlJc w:val="left"/>
      <w:pPr>
        <w:tabs>
          <w:tab w:val="left" w:pos="2040"/>
        </w:tabs>
        <w:ind w:left="2040" w:hanging="360"/>
      </w:pPr>
    </w:lvl>
  </w:abstractNum>
  <w:num w:numId="1">
    <w:abstractNumId w:val="14"/>
  </w:num>
  <w:num w:numId="2">
    <w:abstractNumId w:val="11"/>
  </w:num>
  <w:num w:numId="3">
    <w:abstractNumId w:val="2"/>
  </w:num>
  <w:num w:numId="4">
    <w:abstractNumId w:val="9"/>
  </w:num>
  <w:num w:numId="5">
    <w:abstractNumId w:val="5"/>
  </w:num>
  <w:num w:numId="6">
    <w:abstractNumId w:val="6"/>
  </w:num>
  <w:num w:numId="7">
    <w:abstractNumId w:val="1"/>
  </w:num>
  <w:num w:numId="8">
    <w:abstractNumId w:val="4"/>
  </w:num>
  <w:num w:numId="9">
    <w:abstractNumId w:val="8"/>
  </w:num>
  <w:num w:numId="10">
    <w:abstractNumId w:val="3"/>
  </w:num>
  <w:num w:numId="11">
    <w:abstractNumId w:val="12"/>
  </w:num>
  <w:num w:numId="12">
    <w:abstractNumId w:val="10"/>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TVjZDI3OWE3NDIyOWZjZmZkNzM3YmQyYWMwNTkifQ=="/>
  </w:docVars>
  <w:rsids>
    <w:rsidRoot w:val="67980FE5"/>
    <w:rsid w:val="0009488B"/>
    <w:rsid w:val="003E0BDE"/>
    <w:rsid w:val="007F7A19"/>
    <w:rsid w:val="008C54AF"/>
    <w:rsid w:val="00CE72AE"/>
    <w:rsid w:val="00FF3E4E"/>
    <w:rsid w:val="0103164E"/>
    <w:rsid w:val="01D30EF5"/>
    <w:rsid w:val="02313F99"/>
    <w:rsid w:val="02694163"/>
    <w:rsid w:val="02935112"/>
    <w:rsid w:val="02B86440"/>
    <w:rsid w:val="030564A6"/>
    <w:rsid w:val="037800D1"/>
    <w:rsid w:val="039A448E"/>
    <w:rsid w:val="03E85675"/>
    <w:rsid w:val="04126C7F"/>
    <w:rsid w:val="044D3A3F"/>
    <w:rsid w:val="046449A2"/>
    <w:rsid w:val="04B01ED3"/>
    <w:rsid w:val="04E76FFC"/>
    <w:rsid w:val="04F95F88"/>
    <w:rsid w:val="0548762F"/>
    <w:rsid w:val="05535400"/>
    <w:rsid w:val="05806C7B"/>
    <w:rsid w:val="05B64343"/>
    <w:rsid w:val="05CB682C"/>
    <w:rsid w:val="05D830A9"/>
    <w:rsid w:val="06255BC2"/>
    <w:rsid w:val="069939DF"/>
    <w:rsid w:val="07CA3BB3"/>
    <w:rsid w:val="07E93F43"/>
    <w:rsid w:val="083A40D3"/>
    <w:rsid w:val="08866721"/>
    <w:rsid w:val="091129AE"/>
    <w:rsid w:val="099166F8"/>
    <w:rsid w:val="09995A79"/>
    <w:rsid w:val="09F50440"/>
    <w:rsid w:val="0B01251E"/>
    <w:rsid w:val="0B354AFA"/>
    <w:rsid w:val="0BED0F30"/>
    <w:rsid w:val="0DBF5033"/>
    <w:rsid w:val="0E1553C7"/>
    <w:rsid w:val="0E2456B7"/>
    <w:rsid w:val="0E39220B"/>
    <w:rsid w:val="0E497FFD"/>
    <w:rsid w:val="0E5E215E"/>
    <w:rsid w:val="0E6059EA"/>
    <w:rsid w:val="0E9D3BCF"/>
    <w:rsid w:val="0ED360A3"/>
    <w:rsid w:val="0F1B5DB5"/>
    <w:rsid w:val="0F497C94"/>
    <w:rsid w:val="0F8B4F32"/>
    <w:rsid w:val="0F9604D2"/>
    <w:rsid w:val="0FA61B22"/>
    <w:rsid w:val="0FD27FE2"/>
    <w:rsid w:val="10211F7A"/>
    <w:rsid w:val="10675911"/>
    <w:rsid w:val="10B84498"/>
    <w:rsid w:val="10C85C02"/>
    <w:rsid w:val="10D57C4B"/>
    <w:rsid w:val="11852033"/>
    <w:rsid w:val="119216F0"/>
    <w:rsid w:val="11926F28"/>
    <w:rsid w:val="12267405"/>
    <w:rsid w:val="124262B2"/>
    <w:rsid w:val="12A27A80"/>
    <w:rsid w:val="12C10A21"/>
    <w:rsid w:val="12C11726"/>
    <w:rsid w:val="12C624DB"/>
    <w:rsid w:val="12E34923"/>
    <w:rsid w:val="12F24D30"/>
    <w:rsid w:val="1311000A"/>
    <w:rsid w:val="133A5A22"/>
    <w:rsid w:val="13CC0962"/>
    <w:rsid w:val="13FF1D8F"/>
    <w:rsid w:val="14053F9F"/>
    <w:rsid w:val="140A2A71"/>
    <w:rsid w:val="144A5D9E"/>
    <w:rsid w:val="147C5046"/>
    <w:rsid w:val="14A64372"/>
    <w:rsid w:val="14C10B1B"/>
    <w:rsid w:val="14E0299A"/>
    <w:rsid w:val="14FB4921"/>
    <w:rsid w:val="15307D21"/>
    <w:rsid w:val="156A3B08"/>
    <w:rsid w:val="159F6110"/>
    <w:rsid w:val="15DB1268"/>
    <w:rsid w:val="168F1D48"/>
    <w:rsid w:val="16B32D77"/>
    <w:rsid w:val="16CE2494"/>
    <w:rsid w:val="16F41A5E"/>
    <w:rsid w:val="171234B7"/>
    <w:rsid w:val="171B35E1"/>
    <w:rsid w:val="17317E01"/>
    <w:rsid w:val="174A162C"/>
    <w:rsid w:val="176F442A"/>
    <w:rsid w:val="179269BF"/>
    <w:rsid w:val="179E4A77"/>
    <w:rsid w:val="17C145E0"/>
    <w:rsid w:val="17D51F7A"/>
    <w:rsid w:val="18862A99"/>
    <w:rsid w:val="189D02AC"/>
    <w:rsid w:val="18A24E51"/>
    <w:rsid w:val="18AE14D0"/>
    <w:rsid w:val="18BB1E18"/>
    <w:rsid w:val="18F25DD8"/>
    <w:rsid w:val="196F49F6"/>
    <w:rsid w:val="1A3846EC"/>
    <w:rsid w:val="1A3B4F2E"/>
    <w:rsid w:val="1A9975C5"/>
    <w:rsid w:val="1B172EA6"/>
    <w:rsid w:val="1B441353"/>
    <w:rsid w:val="1B662ED7"/>
    <w:rsid w:val="1C3F5A22"/>
    <w:rsid w:val="1C744D47"/>
    <w:rsid w:val="1C953448"/>
    <w:rsid w:val="1CAE2016"/>
    <w:rsid w:val="1CDB1DE1"/>
    <w:rsid w:val="1D634F0F"/>
    <w:rsid w:val="1D806C61"/>
    <w:rsid w:val="1DAC0B17"/>
    <w:rsid w:val="1DB53814"/>
    <w:rsid w:val="1DFD5237"/>
    <w:rsid w:val="1EBD030D"/>
    <w:rsid w:val="1ED15529"/>
    <w:rsid w:val="1F30529C"/>
    <w:rsid w:val="1F311295"/>
    <w:rsid w:val="1F706CD7"/>
    <w:rsid w:val="1F9C30F5"/>
    <w:rsid w:val="1FAC5719"/>
    <w:rsid w:val="202D2326"/>
    <w:rsid w:val="20343B8A"/>
    <w:rsid w:val="20667DE2"/>
    <w:rsid w:val="20F20322"/>
    <w:rsid w:val="21062B1E"/>
    <w:rsid w:val="21521B0A"/>
    <w:rsid w:val="216926A5"/>
    <w:rsid w:val="21892EE6"/>
    <w:rsid w:val="218E62E1"/>
    <w:rsid w:val="21BE7AB3"/>
    <w:rsid w:val="225B3186"/>
    <w:rsid w:val="22B07B09"/>
    <w:rsid w:val="22D47E54"/>
    <w:rsid w:val="23782898"/>
    <w:rsid w:val="23C73B1B"/>
    <w:rsid w:val="23EE42A9"/>
    <w:rsid w:val="2415065A"/>
    <w:rsid w:val="245629B3"/>
    <w:rsid w:val="247D36B1"/>
    <w:rsid w:val="24FE5668"/>
    <w:rsid w:val="250E1156"/>
    <w:rsid w:val="251C342B"/>
    <w:rsid w:val="25970E47"/>
    <w:rsid w:val="25AC3811"/>
    <w:rsid w:val="264D464E"/>
    <w:rsid w:val="274C318E"/>
    <w:rsid w:val="278821C7"/>
    <w:rsid w:val="279E0B42"/>
    <w:rsid w:val="27A22A72"/>
    <w:rsid w:val="2836292F"/>
    <w:rsid w:val="28481571"/>
    <w:rsid w:val="28971361"/>
    <w:rsid w:val="28F2772E"/>
    <w:rsid w:val="290F0E16"/>
    <w:rsid w:val="298A078E"/>
    <w:rsid w:val="29E256AC"/>
    <w:rsid w:val="29FD5CED"/>
    <w:rsid w:val="2A12386E"/>
    <w:rsid w:val="2A5559CD"/>
    <w:rsid w:val="2A5749FC"/>
    <w:rsid w:val="2A943D8F"/>
    <w:rsid w:val="2AB540C8"/>
    <w:rsid w:val="2AFA72B8"/>
    <w:rsid w:val="2B032B2B"/>
    <w:rsid w:val="2B3043E2"/>
    <w:rsid w:val="2B574B0E"/>
    <w:rsid w:val="2BE72C13"/>
    <w:rsid w:val="2BFB482B"/>
    <w:rsid w:val="2C080EED"/>
    <w:rsid w:val="2C626979"/>
    <w:rsid w:val="2CD270CB"/>
    <w:rsid w:val="2CDE1AA8"/>
    <w:rsid w:val="2D022E7A"/>
    <w:rsid w:val="2D641D76"/>
    <w:rsid w:val="2D6C472B"/>
    <w:rsid w:val="2DAE7E05"/>
    <w:rsid w:val="2DD94D7A"/>
    <w:rsid w:val="2E870919"/>
    <w:rsid w:val="2ED551CF"/>
    <w:rsid w:val="2F2B5748"/>
    <w:rsid w:val="2F7160D7"/>
    <w:rsid w:val="2FA95A94"/>
    <w:rsid w:val="2FBE55F0"/>
    <w:rsid w:val="30430BD2"/>
    <w:rsid w:val="307B1654"/>
    <w:rsid w:val="30AE4AB8"/>
    <w:rsid w:val="31DA7664"/>
    <w:rsid w:val="31E0551B"/>
    <w:rsid w:val="32065EDE"/>
    <w:rsid w:val="321C75CA"/>
    <w:rsid w:val="322F554F"/>
    <w:rsid w:val="32476D3D"/>
    <w:rsid w:val="328033FE"/>
    <w:rsid w:val="335F672E"/>
    <w:rsid w:val="337F5D3E"/>
    <w:rsid w:val="338474A6"/>
    <w:rsid w:val="33A930DF"/>
    <w:rsid w:val="33C10935"/>
    <w:rsid w:val="33C63C91"/>
    <w:rsid w:val="344C2B3A"/>
    <w:rsid w:val="345A624E"/>
    <w:rsid w:val="35457CFA"/>
    <w:rsid w:val="35665591"/>
    <w:rsid w:val="358108B6"/>
    <w:rsid w:val="35BE4A70"/>
    <w:rsid w:val="360172AF"/>
    <w:rsid w:val="36037B79"/>
    <w:rsid w:val="363A7AC7"/>
    <w:rsid w:val="36B0089D"/>
    <w:rsid w:val="36DE7DDF"/>
    <w:rsid w:val="37140AED"/>
    <w:rsid w:val="37206C27"/>
    <w:rsid w:val="374A18CF"/>
    <w:rsid w:val="37772674"/>
    <w:rsid w:val="38003A12"/>
    <w:rsid w:val="381A0117"/>
    <w:rsid w:val="388F27A6"/>
    <w:rsid w:val="38B126FE"/>
    <w:rsid w:val="38DE6A5C"/>
    <w:rsid w:val="3938121A"/>
    <w:rsid w:val="395A362E"/>
    <w:rsid w:val="395E0B08"/>
    <w:rsid w:val="396247D5"/>
    <w:rsid w:val="39B30881"/>
    <w:rsid w:val="3A0F10B1"/>
    <w:rsid w:val="3A917BC0"/>
    <w:rsid w:val="3AC07695"/>
    <w:rsid w:val="3AE531F3"/>
    <w:rsid w:val="3B1672AC"/>
    <w:rsid w:val="3B6745BF"/>
    <w:rsid w:val="3B9823B7"/>
    <w:rsid w:val="3BE715F3"/>
    <w:rsid w:val="3BF80651"/>
    <w:rsid w:val="3C1F090A"/>
    <w:rsid w:val="3C202D31"/>
    <w:rsid w:val="3C6C155A"/>
    <w:rsid w:val="3C88242C"/>
    <w:rsid w:val="3C95322C"/>
    <w:rsid w:val="3CEE4A8F"/>
    <w:rsid w:val="3D2A34E3"/>
    <w:rsid w:val="3D5175D3"/>
    <w:rsid w:val="3D5379EA"/>
    <w:rsid w:val="3D6C08E1"/>
    <w:rsid w:val="3D8F3454"/>
    <w:rsid w:val="3DA00B83"/>
    <w:rsid w:val="3DA91EB2"/>
    <w:rsid w:val="3E391C30"/>
    <w:rsid w:val="3E44226D"/>
    <w:rsid w:val="3E447693"/>
    <w:rsid w:val="3E57542F"/>
    <w:rsid w:val="3E8604C7"/>
    <w:rsid w:val="3E90381A"/>
    <w:rsid w:val="3EC57153"/>
    <w:rsid w:val="3F361E53"/>
    <w:rsid w:val="3FC3686F"/>
    <w:rsid w:val="40641AC8"/>
    <w:rsid w:val="407837C6"/>
    <w:rsid w:val="40D75C7C"/>
    <w:rsid w:val="412F4AFC"/>
    <w:rsid w:val="4182706A"/>
    <w:rsid w:val="41DA45D5"/>
    <w:rsid w:val="41E31C01"/>
    <w:rsid w:val="42162E29"/>
    <w:rsid w:val="42435509"/>
    <w:rsid w:val="42BB6D5E"/>
    <w:rsid w:val="43361D27"/>
    <w:rsid w:val="43755966"/>
    <w:rsid w:val="439434BD"/>
    <w:rsid w:val="43A14F97"/>
    <w:rsid w:val="43F565F9"/>
    <w:rsid w:val="443941AE"/>
    <w:rsid w:val="44395C04"/>
    <w:rsid w:val="447E28B7"/>
    <w:rsid w:val="44A9094A"/>
    <w:rsid w:val="44C7283A"/>
    <w:rsid w:val="44ED471A"/>
    <w:rsid w:val="453123FC"/>
    <w:rsid w:val="453D7344"/>
    <w:rsid w:val="45470008"/>
    <w:rsid w:val="458C7E36"/>
    <w:rsid w:val="45DD7062"/>
    <w:rsid w:val="45F42696"/>
    <w:rsid w:val="46024BE0"/>
    <w:rsid w:val="460A425E"/>
    <w:rsid w:val="460C6F4D"/>
    <w:rsid w:val="46D10C63"/>
    <w:rsid w:val="46E768C8"/>
    <w:rsid w:val="470D2D84"/>
    <w:rsid w:val="470E09D2"/>
    <w:rsid w:val="47265BBB"/>
    <w:rsid w:val="481D3E1B"/>
    <w:rsid w:val="48324B0C"/>
    <w:rsid w:val="484C0346"/>
    <w:rsid w:val="485E1B22"/>
    <w:rsid w:val="488B7BED"/>
    <w:rsid w:val="48982279"/>
    <w:rsid w:val="49311755"/>
    <w:rsid w:val="49B51CC7"/>
    <w:rsid w:val="4A094FB0"/>
    <w:rsid w:val="4A48433E"/>
    <w:rsid w:val="4A5D14ED"/>
    <w:rsid w:val="4A7367A7"/>
    <w:rsid w:val="4B085962"/>
    <w:rsid w:val="4B42086F"/>
    <w:rsid w:val="4B4B11F4"/>
    <w:rsid w:val="4B7F49FA"/>
    <w:rsid w:val="4BC00D35"/>
    <w:rsid w:val="4C143394"/>
    <w:rsid w:val="4C161060"/>
    <w:rsid w:val="4C2C333A"/>
    <w:rsid w:val="4C45069C"/>
    <w:rsid w:val="4C676AE7"/>
    <w:rsid w:val="4C692644"/>
    <w:rsid w:val="4C6D0CF6"/>
    <w:rsid w:val="4C7B39D9"/>
    <w:rsid w:val="4CBF67BB"/>
    <w:rsid w:val="4CEF245C"/>
    <w:rsid w:val="4D495FE2"/>
    <w:rsid w:val="4D5819A6"/>
    <w:rsid w:val="4D5C226E"/>
    <w:rsid w:val="4DCD60F1"/>
    <w:rsid w:val="4DE12E81"/>
    <w:rsid w:val="4DF57E4E"/>
    <w:rsid w:val="4E29287F"/>
    <w:rsid w:val="4E976DD3"/>
    <w:rsid w:val="4EE03289"/>
    <w:rsid w:val="4F10078B"/>
    <w:rsid w:val="4F693E9D"/>
    <w:rsid w:val="4F977931"/>
    <w:rsid w:val="503950A6"/>
    <w:rsid w:val="503B654B"/>
    <w:rsid w:val="505A04FD"/>
    <w:rsid w:val="508109D6"/>
    <w:rsid w:val="50C56D06"/>
    <w:rsid w:val="50EA52AF"/>
    <w:rsid w:val="512578E0"/>
    <w:rsid w:val="515B365E"/>
    <w:rsid w:val="5176485F"/>
    <w:rsid w:val="51B547D9"/>
    <w:rsid w:val="527B7164"/>
    <w:rsid w:val="529074B3"/>
    <w:rsid w:val="538D3E6A"/>
    <w:rsid w:val="53B27CA3"/>
    <w:rsid w:val="53D861B5"/>
    <w:rsid w:val="54212AF2"/>
    <w:rsid w:val="54344FEF"/>
    <w:rsid w:val="54641936"/>
    <w:rsid w:val="54786200"/>
    <w:rsid w:val="54A95B34"/>
    <w:rsid w:val="54BE1EE5"/>
    <w:rsid w:val="54CC4504"/>
    <w:rsid w:val="54E67343"/>
    <w:rsid w:val="55295FC7"/>
    <w:rsid w:val="556E491F"/>
    <w:rsid w:val="55B50BF9"/>
    <w:rsid w:val="55CF0523"/>
    <w:rsid w:val="56173B54"/>
    <w:rsid w:val="56277B56"/>
    <w:rsid w:val="56584180"/>
    <w:rsid w:val="569E45C8"/>
    <w:rsid w:val="56B57E6A"/>
    <w:rsid w:val="56EB3925"/>
    <w:rsid w:val="57177978"/>
    <w:rsid w:val="5748116E"/>
    <w:rsid w:val="57541431"/>
    <w:rsid w:val="575D2B7A"/>
    <w:rsid w:val="57CC2F31"/>
    <w:rsid w:val="57D1114F"/>
    <w:rsid w:val="57F9792E"/>
    <w:rsid w:val="58106C72"/>
    <w:rsid w:val="581D7A74"/>
    <w:rsid w:val="581F1A3E"/>
    <w:rsid w:val="588334CB"/>
    <w:rsid w:val="58F41925"/>
    <w:rsid w:val="59555B55"/>
    <w:rsid w:val="59A44A9E"/>
    <w:rsid w:val="59AC2144"/>
    <w:rsid w:val="5A7D584B"/>
    <w:rsid w:val="5A873957"/>
    <w:rsid w:val="5AD44E60"/>
    <w:rsid w:val="5ADF059F"/>
    <w:rsid w:val="5AE471EC"/>
    <w:rsid w:val="5B0721C0"/>
    <w:rsid w:val="5B294420"/>
    <w:rsid w:val="5B4D2C7B"/>
    <w:rsid w:val="5B8A65F6"/>
    <w:rsid w:val="5BFE1D96"/>
    <w:rsid w:val="5CB25527"/>
    <w:rsid w:val="5CBE078C"/>
    <w:rsid w:val="5CDE52F4"/>
    <w:rsid w:val="5CFB2FC7"/>
    <w:rsid w:val="5D2258B0"/>
    <w:rsid w:val="5D61566A"/>
    <w:rsid w:val="5DAC4A7F"/>
    <w:rsid w:val="5DAF4C1B"/>
    <w:rsid w:val="5DB22A0D"/>
    <w:rsid w:val="5DEA061C"/>
    <w:rsid w:val="5E435D5B"/>
    <w:rsid w:val="5E7023FD"/>
    <w:rsid w:val="5EB060F0"/>
    <w:rsid w:val="5EB42026"/>
    <w:rsid w:val="5EE46A0E"/>
    <w:rsid w:val="5F3F50D5"/>
    <w:rsid w:val="5F3F6522"/>
    <w:rsid w:val="5F5F0E00"/>
    <w:rsid w:val="5FA0113E"/>
    <w:rsid w:val="5FA34D03"/>
    <w:rsid w:val="5FD01870"/>
    <w:rsid w:val="5FEB4786"/>
    <w:rsid w:val="60597AB8"/>
    <w:rsid w:val="60AF1486"/>
    <w:rsid w:val="60F375C4"/>
    <w:rsid w:val="612A5A76"/>
    <w:rsid w:val="613A51F3"/>
    <w:rsid w:val="6187654F"/>
    <w:rsid w:val="61D57D98"/>
    <w:rsid w:val="61FB637A"/>
    <w:rsid w:val="62A6202B"/>
    <w:rsid w:val="62F17500"/>
    <w:rsid w:val="631F69B0"/>
    <w:rsid w:val="632E5E9A"/>
    <w:rsid w:val="6439562F"/>
    <w:rsid w:val="64667CD0"/>
    <w:rsid w:val="6495790D"/>
    <w:rsid w:val="64D5606D"/>
    <w:rsid w:val="65136487"/>
    <w:rsid w:val="65400C5F"/>
    <w:rsid w:val="655F5FBF"/>
    <w:rsid w:val="658747F3"/>
    <w:rsid w:val="65902389"/>
    <w:rsid w:val="65CE4430"/>
    <w:rsid w:val="66110D10"/>
    <w:rsid w:val="662E5667"/>
    <w:rsid w:val="667F71EB"/>
    <w:rsid w:val="66C75668"/>
    <w:rsid w:val="67980FE5"/>
    <w:rsid w:val="682A207A"/>
    <w:rsid w:val="685A0483"/>
    <w:rsid w:val="68840AC9"/>
    <w:rsid w:val="68BE44FF"/>
    <w:rsid w:val="68F2674C"/>
    <w:rsid w:val="692F7608"/>
    <w:rsid w:val="69312995"/>
    <w:rsid w:val="6933728A"/>
    <w:rsid w:val="6984179B"/>
    <w:rsid w:val="69DB13D5"/>
    <w:rsid w:val="69E3703B"/>
    <w:rsid w:val="69F81F39"/>
    <w:rsid w:val="6A745C1A"/>
    <w:rsid w:val="6A836E4A"/>
    <w:rsid w:val="6AA26706"/>
    <w:rsid w:val="6ABA5651"/>
    <w:rsid w:val="6ADD0113"/>
    <w:rsid w:val="6AFD2840"/>
    <w:rsid w:val="6B0A3082"/>
    <w:rsid w:val="6B104D22"/>
    <w:rsid w:val="6C44786E"/>
    <w:rsid w:val="6CB5285B"/>
    <w:rsid w:val="6CCB7647"/>
    <w:rsid w:val="6D7C71E0"/>
    <w:rsid w:val="6D9A2F69"/>
    <w:rsid w:val="6DBA186E"/>
    <w:rsid w:val="6DCF15C0"/>
    <w:rsid w:val="6E521560"/>
    <w:rsid w:val="6E761835"/>
    <w:rsid w:val="6E9F25E5"/>
    <w:rsid w:val="6EC87D8E"/>
    <w:rsid w:val="6EE36ECA"/>
    <w:rsid w:val="6EEB1F42"/>
    <w:rsid w:val="6F3516F0"/>
    <w:rsid w:val="703B4AE4"/>
    <w:rsid w:val="70982241"/>
    <w:rsid w:val="71327A38"/>
    <w:rsid w:val="71460A55"/>
    <w:rsid w:val="71EE6FDC"/>
    <w:rsid w:val="72015146"/>
    <w:rsid w:val="723E08BB"/>
    <w:rsid w:val="724A54B2"/>
    <w:rsid w:val="726E11B2"/>
    <w:rsid w:val="728B1556"/>
    <w:rsid w:val="72D34FCC"/>
    <w:rsid w:val="72F07A43"/>
    <w:rsid w:val="73114151"/>
    <w:rsid w:val="7363159A"/>
    <w:rsid w:val="73F2786D"/>
    <w:rsid w:val="74075FB0"/>
    <w:rsid w:val="742668EB"/>
    <w:rsid w:val="74432146"/>
    <w:rsid w:val="74566390"/>
    <w:rsid w:val="74733600"/>
    <w:rsid w:val="7477201A"/>
    <w:rsid w:val="748075F9"/>
    <w:rsid w:val="74A0585D"/>
    <w:rsid w:val="74B63003"/>
    <w:rsid w:val="74FE57B1"/>
    <w:rsid w:val="75660D45"/>
    <w:rsid w:val="75931CFF"/>
    <w:rsid w:val="759D3620"/>
    <w:rsid w:val="75CA0DE4"/>
    <w:rsid w:val="76454550"/>
    <w:rsid w:val="765C7413"/>
    <w:rsid w:val="78230CBB"/>
    <w:rsid w:val="787C441C"/>
    <w:rsid w:val="78A06E3A"/>
    <w:rsid w:val="78A438C9"/>
    <w:rsid w:val="78E421BD"/>
    <w:rsid w:val="79094655"/>
    <w:rsid w:val="791A0A74"/>
    <w:rsid w:val="792D08AA"/>
    <w:rsid w:val="79632555"/>
    <w:rsid w:val="798B1086"/>
    <w:rsid w:val="79E139F7"/>
    <w:rsid w:val="79FD73B6"/>
    <w:rsid w:val="7A285573"/>
    <w:rsid w:val="7A5436E3"/>
    <w:rsid w:val="7AD565D6"/>
    <w:rsid w:val="7AE85080"/>
    <w:rsid w:val="7BC31525"/>
    <w:rsid w:val="7C697861"/>
    <w:rsid w:val="7C897502"/>
    <w:rsid w:val="7CC13A81"/>
    <w:rsid w:val="7D541CBA"/>
    <w:rsid w:val="7E054C53"/>
    <w:rsid w:val="7E1C5F55"/>
    <w:rsid w:val="7F4E2B3D"/>
    <w:rsid w:val="7F715921"/>
    <w:rsid w:val="7F822B40"/>
    <w:rsid w:val="7FB7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0"/>
    <w:pPr>
      <w:keepNext/>
      <w:keepLines/>
      <w:widowControl/>
      <w:tabs>
        <w:tab w:val="left" w:pos="377"/>
      </w:tabs>
      <w:spacing w:before="50" w:beforeLines="50" w:line="360" w:lineRule="auto"/>
      <w:outlineLvl w:val="1"/>
    </w:pPr>
    <w:rPr>
      <w:rFonts w:ascii="黑体" w:hAnsi="黑体" w:eastAsia="黑体" w:cs="Times New Roman"/>
      <w:bCs/>
      <w:color w:val="000000"/>
      <w:sz w:val="24"/>
      <w:szCs w:val="1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style>
  <w:style w:type="paragraph" w:styleId="4">
    <w:name w:val="annotation text"/>
    <w:basedOn w:val="1"/>
    <w:autoRedefine/>
    <w:semiHidden/>
    <w:qFormat/>
    <w:uiPriority w:val="0"/>
    <w:pPr>
      <w:jc w:val="left"/>
    </w:pPr>
    <w:rPr>
      <w:kern w:val="0"/>
      <w:sz w:val="24"/>
      <w:szCs w:val="20"/>
    </w:rPr>
  </w:style>
  <w:style w:type="paragraph" w:styleId="5">
    <w:name w:val="Body Text"/>
    <w:basedOn w:val="1"/>
    <w:next w:val="6"/>
    <w:autoRedefine/>
    <w:qFormat/>
    <w:uiPriority w:val="0"/>
    <w:pPr>
      <w:widowControl/>
      <w:snapToGrid w:val="0"/>
      <w:spacing w:before="60" w:after="160" w:line="259" w:lineRule="auto"/>
      <w:ind w:right="113"/>
    </w:pPr>
    <w:rPr>
      <w:kern w:val="0"/>
      <w:sz w:val="18"/>
      <w:szCs w:val="20"/>
    </w:rPr>
  </w:style>
  <w:style w:type="paragraph" w:customStyle="1" w:styleId="6">
    <w:name w:val="正文首行缩进 21"/>
    <w:basedOn w:val="7"/>
    <w:next w:val="5"/>
    <w:autoRedefine/>
    <w:qFormat/>
    <w:uiPriority w:val="0"/>
    <w:pPr>
      <w:spacing w:after="120"/>
      <w:ind w:left="420" w:leftChars="200" w:firstLine="420" w:firstLineChars="200"/>
    </w:pPr>
    <w:rPr>
      <w:sz w:val="21"/>
    </w:rPr>
  </w:style>
  <w:style w:type="paragraph" w:customStyle="1" w:styleId="7">
    <w:name w:val="正文文本缩进1"/>
    <w:basedOn w:val="1"/>
    <w:autoRedefine/>
    <w:qFormat/>
    <w:uiPriority w:val="0"/>
    <w:pPr>
      <w:ind w:firstLine="538" w:firstLineChars="192"/>
    </w:pPr>
    <w:rPr>
      <w:kern w:val="0"/>
      <w:sz w:val="28"/>
    </w:rPr>
  </w:style>
  <w:style w:type="paragraph" w:styleId="8">
    <w:name w:val="Body Text Indent"/>
    <w:basedOn w:val="1"/>
    <w:next w:val="9"/>
    <w:autoRedefine/>
    <w:qFormat/>
    <w:uiPriority w:val="0"/>
    <w:pPr>
      <w:spacing w:after="120"/>
      <w:ind w:left="420" w:leftChars="200"/>
    </w:pPr>
    <w:rPr>
      <w:kern w:val="0"/>
      <w:sz w:val="24"/>
      <w:szCs w:val="20"/>
    </w:rPr>
  </w:style>
  <w:style w:type="paragraph" w:styleId="9">
    <w:name w:val="Body Text Indent 2"/>
    <w:basedOn w:val="1"/>
    <w:next w:val="10"/>
    <w:autoRedefine/>
    <w:qFormat/>
    <w:uiPriority w:val="0"/>
    <w:pPr>
      <w:ind w:firstLine="560"/>
    </w:pPr>
    <w:rPr>
      <w:rFonts w:ascii="宋体"/>
      <w:color w:val="FF0000"/>
      <w:kern w:val="0"/>
      <w:sz w:val="28"/>
      <w:szCs w:val="28"/>
    </w:rPr>
  </w:style>
  <w:style w:type="paragraph" w:customStyle="1" w:styleId="10">
    <w:name w:val="表格文字"/>
    <w:basedOn w:val="1"/>
    <w:autoRedefine/>
    <w:qFormat/>
    <w:uiPriority w:val="0"/>
    <w:pPr>
      <w:spacing w:line="300" w:lineRule="exact"/>
      <w:jc w:val="center"/>
    </w:pPr>
    <w:rPr>
      <w:rFonts w:ascii="宋体"/>
      <w:kern w:val="0"/>
      <w:szCs w:val="32"/>
    </w:rPr>
  </w:style>
  <w:style w:type="paragraph" w:styleId="11">
    <w:name w:val="Plain Text"/>
    <w:basedOn w:val="1"/>
    <w:next w:val="12"/>
    <w:autoRedefine/>
    <w:qFormat/>
    <w:uiPriority w:val="99"/>
    <w:rPr>
      <w:rFonts w:ascii="宋体" w:hAnsi="Courier New" w:eastAsia="仿宋_GB2312"/>
      <w:sz w:val="28"/>
    </w:rPr>
  </w:style>
  <w:style w:type="paragraph" w:styleId="12">
    <w:name w:val="List Number 5"/>
    <w:basedOn w:val="1"/>
    <w:autoRedefine/>
    <w:qFormat/>
    <w:uiPriority w:val="0"/>
    <w:pPr>
      <w:numPr>
        <w:ilvl w:val="0"/>
        <w:numId w:val="1"/>
      </w:numPr>
    </w:pPr>
  </w:style>
  <w:style w:type="paragraph" w:styleId="13">
    <w:name w:val="footer"/>
    <w:basedOn w:val="1"/>
    <w:autoRedefine/>
    <w:qFormat/>
    <w:uiPriority w:val="99"/>
    <w:pPr>
      <w:tabs>
        <w:tab w:val="center" w:pos="4153"/>
        <w:tab w:val="right" w:pos="8306"/>
      </w:tabs>
      <w:snapToGrid w:val="0"/>
      <w:jc w:val="left"/>
    </w:pPr>
    <w:rPr>
      <w:kern w:val="0"/>
      <w:sz w:val="18"/>
      <w:szCs w:val="20"/>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List"/>
    <w:basedOn w:val="1"/>
    <w:autoRedefine/>
    <w:qFormat/>
    <w:uiPriority w:val="0"/>
    <w:pPr>
      <w:jc w:val="center"/>
    </w:pPr>
    <w:rPr>
      <w:rFonts w:ascii="宋体"/>
      <w:sz w:val="24"/>
      <w:szCs w:val="24"/>
    </w:rPr>
  </w:style>
  <w:style w:type="paragraph" w:styleId="16">
    <w:name w:val="footnote text"/>
    <w:basedOn w:val="1"/>
    <w:autoRedefine/>
    <w:qFormat/>
    <w:uiPriority w:val="0"/>
    <w:pPr>
      <w:snapToGrid w:val="0"/>
      <w:jc w:val="left"/>
    </w:pPr>
    <w:rPr>
      <w:sz w:val="18"/>
    </w:rPr>
  </w:style>
  <w:style w:type="paragraph" w:styleId="17">
    <w:name w:val="table of figures"/>
    <w:basedOn w:val="1"/>
    <w:next w:val="1"/>
    <w:autoRedefine/>
    <w:qFormat/>
    <w:uiPriority w:val="0"/>
    <w:pPr>
      <w:ind w:left="200" w:leftChars="200" w:hanging="200" w:hangingChars="200"/>
    </w:pPr>
    <w:rPr>
      <w:rFonts w:ascii="Calibri" w:hAnsi="Calibri"/>
      <w:szCs w:val="22"/>
    </w:rPr>
  </w:style>
  <w:style w:type="paragraph" w:styleId="18">
    <w:name w:val="Body Text 2"/>
    <w:basedOn w:val="1"/>
    <w:autoRedefine/>
    <w:unhideWhenUsed/>
    <w:qFormat/>
    <w:uiPriority w:val="99"/>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0">
    <w:name w:val="Body Text First Indent 2"/>
    <w:basedOn w:val="8"/>
    <w:next w:val="1"/>
    <w:autoRedefine/>
    <w:qFormat/>
    <w:uiPriority w:val="0"/>
    <w:pPr>
      <w:ind w:firstLine="420" w:firstLineChars="200"/>
    </w:p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footnote reference"/>
    <w:basedOn w:val="23"/>
    <w:autoRedefine/>
    <w:qFormat/>
    <w:uiPriority w:val="0"/>
    <w:rPr>
      <w:vertAlign w:val="superscript"/>
    </w:rPr>
  </w:style>
  <w:style w:type="paragraph" w:customStyle="1" w:styleId="26">
    <w:name w:val="表格内"/>
    <w:basedOn w:val="1"/>
    <w:autoRedefine/>
    <w:qFormat/>
    <w:uiPriority w:val="0"/>
    <w:pPr>
      <w:adjustRightInd w:val="0"/>
      <w:snapToGrid w:val="0"/>
      <w:spacing w:line="360" w:lineRule="exact"/>
      <w:jc w:val="center"/>
    </w:pPr>
    <w:rPr>
      <w:rFonts w:ascii="Times New Roman" w:hAnsi="Times New Roman" w:cs="Times New Roman"/>
      <w:snapToGrid w:val="0"/>
      <w:kern w:val="0"/>
      <w:szCs w:val="21"/>
    </w:rPr>
  </w:style>
  <w:style w:type="paragraph" w:customStyle="1" w:styleId="27">
    <w:name w:val="正文新"/>
    <w:basedOn w:val="1"/>
    <w:autoRedefine/>
    <w:qFormat/>
    <w:uiPriority w:val="0"/>
    <w:pPr>
      <w:spacing w:line="460" w:lineRule="exact"/>
      <w:ind w:firstLine="480" w:firstLineChars="200"/>
    </w:pPr>
    <w:rPr>
      <w:sz w:val="24"/>
    </w:rPr>
  </w:style>
  <w:style w:type="paragraph" w:customStyle="1" w:styleId="28">
    <w:name w:val="表头"/>
    <w:basedOn w:val="3"/>
    <w:next w:val="1"/>
    <w:autoRedefine/>
    <w:qFormat/>
    <w:uiPriority w:val="0"/>
    <w:pPr>
      <w:jc w:val="center"/>
    </w:pPr>
    <w:rPr>
      <w:rFonts w:hint="eastAsia"/>
      <w:b/>
      <w:bCs/>
      <w:szCs w:val="21"/>
    </w:rPr>
  </w:style>
  <w:style w:type="paragraph" w:customStyle="1" w:styleId="29">
    <w:name w:val="德源报告表表格"/>
    <w:autoRedefine/>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30">
    <w:name w:val="环评正文"/>
    <w:autoRedefine/>
    <w:qFormat/>
    <w:uiPriority w:val="0"/>
    <w:rPr>
      <w:rFonts w:ascii="Times New Roman" w:hAnsi="Times New Roman" w:eastAsia="宋体" w:cs="Times New Roman"/>
      <w:sz w:val="24"/>
      <w:lang w:val="en-US" w:eastAsia="zh-CN" w:bidi="ar-SA"/>
    </w:rPr>
  </w:style>
  <w:style w:type="paragraph" w:customStyle="1" w:styleId="31">
    <w:name w:val="表格标题"/>
    <w:basedOn w:val="28"/>
    <w:autoRedefine/>
    <w:qFormat/>
    <w:uiPriority w:val="0"/>
    <w:pPr>
      <w:ind w:firstLine="480"/>
    </w:pPr>
    <w:rPr>
      <w:rFonts w:hint="default"/>
    </w:rPr>
  </w:style>
  <w:style w:type="paragraph" w:customStyle="1" w:styleId="32">
    <w:name w:val="表格正文"/>
    <w:basedOn w:val="31"/>
    <w:autoRedefine/>
    <w:qFormat/>
    <w:uiPriority w:val="0"/>
    <w:pPr>
      <w:ind w:firstLine="0"/>
    </w:pPr>
    <w:rPr>
      <w:b w:val="0"/>
    </w:rPr>
  </w:style>
  <w:style w:type="paragraph" w:styleId="33">
    <w:name w:val="List Paragraph"/>
    <w:basedOn w:val="1"/>
    <w:autoRedefine/>
    <w:qFormat/>
    <w:uiPriority w:val="99"/>
    <w:pPr>
      <w:ind w:firstLine="420" w:firstLineChars="200"/>
    </w:pPr>
  </w:style>
  <w:style w:type="paragraph" w:customStyle="1" w:styleId="34">
    <w:name w:val="Default"/>
    <w:basedOn w:val="35"/>
    <w:next w:val="1"/>
    <w:autoRedefine/>
    <w:unhideWhenUsed/>
    <w:qFormat/>
    <w:uiPriority w:val="99"/>
    <w:pPr>
      <w:tabs>
        <w:tab w:val="left" w:pos="1845"/>
      </w:tabs>
      <w:autoSpaceDE w:val="0"/>
      <w:autoSpaceDN w:val="0"/>
      <w:spacing w:line="240" w:lineRule="exact"/>
    </w:pPr>
    <w:rPr>
      <w:rFonts w:hint="eastAsia" w:ascii="宋体" w:hAnsi="宋体"/>
      <w:sz w:val="24"/>
    </w:rPr>
  </w:style>
  <w:style w:type="paragraph" w:customStyle="1" w:styleId="35">
    <w:name w:val="纯文本1"/>
    <w:basedOn w:val="1"/>
    <w:autoRedefine/>
    <w:qFormat/>
    <w:uiPriority w:val="0"/>
    <w:pPr>
      <w:adjustRightInd w:val="0"/>
      <w:textAlignment w:val="baseline"/>
    </w:pPr>
    <w:rPr>
      <w:rFonts w:ascii="宋体" w:hAnsi="Courier New"/>
      <w:szCs w:val="20"/>
    </w:rPr>
  </w:style>
  <w:style w:type="paragraph" w:customStyle="1" w:styleId="36">
    <w:name w:val="表格字体"/>
    <w:basedOn w:val="1"/>
    <w:autoRedefine/>
    <w:qFormat/>
    <w:uiPriority w:val="0"/>
    <w:pPr>
      <w:jc w:val="center"/>
    </w:pPr>
  </w:style>
  <w:style w:type="paragraph" w:customStyle="1" w:styleId="37">
    <w:name w:val="表格内容"/>
    <w:basedOn w:val="1"/>
    <w:autoRedefine/>
    <w:qFormat/>
    <w:uiPriority w:val="0"/>
    <w:pPr>
      <w:jc w:val="center"/>
    </w:pPr>
  </w:style>
  <w:style w:type="paragraph" w:customStyle="1" w:styleId="38">
    <w:name w:val="Body Text 21"/>
    <w:basedOn w:val="1"/>
    <w:autoRedefine/>
    <w:qFormat/>
    <w:uiPriority w:val="0"/>
    <w:pPr>
      <w:spacing w:after="120" w:line="480" w:lineRule="auto"/>
    </w:pPr>
  </w:style>
  <w:style w:type="paragraph" w:customStyle="1" w:styleId="39">
    <w:name w:val="环评标题"/>
    <w:basedOn w:val="30"/>
    <w:autoRedefine/>
    <w:qFormat/>
    <w:uiPriority w:val="0"/>
    <w:rPr>
      <w:b/>
    </w:rPr>
  </w:style>
  <w:style w:type="paragraph" w:customStyle="1" w:styleId="40">
    <w:name w:val="样式 正文缩进正文缩进2正文缩进 Char Char正文缩进 Char Char Char Char正文缩进 Char ..."/>
    <w:basedOn w:val="3"/>
    <w:autoRedefine/>
    <w:qFormat/>
    <w:uiPriority w:val="0"/>
    <w:pPr>
      <w:spacing w:line="360" w:lineRule="auto"/>
      <w:ind w:firstLine="200" w:firstLineChars="200"/>
    </w:pPr>
    <w:rPr>
      <w:rFonts w:cs="宋体"/>
      <w:sz w:val="24"/>
    </w:rPr>
  </w:style>
  <w:style w:type="paragraph" w:customStyle="1" w:styleId="41">
    <w:name w:val="Table Paragraph"/>
    <w:basedOn w:val="1"/>
    <w:autoRedefine/>
    <w:qFormat/>
    <w:uiPriority w:val="1"/>
    <w:pPr>
      <w:jc w:val="left"/>
    </w:pPr>
    <w:rPr>
      <w:kern w:val="0"/>
      <w:sz w:val="22"/>
      <w:szCs w:val="22"/>
      <w:lang w:eastAsia="en-US"/>
    </w:rPr>
  </w:style>
  <w:style w:type="character" w:customStyle="1" w:styleId="42">
    <w:name w:val="fontstyle21"/>
    <w:basedOn w:val="23"/>
    <w:autoRedefine/>
    <w:qFormat/>
    <w:uiPriority w:val="0"/>
    <w:rPr>
      <w:rFonts w:ascii="仿宋" w:hAnsi="仿宋" w:cs="Times New Roman"/>
      <w:color w:val="000000"/>
      <w:sz w:val="24"/>
      <w:szCs w:val="24"/>
    </w:rPr>
  </w:style>
  <w:style w:type="character" w:customStyle="1" w:styleId="43">
    <w:name w:val="fontstyle01"/>
    <w:basedOn w:val="23"/>
    <w:autoRedefine/>
    <w:qFormat/>
    <w:uiPriority w:val="0"/>
    <w:rPr>
      <w:rFonts w:ascii="TimesNewRomanPSMT" w:hAnsi="TimesNewRomanPSMT" w:cs="Times New Roman"/>
      <w:color w:val="000000"/>
      <w:sz w:val="24"/>
      <w:szCs w:val="24"/>
    </w:rPr>
  </w:style>
  <w:style w:type="paragraph" w:customStyle="1" w:styleId="44">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45">
    <w:name w:val="表头字体"/>
    <w:basedOn w:val="1"/>
    <w:autoRedefine/>
    <w:qFormat/>
    <w:uiPriority w:val="0"/>
    <w:pPr>
      <w:spacing w:line="360" w:lineRule="auto"/>
      <w:jc w:val="center"/>
    </w:pPr>
  </w:style>
  <w:style w:type="character" w:customStyle="1" w:styleId="46">
    <w:name w:val="apple-style-span"/>
    <w:basedOn w:val="23"/>
    <w:autoRedefine/>
    <w:qFormat/>
    <w:uiPriority w:val="0"/>
  </w:style>
  <w:style w:type="paragraph" w:customStyle="1" w:styleId="47">
    <w:name w:val="正文26-5.21"/>
    <w:basedOn w:val="1"/>
    <w:autoRedefine/>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48">
    <w:name w:val="正文26-模板"/>
    <w:basedOn w:val="1"/>
    <w:autoRedefine/>
    <w:qFormat/>
    <w:uiPriority w:val="0"/>
    <w:pPr>
      <w:adjustRightInd w:val="0"/>
      <w:snapToGrid w:val="0"/>
      <w:spacing w:line="520" w:lineRule="exact"/>
      <w:ind w:firstLine="480" w:firstLineChars="200"/>
      <w:textAlignment w:val="baseline"/>
    </w:pPr>
    <w:rPr>
      <w:snapToGrid w:val="0"/>
      <w:kern w:val="0"/>
    </w:rPr>
  </w:style>
  <w:style w:type="paragraph" w:customStyle="1" w:styleId="49">
    <w:name w:val="表格标题5.21"/>
    <w:basedOn w:val="1"/>
    <w:autoRedefine/>
    <w:qFormat/>
    <w:uiPriority w:val="0"/>
    <w:pPr>
      <w:adjustRightInd w:val="0"/>
      <w:snapToGrid w:val="0"/>
      <w:spacing w:line="520" w:lineRule="exact"/>
      <w:jc w:val="center"/>
      <w:textAlignment w:val="baseline"/>
    </w:pPr>
    <w:rPr>
      <w:rFonts w:ascii="黑体" w:hAnsi="黑体" w:eastAsia="黑体" w:cs="宋体"/>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2.bin"/><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5MjYxODA2MDk0IiwKCSJHcm91cElkIiA6ICIzOTA4NTIzNTUiLAoJIkltYWdlIiA6ICJpVkJPUncwS0dnb0FBQUFOU1VoRVVnQUFCR1VBQUFLa0NBWUFBQUNwam9KMUFBQUFBWE5TUjBJQXJzNGM2UUFBSUFCSlJFRlVlSnpzM1hsMFZkWDkvdkZuM3lFREpNenpZS0pNWWNvQWdxaEZhNVdxaUZxSDRnOW5zYmFsVU1XSk9xSU1vbWhGVzdXaVgwUVVCMERCZ1lwRGE3R3RJb09RRUd3Z0VDQ1IyUVFJSVNTWDVONjdmMzlBWXNKTlNJQ1FrNFQzYXkzWDR1Nnp6ejZmQTNoQ251eXp0d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"/>
    </extobj>
    <extobj name="ECB019B1-382A-4266-B25C-5B523AA43C14-2">
      <extobjdata type="ECB019B1-382A-4266-B25C-5B523AA43C14" data="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"/>
    </extobj>
    <extobj name="ECB019B1-382A-4266-B25C-5B523AA43C14-3">
      <extobjdata type="ECB019B1-382A-4266-B25C-5B523AA43C14" data="ewoJIkZpbGVJZCIgOiAiMjkxODc0MTg3MTU5IiwKCSJHcm91cElkIiA6ICIzOTA4NTIzNTUiLAoJIkltYWdlIiA6ICJpVkJPUncwS0dnb0FBQUFOU1VoRVVnQUFBdm9BQUFHMkNBWUFBQUFPYlNKZkFBQUFBWE5TUjBJQXJzNGM2UUFBSUFCSlJFRlVlSnpzM1hkOFZGWCsvL0gzblptRWhEUllrSTVFaWlBZ2tBZ3U1V2NCRmdzcUNHb1VWQ3dzdWl5cmdCUVI2VmdBUWJDZ3lBSktzZUVYQ3lwS0ZCRlppQW91TVZFdzBvS1VDRVFNcVpOa1p1N3ZqNWhaaGhRU0RFeHk4M28rSGp5V25IdnVtYy9OUGh6ZWMrZmNjeV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33942</Words>
  <Characters>37809</Characters>
  <Lines>0</Lines>
  <Paragraphs>0</Paragraphs>
  <TotalTime>6</TotalTime>
  <ScaleCrop>false</ScaleCrop>
  <LinksUpToDate>false</LinksUpToDate>
  <CharactersWithSpaces>38134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2024-04-11T02:11:00Z</dcterms:created>
  <dc:creator>Blame.</dc:creator>
  <cp:lastModifiedBy>Blame.</cp:lastModifiedBy>
  <cp:lastPrinted>2024-07-05T08:31:00Z</cp:lastPrinted>
  <dcterms:modified xsi:type="dcterms:W3CDTF">2024-07-17T17:11:14Z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9E2A37BB11AD405CA7562F62F13C85B4_13</vt:lpwstr>
  </property>
</Properties>
</file>