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4"/>
        <w:gridCol w:w="4313"/>
      </w:tblGrid>
      <w:tr w14:paraId="43B2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2"/>
            <w:vAlign w:val="center"/>
          </w:tcPr>
          <w:p w14:paraId="32F316B3">
            <w:pPr>
              <w:spacing w:line="240" w:lineRule="auto"/>
              <w:ind w:firstLine="0" w:firstLineChars="0"/>
              <w:jc w:val="center"/>
            </w:pPr>
            <w:r>
              <w:rPr>
                <w:rFonts w:hint="eastAsia"/>
                <w:b/>
                <w:bCs/>
              </w:rPr>
              <w:t>现场照片</w:t>
            </w:r>
          </w:p>
        </w:tc>
      </w:tr>
      <w:tr w14:paraId="2E3E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2488" w:type="pct"/>
            <w:vAlign w:val="center"/>
          </w:tcPr>
          <w:p w14:paraId="012921DF">
            <w:pPr>
              <w:pStyle w:val="19"/>
              <w:spacing w:after="0" w:line="240" w:lineRule="auto"/>
              <w:ind w:firstLine="0" w:firstLineChars="0"/>
              <w:jc w:val="center"/>
              <w:rPr>
                <w:rFonts w:hint="eastAsia" w:eastAsia="宋体"/>
                <w:lang w:eastAsia="zh-CN"/>
              </w:rPr>
            </w:pPr>
            <w:r>
              <w:rPr>
                <w:rFonts w:hint="eastAsia"/>
              </w:rPr>
              <w:drawing>
                <wp:inline distT="0" distB="0" distL="114300" distR="114300">
                  <wp:extent cx="2545715" cy="1909445"/>
                  <wp:effectExtent l="0" t="0" r="14605" b="10795"/>
                  <wp:docPr id="4" name="图片 9" descr="DJI_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DJI_0607"/>
                          <pic:cNvPicPr>
                            <a:picLocks noChangeAspect="1"/>
                          </pic:cNvPicPr>
                        </pic:nvPicPr>
                        <pic:blipFill>
                          <a:blip r:embed="rId14" cstate="print"/>
                          <a:stretch>
                            <a:fillRect/>
                          </a:stretch>
                        </pic:blipFill>
                        <pic:spPr>
                          <a:xfrm>
                            <a:off x="0" y="0"/>
                            <a:ext cx="2545926" cy="1909445"/>
                          </a:xfrm>
                          <a:prstGeom prst="rect">
                            <a:avLst/>
                          </a:prstGeom>
                        </pic:spPr>
                      </pic:pic>
                    </a:graphicData>
                  </a:graphic>
                </wp:inline>
              </w:drawing>
            </w:r>
          </w:p>
        </w:tc>
        <w:tc>
          <w:tcPr>
            <w:tcW w:w="2511" w:type="pct"/>
            <w:vAlign w:val="center"/>
          </w:tcPr>
          <w:p w14:paraId="14240753">
            <w:pPr>
              <w:spacing w:line="240" w:lineRule="auto"/>
              <w:ind w:firstLine="0" w:firstLineChars="0"/>
              <w:jc w:val="center"/>
              <w:rPr>
                <w:rFonts w:hint="eastAsia" w:ascii="Times New Roman" w:hAnsi="Times New Roman" w:eastAsia="宋体" w:cstheme="minorBidi"/>
                <w:kern w:val="0"/>
                <w:sz w:val="21"/>
                <w:szCs w:val="21"/>
                <w:lang w:val="en-US" w:eastAsia="zh-CN" w:bidi="ar-SA"/>
              </w:rPr>
            </w:pPr>
            <w:r>
              <w:rPr>
                <w:rFonts w:hint="eastAsia" w:ascii="Times New Roman" w:hAnsi="Times New Roman" w:eastAsia="宋体" w:cstheme="minorBidi"/>
                <w:kern w:val="0"/>
                <w:sz w:val="21"/>
                <w:szCs w:val="21"/>
                <w:lang w:val="en-US" w:eastAsia="zh-CN" w:bidi="ar-SA"/>
              </w:rPr>
              <w:drawing>
                <wp:inline distT="0" distB="0" distL="114300" distR="114300">
                  <wp:extent cx="2585720" cy="1939290"/>
                  <wp:effectExtent l="0" t="0" r="5080" b="11430"/>
                  <wp:docPr id="5"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3"/>
                          <pic:cNvPicPr>
                            <a:picLocks noChangeAspect="1"/>
                          </pic:cNvPicPr>
                        </pic:nvPicPr>
                        <pic:blipFill>
                          <a:blip r:embed="rId15" cstate="print"/>
                          <a:stretch>
                            <a:fillRect/>
                          </a:stretch>
                        </pic:blipFill>
                        <pic:spPr>
                          <a:xfrm>
                            <a:off x="0" y="0"/>
                            <a:ext cx="2585720" cy="1939290"/>
                          </a:xfrm>
                          <a:prstGeom prst="rect">
                            <a:avLst/>
                          </a:prstGeom>
                        </pic:spPr>
                      </pic:pic>
                    </a:graphicData>
                  </a:graphic>
                </wp:inline>
              </w:drawing>
            </w:r>
          </w:p>
        </w:tc>
      </w:tr>
      <w:tr w14:paraId="4A8D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488" w:type="pct"/>
            <w:vAlign w:val="center"/>
          </w:tcPr>
          <w:p w14:paraId="71BDA18B">
            <w:pPr>
              <w:pStyle w:val="19"/>
              <w:spacing w:after="0" w:line="240" w:lineRule="auto"/>
              <w:ind w:firstLine="0" w:firstLineChars="0"/>
              <w:jc w:val="center"/>
              <w:rPr>
                <w:rFonts w:hint="eastAsia"/>
              </w:rPr>
            </w:pPr>
            <w:r>
              <w:rPr>
                <w:rFonts w:hint="eastAsia"/>
                <w:sz w:val="21"/>
                <w:szCs w:val="21"/>
              </w:rPr>
              <w:t>厂区已平整场地</w:t>
            </w:r>
          </w:p>
        </w:tc>
        <w:tc>
          <w:tcPr>
            <w:tcW w:w="2511" w:type="pct"/>
            <w:vAlign w:val="center"/>
          </w:tcPr>
          <w:p w14:paraId="0A6B9065">
            <w:pPr>
              <w:spacing w:line="240" w:lineRule="auto"/>
              <w:ind w:firstLine="0" w:firstLineChars="0"/>
              <w:jc w:val="center"/>
              <w:rPr>
                <w:rFonts w:hint="eastAsia" w:ascii="Times New Roman" w:hAnsi="Times New Roman" w:eastAsia="宋体" w:cstheme="minorBidi"/>
                <w:kern w:val="0"/>
                <w:sz w:val="21"/>
                <w:szCs w:val="21"/>
                <w:lang w:val="en-US" w:eastAsia="zh-CN" w:bidi="ar-SA"/>
              </w:rPr>
            </w:pPr>
            <w:r>
              <w:rPr>
                <w:rFonts w:hint="eastAsia" w:ascii="Times New Roman" w:hAnsi="Times New Roman" w:eastAsia="宋体" w:cstheme="minorBidi"/>
                <w:kern w:val="0"/>
                <w:sz w:val="21"/>
                <w:szCs w:val="21"/>
                <w:lang w:val="en-US" w:eastAsia="zh-CN" w:bidi="ar-SA"/>
              </w:rPr>
              <w:t>厂区西侧场地</w:t>
            </w:r>
          </w:p>
        </w:tc>
      </w:tr>
      <w:tr w14:paraId="7F38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9" w:hRule="atLeast"/>
          <w:jc w:val="center"/>
        </w:trPr>
        <w:tc>
          <w:tcPr>
            <w:tcW w:w="2488" w:type="pct"/>
            <w:vAlign w:val="center"/>
          </w:tcPr>
          <w:p w14:paraId="2D9FFEA9">
            <w:pPr>
              <w:spacing w:line="240" w:lineRule="auto"/>
              <w:ind w:firstLine="0" w:firstLineChars="0"/>
              <w:jc w:val="center"/>
              <w:rPr>
                <w:rFonts w:hint="eastAsia" w:eastAsia="宋体"/>
                <w:lang w:eastAsia="zh-CN"/>
              </w:rPr>
            </w:pPr>
            <w:r>
              <w:rPr>
                <w:rFonts w:hint="eastAsia"/>
              </w:rPr>
              <w:drawing>
                <wp:inline distT="0" distB="0" distL="114300" distR="114300">
                  <wp:extent cx="2545715" cy="1909445"/>
                  <wp:effectExtent l="0" t="0" r="14605" b="10795"/>
                  <wp:docPr id="6" name="图片 10" descr="DJI_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DJI_0585"/>
                          <pic:cNvPicPr>
                            <a:picLocks noChangeAspect="1"/>
                          </pic:cNvPicPr>
                        </pic:nvPicPr>
                        <pic:blipFill>
                          <a:blip r:embed="rId16" cstate="print"/>
                          <a:stretch>
                            <a:fillRect/>
                          </a:stretch>
                        </pic:blipFill>
                        <pic:spPr>
                          <a:xfrm>
                            <a:off x="0" y="0"/>
                            <a:ext cx="2545926" cy="1909445"/>
                          </a:xfrm>
                          <a:prstGeom prst="rect">
                            <a:avLst/>
                          </a:prstGeom>
                        </pic:spPr>
                      </pic:pic>
                    </a:graphicData>
                  </a:graphic>
                </wp:inline>
              </w:drawing>
            </w:r>
          </w:p>
        </w:tc>
        <w:tc>
          <w:tcPr>
            <w:tcW w:w="2511" w:type="pct"/>
            <w:vAlign w:val="center"/>
          </w:tcPr>
          <w:p w14:paraId="22C333D7">
            <w:pPr>
              <w:spacing w:line="240" w:lineRule="auto"/>
              <w:ind w:firstLine="0" w:firstLineChars="0"/>
              <w:jc w:val="center"/>
              <w:rPr>
                <w:rFonts w:hint="eastAsia" w:eastAsia="宋体"/>
                <w:lang w:eastAsia="zh-CN"/>
              </w:rPr>
            </w:pPr>
            <w:r>
              <w:rPr>
                <w:rFonts w:hint="eastAsia"/>
              </w:rPr>
              <w:drawing>
                <wp:inline distT="0" distB="0" distL="114300" distR="114300">
                  <wp:extent cx="2496820" cy="1872615"/>
                  <wp:effectExtent l="0" t="0" r="2540" b="1905"/>
                  <wp:docPr id="8"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6"/>
                          <pic:cNvPicPr>
                            <a:picLocks noChangeAspect="1"/>
                          </pic:cNvPicPr>
                        </pic:nvPicPr>
                        <pic:blipFill>
                          <a:blip r:embed="rId17" cstate="print"/>
                          <a:stretch>
                            <a:fillRect/>
                          </a:stretch>
                        </pic:blipFill>
                        <pic:spPr>
                          <a:xfrm>
                            <a:off x="0" y="0"/>
                            <a:ext cx="2496820" cy="1872615"/>
                          </a:xfrm>
                          <a:prstGeom prst="rect">
                            <a:avLst/>
                          </a:prstGeom>
                        </pic:spPr>
                      </pic:pic>
                    </a:graphicData>
                  </a:graphic>
                </wp:inline>
              </w:drawing>
            </w:r>
          </w:p>
        </w:tc>
      </w:tr>
      <w:tr w14:paraId="647A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8" w:type="pct"/>
            <w:vAlign w:val="center"/>
          </w:tcPr>
          <w:p w14:paraId="2EA525D9">
            <w:pPr>
              <w:pStyle w:val="19"/>
              <w:spacing w:after="0" w:line="240" w:lineRule="auto"/>
              <w:ind w:firstLine="0" w:firstLineChars="0"/>
              <w:jc w:val="center"/>
              <w:rPr>
                <w:rFonts w:hint="eastAsia"/>
                <w:sz w:val="21"/>
                <w:szCs w:val="21"/>
                <w:lang w:eastAsia="zh-CN"/>
              </w:rPr>
            </w:pPr>
            <w:r>
              <w:rPr>
                <w:rFonts w:hint="eastAsia"/>
                <w:sz w:val="21"/>
                <w:szCs w:val="21"/>
                <w:lang w:eastAsia="zh-CN"/>
              </w:rPr>
              <w:t>厂区植被现状</w:t>
            </w:r>
          </w:p>
        </w:tc>
        <w:tc>
          <w:tcPr>
            <w:tcW w:w="2511" w:type="pct"/>
            <w:vAlign w:val="center"/>
          </w:tcPr>
          <w:p w14:paraId="716659D5">
            <w:pPr>
              <w:pStyle w:val="19"/>
              <w:spacing w:after="0" w:line="240" w:lineRule="auto"/>
              <w:ind w:firstLine="0" w:firstLineChars="0"/>
              <w:jc w:val="center"/>
              <w:rPr>
                <w:rFonts w:hint="eastAsia"/>
                <w:sz w:val="21"/>
                <w:szCs w:val="21"/>
                <w:lang w:eastAsia="zh-CN"/>
              </w:rPr>
            </w:pPr>
            <w:r>
              <w:rPr>
                <w:rFonts w:hint="eastAsia"/>
                <w:sz w:val="21"/>
                <w:szCs w:val="21"/>
                <w:lang w:eastAsia="zh-CN"/>
              </w:rPr>
              <w:t>厂区植被现状</w:t>
            </w:r>
          </w:p>
        </w:tc>
      </w:tr>
      <w:tr w14:paraId="4E21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0" w:hRule="atLeast"/>
          <w:jc w:val="center"/>
        </w:trPr>
        <w:tc>
          <w:tcPr>
            <w:tcW w:w="2488" w:type="pct"/>
            <w:vAlign w:val="center"/>
          </w:tcPr>
          <w:p w14:paraId="0A386D6B">
            <w:pPr>
              <w:pStyle w:val="19"/>
              <w:spacing w:after="0" w:line="240" w:lineRule="auto"/>
              <w:ind w:firstLine="0" w:firstLineChars="0"/>
              <w:jc w:val="center"/>
              <w:rPr>
                <w:rFonts w:hint="eastAsia" w:eastAsia="宋体"/>
                <w:lang w:eastAsia="zh-CN"/>
              </w:rPr>
            </w:pPr>
            <w:r>
              <w:rPr>
                <w:rFonts w:cs="Times New Roman" w:eastAsiaTheme="minorEastAsia"/>
              </w:rPr>
              <w:drawing>
                <wp:inline distT="0" distB="0" distL="114300" distR="114300">
                  <wp:extent cx="2449195" cy="1837055"/>
                  <wp:effectExtent l="0" t="0" r="4445" b="6985"/>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pic:cNvPicPr>
                            <a:picLocks noChangeAspect="1"/>
                          </pic:cNvPicPr>
                        </pic:nvPicPr>
                        <pic:blipFill>
                          <a:blip r:embed="rId18" cstate="print"/>
                          <a:stretch>
                            <a:fillRect/>
                          </a:stretch>
                        </pic:blipFill>
                        <pic:spPr>
                          <a:xfrm>
                            <a:off x="0" y="0"/>
                            <a:ext cx="2449406" cy="1837055"/>
                          </a:xfrm>
                          <a:prstGeom prst="rect">
                            <a:avLst/>
                          </a:prstGeom>
                          <a:noFill/>
                          <a:ln>
                            <a:noFill/>
                          </a:ln>
                        </pic:spPr>
                      </pic:pic>
                    </a:graphicData>
                  </a:graphic>
                </wp:inline>
              </w:drawing>
            </w:r>
          </w:p>
        </w:tc>
        <w:tc>
          <w:tcPr>
            <w:tcW w:w="2511" w:type="pct"/>
            <w:vAlign w:val="center"/>
          </w:tcPr>
          <w:p w14:paraId="6D36307B">
            <w:pPr>
              <w:spacing w:line="240" w:lineRule="auto"/>
              <w:ind w:firstLine="0" w:firstLineChars="0"/>
              <w:jc w:val="center"/>
              <w:rPr>
                <w:rFonts w:hint="eastAsia" w:eastAsia="宋体"/>
                <w:lang w:eastAsia="zh-CN"/>
              </w:rPr>
            </w:pPr>
            <w:r>
              <w:rPr>
                <w:rFonts w:cs="Times New Roman" w:eastAsiaTheme="minorEastAsia"/>
              </w:rPr>
              <w:drawing>
                <wp:inline distT="0" distB="0" distL="114300" distR="114300">
                  <wp:extent cx="2406650" cy="1805305"/>
                  <wp:effectExtent l="0" t="0" r="1270" b="8255"/>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pic:cNvPicPr>
                        </pic:nvPicPr>
                        <pic:blipFill>
                          <a:blip r:embed="rId19" cstate="print"/>
                          <a:stretch>
                            <a:fillRect/>
                          </a:stretch>
                        </pic:blipFill>
                        <pic:spPr>
                          <a:xfrm>
                            <a:off x="0" y="0"/>
                            <a:ext cx="2407073" cy="1805305"/>
                          </a:xfrm>
                          <a:prstGeom prst="rect">
                            <a:avLst/>
                          </a:prstGeom>
                          <a:noFill/>
                          <a:ln>
                            <a:noFill/>
                          </a:ln>
                        </pic:spPr>
                      </pic:pic>
                    </a:graphicData>
                  </a:graphic>
                </wp:inline>
              </w:drawing>
            </w:r>
          </w:p>
        </w:tc>
      </w:tr>
      <w:tr w14:paraId="70E1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8" w:type="pct"/>
            <w:vAlign w:val="center"/>
          </w:tcPr>
          <w:p w14:paraId="5047E299">
            <w:pPr>
              <w:pStyle w:val="19"/>
              <w:spacing w:after="0" w:line="240" w:lineRule="auto"/>
              <w:ind w:firstLine="0" w:firstLineChars="0"/>
              <w:jc w:val="center"/>
              <w:rPr>
                <w:rFonts w:cs="Times New Roman" w:eastAsiaTheme="minorEastAsia"/>
              </w:rPr>
            </w:pPr>
            <w:r>
              <w:rPr>
                <w:rFonts w:hint="eastAsia"/>
                <w:sz w:val="21"/>
                <w:szCs w:val="21"/>
                <w:lang w:eastAsia="zh-CN"/>
              </w:rPr>
              <w:t>矿区植被现状</w:t>
            </w:r>
          </w:p>
        </w:tc>
        <w:tc>
          <w:tcPr>
            <w:tcW w:w="2511" w:type="pct"/>
            <w:vAlign w:val="center"/>
          </w:tcPr>
          <w:p w14:paraId="1F2EEED8">
            <w:pPr>
              <w:spacing w:line="240" w:lineRule="auto"/>
              <w:ind w:firstLine="0" w:firstLineChars="0"/>
              <w:jc w:val="center"/>
              <w:rPr>
                <w:rFonts w:cs="Times New Roman" w:eastAsiaTheme="minorEastAsia"/>
              </w:rPr>
            </w:pPr>
            <w:r>
              <w:rPr>
                <w:rFonts w:hint="eastAsia"/>
                <w:sz w:val="21"/>
                <w:szCs w:val="21"/>
                <w:lang w:eastAsia="zh-CN"/>
              </w:rPr>
              <w:t>矿区植被现状</w:t>
            </w:r>
          </w:p>
        </w:tc>
      </w:tr>
    </w:tbl>
    <w:p w14:paraId="5EAB7F1D">
      <w:pPr>
        <w:pStyle w:val="2"/>
        <w:jc w:val="both"/>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26CDA0C9">
      <w:pPr>
        <w:pStyle w:val="2"/>
        <w:numPr>
          <w:ilvl w:val="0"/>
          <w:numId w:val="0"/>
        </w:numPr>
        <w:jc w:val="center"/>
      </w:pPr>
      <w:r>
        <w:rPr>
          <w:rFonts w:hint="eastAsia" w:ascii="Times New Roman" w:hAnsi="Times New Roman" w:eastAsia="宋体" w:cstheme="minorBidi"/>
          <w:b/>
          <w:kern w:val="44"/>
          <w:sz w:val="30"/>
          <w:szCs w:val="24"/>
          <w:lang w:val="en-US" w:eastAsia="zh-CN" w:bidi="ar-SA"/>
        </w:rPr>
        <w:t>一、</w:t>
      </w:r>
      <w:r>
        <w:rPr>
          <w:rFonts w:hint="eastAsia"/>
        </w:rPr>
        <w:t>建设项目基本情况</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522"/>
        <w:gridCol w:w="1940"/>
        <w:gridCol w:w="3406"/>
      </w:tblGrid>
      <w:tr w14:paraId="2BA1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654" w:type="dxa"/>
            <w:vAlign w:val="center"/>
          </w:tcPr>
          <w:p w14:paraId="3FF2105C">
            <w:pPr>
              <w:pStyle w:val="28"/>
              <w:rPr>
                <w:rFonts w:hint="default"/>
              </w:rPr>
            </w:pPr>
            <w:r>
              <w:t>建设项目名称</w:t>
            </w:r>
          </w:p>
        </w:tc>
        <w:tc>
          <w:tcPr>
            <w:tcW w:w="6868" w:type="dxa"/>
            <w:gridSpan w:val="3"/>
            <w:vAlign w:val="center"/>
          </w:tcPr>
          <w:p w14:paraId="45AF8289">
            <w:pPr>
              <w:pStyle w:val="28"/>
              <w:rPr>
                <w:rFonts w:hint="eastAsia" w:eastAsia="宋体"/>
                <w:lang w:eastAsia="zh-CN"/>
              </w:rPr>
            </w:pPr>
            <w:r>
              <w:rPr>
                <w:rFonts w:hint="eastAsia" w:eastAsia="宋体"/>
                <w:lang w:eastAsia="zh-CN"/>
              </w:rPr>
              <w:t>吉木萨尔县三台镇创业砂石料厂建筑用砂矿建设项目</w:t>
            </w:r>
          </w:p>
        </w:tc>
      </w:tr>
      <w:tr w14:paraId="1C0C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654" w:type="dxa"/>
            <w:vAlign w:val="center"/>
          </w:tcPr>
          <w:p w14:paraId="00D2B4F8">
            <w:pPr>
              <w:pStyle w:val="28"/>
              <w:rPr>
                <w:rFonts w:hint="default"/>
              </w:rPr>
            </w:pPr>
            <w:r>
              <w:t>项目代码</w:t>
            </w:r>
          </w:p>
        </w:tc>
        <w:tc>
          <w:tcPr>
            <w:tcW w:w="6868" w:type="dxa"/>
            <w:gridSpan w:val="3"/>
            <w:vAlign w:val="center"/>
          </w:tcPr>
          <w:p w14:paraId="20B5472E">
            <w:pPr>
              <w:pStyle w:val="28"/>
              <w:rPr>
                <w:rFonts w:hint="eastAsia" w:eastAsia="宋体"/>
                <w:lang w:val="en-US" w:eastAsia="zh-CN"/>
              </w:rPr>
            </w:pPr>
            <w:r>
              <w:rPr>
                <w:rFonts w:hint="eastAsia"/>
                <w:lang w:val="en-US" w:eastAsia="zh-CN"/>
              </w:rPr>
              <w:t>/</w:t>
            </w:r>
          </w:p>
        </w:tc>
      </w:tr>
      <w:tr w14:paraId="6FB8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54" w:type="dxa"/>
            <w:vAlign w:val="center"/>
          </w:tcPr>
          <w:p w14:paraId="3FDD1319">
            <w:pPr>
              <w:pStyle w:val="28"/>
              <w:jc w:val="center"/>
              <w:rPr>
                <w:rFonts w:hint="default"/>
              </w:rPr>
            </w:pPr>
            <w:r>
              <w:t>建设单位联系人</w:t>
            </w:r>
          </w:p>
        </w:tc>
        <w:tc>
          <w:tcPr>
            <w:tcW w:w="1522" w:type="dxa"/>
            <w:vAlign w:val="center"/>
          </w:tcPr>
          <w:p w14:paraId="41A5DB67">
            <w:pPr>
              <w:pStyle w:val="28"/>
              <w:rPr>
                <w:rFonts w:hint="eastAsia" w:eastAsia="宋体"/>
                <w:lang w:eastAsia="zh-CN"/>
              </w:rPr>
            </w:pPr>
            <w:r>
              <w:rPr>
                <w:rFonts w:hint="eastAsia"/>
                <w:lang w:eastAsia="zh-CN"/>
              </w:rPr>
              <w:t>芦新兰</w:t>
            </w:r>
          </w:p>
        </w:tc>
        <w:tc>
          <w:tcPr>
            <w:tcW w:w="1940" w:type="dxa"/>
            <w:vAlign w:val="center"/>
          </w:tcPr>
          <w:p w14:paraId="14BFDA37">
            <w:pPr>
              <w:pStyle w:val="28"/>
              <w:rPr>
                <w:rFonts w:hint="default"/>
              </w:rPr>
            </w:pPr>
            <w:r>
              <w:t>联系方式</w:t>
            </w:r>
          </w:p>
        </w:tc>
        <w:tc>
          <w:tcPr>
            <w:tcW w:w="3406" w:type="dxa"/>
            <w:vAlign w:val="center"/>
          </w:tcPr>
          <w:p w14:paraId="12A72606">
            <w:pPr>
              <w:pStyle w:val="28"/>
              <w:rPr>
                <w:rFonts w:hint="default" w:eastAsia="宋体"/>
                <w:lang w:val="en-US" w:eastAsia="zh-CN"/>
              </w:rPr>
            </w:pPr>
            <w:r>
              <w:rPr>
                <w:rFonts w:hint="eastAsia"/>
                <w:highlight w:val="none"/>
                <w:lang w:val="en-US" w:eastAsia="zh-CN"/>
              </w:rPr>
              <w:t>150****8772</w:t>
            </w:r>
          </w:p>
        </w:tc>
      </w:tr>
      <w:tr w14:paraId="0200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654" w:type="dxa"/>
            <w:vAlign w:val="center"/>
          </w:tcPr>
          <w:p w14:paraId="618ABADF">
            <w:pPr>
              <w:pStyle w:val="28"/>
              <w:rPr>
                <w:rFonts w:hint="default"/>
              </w:rPr>
            </w:pPr>
            <w:r>
              <w:t>建设地点</w:t>
            </w:r>
          </w:p>
        </w:tc>
        <w:tc>
          <w:tcPr>
            <w:tcW w:w="6868" w:type="dxa"/>
            <w:gridSpan w:val="3"/>
            <w:vAlign w:val="center"/>
          </w:tcPr>
          <w:p w14:paraId="26DC6193">
            <w:pPr>
              <w:pStyle w:val="28"/>
              <w:rPr>
                <w:rFonts w:hint="eastAsia" w:eastAsia="宋体"/>
                <w:lang w:eastAsia="zh-CN"/>
              </w:rPr>
            </w:pPr>
            <w:r>
              <w:rPr>
                <w:rFonts w:hint="eastAsia"/>
                <w:lang w:eastAsia="zh-CN"/>
              </w:rPr>
              <w:t>新疆维吾尔自治区昌吉州吉木萨尔县三台镇</w:t>
            </w:r>
          </w:p>
        </w:tc>
      </w:tr>
      <w:tr w14:paraId="6504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654" w:type="dxa"/>
            <w:vAlign w:val="center"/>
          </w:tcPr>
          <w:p w14:paraId="609C08B9">
            <w:pPr>
              <w:pStyle w:val="28"/>
              <w:rPr>
                <w:rFonts w:hint="default"/>
              </w:rPr>
            </w:pPr>
            <w:r>
              <w:t>地理坐标</w:t>
            </w:r>
          </w:p>
        </w:tc>
        <w:tc>
          <w:tcPr>
            <w:tcW w:w="6868" w:type="dxa"/>
            <w:gridSpan w:val="3"/>
            <w:vAlign w:val="center"/>
          </w:tcPr>
          <w:p w14:paraId="163E5163">
            <w:pPr>
              <w:pStyle w:val="28"/>
              <w:ind w:firstLine="480" w:firstLineChars="200"/>
              <w:jc w:val="left"/>
              <w:rPr>
                <w:rFonts w:hint="default" w:ascii="Times New Roman" w:hAnsi="Times New Roman" w:cs="Times New Roman" w:eastAsiaTheme="minorEastAsia"/>
                <w:highlight w:val="none"/>
                <w:lang w:val="en-US" w:eastAsia="zh-CN"/>
              </w:rPr>
            </w:pPr>
            <w:r>
              <w:rPr>
                <w:rFonts w:hint="eastAsia" w:cs="Times New Roman" w:eastAsiaTheme="minorEastAsia"/>
                <w:highlight w:val="none"/>
                <w:lang w:val="en-US" w:eastAsia="zh-CN"/>
              </w:rPr>
              <w:t>中心坐标：</w:t>
            </w:r>
            <w:r>
              <w:rPr>
                <w:rFonts w:hint="default" w:ascii="Times New Roman" w:hAnsi="Times New Roman" w:cs="Times New Roman" w:eastAsiaTheme="minorEastAsia"/>
                <w:highlight w:val="none"/>
                <w:lang w:val="en-US" w:eastAsia="zh-CN"/>
              </w:rPr>
              <w:t>东经</w:t>
            </w:r>
            <w:r>
              <w:rPr>
                <w:rFonts w:hint="eastAsia" w:cs="Times New Roman" w:eastAsiaTheme="minorEastAsia"/>
                <w:highlight w:val="none"/>
                <w:lang w:val="en-US" w:eastAsia="zh-CN"/>
              </w:rPr>
              <w:t>88</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47</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30.934</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w:t>
            </w:r>
            <w:r>
              <w:rPr>
                <w:rFonts w:hint="default" w:ascii="Times New Roman" w:hAnsi="Times New Roman" w:cs="Times New Roman" w:eastAsiaTheme="minorEastAsia"/>
                <w:highlight w:val="none"/>
                <w:lang w:val="en-US" w:eastAsia="zh-CN"/>
              </w:rPr>
              <w:t>北纬</w:t>
            </w:r>
            <w:r>
              <w:rPr>
                <w:rFonts w:hint="eastAsia" w:cs="Times New Roman" w:eastAsiaTheme="minorEastAsia"/>
                <w:highlight w:val="none"/>
                <w:lang w:val="en-US" w:eastAsia="zh-CN"/>
              </w:rPr>
              <w:t>44</w:t>
            </w:r>
            <w:r>
              <w:rPr>
                <w:rFonts w:hint="default" w:ascii="Times New Roman" w:hAnsi="Times New Roman" w:cs="Times New Roman" w:eastAsiaTheme="minorEastAsia"/>
                <w:highlight w:val="none"/>
                <w:lang w:val="en-US" w:eastAsia="zh-CN"/>
              </w:rPr>
              <w:t>°</w:t>
            </w:r>
            <w:r>
              <w:rPr>
                <w:rFonts w:hint="eastAsia" w:cs="Times New Roman" w:eastAsiaTheme="minorEastAsia"/>
                <w:highlight w:val="none"/>
                <w:lang w:val="en-US" w:eastAsia="zh-CN"/>
              </w:rPr>
              <w:t>5</w:t>
            </w:r>
            <w:r>
              <w:rPr>
                <w:rFonts w:hint="default" w:ascii="Times New Roman" w:hAnsi="Times New Roman" w:cs="Times New Roman" w:eastAsiaTheme="minorEastAsia"/>
                <w:highlight w:val="none"/>
                <w:lang w:val="en-US" w:eastAsia="zh-CN"/>
              </w:rPr>
              <w:t>′1</w:t>
            </w:r>
            <w:r>
              <w:rPr>
                <w:rFonts w:hint="eastAsia" w:cs="Times New Roman" w:eastAsiaTheme="minorEastAsia"/>
                <w:highlight w:val="none"/>
                <w:lang w:val="en-US" w:eastAsia="zh-CN"/>
              </w:rPr>
              <w:t>8.816</w:t>
            </w:r>
            <w:r>
              <w:rPr>
                <w:rFonts w:hint="default" w:ascii="Times New Roman" w:hAnsi="Times New Roman" w:cs="Times New Roman" w:eastAsiaTheme="minorEastAsia"/>
                <w:highlight w:val="none"/>
                <w:lang w:val="en-US" w:eastAsia="zh-CN"/>
              </w:rPr>
              <w:t>″</w:t>
            </w:r>
          </w:p>
        </w:tc>
      </w:tr>
      <w:tr w14:paraId="06C6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654" w:type="dxa"/>
            <w:vAlign w:val="center"/>
          </w:tcPr>
          <w:p w14:paraId="4A55A11C">
            <w:pPr>
              <w:pStyle w:val="28"/>
              <w:jc w:val="center"/>
              <w:rPr>
                <w:rFonts w:hint="default"/>
              </w:rPr>
            </w:pPr>
            <w:r>
              <w:t>建设项目行业类别</w:t>
            </w:r>
          </w:p>
        </w:tc>
        <w:tc>
          <w:tcPr>
            <w:tcW w:w="1522" w:type="dxa"/>
            <w:vAlign w:val="center"/>
          </w:tcPr>
          <w:p w14:paraId="1F2606F0">
            <w:pPr>
              <w:pStyle w:val="28"/>
              <w:rPr>
                <w:rFonts w:hint="default" w:eastAsia="宋体"/>
                <w:lang w:val="en-US" w:eastAsia="zh-CN"/>
              </w:rPr>
            </w:pPr>
            <w:r>
              <w:rPr>
                <w:rFonts w:hint="eastAsia"/>
                <w:lang w:eastAsia="zh-CN"/>
              </w:rPr>
              <w:t>八</w:t>
            </w:r>
            <w:r>
              <w:t>、</w:t>
            </w:r>
            <w:r>
              <w:rPr>
                <w:rFonts w:hint="eastAsia"/>
                <w:lang w:eastAsia="zh-CN"/>
              </w:rPr>
              <w:t>非金属矿采选业</w:t>
            </w:r>
            <w:r>
              <w:t>1</w:t>
            </w:r>
            <w:r>
              <w:rPr>
                <w:rFonts w:hint="eastAsia"/>
                <w:lang w:val="en-US" w:eastAsia="zh-CN"/>
              </w:rPr>
              <w:t>1</w:t>
            </w:r>
            <w:r>
              <w:t>.</w:t>
            </w:r>
            <w:r>
              <w:rPr>
                <w:rFonts w:hint="eastAsia"/>
                <w:lang w:eastAsia="zh-CN"/>
              </w:rPr>
              <w:t>土砂石开采</w:t>
            </w:r>
            <w:r>
              <w:rPr>
                <w:rFonts w:hint="eastAsia"/>
                <w:lang w:val="en-US" w:eastAsia="zh-CN"/>
              </w:rPr>
              <w:t>101</w:t>
            </w:r>
          </w:p>
        </w:tc>
        <w:tc>
          <w:tcPr>
            <w:tcW w:w="1940" w:type="dxa"/>
            <w:vAlign w:val="center"/>
          </w:tcPr>
          <w:p w14:paraId="04359AE8">
            <w:pPr>
              <w:pStyle w:val="28"/>
              <w:rPr>
                <w:rFonts w:hint="default"/>
              </w:rPr>
            </w:pPr>
            <w:r>
              <w:t>用地（用海）面积（m</w:t>
            </w:r>
            <w:r>
              <w:rPr>
                <w:vertAlign w:val="superscript"/>
              </w:rPr>
              <w:t>2</w:t>
            </w:r>
            <w:r>
              <w:t>）</w:t>
            </w:r>
          </w:p>
        </w:tc>
        <w:tc>
          <w:tcPr>
            <w:tcW w:w="3406" w:type="dxa"/>
            <w:vAlign w:val="center"/>
          </w:tcPr>
          <w:p w14:paraId="47D2C9E0">
            <w:pPr>
              <w:pStyle w:val="28"/>
              <w:rPr>
                <w:rFonts w:hint="default"/>
                <w:lang w:val="en-US" w:eastAsia="zh-CN"/>
              </w:rPr>
            </w:pPr>
            <w:r>
              <w:rPr>
                <w:rFonts w:hint="eastAsia"/>
                <w:lang w:val="en-US" w:eastAsia="zh-CN"/>
              </w:rPr>
              <w:t>19600</w:t>
            </w:r>
          </w:p>
        </w:tc>
      </w:tr>
      <w:tr w14:paraId="701B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1654" w:type="dxa"/>
            <w:vAlign w:val="center"/>
          </w:tcPr>
          <w:p w14:paraId="667D5202">
            <w:pPr>
              <w:pStyle w:val="28"/>
              <w:rPr>
                <w:rFonts w:hint="default"/>
              </w:rPr>
            </w:pPr>
            <w:r>
              <w:t>建设性质</w:t>
            </w:r>
          </w:p>
        </w:tc>
        <w:tc>
          <w:tcPr>
            <w:tcW w:w="1522" w:type="dxa"/>
            <w:vAlign w:val="center"/>
          </w:tcPr>
          <w:p w14:paraId="78B501D9">
            <w:pPr>
              <w:pStyle w:val="28"/>
              <w:jc w:val="left"/>
              <w:rPr>
                <w:rFonts w:hint="default"/>
              </w:rPr>
            </w:pPr>
            <w:r>
              <w:rPr/>
              <w:sym w:font="Wingdings" w:char="00A8"/>
            </w:r>
            <w:r>
              <w:t>新建（迁建）</w:t>
            </w:r>
          </w:p>
          <w:p w14:paraId="1D1493FB">
            <w:pPr>
              <w:pStyle w:val="28"/>
              <w:jc w:val="left"/>
              <w:rPr>
                <w:rFonts w:hint="default"/>
              </w:rPr>
            </w:pPr>
            <w:r>
              <w:rPr/>
              <w:sym w:font="Wingdings" w:char="00FE"/>
            </w:r>
            <w:r>
              <w:t>改建</w:t>
            </w:r>
          </w:p>
          <w:p w14:paraId="346EF784">
            <w:pPr>
              <w:pStyle w:val="28"/>
              <w:jc w:val="left"/>
              <w:rPr>
                <w:rFonts w:hint="default"/>
              </w:rPr>
            </w:pPr>
            <w:r>
              <w:rPr/>
              <w:sym w:font="Wingdings" w:char="00A8"/>
            </w:r>
            <w:r>
              <w:t>扩建</w:t>
            </w:r>
          </w:p>
          <w:p w14:paraId="0CFA147A">
            <w:pPr>
              <w:pStyle w:val="28"/>
              <w:jc w:val="left"/>
              <w:rPr>
                <w:rFonts w:hint="default"/>
              </w:rPr>
            </w:pPr>
            <w:r>
              <w:rPr/>
              <w:sym w:font="Wingdings" w:char="00A8"/>
            </w:r>
            <w:r>
              <w:t>技术改造</w:t>
            </w:r>
          </w:p>
        </w:tc>
        <w:tc>
          <w:tcPr>
            <w:tcW w:w="1940" w:type="dxa"/>
            <w:vAlign w:val="center"/>
          </w:tcPr>
          <w:p w14:paraId="46220C77">
            <w:pPr>
              <w:pStyle w:val="28"/>
              <w:rPr>
                <w:rFonts w:hint="default"/>
              </w:rPr>
            </w:pPr>
            <w:r>
              <w:t>建设项目</w:t>
            </w:r>
          </w:p>
          <w:p w14:paraId="09FDC9DE">
            <w:pPr>
              <w:pStyle w:val="28"/>
              <w:rPr>
                <w:rFonts w:hint="default"/>
              </w:rPr>
            </w:pPr>
            <w:r>
              <w:t>申报情况</w:t>
            </w:r>
          </w:p>
        </w:tc>
        <w:tc>
          <w:tcPr>
            <w:tcW w:w="3406" w:type="dxa"/>
            <w:vAlign w:val="center"/>
          </w:tcPr>
          <w:p w14:paraId="402F80B0">
            <w:pPr>
              <w:pStyle w:val="28"/>
              <w:jc w:val="left"/>
              <w:rPr>
                <w:rFonts w:hint="default"/>
              </w:rPr>
            </w:pPr>
            <w:r>
              <w:rPr/>
              <w:sym w:font="Wingdings" w:char="00FE"/>
            </w:r>
            <w:r>
              <w:t xml:space="preserve">首次申报项目             </w:t>
            </w:r>
            <w:r>
              <w:rPr/>
              <w:sym w:font="Wingdings" w:char="00A8"/>
            </w:r>
            <w:r>
              <w:t>不予批准后再次申报项目</w:t>
            </w:r>
          </w:p>
          <w:p w14:paraId="71541A6C">
            <w:pPr>
              <w:pStyle w:val="28"/>
              <w:jc w:val="left"/>
              <w:rPr>
                <w:rFonts w:hint="default"/>
              </w:rPr>
            </w:pPr>
            <w:r>
              <w:rPr/>
              <w:sym w:font="Wingdings" w:char="00A8"/>
            </w:r>
            <w:r>
              <w:t xml:space="preserve">超五年重新审核项目     </w:t>
            </w:r>
          </w:p>
          <w:p w14:paraId="0B72B3AA">
            <w:pPr>
              <w:pStyle w:val="28"/>
              <w:jc w:val="left"/>
              <w:rPr>
                <w:rFonts w:hint="default"/>
              </w:rPr>
            </w:pPr>
            <w:r>
              <w:rPr/>
              <w:sym w:font="Wingdings" w:char="00A8"/>
            </w:r>
            <w:r>
              <w:t>重大变动重新报批项目</w:t>
            </w:r>
          </w:p>
        </w:tc>
      </w:tr>
      <w:tr w14:paraId="1D72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654" w:type="dxa"/>
            <w:vAlign w:val="center"/>
          </w:tcPr>
          <w:p w14:paraId="4FF35556">
            <w:pPr>
              <w:pStyle w:val="28"/>
              <w:jc w:val="both"/>
              <w:rPr>
                <w:rFonts w:hint="default"/>
              </w:rPr>
            </w:pPr>
            <w:r>
              <w:t>项目审批（核准/备案）部门（选填）</w:t>
            </w:r>
          </w:p>
        </w:tc>
        <w:tc>
          <w:tcPr>
            <w:tcW w:w="1522" w:type="dxa"/>
            <w:vAlign w:val="center"/>
          </w:tcPr>
          <w:p w14:paraId="572F8985">
            <w:pPr>
              <w:pStyle w:val="28"/>
              <w:rPr>
                <w:rFonts w:hint="eastAsia" w:eastAsia="宋体"/>
                <w:lang w:eastAsia="zh-CN"/>
              </w:rPr>
            </w:pPr>
            <w:r>
              <w:rPr>
                <w:rFonts w:hint="eastAsia"/>
                <w:lang w:val="en-US" w:eastAsia="zh-CN"/>
              </w:rPr>
              <w:t>/</w:t>
            </w:r>
          </w:p>
        </w:tc>
        <w:tc>
          <w:tcPr>
            <w:tcW w:w="1940" w:type="dxa"/>
            <w:vAlign w:val="center"/>
          </w:tcPr>
          <w:p w14:paraId="228D1341">
            <w:pPr>
              <w:pStyle w:val="28"/>
              <w:rPr>
                <w:rFonts w:hint="default"/>
              </w:rPr>
            </w:pPr>
            <w:r>
              <w:t>项目审核（核准/备案）文号（选填）</w:t>
            </w:r>
          </w:p>
        </w:tc>
        <w:tc>
          <w:tcPr>
            <w:tcW w:w="3406" w:type="dxa"/>
            <w:vAlign w:val="center"/>
          </w:tcPr>
          <w:p w14:paraId="716C5C92">
            <w:pPr>
              <w:pStyle w:val="28"/>
              <w:rPr>
                <w:rFonts w:hint="default"/>
              </w:rPr>
            </w:pPr>
            <w:r>
              <w:rPr>
                <w:rFonts w:hint="eastAsia"/>
                <w:lang w:val="en-US" w:eastAsia="zh-CN"/>
              </w:rPr>
              <w:t>/</w:t>
            </w:r>
          </w:p>
        </w:tc>
      </w:tr>
      <w:tr w14:paraId="26D0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654" w:type="dxa"/>
            <w:vAlign w:val="center"/>
          </w:tcPr>
          <w:p w14:paraId="3F152560">
            <w:pPr>
              <w:pStyle w:val="28"/>
              <w:rPr>
                <w:rFonts w:hint="default"/>
              </w:rPr>
            </w:pPr>
            <w:r>
              <w:t>总投资（万元）</w:t>
            </w:r>
          </w:p>
        </w:tc>
        <w:tc>
          <w:tcPr>
            <w:tcW w:w="1522" w:type="dxa"/>
            <w:vAlign w:val="center"/>
          </w:tcPr>
          <w:p w14:paraId="6F26DEDD">
            <w:pPr>
              <w:pStyle w:val="28"/>
              <w:rPr>
                <w:rFonts w:hint="default" w:eastAsia="宋体"/>
                <w:lang w:val="en-US" w:eastAsia="zh-CN"/>
              </w:rPr>
            </w:pPr>
            <w:r>
              <w:rPr>
                <w:rFonts w:hint="eastAsia"/>
                <w:lang w:val="en-US" w:eastAsia="zh-CN"/>
              </w:rPr>
              <w:t>736.24</w:t>
            </w:r>
          </w:p>
        </w:tc>
        <w:tc>
          <w:tcPr>
            <w:tcW w:w="1940" w:type="dxa"/>
            <w:vAlign w:val="center"/>
          </w:tcPr>
          <w:p w14:paraId="31478BF4">
            <w:pPr>
              <w:pStyle w:val="28"/>
              <w:rPr>
                <w:rFonts w:hint="default"/>
              </w:rPr>
            </w:pPr>
            <w:r>
              <w:t>环保投资（万元）</w:t>
            </w:r>
          </w:p>
        </w:tc>
        <w:tc>
          <w:tcPr>
            <w:tcW w:w="3406" w:type="dxa"/>
            <w:vAlign w:val="center"/>
          </w:tcPr>
          <w:p w14:paraId="794BEAE7">
            <w:pPr>
              <w:pStyle w:val="28"/>
              <w:rPr>
                <w:rFonts w:hint="default" w:eastAsia="宋体"/>
                <w:lang w:val="en-US" w:eastAsia="zh-CN"/>
              </w:rPr>
            </w:pPr>
            <w:r>
              <w:rPr>
                <w:rFonts w:hint="eastAsia"/>
                <w:highlight w:val="none"/>
                <w:lang w:val="en-US" w:eastAsia="zh-CN"/>
              </w:rPr>
              <w:t>47.6</w:t>
            </w:r>
          </w:p>
        </w:tc>
      </w:tr>
      <w:tr w14:paraId="7111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54" w:type="dxa"/>
            <w:vAlign w:val="center"/>
          </w:tcPr>
          <w:p w14:paraId="1544E008">
            <w:pPr>
              <w:pStyle w:val="28"/>
              <w:rPr>
                <w:rFonts w:hint="default"/>
              </w:rPr>
            </w:pPr>
            <w:r>
              <w:t>环保投资占比（%）</w:t>
            </w:r>
          </w:p>
        </w:tc>
        <w:tc>
          <w:tcPr>
            <w:tcW w:w="1522" w:type="dxa"/>
            <w:vAlign w:val="center"/>
          </w:tcPr>
          <w:p w14:paraId="6349BE43">
            <w:pPr>
              <w:pStyle w:val="28"/>
              <w:rPr>
                <w:rFonts w:hint="default"/>
              </w:rPr>
            </w:pPr>
            <w:r>
              <w:rPr>
                <w:rFonts w:hint="eastAsia"/>
                <w:lang w:val="en-US" w:eastAsia="zh-CN"/>
              </w:rPr>
              <w:t>6.5</w:t>
            </w:r>
            <w:r>
              <w:t>%</w:t>
            </w:r>
          </w:p>
        </w:tc>
        <w:tc>
          <w:tcPr>
            <w:tcW w:w="1940" w:type="dxa"/>
            <w:vAlign w:val="center"/>
          </w:tcPr>
          <w:p w14:paraId="0CE3D09F">
            <w:pPr>
              <w:pStyle w:val="28"/>
              <w:rPr>
                <w:rFonts w:hint="default"/>
              </w:rPr>
            </w:pPr>
            <w:r>
              <w:t>施工工期</w:t>
            </w:r>
          </w:p>
        </w:tc>
        <w:tc>
          <w:tcPr>
            <w:tcW w:w="3406" w:type="dxa"/>
            <w:vAlign w:val="center"/>
          </w:tcPr>
          <w:p w14:paraId="4798F1E9">
            <w:pPr>
              <w:pStyle w:val="28"/>
              <w:jc w:val="center"/>
              <w:rPr>
                <w:rFonts w:hint="default"/>
              </w:rPr>
            </w:pPr>
            <w:r>
              <w:rPr>
                <w:rFonts w:hint="eastAsia"/>
                <w:lang w:val="en-US" w:eastAsia="zh-CN"/>
              </w:rPr>
              <w:t>2</w:t>
            </w:r>
            <w:r>
              <w:t>个月</w:t>
            </w:r>
          </w:p>
        </w:tc>
      </w:tr>
      <w:tr w14:paraId="7EC9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654" w:type="dxa"/>
            <w:vAlign w:val="center"/>
          </w:tcPr>
          <w:p w14:paraId="444A0516">
            <w:pPr>
              <w:pStyle w:val="28"/>
              <w:rPr>
                <w:rFonts w:hint="default"/>
              </w:rPr>
            </w:pPr>
            <w:r>
              <w:t>是否开工建设</w:t>
            </w:r>
          </w:p>
        </w:tc>
        <w:tc>
          <w:tcPr>
            <w:tcW w:w="6868" w:type="dxa"/>
            <w:gridSpan w:val="3"/>
            <w:vAlign w:val="center"/>
          </w:tcPr>
          <w:p w14:paraId="18B65621">
            <w:pPr>
              <w:pStyle w:val="28"/>
              <w:jc w:val="both"/>
              <w:rPr>
                <w:rFonts w:hint="default"/>
              </w:rPr>
            </w:pPr>
            <w:r>
              <w:rPr/>
              <w:sym w:font="Wingdings" w:char="00FE"/>
            </w:r>
            <w:r>
              <w:t>否</w:t>
            </w:r>
          </w:p>
          <w:p w14:paraId="31D6BEC0">
            <w:pPr>
              <w:pStyle w:val="28"/>
              <w:jc w:val="both"/>
              <w:rPr>
                <w:rFonts w:hint="default"/>
              </w:rPr>
            </w:pPr>
            <w:r>
              <w:rPr/>
              <w:sym w:font="Wingdings" w:char="00A8"/>
            </w:r>
            <w:r>
              <w:t>是：</w:t>
            </w:r>
          </w:p>
        </w:tc>
      </w:tr>
      <w:tr w14:paraId="2D54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654" w:type="dxa"/>
            <w:vAlign w:val="center"/>
          </w:tcPr>
          <w:p w14:paraId="75374C6B">
            <w:pPr>
              <w:pStyle w:val="28"/>
              <w:rPr>
                <w:rFonts w:hint="default"/>
              </w:rPr>
            </w:pPr>
            <w:r>
              <w:t>专项评价设置情况</w:t>
            </w:r>
          </w:p>
        </w:tc>
        <w:tc>
          <w:tcPr>
            <w:tcW w:w="6868" w:type="dxa"/>
            <w:gridSpan w:val="3"/>
            <w:vAlign w:val="center"/>
          </w:tcPr>
          <w:p w14:paraId="0CBFD3B2">
            <w:pPr>
              <w:pStyle w:val="28"/>
              <w:rPr>
                <w:rFonts w:hint="default"/>
              </w:rPr>
            </w:pPr>
            <w:r>
              <w:t>无</w:t>
            </w:r>
          </w:p>
        </w:tc>
      </w:tr>
      <w:tr w14:paraId="0F1B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654" w:type="dxa"/>
            <w:vAlign w:val="center"/>
          </w:tcPr>
          <w:p w14:paraId="20A072EA">
            <w:pPr>
              <w:pStyle w:val="28"/>
              <w:rPr>
                <w:rFonts w:hint="default"/>
              </w:rPr>
            </w:pPr>
            <w:r>
              <w:t>规划情况</w:t>
            </w:r>
          </w:p>
        </w:tc>
        <w:tc>
          <w:tcPr>
            <w:tcW w:w="6868" w:type="dxa"/>
            <w:gridSpan w:val="3"/>
            <w:vAlign w:val="center"/>
          </w:tcPr>
          <w:p w14:paraId="3A3BDE4B">
            <w:pPr>
              <w:pStyle w:val="28"/>
              <w:spacing w:line="360" w:lineRule="auto"/>
              <w:rPr>
                <w:rFonts w:hint="default"/>
              </w:rPr>
            </w:pPr>
            <w:r>
              <w:rPr>
                <w:rFonts w:hint="default"/>
              </w:rPr>
              <w:t>《新疆维吾尔自治区矿产资源总体规划》（2021-2025年），自然资源部；</w:t>
            </w:r>
          </w:p>
        </w:tc>
      </w:tr>
      <w:tr w14:paraId="4791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54" w:type="dxa"/>
            <w:vAlign w:val="center"/>
          </w:tcPr>
          <w:p w14:paraId="65539584">
            <w:pPr>
              <w:pStyle w:val="28"/>
              <w:rPr>
                <w:rFonts w:hint="default"/>
              </w:rPr>
            </w:pPr>
            <w:r>
              <w:t>规划环境影响评价情况</w:t>
            </w:r>
          </w:p>
        </w:tc>
        <w:tc>
          <w:tcPr>
            <w:tcW w:w="6868" w:type="dxa"/>
            <w:gridSpan w:val="3"/>
            <w:vAlign w:val="center"/>
          </w:tcPr>
          <w:p w14:paraId="7B67FE68">
            <w:pPr>
              <w:pStyle w:val="28"/>
              <w:spacing w:line="360" w:lineRule="auto"/>
              <w:rPr>
                <w:rFonts w:hint="default"/>
              </w:rPr>
            </w:pPr>
            <w:r>
              <w:rPr>
                <w:rFonts w:hint="default"/>
              </w:rPr>
              <w:t>《关于&lt;新疆维吾尔自治区矿产资源总体规划（2021-2025）环境影响报告书&gt;的审查意见》环审[2022]124号，2022年8月12日，生态环境部</w:t>
            </w:r>
          </w:p>
        </w:tc>
      </w:tr>
      <w:tr w14:paraId="018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53" w:hRule="atLeast"/>
          <w:jc w:val="center"/>
        </w:trPr>
        <w:tc>
          <w:tcPr>
            <w:tcW w:w="1654" w:type="dxa"/>
            <w:vAlign w:val="center"/>
          </w:tcPr>
          <w:p w14:paraId="46219DA7">
            <w:pPr>
              <w:pStyle w:val="28"/>
              <w:rPr>
                <w:rFonts w:hint="default"/>
              </w:rPr>
            </w:pPr>
            <w:r>
              <w:t>规划及规划环境影响评价符合性分析</w:t>
            </w:r>
          </w:p>
        </w:tc>
        <w:tc>
          <w:tcPr>
            <w:tcW w:w="6868" w:type="dxa"/>
            <w:gridSpan w:val="3"/>
            <w:vAlign w:val="center"/>
          </w:tcPr>
          <w:p w14:paraId="39A34E42">
            <w:pPr>
              <w:pStyle w:val="28"/>
              <w:numPr>
                <w:ilvl w:val="0"/>
                <w:numId w:val="0"/>
              </w:numPr>
              <w:spacing w:line="360" w:lineRule="auto"/>
              <w:ind w:firstLine="0" w:firstLineChars="0"/>
              <w:jc w:val="left"/>
              <w:rPr>
                <w:rFonts w:hint="eastAsia"/>
                <w:b/>
                <w:bCs/>
                <w:lang w:val="en-US" w:eastAsia="zh-CN"/>
              </w:rPr>
            </w:pPr>
            <w:r>
              <w:rPr>
                <w:rFonts w:hint="eastAsia" w:ascii="Times New Roman" w:hAnsi="Times New Roman" w:eastAsia="宋体" w:cstheme="minorBidi"/>
                <w:b/>
                <w:bCs/>
                <w:kern w:val="44"/>
                <w:sz w:val="24"/>
                <w:szCs w:val="24"/>
                <w:lang w:val="en-US" w:eastAsia="zh-CN" w:bidi="ar-SA"/>
              </w:rPr>
              <w:t>1、</w:t>
            </w:r>
            <w:r>
              <w:rPr>
                <w:rFonts w:hint="eastAsia"/>
                <w:b/>
                <w:bCs/>
                <w:lang w:val="en-US" w:eastAsia="zh-CN"/>
              </w:rPr>
              <w:t>项目与《新疆维吾尔自治区矿产资源总体规划（2021－2025年）》的符合性分析</w:t>
            </w:r>
          </w:p>
          <w:p w14:paraId="7643AF0C">
            <w:pPr>
              <w:pStyle w:val="28"/>
              <w:numPr>
                <w:ilvl w:val="0"/>
                <w:numId w:val="0"/>
              </w:numPr>
              <w:spacing w:line="360" w:lineRule="auto"/>
              <w:jc w:val="both"/>
              <w:rPr>
                <w:rFonts w:hint="eastAsia"/>
                <w:b/>
                <w:bCs/>
                <w:lang w:val="en-US" w:eastAsia="zh-CN"/>
              </w:rPr>
            </w:pPr>
            <w:r>
              <w:rPr>
                <w:rFonts w:hint="eastAsia"/>
                <w:b/>
                <w:bCs/>
                <w:lang w:val="en-US" w:eastAsia="zh-CN"/>
              </w:rPr>
              <w:t>表1-1与《新疆维吾尔自治区矿产资源总体规划（2021－2025年）》符合性分析</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3032"/>
              <w:gridCol w:w="2411"/>
              <w:gridCol w:w="742"/>
            </w:tblGrid>
            <w:tr w14:paraId="1244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182FC69">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序号</w:t>
                  </w:r>
                </w:p>
              </w:tc>
              <w:tc>
                <w:tcPr>
                  <w:tcW w:w="2283" w:type="pct"/>
                  <w:vAlign w:val="center"/>
                </w:tcPr>
                <w:p w14:paraId="110129AE">
                  <w:pPr>
                    <w:ind w:left="0" w:leftChars="0" w:firstLine="0" w:firstLineChars="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《新疆维吾尔自治区矿产资源总体规划（2021－2025年）》要求</w:t>
                  </w:r>
                </w:p>
              </w:tc>
              <w:tc>
                <w:tcPr>
                  <w:tcW w:w="1815" w:type="pct"/>
                  <w:vAlign w:val="center"/>
                </w:tcPr>
                <w:p w14:paraId="2A88F04C">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本项目实际情况</w:t>
                  </w:r>
                </w:p>
              </w:tc>
              <w:tc>
                <w:tcPr>
                  <w:tcW w:w="558" w:type="pct"/>
                  <w:vAlign w:val="center"/>
                </w:tcPr>
                <w:p w14:paraId="586ABDA3">
                  <w:pPr>
                    <w:ind w:left="0" w:leftChars="0" w:firstLine="0" w:firstLineChars="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是否符合</w:t>
                  </w:r>
                </w:p>
              </w:tc>
            </w:tr>
            <w:tr w14:paraId="7F84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5DA789CE">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1</w:t>
                  </w:r>
                </w:p>
              </w:tc>
              <w:tc>
                <w:tcPr>
                  <w:tcW w:w="2283" w:type="pct"/>
                </w:tcPr>
                <w:p w14:paraId="2DC90149">
                  <w:pPr>
                    <w:rPr>
                      <w:rFonts w:hint="eastAsia"/>
                      <w:kern w:val="0"/>
                      <w:sz w:val="21"/>
                      <w:szCs w:val="21"/>
                      <w:vertAlign w:val="baseline"/>
                    </w:rPr>
                  </w:pPr>
                  <w:r>
                    <w:rPr>
                      <w:rFonts w:hint="eastAsia"/>
                      <w:kern w:val="0"/>
                      <w:sz w:val="21"/>
                      <w:szCs w:val="21"/>
                      <w:vertAlign w:val="baseline"/>
                    </w:rPr>
                    <w:t>重点勘查区：部署45个国家级和38个自治区级重点勘查区。在国家和自治区紧缺矿种的具有找矿潜力的区域，南疆四地州经济欠发达地区所在的西南天山、昆仑山以及阿尔金山地区等重点勘查区内，通过优先设置出让探矿权，引导商业性矿产资源勘查，促进社会资本投入。</w:t>
                  </w:r>
                </w:p>
              </w:tc>
              <w:tc>
                <w:tcPr>
                  <w:tcW w:w="1815" w:type="pct"/>
                  <w:vAlign w:val="center"/>
                </w:tcPr>
                <w:p w14:paraId="086190CD">
                  <w:pPr>
                    <w:autoSpaceDE w:val="0"/>
                    <w:autoSpaceDN w:val="0"/>
                    <w:adjustRightInd w:val="0"/>
                    <w:snapToGrid w:val="0"/>
                    <w:spacing w:line="360" w:lineRule="auto"/>
                    <w:jc w:val="both"/>
                    <w:rPr>
                      <w:rFonts w:hint="eastAsia" w:eastAsia="宋体"/>
                      <w:kern w:val="0"/>
                      <w:sz w:val="21"/>
                      <w:szCs w:val="21"/>
                      <w:vertAlign w:val="baseline"/>
                      <w:lang w:eastAsia="zh-CN"/>
                    </w:rPr>
                  </w:pPr>
                  <w:r>
                    <w:rPr>
                      <w:rFonts w:hint="eastAsia" w:eastAsia="宋体"/>
                      <w:kern w:val="0"/>
                      <w:sz w:val="21"/>
                      <w:szCs w:val="21"/>
                      <w:vertAlign w:val="baseline"/>
                      <w:lang w:eastAsia="zh-CN"/>
                    </w:rPr>
                    <w:t>本项目砂石矿采矿权已下发采砂证，本项目的建成后，有利于</w:t>
                  </w:r>
                  <w:r>
                    <w:rPr>
                      <w:rFonts w:hint="eastAsia" w:eastAsia="宋体"/>
                      <w:sz w:val="21"/>
                      <w:szCs w:val="21"/>
                      <w:lang w:eastAsia="zh-CN"/>
                    </w:rPr>
                    <w:t>吉木萨尔县</w:t>
                  </w:r>
                  <w:r>
                    <w:rPr>
                      <w:rFonts w:hint="eastAsia" w:eastAsia="宋体"/>
                      <w:kern w:val="0"/>
                      <w:sz w:val="21"/>
                      <w:szCs w:val="21"/>
                      <w:vertAlign w:val="baseline"/>
                      <w:lang w:eastAsia="zh-CN"/>
                    </w:rPr>
                    <w:t>的社会发展。</w:t>
                  </w:r>
                </w:p>
              </w:tc>
              <w:tc>
                <w:tcPr>
                  <w:tcW w:w="558" w:type="pct"/>
                  <w:vAlign w:val="center"/>
                </w:tcPr>
                <w:p w14:paraId="0C229677">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661B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20F325C">
                  <w:pPr>
                    <w:autoSpaceDE w:val="0"/>
                    <w:autoSpaceDN w:val="0"/>
                    <w:adjustRightInd w:val="0"/>
                    <w:snapToGrid w:val="0"/>
                    <w:spacing w:line="360" w:lineRule="auto"/>
                    <w:ind w:left="0" w:leftChars="0" w:firstLine="210" w:firstLineChars="10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2</w:t>
                  </w:r>
                </w:p>
              </w:tc>
              <w:tc>
                <w:tcPr>
                  <w:tcW w:w="2283" w:type="pct"/>
                </w:tcPr>
                <w:p w14:paraId="568D4576">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限制勘查区：钨、稀土等国家规定实行保护性开采的特定矿种分布区域；严重供大于求以及下游产业产能过剩、耗能大、污染重的矿产分布区域；具有地方特色且资源储量有限，需要保护的区域；虽有可靠的资源基础和市场需求，但现阶段开发技术条件不成熟的区域；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把生态文明建设目标任务落实到国土资源管理工作中，做好探矿权稳妥有序退出保护区基础工作，并确保新设探矿权不再进入国家和自治区级自然保护区。</w:t>
                  </w:r>
                </w:p>
              </w:tc>
              <w:tc>
                <w:tcPr>
                  <w:tcW w:w="1815" w:type="pct"/>
                  <w:vAlign w:val="center"/>
                </w:tcPr>
                <w:p w14:paraId="6B9DF8EE">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涉及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及有关法律法规规定的限制勘查区。</w:t>
                  </w:r>
                </w:p>
              </w:tc>
              <w:tc>
                <w:tcPr>
                  <w:tcW w:w="558" w:type="pct"/>
                  <w:vAlign w:val="center"/>
                </w:tcPr>
                <w:p w14:paraId="3D14FA2B">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符合</w:t>
                  </w:r>
                </w:p>
              </w:tc>
            </w:tr>
            <w:tr w14:paraId="3383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4ABFE83">
                  <w:pPr>
                    <w:autoSpaceDE w:val="0"/>
                    <w:autoSpaceDN w:val="0"/>
                    <w:adjustRightInd w:val="0"/>
                    <w:snapToGrid w:val="0"/>
                    <w:spacing w:line="360" w:lineRule="auto"/>
                    <w:ind w:left="0" w:leftChars="0" w:firstLine="210" w:firstLineChars="100"/>
                    <w:jc w:val="center"/>
                    <w:rPr>
                      <w:rFonts w:hint="eastAsia" w:eastAsia="宋体"/>
                      <w:kern w:val="0"/>
                      <w:sz w:val="21"/>
                      <w:szCs w:val="21"/>
                      <w:vertAlign w:val="baseline"/>
                      <w:lang w:val="en-US" w:eastAsia="zh-CN"/>
                    </w:rPr>
                  </w:pPr>
                  <w:r>
                    <w:rPr>
                      <w:rFonts w:hint="eastAsia"/>
                      <w:kern w:val="0"/>
                      <w:sz w:val="21"/>
                      <w:szCs w:val="21"/>
                      <w:vertAlign w:val="baseline"/>
                      <w:lang w:val="en-US" w:eastAsia="zh-CN"/>
                    </w:rPr>
                    <w:t>3</w:t>
                  </w:r>
                </w:p>
              </w:tc>
              <w:tc>
                <w:tcPr>
                  <w:tcW w:w="2283" w:type="pct"/>
                </w:tcPr>
                <w:p w14:paraId="4A49D51E">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重点矿区：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p>
              </w:tc>
              <w:tc>
                <w:tcPr>
                  <w:tcW w:w="1815" w:type="pct"/>
                  <w:vAlign w:val="center"/>
                </w:tcPr>
                <w:p w14:paraId="722278A0">
                  <w:pPr>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本项目位于</w:t>
                  </w:r>
                  <w:r>
                    <w:rPr>
                      <w:rFonts w:hint="eastAsia" w:cs="Times New Roman"/>
                      <w:sz w:val="21"/>
                      <w:szCs w:val="21"/>
                      <w:lang w:eastAsia="zh-CN"/>
                    </w:rPr>
                    <w:t>新疆维吾尔自治区</w:t>
                  </w:r>
                  <w:r>
                    <w:rPr>
                      <w:rFonts w:hint="eastAsia" w:ascii="Times New Roman" w:hAnsi="Times New Roman" w:eastAsia="宋体" w:cs="Times New Roman"/>
                      <w:sz w:val="21"/>
                      <w:szCs w:val="21"/>
                      <w:lang w:eastAsia="zh-CN"/>
                    </w:rPr>
                    <w:t>昌吉州吉木萨尔县三台镇，项目的建设有利于矿山资源的开发，矿山占有矿石资源储量与矿山开采规模及矿山服务年限相匹配，具备与矿山开采规模相配套的人才、资金、技术和管理资质条件，符合当地的矿产资源总体规划</w:t>
                  </w:r>
                </w:p>
              </w:tc>
              <w:tc>
                <w:tcPr>
                  <w:tcW w:w="558" w:type="pct"/>
                  <w:vAlign w:val="center"/>
                </w:tcPr>
                <w:p w14:paraId="373BEA3B">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7A2E7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6A3F82E0">
                  <w:pPr>
                    <w:ind w:left="0" w:leftChars="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283" w:type="pct"/>
                </w:tcPr>
                <w:p w14:paraId="67D8246F">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限制开采区：严重供大于求以及下游产业产能过剩、耗能大、污染重的矿产分布区域；具有地方特色且需保护性限制开采矿种的分布区域；虽有可靠的资源基础，但当前市场容量有限，应用研究不够，资源利用方式不合理的区域；在较高技术经济条件与一定外部条件下，才能达到资源合理利用的区域；需要进行矿产资源储备和保护的矿产地；钨矿分布区域；国家和地方规定的其他限制开采矿产资源的区域。区内要进一步严格矿业权管理，按照现行法律法规加强监督管理</w:t>
                  </w:r>
                </w:p>
              </w:tc>
              <w:tc>
                <w:tcPr>
                  <w:tcW w:w="1815" w:type="pct"/>
                  <w:vAlign w:val="center"/>
                </w:tcPr>
                <w:p w14:paraId="7E21F44A">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本项目不在限制开采区，</w:t>
                  </w:r>
                  <w:r>
                    <w:rPr>
                      <w:rFonts w:hint="eastAsia" w:ascii="Times New Roman" w:hAnsi="Times New Roman" w:eastAsia="宋体" w:cs="Times New Roman"/>
                      <w:sz w:val="21"/>
                      <w:szCs w:val="21"/>
                      <w:lang w:val="en-US" w:eastAsia="zh-CN"/>
                    </w:rPr>
                    <w:t>符合规定。</w:t>
                  </w:r>
                </w:p>
              </w:tc>
              <w:tc>
                <w:tcPr>
                  <w:tcW w:w="558" w:type="pct"/>
                  <w:vAlign w:val="center"/>
                </w:tcPr>
                <w:p w14:paraId="1B91EA5F">
                  <w:pPr>
                    <w:autoSpaceDE w:val="0"/>
                    <w:autoSpaceDN w:val="0"/>
                    <w:adjustRightInd w:val="0"/>
                    <w:snapToGrid w:val="0"/>
                    <w:spacing w:line="360" w:lineRule="auto"/>
                    <w:ind w:left="0" w:leftChars="0" w:firstLine="0" w:firstLineChars="0"/>
                    <w:jc w:val="center"/>
                    <w:rPr>
                      <w:rFonts w:hint="eastAsia" w:eastAsia="宋体"/>
                      <w:kern w:val="0"/>
                      <w:sz w:val="21"/>
                      <w:szCs w:val="21"/>
                      <w:vertAlign w:val="baseline"/>
                      <w:lang w:eastAsia="zh-CN"/>
                    </w:rPr>
                  </w:pPr>
                  <w:r>
                    <w:rPr>
                      <w:rFonts w:hint="eastAsia"/>
                      <w:kern w:val="0"/>
                      <w:sz w:val="21"/>
                      <w:szCs w:val="21"/>
                      <w:vertAlign w:val="baseline"/>
                      <w:lang w:eastAsia="zh-CN"/>
                    </w:rPr>
                    <w:t>符合</w:t>
                  </w:r>
                </w:p>
              </w:tc>
            </w:tr>
            <w:tr w14:paraId="7F82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4293F6A6">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283" w:type="pct"/>
                </w:tcPr>
                <w:p w14:paraId="5554C944">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禁止开采区：国家和自治区级自然保护区、风景名胜区、历史遗迹保护区，重要饮用水水源保护区、重要湿地保护区、国家级森林公园、地质公园；铁路、高速公路、国道、省道、油气管线等线型工程两侧一定距离内；军事管理区、重要工业区、大型水利工程设施、城镇市政工程设施等一定范围内，机场和国防工程设施圈定的地区。</w:t>
                  </w:r>
                </w:p>
              </w:tc>
              <w:tc>
                <w:tcPr>
                  <w:tcW w:w="1815" w:type="pct"/>
                  <w:vAlign w:val="center"/>
                </w:tcPr>
                <w:p w14:paraId="2391C076">
                  <w:pPr>
                    <w:jc w:val="both"/>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本项目不在</w:t>
                  </w:r>
                  <w:r>
                    <w:rPr>
                      <w:rFonts w:hint="eastAsia" w:ascii="Times New Roman" w:hAnsi="Times New Roman" w:eastAsia="宋体" w:cs="Times New Roman"/>
                      <w:sz w:val="21"/>
                      <w:szCs w:val="21"/>
                    </w:rPr>
                    <w:t>禁止开采区</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符合规定。</w:t>
                  </w:r>
                </w:p>
              </w:tc>
              <w:tc>
                <w:tcPr>
                  <w:tcW w:w="558" w:type="pct"/>
                  <w:vAlign w:val="center"/>
                </w:tcPr>
                <w:p w14:paraId="367F8ABD">
                  <w:pPr>
                    <w:autoSpaceDE w:val="0"/>
                    <w:autoSpaceDN w:val="0"/>
                    <w:adjustRightInd w:val="0"/>
                    <w:snapToGrid w:val="0"/>
                    <w:spacing w:line="360" w:lineRule="auto"/>
                    <w:ind w:left="0" w:leftChars="0" w:firstLine="0" w:firstLineChars="0"/>
                    <w:jc w:val="center"/>
                    <w:rPr>
                      <w:rFonts w:hint="eastAsia"/>
                      <w:kern w:val="0"/>
                      <w:sz w:val="21"/>
                      <w:szCs w:val="21"/>
                      <w:vertAlign w:val="baseline"/>
                      <w:lang w:eastAsia="zh-CN"/>
                    </w:rPr>
                  </w:pPr>
                  <w:r>
                    <w:rPr>
                      <w:rFonts w:hint="eastAsia"/>
                      <w:kern w:val="0"/>
                      <w:sz w:val="21"/>
                      <w:szCs w:val="21"/>
                      <w:vertAlign w:val="baseline"/>
                      <w:lang w:eastAsia="zh-CN"/>
                    </w:rPr>
                    <w:t>符合</w:t>
                  </w:r>
                </w:p>
              </w:tc>
            </w:tr>
            <w:tr w14:paraId="7AB6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2326D774">
                  <w:pPr>
                    <w:ind w:left="0" w:lef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283" w:type="pct"/>
                </w:tcPr>
                <w:p w14:paraId="664D24B5">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全面落实主体功能区规划和生态保护要求，严格执行矿产资源规划分区管理措施。区内未经主管部门同意，不得新设与资源环境保护功能不相符的矿业权。全面清理相关区域内已有的矿产资源勘查开发项目，研究制定退出补偿方案，在维护矿业权人合法权益的前提下逐步有序退出，及时复垦被破坏土地；确需保留的项目，实行清单式管理，明确资源环境保护要求和措施，强化资源环境保护</w:t>
                  </w:r>
                </w:p>
              </w:tc>
              <w:tc>
                <w:tcPr>
                  <w:tcW w:w="1815" w:type="pct"/>
                  <w:vAlign w:val="center"/>
                </w:tcPr>
                <w:p w14:paraId="442DFC53">
                  <w:pPr>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本项目建设单位通过挂牌竞拍取得砂石矿采矿权，并已制定了矿产资源开发利用方案，建设单位已委托第三方公司编制矿产资源开发利用与生态保护修复方案，做到边开采边复垦。</w:t>
                  </w:r>
                </w:p>
              </w:tc>
              <w:tc>
                <w:tcPr>
                  <w:tcW w:w="558" w:type="pct"/>
                  <w:vAlign w:val="center"/>
                </w:tcPr>
                <w:p w14:paraId="32FB6E3B">
                  <w:pPr>
                    <w:autoSpaceDE w:val="0"/>
                    <w:autoSpaceDN w:val="0"/>
                    <w:adjustRightInd w:val="0"/>
                    <w:snapToGrid w:val="0"/>
                    <w:spacing w:line="360" w:lineRule="auto"/>
                    <w:ind w:left="0" w:leftChars="0" w:firstLine="0" w:firstLineChars="0"/>
                    <w:jc w:val="center"/>
                    <w:rPr>
                      <w:rFonts w:hint="default"/>
                      <w:kern w:val="0"/>
                      <w:sz w:val="21"/>
                      <w:szCs w:val="21"/>
                      <w:vertAlign w:val="baseline"/>
                      <w:lang w:val="en-US" w:eastAsia="zh-CN"/>
                    </w:rPr>
                  </w:pPr>
                  <w:r>
                    <w:rPr>
                      <w:rFonts w:hint="eastAsia"/>
                      <w:kern w:val="0"/>
                      <w:sz w:val="21"/>
                      <w:szCs w:val="21"/>
                      <w:vertAlign w:val="baseline"/>
                      <w:lang w:eastAsia="zh-CN"/>
                    </w:rPr>
                    <w:t>符合</w:t>
                  </w:r>
                </w:p>
              </w:tc>
            </w:tr>
          </w:tbl>
          <w:p w14:paraId="16059977">
            <w:pPr>
              <w:numPr>
                <w:ilvl w:val="0"/>
                <w:numId w:val="0"/>
              </w:numPr>
              <w:bidi w:val="0"/>
              <w:ind w:left="0" w:leftChars="0" w:firstLine="480" w:firstLineChars="200"/>
              <w:rPr>
                <w:rFonts w:hint="eastAsia" w:ascii="Times New Roman" w:hAnsi="Times New Roman" w:eastAsia="宋体" w:cstheme="minorBidi"/>
                <w:b/>
                <w:bCs/>
                <w:kern w:val="2"/>
                <w:sz w:val="24"/>
                <w:szCs w:val="24"/>
                <w:lang w:val="en-US" w:eastAsia="zh-CN" w:bidi="ar-SA"/>
              </w:rPr>
            </w:pPr>
            <w:r>
              <w:rPr>
                <w:rFonts w:hint="eastAsia"/>
                <w:kern w:val="0"/>
                <w:sz w:val="24"/>
              </w:rPr>
              <w:t>本项目不违背《新疆维吾尔自治区矿产资源总体规划（2021－2025年）》禁入条件，符合相关规划</w:t>
            </w:r>
          </w:p>
          <w:p w14:paraId="794BE684">
            <w:pPr>
              <w:numPr>
                <w:ilvl w:val="0"/>
                <w:numId w:val="0"/>
              </w:numPr>
              <w:bidi w:val="0"/>
              <w:ind w:left="0" w:leftChars="0" w:firstLine="0" w:firstLineChars="0"/>
              <w:rPr>
                <w:rFonts w:hint="eastAsia"/>
                <w:b/>
                <w:bCs/>
                <w:lang w:val="en-US" w:eastAsia="zh-CN"/>
              </w:rPr>
            </w:pPr>
            <w:r>
              <w:rPr>
                <w:rFonts w:hint="eastAsia" w:ascii="Times New Roman" w:hAnsi="Times New Roman" w:eastAsia="宋体" w:cstheme="minorBidi"/>
                <w:b/>
                <w:bCs/>
                <w:kern w:val="2"/>
                <w:sz w:val="24"/>
                <w:szCs w:val="24"/>
                <w:lang w:val="en-US" w:eastAsia="zh-CN" w:bidi="ar-SA"/>
              </w:rPr>
              <w:t>2、</w:t>
            </w:r>
            <w:r>
              <w:rPr>
                <w:rFonts w:hint="eastAsia"/>
                <w:b/>
                <w:bCs/>
                <w:lang w:val="en-US" w:eastAsia="zh-CN"/>
              </w:rPr>
              <w:t>项目与《关于&lt;新疆维吾尔自治区矿产资源总体规划（2021-2025）环境影响报告书&gt;的审查意见》的符合性分析</w:t>
            </w:r>
          </w:p>
          <w:p w14:paraId="38DFC7BE">
            <w:pPr>
              <w:numPr>
                <w:ilvl w:val="0"/>
                <w:numId w:val="0"/>
              </w:numPr>
              <w:bidi w:val="0"/>
              <w:jc w:val="left"/>
              <w:rPr>
                <w:rFonts w:hint="default"/>
                <w:b/>
                <w:bCs/>
                <w:lang w:val="en-US" w:eastAsia="zh-CN"/>
              </w:rPr>
            </w:pPr>
            <w:r>
              <w:rPr>
                <w:rFonts w:hint="default"/>
                <w:b/>
                <w:bCs/>
                <w:lang w:val="en-US" w:eastAsia="zh-CN"/>
              </w:rPr>
              <w:t>表</w:t>
            </w:r>
            <w:r>
              <w:rPr>
                <w:rFonts w:hint="default"/>
                <w:b/>
                <w:bCs/>
                <w:lang w:val="en-US" w:eastAsia="zh-CN"/>
              </w:rPr>
              <w:tab/>
            </w:r>
            <w:r>
              <w:rPr>
                <w:rFonts w:hint="default"/>
                <w:b/>
                <w:bCs/>
                <w:lang w:val="en-US" w:eastAsia="zh-CN"/>
              </w:rPr>
              <w:t>1-2 本项目与《关于&lt;新疆维吾尔自治区矿产资源总体规划（2021-2025）环境影响报告书&gt;的审查意见》符合性</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3968"/>
              <w:gridCol w:w="1579"/>
              <w:gridCol w:w="723"/>
            </w:tblGrid>
            <w:tr w14:paraId="4E60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2462A33C">
                  <w:pPr>
                    <w:ind w:left="0" w:leftChars="0" w:firstLine="0" w:firstLineChars="0"/>
                    <w:rPr>
                      <w:b/>
                      <w:bCs/>
                      <w:sz w:val="21"/>
                      <w:szCs w:val="21"/>
                    </w:rPr>
                  </w:pPr>
                  <w:r>
                    <w:rPr>
                      <w:b/>
                      <w:bCs/>
                      <w:sz w:val="21"/>
                      <w:szCs w:val="21"/>
                    </w:rPr>
                    <w:t>序号</w:t>
                  </w:r>
                </w:p>
              </w:tc>
              <w:tc>
                <w:tcPr>
                  <w:tcW w:w="2989" w:type="pct"/>
                  <w:vAlign w:val="center"/>
                </w:tcPr>
                <w:p w14:paraId="71640E2A">
                  <w:pPr>
                    <w:ind w:left="0" w:leftChars="0" w:firstLine="0" w:firstLineChars="0"/>
                    <w:rPr>
                      <w:b/>
                      <w:bCs/>
                      <w:sz w:val="21"/>
                      <w:szCs w:val="21"/>
                    </w:rPr>
                  </w:pPr>
                  <w:r>
                    <w:rPr>
                      <w:rFonts w:hint="eastAsia"/>
                      <w:b/>
                      <w:bCs/>
                      <w:sz w:val="21"/>
                      <w:szCs w:val="21"/>
                    </w:rPr>
                    <w:t>《关于&lt;新疆维吾尔自治区矿产资源总体规划（2021-2025）环境影响报告书&gt;的审查意见》</w:t>
                  </w:r>
                </w:p>
              </w:tc>
              <w:tc>
                <w:tcPr>
                  <w:tcW w:w="1189" w:type="pct"/>
                  <w:vAlign w:val="center"/>
                </w:tcPr>
                <w:p w14:paraId="2B1C038F">
                  <w:pPr>
                    <w:ind w:left="0" w:leftChars="0" w:firstLine="0" w:firstLineChars="0"/>
                    <w:rPr>
                      <w:b/>
                      <w:bCs/>
                      <w:sz w:val="21"/>
                      <w:szCs w:val="21"/>
                    </w:rPr>
                  </w:pPr>
                  <w:r>
                    <w:rPr>
                      <w:b/>
                      <w:bCs/>
                      <w:sz w:val="21"/>
                      <w:szCs w:val="21"/>
                    </w:rPr>
                    <w:t>本项目实际建设情况</w:t>
                  </w:r>
                </w:p>
              </w:tc>
              <w:tc>
                <w:tcPr>
                  <w:tcW w:w="544" w:type="pct"/>
                  <w:vAlign w:val="center"/>
                </w:tcPr>
                <w:p w14:paraId="77847D27">
                  <w:pPr>
                    <w:ind w:left="0" w:leftChars="0" w:firstLine="0" w:firstLineChars="0"/>
                    <w:rPr>
                      <w:b/>
                      <w:bCs/>
                      <w:sz w:val="21"/>
                      <w:szCs w:val="21"/>
                    </w:rPr>
                  </w:pPr>
                  <w:r>
                    <w:rPr>
                      <w:b/>
                      <w:bCs/>
                      <w:sz w:val="21"/>
                      <w:szCs w:val="21"/>
                    </w:rPr>
                    <w:t>是否</w:t>
                  </w:r>
                </w:p>
                <w:p w14:paraId="0397A8FC">
                  <w:pPr>
                    <w:ind w:left="0" w:leftChars="0" w:firstLine="0" w:firstLineChars="0"/>
                    <w:rPr>
                      <w:b/>
                      <w:bCs/>
                      <w:sz w:val="21"/>
                      <w:szCs w:val="21"/>
                    </w:rPr>
                  </w:pPr>
                  <w:r>
                    <w:rPr>
                      <w:b/>
                      <w:bCs/>
                      <w:sz w:val="21"/>
                      <w:szCs w:val="21"/>
                    </w:rPr>
                    <w:t>符合</w:t>
                  </w:r>
                </w:p>
              </w:tc>
            </w:tr>
            <w:tr w14:paraId="54F0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3B8FD67E">
                  <w:pPr>
                    <w:ind w:left="0" w:leftChars="0" w:firstLine="0" w:firstLineChars="0"/>
                    <w:jc w:val="center"/>
                    <w:rPr>
                      <w:rFonts w:hint="eastAsia" w:eastAsia="宋体"/>
                      <w:sz w:val="21"/>
                      <w:szCs w:val="21"/>
                      <w:lang w:val="en-US" w:eastAsia="zh-CN"/>
                    </w:rPr>
                  </w:pPr>
                  <w:r>
                    <w:rPr>
                      <w:rFonts w:hint="eastAsia"/>
                      <w:sz w:val="21"/>
                      <w:szCs w:val="21"/>
                      <w:lang w:val="en-US" w:eastAsia="zh-CN"/>
                    </w:rPr>
                    <w:t>1</w:t>
                  </w:r>
                </w:p>
              </w:tc>
              <w:tc>
                <w:tcPr>
                  <w:tcW w:w="2989" w:type="pct"/>
                  <w:vAlign w:val="center"/>
                </w:tcPr>
                <w:p w14:paraId="71731F14">
                  <w:pPr>
                    <w:rPr>
                      <w:rFonts w:hint="eastAsia" w:eastAsia="宋体"/>
                      <w:sz w:val="21"/>
                      <w:szCs w:val="21"/>
                      <w:lang w:eastAsia="zh-CN"/>
                    </w:rPr>
                  </w:pPr>
                  <w:r>
                    <w:rPr>
                      <w:rFonts w:hint="eastAsia" w:eastAsia="宋体"/>
                      <w:sz w:val="21"/>
                      <w:szCs w:val="21"/>
                      <w:lang w:eastAsia="zh-CN"/>
                    </w:rPr>
                    <w:t>（一）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1189" w:type="pct"/>
                  <w:vAlign w:val="center"/>
                </w:tcPr>
                <w:p w14:paraId="08A284B6">
                  <w:pPr>
                    <w:jc w:val="both"/>
                    <w:rPr>
                      <w:rFonts w:hint="eastAsia"/>
                      <w:sz w:val="21"/>
                      <w:szCs w:val="21"/>
                      <w:lang w:eastAsia="zh-CN"/>
                    </w:rPr>
                  </w:pPr>
                  <w:r>
                    <w:rPr>
                      <w:rFonts w:hint="eastAsia"/>
                      <w:sz w:val="21"/>
                      <w:szCs w:val="21"/>
                      <w:lang w:eastAsia="zh-CN"/>
                    </w:rPr>
                    <w:t>本项目不占用禁止开发的区域，矿区范围内无保护区等环境敏感目标；环评要求建筑用砂按照绿色矿山水平进行建设；环评中提出了生态保护和污染防治措施，确保矿山达到绿色矿山建设水平。</w:t>
                  </w:r>
                </w:p>
              </w:tc>
              <w:tc>
                <w:tcPr>
                  <w:tcW w:w="544" w:type="pct"/>
                  <w:vAlign w:val="center"/>
                </w:tcPr>
                <w:p w14:paraId="28BEA0F8">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5F9A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2FD4ACA3">
                  <w:pPr>
                    <w:ind w:left="0" w:leftChars="0" w:firstLine="0" w:firstLineChars="0"/>
                    <w:jc w:val="center"/>
                    <w:rPr>
                      <w:rFonts w:hint="default"/>
                      <w:sz w:val="21"/>
                      <w:szCs w:val="21"/>
                      <w:lang w:val="en-US" w:eastAsia="zh-CN"/>
                    </w:rPr>
                  </w:pPr>
                  <w:r>
                    <w:rPr>
                      <w:rFonts w:hint="eastAsia"/>
                      <w:sz w:val="21"/>
                      <w:szCs w:val="21"/>
                      <w:lang w:val="en-US" w:eastAsia="zh-CN"/>
                    </w:rPr>
                    <w:t>2</w:t>
                  </w:r>
                </w:p>
              </w:tc>
              <w:tc>
                <w:tcPr>
                  <w:tcW w:w="2989" w:type="pct"/>
                  <w:vAlign w:val="center"/>
                </w:tcPr>
                <w:p w14:paraId="2966AAD3">
                  <w:pPr>
                    <w:rPr>
                      <w:rFonts w:hint="eastAsia" w:eastAsia="宋体"/>
                      <w:sz w:val="21"/>
                      <w:szCs w:val="21"/>
                      <w:lang w:eastAsia="zh-CN"/>
                    </w:rPr>
                  </w:pPr>
                  <w:r>
                    <w:rPr>
                      <w:rFonts w:hint="eastAsia" w:eastAsia="宋体"/>
                      <w:sz w:val="21"/>
                      <w:szCs w:val="21"/>
                      <w:lang w:eastAsia="zh-CN"/>
                    </w:rPr>
                    <w:t>（二）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1189" w:type="pct"/>
                  <w:vAlign w:val="center"/>
                </w:tcPr>
                <w:p w14:paraId="28781031">
                  <w:pPr>
                    <w:jc w:val="both"/>
                    <w:rPr>
                      <w:rFonts w:hint="eastAsia"/>
                      <w:sz w:val="21"/>
                      <w:szCs w:val="21"/>
                      <w:lang w:eastAsia="zh-CN"/>
                    </w:rPr>
                  </w:pPr>
                  <w:r>
                    <w:rPr>
                      <w:rFonts w:hint="eastAsia"/>
                      <w:sz w:val="21"/>
                      <w:szCs w:val="21"/>
                      <w:lang w:eastAsia="zh-CN"/>
                    </w:rPr>
                    <w:t>本项目不涉及生态保护红线；属国家规划矿区；建筑用砂矿建设符合“三线一单”要求，符合生态环境分区管控及相关环境保护要求。</w:t>
                  </w:r>
                </w:p>
              </w:tc>
              <w:tc>
                <w:tcPr>
                  <w:tcW w:w="544" w:type="pct"/>
                  <w:vAlign w:val="center"/>
                </w:tcPr>
                <w:p w14:paraId="0127F568">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6E75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02363254">
                  <w:pPr>
                    <w:ind w:left="0" w:leftChars="0" w:firstLine="0" w:firstLineChars="0"/>
                    <w:jc w:val="center"/>
                    <w:rPr>
                      <w:rFonts w:hint="default"/>
                      <w:sz w:val="21"/>
                      <w:szCs w:val="21"/>
                      <w:lang w:val="en-US" w:eastAsia="zh-CN"/>
                    </w:rPr>
                  </w:pPr>
                  <w:r>
                    <w:rPr>
                      <w:rFonts w:hint="eastAsia"/>
                      <w:sz w:val="21"/>
                      <w:szCs w:val="21"/>
                      <w:lang w:val="en-US" w:eastAsia="zh-CN"/>
                    </w:rPr>
                    <w:t>3</w:t>
                  </w:r>
                </w:p>
              </w:tc>
              <w:tc>
                <w:tcPr>
                  <w:tcW w:w="2989" w:type="pct"/>
                  <w:vAlign w:val="center"/>
                </w:tcPr>
                <w:p w14:paraId="6B7AB912">
                  <w:pPr>
                    <w:rPr>
                      <w:rFonts w:hint="eastAsia"/>
                      <w:sz w:val="21"/>
                      <w:szCs w:val="21"/>
                    </w:rPr>
                  </w:pPr>
                  <w:r>
                    <w:rPr>
                      <w:rFonts w:hint="eastAsia"/>
                      <w:sz w:val="21"/>
                      <w:szCs w:val="21"/>
                    </w:rPr>
                    <w:t>（三）严格产业准入，合理控制矿山开采种类和规模。严格落实《规划》提出的重点矿种矿山最低开采规模准入要求；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限制开采硫铁矿、砖瓦用粘土等矿产；严格控制开采钨、稀土等特定保护性矿产。严格尾矿库的新建和管理，确保符合相关要求。</w:t>
                  </w:r>
                </w:p>
              </w:tc>
              <w:tc>
                <w:tcPr>
                  <w:tcW w:w="1189" w:type="pct"/>
                  <w:vAlign w:val="center"/>
                </w:tcPr>
                <w:p w14:paraId="438B41D8">
                  <w:pPr>
                    <w:jc w:val="both"/>
                    <w:rPr>
                      <w:rFonts w:hint="default"/>
                      <w:sz w:val="21"/>
                      <w:szCs w:val="21"/>
                      <w:lang w:val="en-US" w:eastAsia="zh-CN"/>
                    </w:rPr>
                  </w:pPr>
                  <w:r>
                    <w:rPr>
                      <w:rFonts w:hint="default"/>
                      <w:sz w:val="21"/>
                      <w:szCs w:val="21"/>
                      <w:lang w:val="en-US" w:eastAsia="zh-CN"/>
                    </w:rPr>
                    <w:t>本项目建设规模符合矿区总体规划要求和《产业结构调整指导目录（2024年）》；建设规模符合矿山最低开采规模准入要求</w:t>
                  </w:r>
                  <w:r>
                    <w:rPr>
                      <w:rFonts w:hint="eastAsia"/>
                      <w:sz w:val="21"/>
                      <w:szCs w:val="21"/>
                      <w:lang w:val="en-US" w:eastAsia="zh-CN"/>
                    </w:rPr>
                    <w:t>。</w:t>
                  </w:r>
                </w:p>
              </w:tc>
              <w:tc>
                <w:tcPr>
                  <w:tcW w:w="544" w:type="pct"/>
                  <w:vAlign w:val="center"/>
                </w:tcPr>
                <w:p w14:paraId="23E6E42E">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5120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5B3AA0B5">
                  <w:pPr>
                    <w:ind w:left="0" w:leftChars="0" w:firstLine="0" w:firstLineChars="0"/>
                    <w:jc w:val="center"/>
                    <w:rPr>
                      <w:rFonts w:hint="default"/>
                      <w:sz w:val="21"/>
                      <w:szCs w:val="21"/>
                      <w:lang w:val="en-US" w:eastAsia="zh-CN"/>
                    </w:rPr>
                  </w:pPr>
                  <w:r>
                    <w:rPr>
                      <w:rFonts w:hint="eastAsia"/>
                      <w:sz w:val="21"/>
                      <w:szCs w:val="21"/>
                      <w:lang w:val="en-US" w:eastAsia="zh-CN"/>
                    </w:rPr>
                    <w:t>4</w:t>
                  </w:r>
                </w:p>
              </w:tc>
              <w:tc>
                <w:tcPr>
                  <w:tcW w:w="2989" w:type="pct"/>
                  <w:vAlign w:val="center"/>
                </w:tcPr>
                <w:p w14:paraId="1D46ED37">
                  <w:pPr>
                    <w:rPr>
                      <w:rFonts w:hint="eastAsia"/>
                      <w:sz w:val="21"/>
                      <w:szCs w:val="21"/>
                    </w:rPr>
                  </w:pPr>
                  <w:r>
                    <w:rPr>
                      <w:rFonts w:hint="eastAsia"/>
                      <w:sz w:val="21"/>
                      <w:szCs w:val="21"/>
                      <w:lang w:eastAsia="zh-CN"/>
                    </w:rPr>
                    <w:t>（</w:t>
                  </w:r>
                  <w:r>
                    <w:rPr>
                      <w:rFonts w:hint="eastAsia"/>
                      <w:sz w:val="21"/>
                      <w:szCs w:val="21"/>
                    </w:rPr>
                    <w:t>四）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1189" w:type="pct"/>
                  <w:vAlign w:val="center"/>
                </w:tcPr>
                <w:p w14:paraId="2624B925">
                  <w:pPr>
                    <w:jc w:val="both"/>
                    <w:rPr>
                      <w:rFonts w:hint="eastAsia" w:eastAsia="宋体"/>
                      <w:sz w:val="21"/>
                      <w:szCs w:val="21"/>
                      <w:lang w:eastAsia="zh-CN"/>
                    </w:rPr>
                  </w:pPr>
                  <w:r>
                    <w:rPr>
                      <w:rFonts w:hint="eastAsia" w:eastAsia="宋体"/>
                      <w:sz w:val="21"/>
                      <w:szCs w:val="21"/>
                      <w:lang w:eastAsia="zh-CN"/>
                    </w:rPr>
                    <w:t>建筑用砂矿建设符合自治区生态环境分区管控方案；不涉及生态红线；矿山建设和运营过程中采取了污染防治措施和生态保护措施，减轻建筑用砂矿开采带来的不良环境影响。</w:t>
                  </w:r>
                </w:p>
              </w:tc>
              <w:tc>
                <w:tcPr>
                  <w:tcW w:w="544" w:type="pct"/>
                  <w:vAlign w:val="center"/>
                </w:tcPr>
                <w:p w14:paraId="0A0CFCB0">
                  <w:pPr>
                    <w:ind w:left="0" w:leftChars="0" w:firstLine="0" w:firstLineChars="0"/>
                    <w:jc w:val="both"/>
                    <w:rPr>
                      <w:rFonts w:hint="eastAsia" w:eastAsia="宋体"/>
                      <w:sz w:val="21"/>
                      <w:szCs w:val="21"/>
                      <w:lang w:eastAsia="zh-CN"/>
                    </w:rPr>
                  </w:pPr>
                  <w:r>
                    <w:rPr>
                      <w:rFonts w:hint="eastAsia"/>
                      <w:sz w:val="21"/>
                      <w:szCs w:val="21"/>
                      <w:lang w:eastAsia="zh-CN"/>
                    </w:rPr>
                    <w:t>符合</w:t>
                  </w:r>
                </w:p>
              </w:tc>
            </w:tr>
            <w:tr w14:paraId="7D8A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3E26FADF">
                  <w:pPr>
                    <w:ind w:left="0" w:leftChars="0" w:firstLine="0" w:firstLineChars="0"/>
                    <w:jc w:val="center"/>
                    <w:rPr>
                      <w:rFonts w:hint="default"/>
                      <w:sz w:val="21"/>
                      <w:szCs w:val="21"/>
                      <w:lang w:val="en-US" w:eastAsia="zh-CN"/>
                    </w:rPr>
                  </w:pPr>
                  <w:r>
                    <w:rPr>
                      <w:rFonts w:hint="eastAsia"/>
                      <w:sz w:val="21"/>
                      <w:szCs w:val="21"/>
                      <w:lang w:val="en-US" w:eastAsia="zh-CN"/>
                    </w:rPr>
                    <w:t>5</w:t>
                  </w:r>
                </w:p>
              </w:tc>
              <w:tc>
                <w:tcPr>
                  <w:tcW w:w="2989" w:type="pct"/>
                  <w:vAlign w:val="center"/>
                </w:tcPr>
                <w:p w14:paraId="6CB66321">
                  <w:pPr>
                    <w:rPr>
                      <w:rFonts w:hint="eastAsia"/>
                      <w:sz w:val="21"/>
                      <w:szCs w:val="21"/>
                      <w:lang w:eastAsia="zh-CN"/>
                    </w:rPr>
                  </w:pPr>
                  <w:r>
                    <w:rPr>
                      <w:rFonts w:hint="eastAsia"/>
                      <w:sz w:val="21"/>
                      <w:szCs w:val="21"/>
                      <w:lang w:eastAsia="zh-CN"/>
                    </w:rPr>
                    <w:t>（五）加强矿山生态修复和环境治理。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1189" w:type="pct"/>
                  <w:vAlign w:val="center"/>
                </w:tcPr>
                <w:p w14:paraId="7A505F6A">
                  <w:pPr>
                    <w:jc w:val="both"/>
                    <w:rPr>
                      <w:rFonts w:hint="eastAsia" w:eastAsia="宋体"/>
                      <w:sz w:val="21"/>
                      <w:szCs w:val="21"/>
                      <w:lang w:eastAsia="zh-CN"/>
                    </w:rPr>
                  </w:pPr>
                  <w:r>
                    <w:rPr>
                      <w:rFonts w:hint="eastAsia" w:eastAsia="宋体"/>
                      <w:sz w:val="21"/>
                      <w:szCs w:val="21"/>
                      <w:lang w:eastAsia="zh-CN"/>
                    </w:rPr>
                    <w:t>已加强矿山生态恢复和环境治理；对运营过程中的废气、废水等提出污染防治措施。</w:t>
                  </w:r>
                </w:p>
              </w:tc>
              <w:tc>
                <w:tcPr>
                  <w:tcW w:w="544" w:type="pct"/>
                  <w:vAlign w:val="center"/>
                </w:tcPr>
                <w:p w14:paraId="7CAD6EF5">
                  <w:pPr>
                    <w:ind w:left="0" w:leftChars="0" w:firstLine="0" w:firstLineChars="0"/>
                    <w:jc w:val="both"/>
                    <w:rPr>
                      <w:rFonts w:hint="default"/>
                      <w:sz w:val="21"/>
                      <w:szCs w:val="21"/>
                      <w:lang w:val="en-US" w:eastAsia="zh-CN"/>
                    </w:rPr>
                  </w:pPr>
                  <w:r>
                    <w:rPr>
                      <w:rFonts w:hint="eastAsia"/>
                      <w:sz w:val="21"/>
                      <w:szCs w:val="21"/>
                      <w:lang w:eastAsia="zh-CN"/>
                    </w:rPr>
                    <w:t>符合</w:t>
                  </w:r>
                </w:p>
              </w:tc>
            </w:tr>
            <w:tr w14:paraId="2B5D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 w:type="pct"/>
                  <w:vAlign w:val="center"/>
                </w:tcPr>
                <w:p w14:paraId="488B63FE">
                  <w:pPr>
                    <w:ind w:left="0" w:leftChars="0" w:firstLine="0" w:firstLineChars="0"/>
                    <w:jc w:val="center"/>
                    <w:rPr>
                      <w:rFonts w:hint="default"/>
                      <w:sz w:val="21"/>
                      <w:szCs w:val="21"/>
                      <w:lang w:val="en-US" w:eastAsia="zh-CN"/>
                    </w:rPr>
                  </w:pPr>
                  <w:r>
                    <w:rPr>
                      <w:rFonts w:hint="eastAsia"/>
                      <w:sz w:val="21"/>
                      <w:szCs w:val="21"/>
                      <w:lang w:val="en-US" w:eastAsia="zh-CN"/>
                    </w:rPr>
                    <w:t>6</w:t>
                  </w:r>
                </w:p>
              </w:tc>
              <w:tc>
                <w:tcPr>
                  <w:tcW w:w="2989" w:type="pct"/>
                  <w:vAlign w:val="center"/>
                </w:tcPr>
                <w:p w14:paraId="08922129">
                  <w:pPr>
                    <w:rPr>
                      <w:rFonts w:hint="eastAsia"/>
                      <w:sz w:val="21"/>
                      <w:szCs w:val="21"/>
                      <w:lang w:eastAsia="zh-CN"/>
                    </w:rPr>
                  </w:pPr>
                  <w:r>
                    <w:rPr>
                      <w:rFonts w:hint="eastAsia"/>
                      <w:sz w:val="21"/>
                      <w:szCs w:val="21"/>
                      <w:lang w:eastAsia="zh-CN"/>
                    </w:rPr>
                    <w:t>（六）加强生态环境保护监测和预警。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1189" w:type="pct"/>
                  <w:vAlign w:val="center"/>
                </w:tcPr>
                <w:p w14:paraId="4AC3C8A0">
                  <w:pPr>
                    <w:jc w:val="both"/>
                    <w:rPr>
                      <w:rFonts w:hint="eastAsia" w:eastAsia="宋体"/>
                      <w:sz w:val="21"/>
                      <w:szCs w:val="21"/>
                      <w:lang w:eastAsia="zh-CN"/>
                    </w:rPr>
                  </w:pPr>
                  <w:r>
                    <w:rPr>
                      <w:rFonts w:hint="eastAsia" w:eastAsia="宋体"/>
                      <w:sz w:val="21"/>
                      <w:szCs w:val="21"/>
                      <w:lang w:eastAsia="zh-CN"/>
                    </w:rPr>
                    <w:t>环评要求建筑用砂矿建设生态、地下水、土壤等监控体系和预警机制；采取污染防治措施和生态保护措施，防止地下水、土壤环境质量下降。</w:t>
                  </w:r>
                </w:p>
              </w:tc>
              <w:tc>
                <w:tcPr>
                  <w:tcW w:w="544" w:type="pct"/>
                  <w:vAlign w:val="center"/>
                </w:tcPr>
                <w:p w14:paraId="61280B33">
                  <w:pPr>
                    <w:ind w:left="0" w:leftChars="0" w:firstLine="0" w:firstLineChars="0"/>
                    <w:jc w:val="both"/>
                    <w:rPr>
                      <w:rFonts w:hint="eastAsia"/>
                      <w:sz w:val="21"/>
                      <w:szCs w:val="21"/>
                      <w:lang w:eastAsia="zh-CN"/>
                    </w:rPr>
                  </w:pPr>
                  <w:r>
                    <w:rPr>
                      <w:rFonts w:hint="eastAsia"/>
                      <w:sz w:val="21"/>
                      <w:szCs w:val="21"/>
                      <w:lang w:eastAsia="zh-CN"/>
                    </w:rPr>
                    <w:t>符合</w:t>
                  </w:r>
                </w:p>
              </w:tc>
            </w:tr>
          </w:tbl>
          <w:p w14:paraId="34D93DEC">
            <w:pPr>
              <w:bidi w:val="0"/>
              <w:ind w:firstLine="144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综上所述，本项目符合《关于&lt;新疆维吾尔自治区矿产资源总体规划（2021-2025）环境影响报告书&gt;的审查意见》</w:t>
            </w:r>
            <w:r>
              <w:rPr>
                <w:rFonts w:hint="eastAsia" w:ascii="Times New Roman" w:eastAsia="宋体"/>
                <w:sz w:val="24"/>
                <w:szCs w:val="32"/>
                <w:lang w:val="en-US" w:eastAsia="zh-CN"/>
              </w:rPr>
              <w:t>要求</w:t>
            </w:r>
            <w:r>
              <w:rPr>
                <w:rFonts w:hint="eastAsia" w:ascii="Times New Roman" w:hAnsi="Times New Roman" w:eastAsia="宋体" w:cs="Times New Roman"/>
                <w:b w:val="0"/>
                <w:bCs w:val="0"/>
                <w:color w:val="auto"/>
                <w:sz w:val="24"/>
                <w:szCs w:val="24"/>
                <w:lang w:val="en-US" w:eastAsia="zh-CN"/>
              </w:rPr>
              <w:t>。</w:t>
            </w:r>
          </w:p>
          <w:p w14:paraId="7F94FDFC">
            <w:pPr>
              <w:pStyle w:val="2"/>
              <w:numPr>
                <w:ilvl w:val="0"/>
                <w:numId w:val="0"/>
              </w:numPr>
              <w:jc w:val="left"/>
              <w:rPr>
                <w:rFonts w:hint="default"/>
                <w:lang w:val="en-US" w:eastAsia="zh-CN"/>
              </w:rPr>
            </w:pPr>
          </w:p>
        </w:tc>
      </w:tr>
      <w:tr w14:paraId="76A8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1654" w:type="dxa"/>
            <w:vAlign w:val="center"/>
          </w:tcPr>
          <w:p w14:paraId="42684EDD">
            <w:pPr>
              <w:pStyle w:val="28"/>
            </w:pPr>
            <w:r>
              <w:t>其他符合性分析</w:t>
            </w:r>
          </w:p>
        </w:tc>
        <w:tc>
          <w:tcPr>
            <w:tcW w:w="6868" w:type="dxa"/>
            <w:gridSpan w:val="3"/>
            <w:vAlign w:val="center"/>
          </w:tcPr>
          <w:p w14:paraId="4934E68D">
            <w:pPr>
              <w:pStyle w:val="3"/>
              <w:numPr>
                <w:ilvl w:val="0"/>
                <w:numId w:val="0"/>
              </w:numPr>
              <w:tabs>
                <w:tab w:val="clear" w:pos="0"/>
              </w:tabs>
              <w:rPr>
                <w:bCs/>
                <w:kern w:val="0"/>
              </w:rPr>
            </w:pPr>
            <w:r>
              <w:rPr>
                <w:rFonts w:hint="eastAsia" w:ascii="宋体" w:hAnsi="宋体" w:eastAsia="宋体" w:cs="宋体"/>
                <w:b/>
                <w:bCs/>
                <w:kern w:val="0"/>
                <w:sz w:val="24"/>
                <w:szCs w:val="24"/>
                <w:lang w:val="en-US" w:eastAsia="zh-CN" w:bidi="ar-SA"/>
              </w:rPr>
              <w:t>1</w:t>
            </w:r>
            <w:r>
              <w:rPr>
                <w:rFonts w:ascii="Arial" w:hAnsi="Arial" w:eastAsia="宋体" w:cstheme="minorBidi"/>
                <w:b/>
                <w:bCs/>
                <w:kern w:val="0"/>
                <w:sz w:val="24"/>
                <w:szCs w:val="24"/>
                <w:lang w:val="en-US" w:eastAsia="zh-CN" w:bidi="ar-SA"/>
              </w:rPr>
              <w:t>.</w:t>
            </w:r>
            <w:r>
              <w:rPr>
                <w:rFonts w:hint="eastAsia" w:ascii="宋体" w:hAnsi="宋体" w:cs="宋体"/>
                <w:bCs/>
                <w:kern w:val="0"/>
              </w:rPr>
              <w:t>“三线一单”</w:t>
            </w:r>
            <w:r>
              <w:rPr>
                <w:bCs/>
                <w:kern w:val="0"/>
              </w:rPr>
              <w:t>符合性分析</w:t>
            </w:r>
          </w:p>
          <w:p w14:paraId="4C3C247F">
            <w:pPr>
              <w:numPr>
                <w:ilvl w:val="0"/>
                <w:numId w:val="0"/>
              </w:numPr>
              <w:ind w:firstLine="480" w:firstLineChars="200"/>
            </w:pPr>
            <w:r>
              <w:rPr>
                <w:rFonts w:ascii="宋体" w:hAnsi="宋体" w:eastAsia="宋体" w:cs="宋体"/>
                <w:sz w:val="24"/>
                <w:szCs w:val="24"/>
              </w:rPr>
              <w:t>为贯彻落实《中共中央国务院关于全面加强生态环境保护坚决打好污染防治攻坚战的意见》、《自治区党委 自治区人民政府关于全面加强生态环境保护坚决打好污染防治攻坚战实施方案》和《自治州党委自治州人民政府关于全面加强生态环境保护坚决打好污染防治攻坚战实施方案》，落实《新疆维吾尔自治区“三线一单”生态环境分区管控方案》，按照生态环境部和自治区生态环境厅统一部署，自治州组织编制了“生态保护红线、环境质量底线、资源利用上线和生态环境准入清单”（以下简称“三线一单”），现就实施“三线一单”生态环境分区管控，制定《昌吉回族自治州“三线一单”生态环境分区管控方案》。</w:t>
            </w:r>
          </w:p>
          <w:p w14:paraId="02863114">
            <w:pPr>
              <w:pStyle w:val="4"/>
              <w:numPr>
                <w:ilvl w:val="1"/>
                <w:numId w:val="0"/>
              </w:numPr>
              <w:tabs>
                <w:tab w:val="clear" w:pos="0"/>
              </w:tabs>
            </w:pPr>
            <w:r>
              <w:rPr>
                <w:rFonts w:ascii="宋体" w:hAnsi="宋体" w:cs="宋体"/>
              </w:rPr>
              <w:t>1.1.</w:t>
            </w:r>
            <w:r>
              <w:t>生态保护红线</w:t>
            </w:r>
          </w:p>
          <w:p w14:paraId="7DB2D53E">
            <w:pPr>
              <w:ind w:firstLine="480"/>
              <w:rPr>
                <w:rFonts w:hint="eastAsia" w:eastAsia="仿宋"/>
                <w:lang w:eastAsia="zh-CN"/>
              </w:rPr>
            </w:pPr>
            <w:r>
              <w:rPr>
                <w:rFonts w:hint="eastAsia"/>
                <w:lang w:val="zh-CN"/>
              </w:rPr>
              <w:t>本项目位于</w:t>
            </w:r>
            <w:r>
              <w:rPr>
                <w:rFonts w:hint="eastAsia"/>
                <w:lang w:eastAsia="zh-CN"/>
              </w:rPr>
              <w:t>新疆维吾尔自治区昌吉州吉木萨尔县三台镇</w:t>
            </w:r>
            <w:r>
              <w:rPr>
                <w:rFonts w:hint="eastAsia"/>
              </w:rPr>
              <w:t>（项目地理位置图见附图）</w:t>
            </w:r>
            <w:r>
              <w:rPr>
                <w:rFonts w:hint="eastAsia"/>
                <w:lang w:val="zh-CN"/>
              </w:rPr>
              <w:t>，</w:t>
            </w:r>
            <w:r>
              <w:rPr>
                <w:rFonts w:hint="eastAsia"/>
              </w:rPr>
              <w:t>根据</w:t>
            </w:r>
            <w:r>
              <w:rPr>
                <w:rFonts w:hint="eastAsia"/>
                <w:lang w:val="zh-CN"/>
              </w:rPr>
              <w:t>《</w:t>
            </w:r>
            <w:r>
              <w:rPr>
                <w:rFonts w:ascii="宋体" w:hAnsi="宋体" w:eastAsia="宋体" w:cs="宋体"/>
                <w:sz w:val="24"/>
                <w:szCs w:val="24"/>
              </w:rPr>
              <w:t>昌吉回族自治州</w:t>
            </w:r>
            <w:r>
              <w:rPr>
                <w:rFonts w:hint="eastAsia"/>
                <w:lang w:val="zh-CN"/>
              </w:rPr>
              <w:t>“三线一单”生态环境分区管控实施方案》，项目区属于重点管控单元。环境管控单元编码：</w:t>
            </w:r>
            <w:r>
              <w:rPr>
                <w:rFonts w:ascii="Times New Roman" w:hAnsi="Times New Roman" w:eastAsia="仿宋" w:cs="Times New Roman"/>
                <w:color w:val="000000" w:themeColor="text1"/>
                <w:kern w:val="0"/>
                <w:sz w:val="24"/>
                <w:szCs w:val="24"/>
                <w14:textFill>
                  <w14:solidFill>
                    <w14:schemeClr w14:val="tx1"/>
                  </w14:solidFill>
                </w14:textFill>
              </w:rPr>
              <w:t>ZH65232720004</w:t>
            </w:r>
            <w:r>
              <w:rPr>
                <w:rFonts w:hint="eastAsia" w:ascii="Times New Roman" w:hAnsi="Times New Roman" w:eastAsia="仿宋" w:cs="Times New Roman"/>
                <w:color w:val="000000" w:themeColor="text1"/>
                <w:kern w:val="0"/>
                <w:sz w:val="24"/>
                <w:szCs w:val="24"/>
                <w:lang w:eastAsia="zh-CN"/>
                <w14:textFill>
                  <w14:solidFill>
                    <w14:schemeClr w14:val="tx1"/>
                  </w14:solidFill>
                </w14:textFill>
              </w:rPr>
              <w:t>。</w:t>
            </w:r>
          </w:p>
          <w:p w14:paraId="4F02BC6B">
            <w:pPr>
              <w:ind w:firstLine="480"/>
              <w:jc w:val="center"/>
              <w:rPr>
                <w:rFonts w:hint="eastAsia"/>
                <w:b/>
                <w:bCs/>
                <w:sz w:val="24"/>
                <w:szCs w:val="24"/>
                <w:lang w:val="zh-CN"/>
              </w:rPr>
            </w:pPr>
            <w:r>
              <w:rPr>
                <w:rFonts w:hint="eastAsia" w:ascii="仿宋_GB2312" w:eastAsia="仿宋_GB2312"/>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10160</wp:posOffset>
                  </wp:positionV>
                  <wp:extent cx="4397375" cy="2305050"/>
                  <wp:effectExtent l="0" t="0" r="6985"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rcRect l="1164" t="1788" r="1392" b="1793"/>
                          <a:stretch>
                            <a:fillRect/>
                          </a:stretch>
                        </pic:blipFill>
                        <pic:spPr>
                          <a:xfrm>
                            <a:off x="0" y="0"/>
                            <a:ext cx="4397375" cy="2305050"/>
                          </a:xfrm>
                          <a:prstGeom prst="rect">
                            <a:avLst/>
                          </a:prstGeom>
                          <a:ln>
                            <a:noFill/>
                          </a:ln>
                        </pic:spPr>
                      </pic:pic>
                    </a:graphicData>
                  </a:graphic>
                </wp:anchor>
              </w:drawing>
            </w:r>
            <w:r>
              <w:rPr>
                <w:rFonts w:hint="eastAsia"/>
                <w:b/>
                <w:bCs/>
                <w:sz w:val="24"/>
                <w:szCs w:val="24"/>
                <w:lang w:val="zh-CN"/>
              </w:rPr>
              <w:t>图1-2 “三线一单”环境管控单元图</w:t>
            </w:r>
          </w:p>
          <w:p w14:paraId="5B567BD5">
            <w:pPr>
              <w:spacing w:line="360" w:lineRule="auto"/>
              <w:ind w:firstLine="480"/>
            </w:pPr>
            <w:r>
              <w:rPr>
                <w:rFonts w:hint="eastAsia" w:ascii="宋体" w:hAnsi="宋体"/>
                <w:lang w:val="zh-CN"/>
              </w:rPr>
              <w:t>本项目所在地不涉及自然保护区、风景名胜区、饮用水源保护区、基本农田保护区</w:t>
            </w:r>
            <w:r>
              <w:t>等生态红线范围内，因此项目符合生态红线要求。</w:t>
            </w:r>
          </w:p>
          <w:p w14:paraId="3B602468">
            <w:pPr>
              <w:pStyle w:val="4"/>
              <w:numPr>
                <w:ilvl w:val="1"/>
                <w:numId w:val="0"/>
              </w:numPr>
              <w:tabs>
                <w:tab w:val="clear" w:pos="0"/>
              </w:tabs>
              <w:spacing w:line="360" w:lineRule="auto"/>
            </w:pPr>
            <w:r>
              <w:rPr>
                <w:rFonts w:ascii="宋体" w:hAnsi="宋体" w:cs="宋体"/>
              </w:rPr>
              <w:t>1.2.</w:t>
            </w:r>
            <w:r>
              <w:t>环境质量底线</w:t>
            </w:r>
          </w:p>
          <w:p w14:paraId="2BE53988">
            <w:pPr>
              <w:spacing w:line="360" w:lineRule="auto"/>
              <w:ind w:firstLine="480"/>
            </w:pPr>
            <w:r>
              <w:rPr>
                <w:rFonts w:hint="eastAsia"/>
                <w:bCs/>
                <w:sz w:val="24"/>
                <w:szCs w:val="24"/>
              </w:rPr>
              <w:t>目附近大气环境、声环境、水环境质量能够满足相应的标准。项目生产工艺废气经废气处理措施处理后，达标排放，对大气环境保护敏感目标影响较小，运营生产不会使所在区域环境空气质量明显变化；生产废水回用生产，不外排，</w:t>
            </w:r>
            <w:r>
              <w:rPr>
                <w:rFonts w:hint="eastAsia"/>
                <w:b w:val="0"/>
                <w:bCs/>
              </w:rPr>
              <w:t>食堂废水经隔油处理后与其他生活污水经地埋式一体化污水处理设施处理后用于场地洒水抑尘</w:t>
            </w:r>
            <w:r>
              <w:rPr>
                <w:rFonts w:hint="eastAsia"/>
                <w:bCs/>
                <w:sz w:val="24"/>
                <w:szCs w:val="24"/>
              </w:rPr>
              <w:t>；采取噪声污染防治措施，项目厂界噪声能达标：固体废弃物经合理处理后可实现达标排放。项目各项污染物不会改变项目所在地区域环境质量等级，不触及环境质量底线。</w:t>
            </w:r>
            <w:r>
              <w:t>综上，本</w:t>
            </w:r>
            <w:r>
              <w:rPr>
                <w:rFonts w:hint="eastAsia"/>
              </w:rPr>
              <w:t>项目</w:t>
            </w:r>
            <w:r>
              <w:t>评价区域环境质量良好，项目符合环境质量底线管理要求</w:t>
            </w:r>
            <w:r>
              <w:rPr>
                <w:rFonts w:hint="eastAsia"/>
              </w:rPr>
              <w:t>。</w:t>
            </w:r>
          </w:p>
          <w:p w14:paraId="0D786886">
            <w:pPr>
              <w:pStyle w:val="4"/>
              <w:numPr>
                <w:ilvl w:val="1"/>
                <w:numId w:val="0"/>
              </w:numPr>
              <w:tabs>
                <w:tab w:val="clear" w:pos="0"/>
              </w:tabs>
              <w:spacing w:line="360" w:lineRule="auto"/>
            </w:pPr>
            <w:r>
              <w:rPr>
                <w:rFonts w:ascii="宋体" w:hAnsi="宋体" w:cs="宋体"/>
              </w:rPr>
              <w:t>1.3.</w:t>
            </w:r>
            <w:r>
              <w:t>资源利用上线</w:t>
            </w:r>
          </w:p>
          <w:p w14:paraId="6DAC9587">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本项目采区在吉木萨尔县，根据吉木萨尔县出让方案及该矿矿权评估和挂牌出让文件要求，确定矿山建设规模为15万m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/年。每年工作210天，平均每天开采砂石料产品约714m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。项目建成后，在按照本报告要求采取的环保设施基础上，正常排放情况下，废气各污染物均可达标排放，对当地大气环境承载力影响轻微。</w:t>
            </w:r>
          </w:p>
          <w:p w14:paraId="606DBA90">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项目废水主要为生活污水及少量生产废水，生产废水全部循环使用不排放；生活污水排入厂区旱厕，由建设单位定期清掏，用于周边农家肥。项目实施对当地水环境承载力影响轻微。</w:t>
            </w:r>
          </w:p>
          <w:p w14:paraId="6497D81B">
            <w:pPr>
              <w:pStyle w:val="4"/>
              <w:numPr>
                <w:ilvl w:val="1"/>
                <w:numId w:val="0"/>
              </w:numPr>
              <w:tabs>
                <w:tab w:val="clear" w:pos="0"/>
              </w:tabs>
              <w:spacing w:line="360" w:lineRule="auto"/>
              <w:ind w:firstLine="480" w:firstLineChars="200"/>
              <w:rPr>
                <w:rFonts w:hint="eastAsia" w:ascii="Times New Roman" w:hAnsi="Times New Roman" w:eastAsia="宋体" w:cstheme="minorBidi"/>
                <w:b w:val="0"/>
                <w:kern w:val="2"/>
                <w:sz w:val="24"/>
                <w:szCs w:val="24"/>
                <w:lang w:val="en-US" w:eastAsia="zh-CN" w:bidi="ar-SA"/>
              </w:rPr>
            </w:pPr>
            <w:r>
              <w:rPr>
                <w:rFonts w:hint="eastAsia" w:ascii="Times New Roman" w:hAnsi="Times New Roman" w:eastAsia="宋体" w:cstheme="minorBidi"/>
                <w:b w:val="0"/>
                <w:kern w:val="2"/>
                <w:sz w:val="24"/>
                <w:szCs w:val="24"/>
                <w:lang w:val="en-US" w:eastAsia="zh-CN" w:bidi="ar-SA"/>
              </w:rPr>
              <w:t>因此，符合资源利用上线要求。</w:t>
            </w:r>
          </w:p>
          <w:p w14:paraId="666CFC0F">
            <w:pPr>
              <w:pStyle w:val="4"/>
              <w:numPr>
                <w:ilvl w:val="1"/>
                <w:numId w:val="0"/>
              </w:numPr>
              <w:tabs>
                <w:tab w:val="clear" w:pos="0"/>
              </w:tabs>
              <w:spacing w:line="360" w:lineRule="auto"/>
            </w:pPr>
            <w:r>
              <w:rPr>
                <w:rFonts w:ascii="宋体" w:hAnsi="宋体" w:cs="宋体"/>
              </w:rPr>
              <w:t>1.4.</w:t>
            </w:r>
            <w:r>
              <w:rPr>
                <w:rFonts w:hint="eastAsia" w:ascii="宋体" w:hAnsi="宋体" w:cs="宋体"/>
              </w:rPr>
              <w:t>生态</w:t>
            </w:r>
            <w:r>
              <w:t>环境准入清单</w:t>
            </w:r>
            <w:r>
              <w:rPr>
                <w:rFonts w:hint="eastAsia"/>
              </w:rPr>
              <w:t>相符性</w:t>
            </w:r>
          </w:p>
          <w:p w14:paraId="601E75EB">
            <w:pPr>
              <w:spacing w:line="360" w:lineRule="auto"/>
              <w:ind w:firstLine="480"/>
              <w:rPr>
                <w:highlight w:val="yellow"/>
              </w:rPr>
            </w:pPr>
            <w:r>
              <w:t>本项目位于</w:t>
            </w:r>
            <w:r>
              <w:rPr>
                <w:rFonts w:hint="eastAsia"/>
                <w:lang w:eastAsia="zh-CN"/>
              </w:rPr>
              <w:t>新疆维吾尔自治区昌吉州吉木萨尔县三台镇</w:t>
            </w:r>
            <w:r>
              <w:t>，本项目属于</w:t>
            </w:r>
            <w:r>
              <w:rPr>
                <w:rFonts w:hint="eastAsia" w:ascii="Times New Roman" w:hAnsi="Times New Roman" w:eastAsia="宋体"/>
                <w:highlight w:val="none"/>
                <w:lang w:val="zh-CN"/>
              </w:rPr>
              <w:t>吉木萨尔油页岩开采区</w:t>
            </w:r>
            <w:r>
              <w:rPr>
                <w:highlight w:val="none"/>
              </w:rPr>
              <w:t>，</w:t>
            </w:r>
            <w:r>
              <w:rPr>
                <w:rFonts w:hint="eastAsia"/>
                <w:highlight w:val="none"/>
                <w:lang w:val="zh-CN"/>
              </w:rPr>
              <w:t>环境管控单元编码：</w:t>
            </w:r>
            <w:r>
              <w:rPr>
                <w:rFonts w:ascii="Times New Roman" w:hAnsi="Times New Roman" w:eastAsia="仿宋" w:cs="Times New Roman"/>
                <w:color w:val="000000" w:themeColor="text1"/>
                <w:kern w:val="0"/>
                <w:sz w:val="24"/>
                <w:szCs w:val="24"/>
                <w14:textFill>
                  <w14:solidFill>
                    <w14:schemeClr w14:val="tx1"/>
                  </w14:solidFill>
                </w14:textFill>
              </w:rPr>
              <w:t>ZH65232720004</w:t>
            </w:r>
            <w:r>
              <w:rPr>
                <w:rFonts w:hint="eastAsia"/>
              </w:rPr>
              <w:t>，根据</w:t>
            </w:r>
            <w:r>
              <w:rPr>
                <w:rFonts w:ascii="宋体" w:hAnsi="宋体" w:eastAsia="宋体" w:cs="宋体"/>
                <w:sz w:val="24"/>
                <w:szCs w:val="24"/>
              </w:rPr>
              <w:t>《新疆维吾尔自治区“三线一单”生态环境分区管控方案》</w:t>
            </w:r>
            <w:r>
              <w:rPr>
                <w:rFonts w:hint="eastAsia"/>
              </w:rPr>
              <w:t>要求，须严格分析项目与准入清单符合性分析，如下表。</w:t>
            </w:r>
          </w:p>
          <w:p w14:paraId="3A3D9D8E">
            <w:pPr>
              <w:pStyle w:val="2"/>
              <w:keepLines w:val="0"/>
              <w:numPr>
                <w:ilvl w:val="0"/>
                <w:numId w:val="0"/>
              </w:numPr>
              <w:spacing w:line="360" w:lineRule="auto"/>
              <w:rPr>
                <w:rFonts w:hint="default" w:eastAsia="宋体" w:cs="Times New Roman"/>
                <w:kern w:val="0"/>
                <w:sz w:val="24"/>
              </w:rPr>
            </w:pPr>
            <w:r>
              <w:rPr>
                <w:rFonts w:hint="eastAsia" w:eastAsia="宋体" w:cs="Times New Roman"/>
                <w:kern w:val="0"/>
                <w:sz w:val="24"/>
              </w:rPr>
              <w:t>表1-</w:t>
            </w:r>
            <w:r>
              <w:rPr>
                <w:rFonts w:hint="eastAsia" w:cs="Times New Roman"/>
                <w:kern w:val="0"/>
                <w:sz w:val="24"/>
                <w:lang w:val="en-US" w:eastAsia="zh-CN"/>
              </w:rPr>
              <w:t>3</w:t>
            </w:r>
            <w:r>
              <w:rPr>
                <w:rFonts w:hint="eastAsia" w:eastAsia="宋体" w:cs="Times New Roman"/>
                <w:kern w:val="0"/>
                <w:sz w:val="24"/>
              </w:rPr>
              <w:t xml:space="preserve">   项目与管控单元生态准入清单符合性分析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6"/>
              <w:gridCol w:w="2921"/>
              <w:gridCol w:w="1994"/>
              <w:gridCol w:w="439"/>
            </w:tblGrid>
            <w:tr w14:paraId="4AB7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167" w:type="pct"/>
                  <w:gridSpan w:val="3"/>
                  <w:noWrap/>
                  <w:vAlign w:val="center"/>
                </w:tcPr>
                <w:p w14:paraId="19749ED6">
                  <w:pPr>
                    <w:pStyle w:val="25"/>
                  </w:pPr>
                  <w:r>
                    <w:rPr>
                      <w:rFonts w:hint="eastAsia"/>
                    </w:rPr>
                    <w:t>“三线一单”的具体要求</w:t>
                  </w:r>
                </w:p>
              </w:tc>
              <w:tc>
                <w:tcPr>
                  <w:tcW w:w="1501" w:type="pct"/>
                  <w:vMerge w:val="restart"/>
                  <w:noWrap/>
                  <w:vAlign w:val="center"/>
                </w:tcPr>
                <w:p w14:paraId="08DF3023">
                  <w:pPr>
                    <w:pStyle w:val="25"/>
                  </w:pPr>
                  <w:r>
                    <w:rPr>
                      <w:rFonts w:hint="eastAsia"/>
                    </w:rPr>
                    <w:t>项目对应情况介绍</w:t>
                  </w:r>
                </w:p>
              </w:tc>
              <w:tc>
                <w:tcPr>
                  <w:tcW w:w="330" w:type="pct"/>
                  <w:vMerge w:val="restart"/>
                  <w:noWrap/>
                  <w:vAlign w:val="center"/>
                </w:tcPr>
                <w:p w14:paraId="5D31CA00">
                  <w:pPr>
                    <w:pStyle w:val="25"/>
                  </w:pPr>
                  <w:r>
                    <w:rPr>
                      <w:rFonts w:hint="eastAsia"/>
                    </w:rPr>
                    <w:t>符合性分析</w:t>
                  </w:r>
                </w:p>
              </w:tc>
            </w:tr>
            <w:tr w14:paraId="56D7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316" w:type="pct"/>
                  <w:vMerge w:val="restart"/>
                  <w:noWrap/>
                  <w:vAlign w:val="center"/>
                </w:tcPr>
                <w:p w14:paraId="54F0F001">
                  <w:pPr>
                    <w:pStyle w:val="25"/>
                  </w:pPr>
                  <w:r>
                    <w:rPr>
                      <w:rFonts w:hint="eastAsia" w:ascii="Times New Roman" w:hAnsi="Times New Roman" w:eastAsia="宋体"/>
                      <w:b w:val="0"/>
                      <w:bCs/>
                      <w:lang w:val="zh-CN"/>
                    </w:rPr>
                    <w:t>吉木萨尔油页岩开采</w:t>
                  </w:r>
                  <w:r>
                    <w:rPr>
                      <w:rFonts w:hint="eastAsia"/>
                      <w:b w:val="0"/>
                      <w:bCs/>
                      <w:lang w:val="zh-CN"/>
                    </w:rPr>
                    <w:t>区</w:t>
                  </w:r>
                </w:p>
              </w:tc>
              <w:tc>
                <w:tcPr>
                  <w:tcW w:w="652" w:type="pct"/>
                  <w:noWrap/>
                  <w:vAlign w:val="center"/>
                </w:tcPr>
                <w:p w14:paraId="142F252F">
                  <w:pPr>
                    <w:pStyle w:val="25"/>
                  </w:pPr>
                  <w:r>
                    <w:rPr>
                      <w:rFonts w:hint="eastAsia"/>
                    </w:rPr>
                    <w:t>类别</w:t>
                  </w:r>
                </w:p>
              </w:tc>
              <w:tc>
                <w:tcPr>
                  <w:tcW w:w="2199" w:type="pct"/>
                  <w:noWrap/>
                  <w:vAlign w:val="center"/>
                </w:tcPr>
                <w:p w14:paraId="1A49DE52">
                  <w:pPr>
                    <w:pStyle w:val="25"/>
                  </w:pPr>
                  <w:r>
                    <w:rPr>
                      <w:rFonts w:hint="eastAsia"/>
                    </w:rPr>
                    <w:t>对应管控要求</w:t>
                  </w:r>
                </w:p>
              </w:tc>
              <w:tc>
                <w:tcPr>
                  <w:tcW w:w="1501" w:type="pct"/>
                  <w:vMerge w:val="continue"/>
                  <w:noWrap/>
                  <w:vAlign w:val="center"/>
                </w:tcPr>
                <w:p w14:paraId="1364A426">
                  <w:pPr>
                    <w:pStyle w:val="25"/>
                  </w:pPr>
                </w:p>
              </w:tc>
              <w:tc>
                <w:tcPr>
                  <w:tcW w:w="330" w:type="pct"/>
                  <w:vMerge w:val="continue"/>
                  <w:noWrap/>
                  <w:vAlign w:val="center"/>
                </w:tcPr>
                <w:p w14:paraId="135EA93D">
                  <w:pPr>
                    <w:pStyle w:val="25"/>
                  </w:pPr>
                </w:p>
              </w:tc>
            </w:tr>
            <w:tr w14:paraId="2449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316" w:type="pct"/>
                  <w:vMerge w:val="continue"/>
                  <w:noWrap/>
                  <w:vAlign w:val="center"/>
                </w:tcPr>
                <w:p w14:paraId="363C38AF">
                  <w:pPr>
                    <w:pStyle w:val="25"/>
                  </w:pPr>
                </w:p>
              </w:tc>
              <w:tc>
                <w:tcPr>
                  <w:tcW w:w="652" w:type="pct"/>
                  <w:noWrap/>
                  <w:vAlign w:val="center"/>
                </w:tcPr>
                <w:p w14:paraId="71CDB000">
                  <w:pPr>
                    <w:pStyle w:val="25"/>
                    <w:rPr>
                      <w:b w:val="0"/>
                      <w:bCs/>
                    </w:rPr>
                  </w:pPr>
                  <w:r>
                    <w:rPr>
                      <w:rFonts w:hint="eastAsia"/>
                      <w:b w:val="0"/>
                      <w:bCs/>
                    </w:rPr>
                    <w:t>空间布局约束</w:t>
                  </w:r>
                </w:p>
              </w:tc>
              <w:tc>
                <w:tcPr>
                  <w:tcW w:w="2199" w:type="pct"/>
                  <w:noWrap/>
                  <w:vAlign w:val="center"/>
                </w:tcPr>
                <w:p w14:paraId="21F9CB1B">
                  <w:pPr>
                    <w:numPr>
                      <w:ilvl w:val="0"/>
                      <w:numId w:val="0"/>
                    </w:numPr>
                    <w:spacing w:line="240" w:lineRule="auto"/>
                    <w:rPr>
                      <w:rFonts w:hint="eastAsia"/>
                      <w:lang w:eastAsia="zh-CN"/>
                    </w:rPr>
                  </w:pPr>
                  <w:r>
                    <w:rPr>
                      <w:rFonts w:hint="eastAsia"/>
                      <w:sz w:val="21"/>
                      <w:szCs w:val="21"/>
                      <w:lang w:eastAsia="zh-CN"/>
                    </w:rPr>
                    <w:t>1、执行自治区总体准入要求中关于重点管控单元空间布局约束的准入要求</w:t>
                  </w:r>
                </w:p>
              </w:tc>
              <w:tc>
                <w:tcPr>
                  <w:tcW w:w="1501" w:type="pct"/>
                  <w:noWrap/>
                  <w:vAlign w:val="center"/>
                </w:tcPr>
                <w:p w14:paraId="25A570D2">
                  <w:pPr>
                    <w:pStyle w:val="25"/>
                    <w:rPr>
                      <w:rFonts w:hint="eastAsia" w:eastAsia="宋体"/>
                      <w:b w:val="0"/>
                      <w:bCs/>
                      <w:lang w:eastAsia="zh-CN"/>
                    </w:rPr>
                  </w:pPr>
                  <w:r>
                    <w:rPr>
                      <w:rFonts w:hint="eastAsia"/>
                      <w:b w:val="0"/>
                      <w:bCs/>
                      <w:highlight w:val="none"/>
                      <w:lang w:eastAsia="zh-CN"/>
                    </w:rPr>
                    <w:t>本项目不属于重点管控单元空间约束布局的内容之列。</w:t>
                  </w:r>
                </w:p>
              </w:tc>
              <w:tc>
                <w:tcPr>
                  <w:tcW w:w="330" w:type="pct"/>
                  <w:noWrap/>
                  <w:vAlign w:val="center"/>
                </w:tcPr>
                <w:p w14:paraId="2B0D7AD1">
                  <w:pPr>
                    <w:pStyle w:val="25"/>
                    <w:rPr>
                      <w:b w:val="0"/>
                      <w:bCs/>
                    </w:rPr>
                  </w:pPr>
                  <w:r>
                    <w:rPr>
                      <w:rFonts w:hint="eastAsia"/>
                      <w:b w:val="0"/>
                      <w:bCs/>
                    </w:rPr>
                    <w:t>符合</w:t>
                  </w:r>
                </w:p>
              </w:tc>
            </w:tr>
            <w:tr w14:paraId="21D0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16" w:type="pct"/>
                  <w:vMerge w:val="continue"/>
                  <w:noWrap/>
                  <w:vAlign w:val="center"/>
                </w:tcPr>
                <w:p w14:paraId="362883B4">
                  <w:pPr>
                    <w:pStyle w:val="25"/>
                  </w:pPr>
                </w:p>
              </w:tc>
              <w:tc>
                <w:tcPr>
                  <w:tcW w:w="652" w:type="pct"/>
                  <w:noWrap/>
                  <w:vAlign w:val="center"/>
                </w:tcPr>
                <w:p w14:paraId="0990BB01">
                  <w:pPr>
                    <w:pStyle w:val="25"/>
                    <w:rPr>
                      <w:b w:val="0"/>
                      <w:bCs/>
                    </w:rPr>
                  </w:pPr>
                  <w:r>
                    <w:rPr>
                      <w:rFonts w:hint="eastAsia"/>
                      <w:b w:val="0"/>
                      <w:bCs/>
                    </w:rPr>
                    <w:t>污染物排放管控</w:t>
                  </w:r>
                </w:p>
              </w:tc>
              <w:tc>
                <w:tcPr>
                  <w:tcW w:w="2199" w:type="pct"/>
                  <w:noWrap/>
                  <w:vAlign w:val="center"/>
                </w:tcPr>
                <w:p w14:paraId="46AA4E3B">
                  <w:pPr>
                    <w:pStyle w:val="25"/>
                    <w:jc w:val="both"/>
                    <w:rPr>
                      <w:b w:val="0"/>
                      <w:bCs/>
                    </w:rPr>
                  </w:pPr>
                  <w:r>
                    <w:rPr>
                      <w:b w:val="0"/>
                      <w:bCs/>
                    </w:rPr>
                    <w:t>1、执行自治区总体准入要求中关于重点管控单元污染物排放管控的准入要求。</w:t>
                  </w:r>
                </w:p>
                <w:p w14:paraId="1C576E5E">
                  <w:pPr>
                    <w:pStyle w:val="25"/>
                    <w:jc w:val="both"/>
                    <w:rPr>
                      <w:b w:val="0"/>
                      <w:bCs/>
                    </w:rPr>
                  </w:pPr>
                  <w:r>
                    <w:rPr>
                      <w:b w:val="0"/>
                      <w:bCs/>
                    </w:rPr>
                    <w:t>2、在矿产资源开发利用过程中，坚持“矿产资源开发与矿山生态环境保护并重”的原则，坚持“预防为主、防治结合”的原则，坚持“谁开发，谁保护；谁破坏谁恢复；谁投资谁受益”，不断改善和提高矿山生态环境质量，实现矿业开发和生态环境保护的协调发展。</w:t>
                  </w:r>
                </w:p>
                <w:p w14:paraId="5FA337A0">
                  <w:pPr>
                    <w:pStyle w:val="25"/>
                    <w:jc w:val="both"/>
                    <w:rPr>
                      <w:b w:val="0"/>
                      <w:bCs/>
                    </w:rPr>
                  </w:pPr>
                  <w:r>
                    <w:rPr>
                      <w:b w:val="0"/>
                      <w:bCs/>
                    </w:rPr>
                    <w:t>3、加强环境管理，使建设项目运行各种污染物排放达到国家相应标准或无害化处理；采取先进的污染物处理工艺和处理设施，提高项目污染物处理率；妥善处理施工期产生的各种废物、生活垃圾等、不得随意弃置，以免遇强降雨引起严重的水土污染。</w:t>
                  </w:r>
                </w:p>
              </w:tc>
              <w:tc>
                <w:tcPr>
                  <w:tcW w:w="1501" w:type="pct"/>
                  <w:noWrap/>
                  <w:vAlign w:val="center"/>
                </w:tcPr>
                <w:p w14:paraId="2199C04E">
                  <w:pPr>
                    <w:pStyle w:val="25"/>
                    <w:jc w:val="both"/>
                    <w:rPr>
                      <w:rFonts w:hint="eastAsia"/>
                      <w:b w:val="0"/>
                      <w:bCs/>
                    </w:rPr>
                  </w:pPr>
                  <w:r>
                    <w:rPr>
                      <w:rFonts w:hint="eastAsia"/>
                      <w:b w:val="0"/>
                      <w:bCs/>
                    </w:rPr>
                    <w:t>1、本项目所涉及污染物不属于表2-3 A6.2中</w:t>
                  </w:r>
                </w:p>
                <w:p w14:paraId="7455B6A5">
                  <w:pPr>
                    <w:pStyle w:val="25"/>
                    <w:jc w:val="both"/>
                    <w:rPr>
                      <w:rFonts w:hint="eastAsia"/>
                      <w:b w:val="0"/>
                      <w:bCs/>
                    </w:rPr>
                  </w:pPr>
                  <w:r>
                    <w:rPr>
                      <w:rFonts w:hint="eastAsia"/>
                      <w:b w:val="0"/>
                      <w:bCs/>
                    </w:rPr>
                    <w:t>重点管控单元污染物的内容之列。</w:t>
                  </w:r>
                </w:p>
                <w:p w14:paraId="2CFC3507">
                  <w:pPr>
                    <w:pStyle w:val="25"/>
                    <w:jc w:val="both"/>
                    <w:rPr>
                      <w:rFonts w:hint="eastAsia"/>
                      <w:b w:val="0"/>
                      <w:bCs/>
                    </w:rPr>
                  </w:pPr>
                  <w:r>
                    <w:rPr>
                      <w:rFonts w:hint="eastAsia"/>
                      <w:b w:val="0"/>
                      <w:bCs/>
                    </w:rPr>
                    <w:t>2、矿山采用“边剥离边排土-边开采-边复垦”方式，实现矿业开</w:t>
                  </w:r>
                </w:p>
                <w:p w14:paraId="649AE140">
                  <w:pPr>
                    <w:pStyle w:val="25"/>
                    <w:jc w:val="both"/>
                    <w:rPr>
                      <w:rFonts w:hint="eastAsia"/>
                      <w:b w:val="0"/>
                      <w:bCs/>
                    </w:rPr>
                  </w:pPr>
                  <w:r>
                    <w:rPr>
                      <w:rFonts w:hint="eastAsia"/>
                      <w:b w:val="0"/>
                      <w:bCs/>
                    </w:rPr>
                    <w:t>发和生态环境保护的协调发展。</w:t>
                  </w:r>
                </w:p>
                <w:p w14:paraId="173B3D3F">
                  <w:pPr>
                    <w:pStyle w:val="25"/>
                    <w:jc w:val="both"/>
                    <w:rPr>
                      <w:rFonts w:hint="eastAsia"/>
                      <w:b w:val="0"/>
                      <w:bCs/>
                    </w:rPr>
                  </w:pPr>
                  <w:r>
                    <w:rPr>
                      <w:rFonts w:hint="eastAsia"/>
                      <w:b w:val="0"/>
                      <w:bCs/>
                    </w:rPr>
                    <w:t>3、本项目开采工序采用洒水作业方式，降低</w:t>
                  </w:r>
                </w:p>
                <w:p w14:paraId="7D964FDA">
                  <w:pPr>
                    <w:pStyle w:val="25"/>
                    <w:jc w:val="both"/>
                    <w:rPr>
                      <w:b w:val="0"/>
                      <w:bCs/>
                    </w:rPr>
                  </w:pPr>
                  <w:r>
                    <w:rPr>
                      <w:rFonts w:hint="eastAsia"/>
                      <w:b w:val="0"/>
                      <w:bCs/>
                    </w:rPr>
                    <w:t>起尘量。项目在破碎筛分工序采用全封闭车间，配备袋式除尘收尘，通过排气筒排放;对成品堆场采用全密闭仓储存，采用管状带式输送机方式密闭输送，同时设置雾炮机对堆场表面洒水降尘、厂区道路采取地面硬化、洒水降尘措施，运输车辆采取遮盖、密闭措施;生产废水全部回用，实现零排放;食堂废水经隔油处理后与其他生活污水经地埋式一体化污水处理设施处理后用于场地洒水抑尘</w:t>
                  </w:r>
                </w:p>
              </w:tc>
              <w:tc>
                <w:tcPr>
                  <w:tcW w:w="330" w:type="pct"/>
                  <w:noWrap/>
                  <w:vAlign w:val="center"/>
                </w:tcPr>
                <w:p w14:paraId="52080C57">
                  <w:pPr>
                    <w:pStyle w:val="25"/>
                    <w:rPr>
                      <w:rFonts w:hint="eastAsia" w:eastAsia="宋体"/>
                      <w:b w:val="0"/>
                      <w:bCs/>
                      <w:lang w:val="en-US" w:eastAsia="zh-CN"/>
                    </w:rPr>
                  </w:pPr>
                  <w:r>
                    <w:rPr>
                      <w:rFonts w:hint="eastAsia"/>
                      <w:b w:val="0"/>
                      <w:bCs/>
                      <w:lang w:val="en-US" w:eastAsia="zh-CN"/>
                    </w:rPr>
                    <w:t>符合</w:t>
                  </w:r>
                </w:p>
              </w:tc>
            </w:tr>
            <w:tr w14:paraId="27E3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3" w:hRule="atLeast"/>
              </w:trPr>
              <w:tc>
                <w:tcPr>
                  <w:tcW w:w="316" w:type="pct"/>
                  <w:vMerge w:val="continue"/>
                  <w:noWrap/>
                  <w:vAlign w:val="center"/>
                </w:tcPr>
                <w:p w14:paraId="12E5FA44">
                  <w:pPr>
                    <w:pStyle w:val="25"/>
                  </w:pPr>
                </w:p>
              </w:tc>
              <w:tc>
                <w:tcPr>
                  <w:tcW w:w="652" w:type="pct"/>
                  <w:noWrap/>
                  <w:vAlign w:val="center"/>
                </w:tcPr>
                <w:p w14:paraId="7F64482C">
                  <w:pPr>
                    <w:pStyle w:val="25"/>
                    <w:rPr>
                      <w:b w:val="0"/>
                      <w:bCs/>
                    </w:rPr>
                  </w:pPr>
                  <w:r>
                    <w:rPr>
                      <w:rFonts w:hint="eastAsia"/>
                      <w:b w:val="0"/>
                      <w:bCs/>
                    </w:rPr>
                    <w:t>环境风险管控</w:t>
                  </w:r>
                </w:p>
              </w:tc>
              <w:tc>
                <w:tcPr>
                  <w:tcW w:w="2199" w:type="pct"/>
                  <w:noWrap/>
                  <w:vAlign w:val="center"/>
                </w:tcPr>
                <w:p w14:paraId="702D5556">
                  <w:pPr>
                    <w:pStyle w:val="25"/>
                    <w:jc w:val="both"/>
                    <w:rPr>
                      <w:b w:val="0"/>
                      <w:bCs/>
                    </w:rPr>
                  </w:pPr>
                  <w:r>
                    <w:rPr>
                      <w:b w:val="0"/>
                      <w:bCs/>
                    </w:rPr>
                    <w:t>1、执行自治区总体准入要求中关于重点管控单元环境风险防控的准入要求。</w:t>
                  </w:r>
                </w:p>
                <w:p w14:paraId="4DB71982">
                  <w:pPr>
                    <w:pStyle w:val="25"/>
                    <w:jc w:val="both"/>
                    <w:rPr>
                      <w:b w:val="0"/>
                      <w:bCs/>
                    </w:rPr>
                  </w:pPr>
                  <w:r>
                    <w:rPr>
                      <w:b w:val="0"/>
                      <w:bCs/>
                    </w:rPr>
                    <w:t>2、现有矿山企业必须依法履行地质环境保护与矿山环境恢复治理、土地复垦等义务。建立矿山地质环境、土地资源破坏监测、报告和监管制度，加强对采矿权人履行矿山地质环境治理义务情况的监督检查，对违反法律、法规和有关政策规定造成生态环境破坏和环境污染的，要依法查处，限期整改达标，并按照国家规定予以补偿，逾期不达标的，实行限产或关闭。因采矿活动引发地质灾害的，治理经费由责任单位解决。</w:t>
                  </w:r>
                </w:p>
                <w:p w14:paraId="795BA7C8">
                  <w:pPr>
                    <w:pStyle w:val="25"/>
                    <w:jc w:val="both"/>
                    <w:rPr>
                      <w:b w:val="0"/>
                      <w:bCs/>
                    </w:rPr>
                  </w:pPr>
                  <w:r>
                    <w:rPr>
                      <w:b w:val="0"/>
                      <w:bCs/>
                    </w:rPr>
                    <w:t>3、建成州、县（市）、矿山三级矿山地质环境保护与恢复治理动态监测体系，制定完善的监测制度，以高新技术为支撑，构建面向地质矿产管理的矿政管理信息系统和数据库。</w:t>
                  </w:r>
                </w:p>
              </w:tc>
              <w:tc>
                <w:tcPr>
                  <w:tcW w:w="1501" w:type="pct"/>
                  <w:noWrap/>
                  <w:vAlign w:val="center"/>
                </w:tcPr>
                <w:p w14:paraId="6C174E0E">
                  <w:pPr>
                    <w:pStyle w:val="25"/>
                    <w:jc w:val="both"/>
                    <w:rPr>
                      <w:rFonts w:hint="eastAsia"/>
                      <w:b w:val="0"/>
                      <w:bCs/>
                    </w:rPr>
                  </w:pPr>
                  <w:r>
                    <w:rPr>
                      <w:rFonts w:hint="eastAsia"/>
                      <w:b w:val="0"/>
                      <w:bCs/>
                    </w:rPr>
                    <w:t>1、本项目不属于表2-3A6.3中关于重点管控单元环境风险防控限制内容。</w:t>
                  </w:r>
                </w:p>
                <w:p w14:paraId="4981BC6E">
                  <w:pPr>
                    <w:pStyle w:val="25"/>
                    <w:jc w:val="both"/>
                    <w:rPr>
                      <w:rFonts w:hint="eastAsia"/>
                      <w:b w:val="0"/>
                      <w:bCs/>
                    </w:rPr>
                  </w:pPr>
                  <w:r>
                    <w:rPr>
                      <w:rFonts w:hint="eastAsia"/>
                      <w:b w:val="0"/>
                      <w:bCs/>
                    </w:rPr>
                    <w:t>2、项目为新建矿山，矿山采用“边剥离-边排土-边开采-边复垦”方式，实现矿业开发和生态环境保护的协调发展。</w:t>
                  </w:r>
                </w:p>
                <w:p w14:paraId="57D3978A">
                  <w:pPr>
                    <w:pStyle w:val="25"/>
                    <w:jc w:val="both"/>
                    <w:rPr>
                      <w:rFonts w:hint="eastAsia" w:eastAsia="宋体"/>
                      <w:b w:val="0"/>
                      <w:bCs/>
                      <w:lang w:eastAsia="zh-CN"/>
                    </w:rPr>
                  </w:pPr>
                  <w:r>
                    <w:rPr>
                      <w:rFonts w:hint="eastAsia"/>
                      <w:b w:val="0"/>
                      <w:bCs/>
                    </w:rPr>
                    <w:t>3</w:t>
                  </w:r>
                  <w:r>
                    <w:rPr>
                      <w:rFonts w:hint="eastAsia"/>
                      <w:b w:val="0"/>
                      <w:bCs/>
                      <w:lang w:eastAsia="zh-CN"/>
                    </w:rPr>
                    <w:t>、</w:t>
                  </w:r>
                  <w:r>
                    <w:rPr>
                      <w:rFonts w:hint="eastAsia"/>
                      <w:b w:val="0"/>
                      <w:bCs/>
                    </w:rPr>
                    <w:t>完善监测制度，以高新技术为支撑，构建面向地质矿及产管理的矿政管理信力息系统和数据库。</w:t>
                  </w:r>
                  <w:r>
                    <w:rPr>
                      <w:rFonts w:hint="eastAsia"/>
                      <w:b w:val="0"/>
                      <w:bCs/>
                      <w:lang w:eastAsia="zh-CN"/>
                    </w:rPr>
                    <w:t>与昌吉州形成联动机制。</w:t>
                  </w:r>
                </w:p>
              </w:tc>
              <w:tc>
                <w:tcPr>
                  <w:tcW w:w="330" w:type="pct"/>
                  <w:noWrap/>
                  <w:vAlign w:val="center"/>
                </w:tcPr>
                <w:p w14:paraId="0FC21F6A">
                  <w:pPr>
                    <w:pStyle w:val="25"/>
                    <w:rPr>
                      <w:b w:val="0"/>
                      <w:bCs/>
                    </w:rPr>
                  </w:pPr>
                  <w:r>
                    <w:rPr>
                      <w:rFonts w:hint="eastAsia"/>
                      <w:b w:val="0"/>
                      <w:bCs/>
                    </w:rPr>
                    <w:t>符合</w:t>
                  </w:r>
                </w:p>
              </w:tc>
            </w:tr>
            <w:tr w14:paraId="7BE5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Merge w:val="continue"/>
                  <w:noWrap/>
                  <w:vAlign w:val="center"/>
                </w:tcPr>
                <w:p w14:paraId="59C89EDB">
                  <w:pPr>
                    <w:pStyle w:val="25"/>
                  </w:pPr>
                </w:p>
              </w:tc>
              <w:tc>
                <w:tcPr>
                  <w:tcW w:w="652" w:type="pct"/>
                  <w:noWrap/>
                  <w:vAlign w:val="center"/>
                </w:tcPr>
                <w:p w14:paraId="1775BA7F">
                  <w:pPr>
                    <w:pStyle w:val="25"/>
                    <w:rPr>
                      <w:b w:val="0"/>
                      <w:bCs/>
                    </w:rPr>
                  </w:pPr>
                  <w:r>
                    <w:rPr>
                      <w:rFonts w:hint="eastAsia"/>
                      <w:b w:val="0"/>
                      <w:bCs/>
                    </w:rPr>
                    <w:t>资源开发利用效率</w:t>
                  </w:r>
                </w:p>
              </w:tc>
              <w:tc>
                <w:tcPr>
                  <w:tcW w:w="2199" w:type="pct"/>
                  <w:noWrap/>
                  <w:vAlign w:val="center"/>
                </w:tcPr>
                <w:p w14:paraId="55E9E814">
                  <w:pPr>
                    <w:pStyle w:val="25"/>
                    <w:jc w:val="both"/>
                    <w:rPr>
                      <w:b w:val="0"/>
                      <w:bCs/>
                    </w:rPr>
                  </w:pPr>
                  <w:r>
                    <w:rPr>
                      <w:b w:val="0"/>
                      <w:bCs/>
                    </w:rPr>
                    <w:t>1、执行自治区总体准入要求中关于重点管控单元资源利用效率的准入要求。</w:t>
                  </w:r>
                </w:p>
                <w:p w14:paraId="005E31EC">
                  <w:pPr>
                    <w:pStyle w:val="25"/>
                    <w:jc w:val="both"/>
                    <w:rPr>
                      <w:b w:val="0"/>
                      <w:bCs/>
                    </w:rPr>
                  </w:pPr>
                  <w:r>
                    <w:rPr>
                      <w:b w:val="0"/>
                      <w:bCs/>
                    </w:rPr>
                    <w:t>2、引导和扶持矿山企业开展矿产资源利用技术的研发和创新，提高矿产资源综合利用水平，推动矿业循环经济发展；开展矿产的选矿、开采、新加工和新产品开发技术应用研究，不断提高资源利用效能、效率和效益。</w:t>
                  </w:r>
                </w:p>
              </w:tc>
              <w:tc>
                <w:tcPr>
                  <w:tcW w:w="1501" w:type="pct"/>
                  <w:noWrap/>
                  <w:vAlign w:val="center"/>
                </w:tcPr>
                <w:p w14:paraId="09099D6E">
                  <w:pPr>
                    <w:pStyle w:val="25"/>
                    <w:rPr>
                      <w:rFonts w:hint="eastAsia" w:eastAsia="宋体"/>
                      <w:b w:val="0"/>
                      <w:bCs/>
                      <w:lang w:eastAsia="zh-CN"/>
                    </w:rPr>
                  </w:pPr>
                  <w:r>
                    <w:rPr>
                      <w:rFonts w:hint="eastAsia"/>
                      <w:b w:val="0"/>
                      <w:bCs/>
                      <w:lang w:eastAsia="zh-CN"/>
                    </w:rPr>
                    <w:t>本项目符合自治区总体准入要求中关于重点管控单元资源利用效率的准入要求；本项目洗砂废水循环利用，不外排。</w:t>
                  </w:r>
                </w:p>
              </w:tc>
              <w:tc>
                <w:tcPr>
                  <w:tcW w:w="330" w:type="pct"/>
                  <w:noWrap/>
                  <w:vAlign w:val="center"/>
                </w:tcPr>
                <w:p w14:paraId="48B53E9E">
                  <w:pPr>
                    <w:pStyle w:val="25"/>
                    <w:rPr>
                      <w:b w:val="0"/>
                      <w:bCs/>
                    </w:rPr>
                  </w:pPr>
                  <w:r>
                    <w:rPr>
                      <w:rFonts w:hint="eastAsia"/>
                      <w:b w:val="0"/>
                      <w:bCs/>
                    </w:rPr>
                    <w:t>符合</w:t>
                  </w:r>
                </w:p>
              </w:tc>
            </w:tr>
          </w:tbl>
          <w:p w14:paraId="1CEC7A19">
            <w:pPr>
              <w:ind w:firstLine="480"/>
              <w:rPr>
                <w:rFonts w:hint="eastAsia"/>
              </w:rPr>
            </w:pPr>
            <w:r>
              <w:rPr>
                <w:rFonts w:ascii="Times New Roman" w:hAnsi="Times New Roman"/>
                <w:b w:val="0"/>
                <w:bCs w:val="0"/>
                <w:color w:val="000000"/>
                <w:szCs w:val="21"/>
                <w:highlight w:val="none"/>
              </w:rPr>
              <w:t>综上所述，本项目的建设符合“三线一单”的要求。</w:t>
            </w:r>
          </w:p>
          <w:p w14:paraId="21F16F09">
            <w:pPr>
              <w:keepNext w:val="0"/>
              <w:keepLines w:val="0"/>
              <w:widowControl/>
              <w:suppressLineNumbers w:val="0"/>
              <w:ind w:left="0" w:leftChars="0" w:firstLine="0" w:firstLineChars="0"/>
              <w:jc w:val="left"/>
            </w:pPr>
            <w:r>
              <w:rPr>
                <w:rFonts w:hint="eastAsia" w:ascii="Times New Roman" w:hAnsi="Times New Roman" w:eastAsia="宋体" w:cstheme="minorBidi"/>
                <w:b/>
                <w:bCs/>
                <w:kern w:val="2"/>
                <w:sz w:val="24"/>
                <w:szCs w:val="24"/>
                <w:lang w:val="en-US" w:eastAsia="zh-CN" w:bidi="ar-SA"/>
              </w:rPr>
              <w:t>2、与《矿山生态环境保护与污染防治技术政策》</w:t>
            </w:r>
            <w:r>
              <w:rPr>
                <w:rFonts w:hint="eastAsia" w:cstheme="minorBidi"/>
                <w:b/>
                <w:bCs/>
                <w:kern w:val="2"/>
                <w:sz w:val="24"/>
                <w:szCs w:val="24"/>
                <w:lang w:val="en-US" w:eastAsia="zh-CN" w:bidi="ar-SA"/>
              </w:rPr>
              <w:t>（环发（2005）109号）</w:t>
            </w:r>
            <w:r>
              <w:rPr>
                <w:rFonts w:hint="eastAsia" w:ascii="Times New Roman" w:hAnsi="Times New Roman" w:eastAsia="宋体" w:cstheme="minorBidi"/>
                <w:b/>
                <w:bCs/>
                <w:kern w:val="2"/>
                <w:sz w:val="24"/>
                <w:szCs w:val="24"/>
                <w:lang w:val="en-US" w:eastAsia="zh-CN" w:bidi="ar-SA"/>
              </w:rPr>
              <w:t>符合性分析</w:t>
            </w:r>
            <w:r>
              <w:rPr>
                <w:rFonts w:ascii="仿宋_GB2312" w:hAnsi="仿宋_GB2312" w:eastAsia="仿宋_GB2312" w:cs="仿宋_GB2312"/>
                <w:b/>
                <w:bCs/>
                <w:color w:val="000000"/>
                <w:kern w:val="0"/>
                <w:sz w:val="28"/>
                <w:szCs w:val="28"/>
                <w:lang w:val="en-US" w:eastAsia="zh-CN" w:bidi="ar"/>
              </w:rPr>
              <w:t xml:space="preserve"> </w:t>
            </w:r>
          </w:p>
          <w:p w14:paraId="7042EA14">
            <w:pPr>
              <w:ind w:firstLine="48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表1-4项目与《矿山生态环境保护与污染防治技术政策》（环发（2005）109号）符合性分析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2235"/>
              <w:gridCol w:w="2356"/>
              <w:gridCol w:w="1013"/>
            </w:tblGrid>
            <w:tr w14:paraId="2AAC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2024163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1683" w:type="pct"/>
                  <w:vAlign w:val="center"/>
                </w:tcPr>
                <w:p w14:paraId="1D1B510C">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774" w:type="pct"/>
                  <w:vAlign w:val="center"/>
                </w:tcPr>
                <w:p w14:paraId="72AF90E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4EFF83B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0C60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06A177F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1683" w:type="pct"/>
                  <w:vAlign w:val="center"/>
                </w:tcPr>
                <w:p w14:paraId="2FD08FA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禁止在依法划定的自然保护区（核心区、缓冲区）、风景名胜区、森林公园、饮用水水源保护区、重要湖泊周边、文物古迹所在地、地质遗迹保护区、基本农田保护区等区域内采矿</w:t>
                  </w:r>
                </w:p>
              </w:tc>
              <w:tc>
                <w:tcPr>
                  <w:tcW w:w="1774" w:type="pct"/>
                  <w:vAlign w:val="center"/>
                </w:tcPr>
                <w:p w14:paraId="340A2CD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矿区不在风景名胜区内，评价区域内无国家和省级保护野生动物、植物及古树名木，项目评价范围内没有学校、医院、特殊文物保护单位和水源保护区等环境敏感点。</w:t>
                  </w:r>
                </w:p>
              </w:tc>
              <w:tc>
                <w:tcPr>
                  <w:tcW w:w="763" w:type="pct"/>
                  <w:vAlign w:val="center"/>
                </w:tcPr>
                <w:p w14:paraId="516CF64A">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9CA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7783181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1683" w:type="pct"/>
                  <w:vAlign w:val="center"/>
                </w:tcPr>
                <w:p w14:paraId="3B3260B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禁止在铁路、国道、省道两侧的直观可视范围内进行露天开采</w:t>
                  </w:r>
                </w:p>
              </w:tc>
              <w:tc>
                <w:tcPr>
                  <w:tcW w:w="1774" w:type="pct"/>
                  <w:vAlign w:val="center"/>
                </w:tcPr>
                <w:p w14:paraId="02F8B65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本项目不在铁路、国道、省道两侧的直观可视范围内进行露天开采</w:t>
                  </w:r>
                </w:p>
              </w:tc>
              <w:tc>
                <w:tcPr>
                  <w:tcW w:w="763" w:type="pct"/>
                  <w:vAlign w:val="center"/>
                </w:tcPr>
                <w:p w14:paraId="5C3E118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67647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71F82CE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1683" w:type="pct"/>
                  <w:vAlign w:val="center"/>
                </w:tcPr>
                <w:p w14:paraId="5AD6B04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禁止在地质灾害危险区开采矿产资源</w:t>
                  </w:r>
                </w:p>
              </w:tc>
              <w:tc>
                <w:tcPr>
                  <w:tcW w:w="1774" w:type="pct"/>
                  <w:vAlign w:val="center"/>
                </w:tcPr>
                <w:p w14:paraId="3665F97D">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本项目开采区域不属于地质灾害危险区开采矿产资源</w:t>
                  </w:r>
                </w:p>
              </w:tc>
              <w:tc>
                <w:tcPr>
                  <w:tcW w:w="763" w:type="pct"/>
                  <w:vAlign w:val="center"/>
                </w:tcPr>
                <w:p w14:paraId="6BF6442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7C19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pct"/>
                  <w:vAlign w:val="center"/>
                </w:tcPr>
                <w:p w14:paraId="73D2B9F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1683" w:type="pct"/>
                  <w:vAlign w:val="center"/>
                </w:tcPr>
                <w:p w14:paraId="6ED9022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禁止新建对生态环境产生不可恢复利用的、产生破坏性影响的矿产资源开发项目</w:t>
                  </w:r>
                </w:p>
              </w:tc>
              <w:tc>
                <w:tcPr>
                  <w:tcW w:w="1774" w:type="pct"/>
                  <w:vAlign w:val="center"/>
                </w:tcPr>
                <w:p w14:paraId="7A501EF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本项目开采完成后由建设单位进行生态恢复</w:t>
                  </w:r>
                </w:p>
              </w:tc>
              <w:tc>
                <w:tcPr>
                  <w:tcW w:w="763" w:type="pct"/>
                  <w:vAlign w:val="center"/>
                </w:tcPr>
                <w:p w14:paraId="5190C8A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01875A86">
            <w:pPr>
              <w:pStyle w:val="14"/>
              <w:ind w:firstLine="482"/>
              <w:rPr>
                <w:rFonts w:hint="default"/>
                <w:b/>
                <w:bCs/>
                <w:sz w:val="24"/>
                <w:szCs w:val="24"/>
                <w:lang w:val="en-US" w:eastAsia="zh-CN"/>
              </w:rPr>
            </w:pPr>
            <w:r>
              <w:rPr>
                <w:rFonts w:hint="eastAsia"/>
                <w:b/>
                <w:bCs/>
                <w:sz w:val="24"/>
                <w:szCs w:val="24"/>
                <w:lang w:val="en-US" w:eastAsia="zh-CN"/>
              </w:rPr>
              <w:t>3、与《砂石行业绿色矿山建设规范》（DZT0316—2018）符合性分析</w:t>
            </w:r>
          </w:p>
          <w:p w14:paraId="5C9D562F">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根据《砂石行业绿色矿山建设规范》（DZT0316-2018）建设指标要求，从矿区环境、资源开发利用方式、资源综合利用、节能减排、科技创新与数字化矿山、企业管理等多方面建设绿色矿山。本项目与《砂石行业绿色矿山建设规范》（DZT0316-2018）符合性分析见表</w:t>
            </w:r>
          </w:p>
          <w:p w14:paraId="0E7B4E42">
            <w:pPr>
              <w:pStyle w:val="14"/>
              <w:rPr>
                <w:rFonts w:hint="eastAsia"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val="0"/>
                <w:kern w:val="2"/>
                <w:sz w:val="24"/>
                <w:szCs w:val="24"/>
                <w:lang w:val="en-US" w:eastAsia="zh-CN" w:bidi="ar-SA"/>
              </w:rPr>
              <w:t>表1-5《砂石行业绿色矿山建设规范》（DZT0316-2018）符合性分析表</w:t>
            </w:r>
          </w:p>
          <w:tbl>
            <w:tblPr>
              <w:tblStyle w:val="22"/>
              <w:tblW w:w="6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88"/>
              <w:gridCol w:w="2316"/>
              <w:gridCol w:w="2472"/>
              <w:gridCol w:w="714"/>
            </w:tblGrid>
            <w:tr w14:paraId="16B7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4B7318B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588" w:type="dxa"/>
                  <w:vAlign w:val="center"/>
                </w:tcPr>
                <w:p w14:paraId="5A11112D">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指标</w:t>
                  </w:r>
                </w:p>
              </w:tc>
              <w:tc>
                <w:tcPr>
                  <w:tcW w:w="2316" w:type="dxa"/>
                  <w:vAlign w:val="center"/>
                </w:tcPr>
                <w:p w14:paraId="0FC6186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要求</w:t>
                  </w:r>
                </w:p>
              </w:tc>
              <w:tc>
                <w:tcPr>
                  <w:tcW w:w="2472" w:type="dxa"/>
                  <w:vAlign w:val="center"/>
                </w:tcPr>
                <w:p w14:paraId="3248027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14" w:type="dxa"/>
                  <w:vAlign w:val="center"/>
                </w:tcPr>
                <w:p w14:paraId="60E77CC3">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w:t>
                  </w:r>
                </w:p>
              </w:tc>
            </w:tr>
            <w:tr w14:paraId="6ED6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CEE302E">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588" w:type="dxa"/>
                  <w:vAlign w:val="center"/>
                </w:tcPr>
                <w:p w14:paraId="60DA63F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矿区环境</w:t>
                  </w:r>
                </w:p>
              </w:tc>
              <w:tc>
                <w:tcPr>
                  <w:tcW w:w="2316" w:type="dxa"/>
                  <w:vAlign w:val="center"/>
                </w:tcPr>
                <w:p w14:paraId="7596C85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矿区功能分区布局合理，矿区应绿化、美化，整体环境整洁美观；砂石原料开采、生产、运输、贮存等管理规范有序；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w:t>
                  </w:r>
                </w:p>
              </w:tc>
              <w:tc>
                <w:tcPr>
                  <w:tcW w:w="2472" w:type="dxa"/>
                  <w:vAlign w:val="center"/>
                </w:tcPr>
                <w:p w14:paraId="564E2B3D">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根据项目总平面图设计，矿区布置拟按生产、生活、贮存等功能区分开设置，针对不同功能区设置相应的管理机构和管理制度，运行后的道路、供水、供电、卫生、环保等配套设施拟配备齐全。开采及装卸过程拟采取洒水降尘；运输道路洒水降尘，运输车辆篷布遮盖，限速；堆土场采用防尘网遮盖，并洒水保湿，避免粉尘产生。食堂废水经隔油处理后与其他生活污水经地埋式一体化污水处理设施处理后用于场地洒水抑尘</w:t>
                  </w:r>
                  <w:r>
                    <w:rPr>
                      <w:rFonts w:hint="default" w:ascii="Times New Roman" w:hAnsi="Times New Roman" w:eastAsia="宋体" w:cstheme="minorBidi"/>
                      <w:b w:val="0"/>
                      <w:bCs/>
                      <w:kern w:val="44"/>
                      <w:sz w:val="21"/>
                      <w:szCs w:val="24"/>
                      <w:highlight w:val="none"/>
                      <w:lang w:val="en-US" w:eastAsia="zh-CN" w:bidi="ar-SA"/>
                    </w:rPr>
                    <w:t>，</w:t>
                  </w:r>
                  <w:r>
                    <w:rPr>
                      <w:rFonts w:hint="default" w:ascii="Times New Roman" w:hAnsi="Times New Roman" w:eastAsia="宋体" w:cstheme="minorBidi"/>
                      <w:b w:val="0"/>
                      <w:bCs/>
                      <w:kern w:val="44"/>
                      <w:sz w:val="21"/>
                      <w:szCs w:val="24"/>
                      <w:lang w:val="en-US" w:eastAsia="zh-CN" w:bidi="ar-SA"/>
                    </w:rPr>
                    <w:t>生活垃圾由垃圾箱统一收集后由环卫部门妥善处置。本项目对筛分工序进行密闭</w:t>
                  </w:r>
                  <w:r>
                    <w:rPr>
                      <w:rFonts w:hint="eastAsia" w:ascii="Times New Roman" w:hAnsi="Times New Roman" w:eastAsia="宋体" w:cstheme="minorBidi"/>
                      <w:b w:val="0"/>
                      <w:bCs/>
                      <w:kern w:val="44"/>
                      <w:sz w:val="21"/>
                      <w:szCs w:val="24"/>
                      <w:lang w:val="en-US" w:eastAsia="zh-CN" w:bidi="ar-SA"/>
                    </w:rPr>
                    <w:t>。</w:t>
                  </w:r>
                </w:p>
              </w:tc>
              <w:tc>
                <w:tcPr>
                  <w:tcW w:w="714" w:type="dxa"/>
                  <w:vAlign w:val="center"/>
                </w:tcPr>
                <w:p w14:paraId="0657DFAC">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p>
              </w:tc>
            </w:tr>
            <w:tr w14:paraId="10FB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18CE67B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588" w:type="dxa"/>
                  <w:vAlign w:val="center"/>
                </w:tcPr>
                <w:p w14:paraId="26CCE99F">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资源开发方式</w:t>
                  </w:r>
                </w:p>
              </w:tc>
              <w:tc>
                <w:tcPr>
                  <w:tcW w:w="2316" w:type="dxa"/>
                  <w:vAlign w:val="center"/>
                </w:tcPr>
                <w:p w14:paraId="66E4A70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开发应与环境保护、资源保护和城乡建设相协调，最大限度减少对自然环境的扰动和破坏，选择资源节约型、环境友好型开发方式。采用先进的工艺技术与装备，做到绿色开采、绿色生产、绿色存贮、绿色运输。应贯彻“边开采、边恢复”的原则，及时治理恢复矿山地质环境，复垦矿山占用土地和损毁土地。治理率和复垦率应达到矿山地质环境保护与土地复垦方案的要求。干法生产应配备高效除尘设备，并保持与生产设备同步运行。湿法生产应配置泥粉和水分离废水处理和循环使用系统。生产加工车间的产尘点要封闭，有利于形成负压除尘，皮带运输系统廊道应选用封闭方式，防止粉尘逸散。应选用低噪声生产设备，对高噪强振的设备，应采取消声、减振措施，合理设计工艺布置，控制噪声传播。砂石骨料成品堆场（库）应地面硬化，分类或分仓储存</w:t>
                  </w:r>
                </w:p>
              </w:tc>
              <w:tc>
                <w:tcPr>
                  <w:tcW w:w="2472" w:type="dxa"/>
                  <w:vAlign w:val="center"/>
                </w:tcPr>
                <w:p w14:paraId="4D267638">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本项目按规范委托</w:t>
                  </w:r>
                  <w:r>
                    <w:rPr>
                      <w:rFonts w:hint="eastAsia" w:ascii="Times New Roman" w:hAnsi="Times New Roman" w:eastAsia="宋体" w:cstheme="minorBidi"/>
                      <w:b w:val="0"/>
                      <w:bCs/>
                      <w:kern w:val="44"/>
                      <w:sz w:val="21"/>
                      <w:szCs w:val="24"/>
                      <w:lang w:val="en-US" w:eastAsia="zh-CN" w:bidi="ar-SA"/>
                    </w:rPr>
                    <w:t>第三方公司</w:t>
                  </w:r>
                  <w:r>
                    <w:rPr>
                      <w:rFonts w:hint="default" w:ascii="Times New Roman" w:hAnsi="Times New Roman" w:eastAsia="宋体" w:cstheme="minorBidi"/>
                      <w:b w:val="0"/>
                      <w:bCs/>
                      <w:kern w:val="44"/>
                      <w:sz w:val="21"/>
                      <w:szCs w:val="24"/>
                      <w:lang w:val="en-US" w:eastAsia="zh-CN" w:bidi="ar-SA"/>
                    </w:rPr>
                    <w:t>编制矿产资源开发利用与生态保护修复方案，闭矿后对开采区、矿山道路、堆料场等进行土地整治及回填表土，恢复生态。本项目开采方式采用挖掘机自上而下水平分层开采，本项目运输道路采用碎石硬化，道路定时洒水，出入车辆清洗轮胎，运输过程中遮盖，限速，以减少扬尘量。本项目对筛分工序进行密闭</w:t>
                  </w:r>
                  <w:r>
                    <w:rPr>
                      <w:rFonts w:hint="eastAsia" w:ascii="Times New Roman" w:hAnsi="Times New Roman" w:eastAsia="宋体" w:cstheme="minorBidi"/>
                      <w:b w:val="0"/>
                      <w:bCs/>
                      <w:kern w:val="44"/>
                      <w:sz w:val="21"/>
                      <w:szCs w:val="24"/>
                      <w:lang w:val="en-US" w:eastAsia="zh-CN" w:bidi="ar-SA"/>
                    </w:rPr>
                    <w:t>。</w:t>
                  </w:r>
                </w:p>
              </w:tc>
              <w:tc>
                <w:tcPr>
                  <w:tcW w:w="714" w:type="dxa"/>
                  <w:vAlign w:val="center"/>
                </w:tcPr>
                <w:p w14:paraId="4EDDB24A">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A7A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469EE189">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588" w:type="dxa"/>
                  <w:vAlign w:val="center"/>
                </w:tcPr>
                <w:p w14:paraId="56019F23">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资源综合利用</w:t>
                  </w:r>
                </w:p>
              </w:tc>
              <w:tc>
                <w:tcPr>
                  <w:tcW w:w="2316" w:type="dxa"/>
                  <w:vAlign w:val="center"/>
                </w:tcPr>
                <w:p w14:paraId="48E86B5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应按照减量化、资源化。再利用的原则，对砂石生产工艺合理优化设计，提高成品率。充分利用石粉、泥粉等加工.副产品，提高资源综合利用水平。生产工艺技术和设备应符合国土资源部《矿产资源节约与综合利用鼓励、限制和淘汰技术目录》要求.剥离表土后，砂石矿山资源综合利用率不低于95%。</w:t>
                  </w:r>
                </w:p>
              </w:tc>
              <w:tc>
                <w:tcPr>
                  <w:tcW w:w="2472" w:type="dxa"/>
                  <w:vAlign w:val="center"/>
                </w:tcPr>
                <w:p w14:paraId="2EF5541C">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运营期采取的生产工艺技术和设备符合国土资源部《矿产资源节约与综合利用鼓励、限制和淘汰技术目录》要求；本项目运营期固废主要为生产废砂石，后期用于闭矿后采坑回填及周边生态修复，满足资源综合利用的要求。</w:t>
                  </w:r>
                </w:p>
              </w:tc>
              <w:tc>
                <w:tcPr>
                  <w:tcW w:w="714" w:type="dxa"/>
                  <w:vAlign w:val="center"/>
                </w:tcPr>
                <w:p w14:paraId="277D1A6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5921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7B4B1A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588" w:type="dxa"/>
                  <w:vAlign w:val="center"/>
                </w:tcPr>
                <w:p w14:paraId="1A0759A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节能减排</w:t>
                  </w:r>
                </w:p>
              </w:tc>
              <w:tc>
                <w:tcPr>
                  <w:tcW w:w="2316" w:type="dxa"/>
                  <w:vAlign w:val="center"/>
                </w:tcPr>
                <w:p w14:paraId="02815E2E">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建立能耗核算体系，采取节能减排措施，降低砂石生产能耗和设备损耗，使三废和噪音排放达到环保标准。</w:t>
                  </w:r>
                </w:p>
              </w:tc>
              <w:tc>
                <w:tcPr>
                  <w:tcW w:w="2472" w:type="dxa"/>
                  <w:vAlign w:val="center"/>
                </w:tcPr>
                <w:p w14:paraId="1AA032B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本项目不消耗天然气、煤炭等，所用能源主要包括水、电，</w:t>
                  </w:r>
                  <w:r>
                    <w:rPr>
                      <w:rFonts w:hint="default" w:ascii="Times New Roman" w:hAnsi="Times New Roman" w:eastAsia="宋体" w:cstheme="minorBidi"/>
                      <w:b w:val="0"/>
                      <w:bCs/>
                      <w:kern w:val="44"/>
                      <w:sz w:val="21"/>
                      <w:szCs w:val="24"/>
                      <w:highlight w:val="none"/>
                      <w:lang w:val="en-US" w:eastAsia="zh-CN" w:bidi="ar-SA"/>
                    </w:rPr>
                    <w:t>用水量</w:t>
                  </w:r>
                  <w:r>
                    <w:rPr>
                      <w:rFonts w:hint="eastAsia" w:ascii="Times New Roman" w:hAnsi="Times New Roman" w:eastAsia="宋体" w:cstheme="minorBidi"/>
                      <w:b w:val="0"/>
                      <w:bCs/>
                      <w:kern w:val="44"/>
                      <w:sz w:val="21"/>
                      <w:szCs w:val="24"/>
                      <w:highlight w:val="none"/>
                      <w:lang w:val="en-US" w:eastAsia="zh-CN" w:bidi="ar-SA"/>
                    </w:rPr>
                    <w:t>约</w:t>
                  </w:r>
                  <w:r>
                    <w:rPr>
                      <w:rFonts w:hint="eastAsia" w:cstheme="minorBidi"/>
                      <w:b w:val="0"/>
                      <w:bCs/>
                      <w:kern w:val="44"/>
                      <w:sz w:val="21"/>
                      <w:szCs w:val="24"/>
                      <w:highlight w:val="none"/>
                      <w:lang w:val="en-US" w:eastAsia="zh-CN" w:bidi="ar-SA"/>
                    </w:rPr>
                    <w:t>57756.2</w:t>
                  </w:r>
                  <w:r>
                    <w:rPr>
                      <w:rFonts w:hint="default" w:ascii="Times New Roman" w:hAnsi="Times New Roman" w:eastAsia="宋体" w:cstheme="minorBidi"/>
                      <w:b w:val="0"/>
                      <w:bCs/>
                      <w:kern w:val="44"/>
                      <w:sz w:val="21"/>
                      <w:szCs w:val="24"/>
                      <w:highlight w:val="none"/>
                      <w:lang w:val="en-US" w:eastAsia="zh-CN" w:bidi="ar-SA"/>
                    </w:rPr>
                    <w:t>m</w:t>
                  </w:r>
                  <w:r>
                    <w:rPr>
                      <w:rFonts w:hint="default" w:ascii="Times New Roman" w:hAnsi="Times New Roman" w:eastAsia="宋体" w:cstheme="minorBidi"/>
                      <w:b w:val="0"/>
                      <w:bCs/>
                      <w:kern w:val="44"/>
                      <w:sz w:val="21"/>
                      <w:szCs w:val="24"/>
                      <w:highlight w:val="none"/>
                      <w:vertAlign w:val="superscript"/>
                      <w:lang w:val="en-US" w:eastAsia="zh-CN" w:bidi="ar-SA"/>
                    </w:rPr>
                    <w:t>3</w:t>
                  </w:r>
                  <w:r>
                    <w:rPr>
                      <w:rFonts w:hint="default" w:ascii="Times New Roman" w:hAnsi="Times New Roman" w:eastAsia="宋体" w:cstheme="minorBidi"/>
                      <w:b w:val="0"/>
                      <w:bCs/>
                      <w:kern w:val="44"/>
                      <w:sz w:val="21"/>
                      <w:szCs w:val="24"/>
                      <w:highlight w:val="none"/>
                      <w:lang w:val="en-US" w:eastAsia="zh-CN" w:bidi="ar-SA"/>
                    </w:rPr>
                    <w:t>/a</w:t>
                  </w:r>
                  <w:r>
                    <w:rPr>
                      <w:rFonts w:hint="default" w:ascii="Times New Roman" w:hAnsi="Times New Roman" w:eastAsia="宋体" w:cstheme="minorBidi"/>
                      <w:b w:val="0"/>
                      <w:bCs/>
                      <w:kern w:val="44"/>
                      <w:sz w:val="21"/>
                      <w:szCs w:val="24"/>
                      <w:lang w:val="en-US" w:eastAsia="zh-CN" w:bidi="ar-SA"/>
                    </w:rPr>
                    <w:t>，能耗较低；运营期三废及噪声分析，均可达标排放。</w:t>
                  </w:r>
                </w:p>
              </w:tc>
              <w:tc>
                <w:tcPr>
                  <w:tcW w:w="714" w:type="dxa"/>
                  <w:vAlign w:val="center"/>
                </w:tcPr>
                <w:p w14:paraId="6A83D47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79B3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629AB6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5</w:t>
                  </w:r>
                </w:p>
              </w:tc>
              <w:tc>
                <w:tcPr>
                  <w:tcW w:w="588" w:type="dxa"/>
                  <w:vAlign w:val="center"/>
                </w:tcPr>
                <w:p w14:paraId="1601CBF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科技创新与数字化矿山</w:t>
                  </w:r>
                </w:p>
              </w:tc>
              <w:tc>
                <w:tcPr>
                  <w:tcW w:w="2316" w:type="dxa"/>
                  <w:vAlign w:val="center"/>
                </w:tcPr>
                <w:p w14:paraId="3BF0ABC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建立科技研发队伍，推广转化科技成果，加大技术改造力度，推动产业绿色升级。建设数字化矿山，实现矿山企业生产、经营和管理信息化。</w:t>
                  </w:r>
                </w:p>
              </w:tc>
              <w:tc>
                <w:tcPr>
                  <w:tcW w:w="2472" w:type="dxa"/>
                  <w:vAlign w:val="center"/>
                </w:tcPr>
                <w:p w14:paraId="34236ED5">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建设单位拟在运营期建设数字化矿山，实现矿山企业生产、经营和管理信息化。</w:t>
                  </w:r>
                </w:p>
              </w:tc>
              <w:tc>
                <w:tcPr>
                  <w:tcW w:w="714" w:type="dxa"/>
                  <w:vAlign w:val="center"/>
                </w:tcPr>
                <w:p w14:paraId="5AD46EDF">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32F4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28A3AD39">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6</w:t>
                  </w:r>
                </w:p>
              </w:tc>
              <w:tc>
                <w:tcPr>
                  <w:tcW w:w="588" w:type="dxa"/>
                  <w:vAlign w:val="center"/>
                </w:tcPr>
                <w:p w14:paraId="1864741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企业管理与企业形象</w:t>
                  </w:r>
                </w:p>
              </w:tc>
              <w:tc>
                <w:tcPr>
                  <w:tcW w:w="2316" w:type="dxa"/>
                  <w:vAlign w:val="center"/>
                </w:tcPr>
                <w:p w14:paraId="65615CD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应建立产权、责任、管理和文化等方面的企业管理制度。应建立质量管理体系、环境管理体系和职业健康安全管理体系，确保对质量、环境、职业健康与安全的管理。</w:t>
                  </w:r>
                </w:p>
              </w:tc>
              <w:tc>
                <w:tcPr>
                  <w:tcW w:w="2472" w:type="dxa"/>
                  <w:vAlign w:val="center"/>
                </w:tcPr>
                <w:p w14:paraId="6054B579">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建设单位拟在运营期按要求建立完整的企业管理制度。</w:t>
                  </w:r>
                </w:p>
              </w:tc>
              <w:tc>
                <w:tcPr>
                  <w:tcW w:w="714" w:type="dxa"/>
                  <w:vAlign w:val="center"/>
                </w:tcPr>
                <w:p w14:paraId="514AF9D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047A9859">
            <w:pPr>
              <w:rPr>
                <w:rFonts w:hint="default"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4、与《新疆维吾尔自治区大气污染防治条例》符合性分析</w:t>
            </w:r>
          </w:p>
          <w:p w14:paraId="4E0C8547">
            <w:pPr>
              <w:bidi w:val="0"/>
              <w:rPr>
                <w:rFonts w:hint="eastAsia"/>
                <w:lang w:val="en-US" w:eastAsia="zh-CN"/>
              </w:rPr>
            </w:pPr>
            <w:r>
              <w:rPr>
                <w:rFonts w:hint="eastAsia"/>
                <w:lang w:val="en-US" w:eastAsia="zh-CN"/>
              </w:rPr>
              <w:t>本项目运营期大气主要污染为粉尘，对照《新疆维吾尔自治区大气污染防治条例》中“第三章防治措施”中的“第四节扬尘污染防治”符合性分析见表1-6。</w:t>
            </w:r>
          </w:p>
          <w:p w14:paraId="65AF3D71">
            <w:pPr>
              <w:pStyle w:val="14"/>
              <w:ind w:left="0" w:leftChars="0" w:firstLine="0" w:firstLineChars="0"/>
              <w:rPr>
                <w:rFonts w:hint="default"/>
                <w:b/>
                <w:bCs/>
                <w:sz w:val="24"/>
                <w:szCs w:val="24"/>
                <w:lang w:val="en-US" w:eastAsia="zh-CN"/>
              </w:rPr>
            </w:pPr>
            <w:r>
              <w:rPr>
                <w:rFonts w:hint="eastAsia"/>
                <w:b/>
                <w:bCs/>
                <w:sz w:val="24"/>
                <w:szCs w:val="24"/>
                <w:lang w:val="en-US" w:eastAsia="zh-CN"/>
              </w:rPr>
              <w:t>表1-6</w:t>
            </w:r>
            <w:r>
              <w:rPr>
                <w:rFonts w:hint="eastAsia" w:ascii="Times New Roman" w:hAnsi="Times New Roman" w:eastAsia="宋体" w:cstheme="minorBidi"/>
                <w:b/>
                <w:bCs/>
                <w:kern w:val="2"/>
                <w:sz w:val="24"/>
                <w:szCs w:val="24"/>
                <w:lang w:val="en-US" w:eastAsia="zh-CN" w:bidi="ar-SA"/>
              </w:rPr>
              <w:t>与《新疆维吾尔自治区大气污染防治条例》符合性分析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3168"/>
              <w:gridCol w:w="2003"/>
              <w:gridCol w:w="1013"/>
            </w:tblGrid>
            <w:tr w14:paraId="79AA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E601CE3">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2386" w:type="pct"/>
                  <w:vAlign w:val="center"/>
                </w:tcPr>
                <w:p w14:paraId="3E070F8A">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508" w:type="pct"/>
                  <w:vAlign w:val="center"/>
                </w:tcPr>
                <w:p w14:paraId="18B8424A">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37CD911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5401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2F367F64">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1</w:t>
                  </w:r>
                </w:p>
              </w:tc>
              <w:tc>
                <w:tcPr>
                  <w:tcW w:w="2386" w:type="pct"/>
                  <w:vAlign w:val="center"/>
                </w:tcPr>
                <w:p w14:paraId="34FE13B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三十七条各级人民政府应当加强对建设施工、矿产资源开采、物料运输的扬尘和沙尘污染的治理，保持道路清洁、控制料堆和渣土堆放，科学合理扩大绿地、水面、湿地、地面铺装和防风固沙绿化面积，防治扬尘污染。</w:t>
                  </w:r>
                </w:p>
              </w:tc>
              <w:tc>
                <w:tcPr>
                  <w:tcW w:w="1508" w:type="pct"/>
                  <w:vAlign w:val="center"/>
                </w:tcPr>
                <w:p w14:paraId="0CFF775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环评要求对开采、运输等过程扬尘进行喷洒降尘、运输车辆篷布遮盖等大气污染治理。</w:t>
                  </w:r>
                </w:p>
              </w:tc>
              <w:tc>
                <w:tcPr>
                  <w:tcW w:w="763" w:type="pct"/>
                  <w:vAlign w:val="center"/>
                </w:tcPr>
                <w:p w14:paraId="647891F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3199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68778540">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2</w:t>
                  </w:r>
                </w:p>
              </w:tc>
              <w:tc>
                <w:tcPr>
                  <w:tcW w:w="2386" w:type="pct"/>
                  <w:vAlign w:val="center"/>
                </w:tcPr>
                <w:p w14:paraId="5F14D6A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第三十九条运输、处置建筑垃圾，应当经工程所在地的县（市、区）人民政府确定的监督管理部门同意，按照规定的运输时间、路线和要求清运到指定的场所处理；在场地内堆存的，应当有效覆盖。</w:t>
                  </w:r>
                </w:p>
              </w:tc>
              <w:tc>
                <w:tcPr>
                  <w:tcW w:w="1508" w:type="pct"/>
                  <w:vAlign w:val="center"/>
                </w:tcPr>
                <w:p w14:paraId="669A344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施工单位承诺运输、处置建筑垃圾按当地管理要求；场地堆存物料加盖篷布。</w:t>
                  </w:r>
                </w:p>
              </w:tc>
              <w:tc>
                <w:tcPr>
                  <w:tcW w:w="763" w:type="pct"/>
                  <w:vAlign w:val="center"/>
                </w:tcPr>
                <w:p w14:paraId="648D391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7E298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94264B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3</w:t>
                  </w:r>
                </w:p>
              </w:tc>
              <w:tc>
                <w:tcPr>
                  <w:tcW w:w="2386" w:type="pct"/>
                  <w:vAlign w:val="center"/>
                </w:tcPr>
                <w:p w14:paraId="59E61B6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tc>
              <w:tc>
                <w:tcPr>
                  <w:tcW w:w="1508" w:type="pct"/>
                  <w:vAlign w:val="center"/>
                </w:tcPr>
                <w:p w14:paraId="6F1C88C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堆料场：洒水保湿，防尘网苫盖；装卸粉尘：喷洒降尘，加强管理，规范作业等。本项目对筛分工序采取密闭。</w:t>
                  </w:r>
                </w:p>
              </w:tc>
              <w:tc>
                <w:tcPr>
                  <w:tcW w:w="763" w:type="pct"/>
                  <w:vAlign w:val="center"/>
                </w:tcPr>
                <w:p w14:paraId="33067838">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r w14:paraId="17E9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7F322262">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4</w:t>
                  </w:r>
                </w:p>
              </w:tc>
              <w:tc>
                <w:tcPr>
                  <w:tcW w:w="2386" w:type="pct"/>
                  <w:vAlign w:val="center"/>
                </w:tcPr>
                <w:p w14:paraId="5CA9A7E0">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ascii="sans-serif" w:hAnsi="sans-serif" w:eastAsia="sans-serif" w:cs="sans-serif"/>
                      <w:i w:val="0"/>
                      <w:iCs w:val="0"/>
                      <w:caps w:val="0"/>
                      <w:spacing w:val="0"/>
                      <w:sz w:val="21"/>
                      <w:szCs w:val="21"/>
                      <w:shd w:val="clear" w:fill="FFFFFF"/>
                    </w:rPr>
                    <w:t>第四十四条矿山开采产生的废石、废渣、泥</w:t>
                  </w:r>
                  <w:r>
                    <w:rPr>
                      <w:rFonts w:hint="eastAsia" w:ascii="sans-serif" w:hAnsi="sans-serif" w:eastAsia="sans-serif" w:cs="sans-serif"/>
                      <w:i w:val="0"/>
                      <w:iCs w:val="0"/>
                      <w:caps w:val="0"/>
                      <w:spacing w:val="0"/>
                      <w:sz w:val="21"/>
                      <w:szCs w:val="21"/>
                      <w:shd w:val="clear" w:fill="FFFFFF"/>
                    </w:rPr>
                    <w:t>土等应当堆放到专门存放地，并采取围挡、设置防尘网或者防尘布等防尘措施；施工便道应当硬化。在采石、采砂和其他矿产资源开采过程中，或者在停办、关闭矿山前，采矿权人应当整修被损坏的道路和露天采矿场的边坡、断面，恢复原有地貌，并按照规定处置矿山开采废弃物，防止扬尘污染。</w:t>
                  </w:r>
                </w:p>
              </w:tc>
              <w:tc>
                <w:tcPr>
                  <w:tcW w:w="1508" w:type="pct"/>
                  <w:vAlign w:val="center"/>
                </w:tcPr>
                <w:p w14:paraId="76801449">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ascii="sans-serif" w:hAnsi="sans-serif" w:eastAsia="sans-serif" w:cs="sans-serif"/>
                      <w:i w:val="0"/>
                      <w:iCs w:val="0"/>
                      <w:caps w:val="0"/>
                      <w:spacing w:val="0"/>
                      <w:sz w:val="21"/>
                      <w:szCs w:val="21"/>
                      <w:shd w:val="clear" w:fill="FFFFFF"/>
                    </w:rPr>
                    <w:t>堆料场：洒水保湿</w:t>
                  </w:r>
                  <w:r>
                    <w:rPr>
                      <w:rFonts w:hint="eastAsia" w:ascii="sans-serif" w:hAnsi="sans-serif" w:eastAsia="sans-serif" w:cs="sans-serif"/>
                      <w:i w:val="0"/>
                      <w:iCs w:val="0"/>
                      <w:caps w:val="0"/>
                      <w:spacing w:val="0"/>
                      <w:sz w:val="21"/>
                      <w:szCs w:val="21"/>
                      <w:shd w:val="clear" w:fill="FFFFFF"/>
                    </w:rPr>
                    <w:t>，防尘网苫盖；筛选废砂石闭矿期用于采坑回填整治及土地复垦，并按要求编制矿产资源开发利用与生态保护修复方案。</w:t>
                  </w:r>
                </w:p>
              </w:tc>
              <w:tc>
                <w:tcPr>
                  <w:tcW w:w="763" w:type="pct"/>
                  <w:vAlign w:val="center"/>
                </w:tcPr>
                <w:p w14:paraId="39B8D5A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w:t>
                  </w:r>
                </w:p>
              </w:tc>
            </w:tr>
          </w:tbl>
          <w:p w14:paraId="6BF43B71">
            <w:pPr>
              <w:pStyle w:val="14"/>
              <w:rPr>
                <w:rFonts w:hint="eastAsia"/>
                <w:b/>
                <w:bCs/>
                <w:sz w:val="24"/>
                <w:szCs w:val="24"/>
                <w:lang w:val="en-US" w:eastAsia="zh-CN"/>
              </w:rPr>
            </w:pPr>
            <w:r>
              <w:rPr>
                <w:rFonts w:hint="eastAsia"/>
                <w:b/>
                <w:bCs/>
                <w:sz w:val="24"/>
                <w:szCs w:val="24"/>
                <w:lang w:val="en-US" w:eastAsia="zh-CN"/>
              </w:rPr>
              <w:t>5、与《自然资源部关于规范和完善砂石开采管理的通知》符合性分析</w:t>
            </w:r>
          </w:p>
          <w:p w14:paraId="5C2216EF">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 xml:space="preserve">参照自然资源部2023年4月10日发布的《自然资源部关于规范和完善砂石开采管理的通知》提出“非砂石类生产矿山在其矿区范围内按照矿山设计或开发利用方案，矿山剥离、井巷开拓、选矿产生的砂石料，应优先供该矿山井巷填充、修复治理及工程建设等综合利用，利用后仍有剩余的，由所在地的自然资源主管部门报县级以上地方人民政府组织纳入公共资源交易平台处置”、“绿色矿山建设要求应纳入采矿权出让公告，并在采矿权出让合同中明确绿色矿山创建要求和违约责任。新建砂石矿山应按绿色矿山标准要求建设，正在生产的矿山应积极推进绿色矿山建设，明确改进期限，逐步达到绿色矿山要求。矿山企业应当认真履行矿山生态保护修复义务，将生态保护修复贯穿采矿活动全过程”。   </w:t>
            </w:r>
          </w:p>
          <w:p w14:paraId="571585AF">
            <w:pPr>
              <w:pStyle w:val="14"/>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本项目为建筑砂石开采，已按绿色矿山标准要求建设，矿山企业已认真履行矿山生态保护修复义务，将生态保护修复贯穿采矿活动全过程，因此，本项目符合《自然资源部关于规范和完善砂石开采管理的通知》。</w:t>
            </w:r>
          </w:p>
          <w:p w14:paraId="11CCA394">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ascii="Times New Roman" w:hAnsi="Times New Roman" w:eastAsia="宋体" w:cstheme="minorBidi"/>
                <w:b/>
                <w:bCs w:val="0"/>
                <w:kern w:val="2"/>
                <w:sz w:val="24"/>
                <w:szCs w:val="24"/>
                <w:lang w:val="en-US" w:eastAsia="zh-CN" w:bidi="ar-SA"/>
              </w:rPr>
              <w:t>6、与</w:t>
            </w:r>
            <w:r>
              <w:rPr>
                <w:rFonts w:hint="eastAsia" w:ascii="Times New Roman" w:hAnsi="Times New Roman" w:eastAsia="宋体" w:cstheme="minorBidi"/>
                <w:b/>
                <w:bCs w:val="0"/>
                <w:kern w:val="2"/>
                <w:sz w:val="24"/>
                <w:szCs w:val="24"/>
                <w:highlight w:val="none"/>
                <w:lang w:val="en-US" w:eastAsia="zh-CN" w:bidi="ar-SA"/>
              </w:rPr>
              <w:t>《工业料堆场扬尘整治规范》</w:t>
            </w:r>
            <w:r>
              <w:rPr>
                <w:rFonts w:hint="eastAsia" w:ascii="Times New Roman" w:hAnsi="Times New Roman" w:eastAsia="宋体" w:cstheme="minorBidi"/>
                <w:b/>
                <w:bCs w:val="0"/>
                <w:kern w:val="2"/>
                <w:sz w:val="24"/>
                <w:szCs w:val="24"/>
                <w:lang w:val="en-US" w:eastAsia="zh-CN" w:bidi="ar-SA"/>
              </w:rPr>
              <w:t>(DB65/T4061-2017）符合性分析</w:t>
            </w:r>
          </w:p>
          <w:p w14:paraId="2DC4B1AB">
            <w:pPr>
              <w:pStyle w:val="14"/>
              <w:numPr>
                <w:ilvl w:val="0"/>
                <w:numId w:val="0"/>
              </w:numPr>
              <w:ind w:firstLine="480" w:firstLineChars="200"/>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本项目属于一般控制区，常年平均风速≤2m/s，粒度＞0.5mm，对照《工业料堆场扬尘整治规范》(DB65/T4061-2017）中表1，本项目的堆场类型划分为I类。针对I类堆场扬尘防治方案，本项目堆场方案为采取“封闭式”车间，仅保留车间进出料口，其余进行封闭设置，同时在原料车间内设置水雾除尘装置进行降尘，每1m设置一个水雾除尘喷头，每排间距2m，并定期在车间地面进行洒水降尘，符合其I类堆场扬尘防治要求。因此，本项目堆场扬尘整治措施与《工业料堆场扬尘整治规范》（DB65/T4061-2017）相符。</w:t>
            </w:r>
          </w:p>
          <w:p w14:paraId="2750468D">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7、与《新疆维吾尔自治区重点行业环境准入条件（修订）》（2024年6月）符合性分析</w:t>
            </w:r>
          </w:p>
          <w:p w14:paraId="28D97B31">
            <w:pPr>
              <w:pStyle w:val="14"/>
              <w:numPr>
                <w:ilvl w:val="0"/>
                <w:numId w:val="0"/>
              </w:numPr>
              <w:rPr>
                <w:rFonts w:hint="default" w:cstheme="minorBidi"/>
                <w:b/>
                <w:bCs w:val="0"/>
                <w:kern w:val="2"/>
                <w:sz w:val="24"/>
                <w:szCs w:val="24"/>
                <w:lang w:val="en-US" w:eastAsia="zh-CN" w:bidi="ar-SA"/>
              </w:rPr>
            </w:pPr>
            <w:r>
              <w:rPr>
                <w:rFonts w:hint="eastAsia" w:cstheme="minorBidi"/>
                <w:b/>
                <w:bCs w:val="0"/>
                <w:kern w:val="2"/>
                <w:sz w:val="24"/>
                <w:szCs w:val="24"/>
                <w:lang w:val="en-US" w:eastAsia="zh-CN" w:bidi="ar-SA"/>
              </w:rPr>
              <w:t>表1-7 本项目与《新疆维吾尔自治区重点行业环境准入条件（修订）》（2024年6月）符合性分析</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3168"/>
              <w:gridCol w:w="2003"/>
              <w:gridCol w:w="1013"/>
            </w:tblGrid>
            <w:tr w14:paraId="1B1E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2C97588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序号</w:t>
                  </w:r>
                </w:p>
              </w:tc>
              <w:tc>
                <w:tcPr>
                  <w:tcW w:w="2386" w:type="pct"/>
                  <w:vAlign w:val="center"/>
                </w:tcPr>
                <w:p w14:paraId="3D89ED76">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具体要求</w:t>
                  </w:r>
                </w:p>
              </w:tc>
              <w:tc>
                <w:tcPr>
                  <w:tcW w:w="1508" w:type="pct"/>
                  <w:vAlign w:val="center"/>
                </w:tcPr>
                <w:p w14:paraId="71346FAE">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w:t>
                  </w:r>
                </w:p>
              </w:tc>
              <w:tc>
                <w:tcPr>
                  <w:tcW w:w="763" w:type="pct"/>
                  <w:vAlign w:val="center"/>
                </w:tcPr>
                <w:p w14:paraId="42354BA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符合性分析</w:t>
                  </w:r>
                </w:p>
              </w:tc>
            </w:tr>
            <w:tr w14:paraId="33F8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341" w:type="pct"/>
                  <w:vAlign w:val="center"/>
                </w:tcPr>
                <w:p w14:paraId="293A4D77">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1</w:t>
                  </w:r>
                </w:p>
              </w:tc>
              <w:tc>
                <w:tcPr>
                  <w:tcW w:w="2386" w:type="pct"/>
                  <w:vAlign w:val="center"/>
                </w:tcPr>
                <w:p w14:paraId="01D07F8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p>
              </w:tc>
              <w:tc>
                <w:tcPr>
                  <w:tcW w:w="1508" w:type="pct"/>
                  <w:vAlign w:val="center"/>
                </w:tcPr>
                <w:p w14:paraId="2B8B814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highlight w:val="none"/>
                      <w:lang w:val="en-US" w:eastAsia="zh-CN" w:bidi="ar-SA"/>
                    </w:rPr>
                    <w:t>本项目位于</w:t>
                  </w:r>
                  <w:r>
                    <w:rPr>
                      <w:rFonts w:hint="eastAsia" w:cstheme="minorBidi"/>
                      <w:b w:val="0"/>
                      <w:bCs/>
                      <w:kern w:val="44"/>
                      <w:sz w:val="21"/>
                      <w:szCs w:val="24"/>
                      <w:highlight w:val="none"/>
                      <w:lang w:val="en-US" w:eastAsia="zh-CN" w:bidi="ar-SA"/>
                    </w:rPr>
                    <w:t>新疆维吾尔自治区</w:t>
                  </w:r>
                  <w:r>
                    <w:rPr>
                      <w:rFonts w:hint="default" w:ascii="Times New Roman" w:hAnsi="Times New Roman" w:eastAsia="宋体" w:cstheme="minorBidi"/>
                      <w:b w:val="0"/>
                      <w:bCs/>
                      <w:kern w:val="44"/>
                      <w:sz w:val="21"/>
                      <w:szCs w:val="24"/>
                      <w:highlight w:val="none"/>
                      <w:lang w:val="en-US" w:eastAsia="zh-CN" w:bidi="ar-SA"/>
                    </w:rPr>
                    <w:t>昌吉州吉木萨尔县三台镇，距离</w:t>
                  </w:r>
                  <w:r>
                    <w:rPr>
                      <w:rFonts w:hint="eastAsia" w:cstheme="minorBidi"/>
                      <w:b w:val="0"/>
                      <w:bCs/>
                      <w:kern w:val="44"/>
                      <w:sz w:val="21"/>
                      <w:szCs w:val="24"/>
                      <w:highlight w:val="none"/>
                      <w:lang w:val="en-US" w:eastAsia="zh-CN" w:bidi="ar-SA"/>
                    </w:rPr>
                    <w:t>s303</w:t>
                  </w:r>
                  <w:r>
                    <w:rPr>
                      <w:rFonts w:hint="default" w:ascii="Times New Roman" w:hAnsi="Times New Roman" w:eastAsia="宋体" w:cstheme="minorBidi"/>
                      <w:b w:val="0"/>
                      <w:bCs/>
                      <w:kern w:val="44"/>
                      <w:sz w:val="21"/>
                      <w:szCs w:val="24"/>
                      <w:highlight w:val="none"/>
                      <w:lang w:val="en-US" w:eastAsia="zh-CN" w:bidi="ar-SA"/>
                    </w:rPr>
                    <w:t>公路最近距离为60</w:t>
                  </w:r>
                  <w:r>
                    <w:rPr>
                      <w:rFonts w:hint="eastAsia" w:cstheme="minorBidi"/>
                      <w:b w:val="0"/>
                      <w:bCs/>
                      <w:kern w:val="44"/>
                      <w:sz w:val="21"/>
                      <w:szCs w:val="24"/>
                      <w:highlight w:val="none"/>
                      <w:lang w:val="en-US" w:eastAsia="zh-CN" w:bidi="ar-SA"/>
                    </w:rPr>
                    <w:t>0</w:t>
                  </w:r>
                  <w:r>
                    <w:rPr>
                      <w:rFonts w:hint="default" w:ascii="Times New Roman" w:hAnsi="Times New Roman" w:eastAsia="宋体" w:cstheme="minorBidi"/>
                      <w:b w:val="0"/>
                      <w:bCs/>
                      <w:kern w:val="44"/>
                      <w:sz w:val="21"/>
                      <w:szCs w:val="24"/>
                      <w:highlight w:val="none"/>
                      <w:lang w:val="en-US" w:eastAsia="zh-CN" w:bidi="ar-SA"/>
                    </w:rPr>
                    <w:t>米，距离高速公路在200米范围外、距离居民聚集区1千米以上；项目周围1000米以内无水体。</w:t>
                  </w:r>
                </w:p>
              </w:tc>
              <w:tc>
                <w:tcPr>
                  <w:tcW w:w="763" w:type="pct"/>
                  <w:vAlign w:val="center"/>
                </w:tcPr>
                <w:p w14:paraId="31245E7C">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3FFD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7" w:hRule="atLeast"/>
              </w:trPr>
              <w:tc>
                <w:tcPr>
                  <w:tcW w:w="341" w:type="pct"/>
                  <w:vAlign w:val="center"/>
                </w:tcPr>
                <w:p w14:paraId="113AF546">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2</w:t>
                  </w:r>
                </w:p>
              </w:tc>
              <w:tc>
                <w:tcPr>
                  <w:tcW w:w="2386" w:type="pct"/>
                  <w:vAlign w:val="center"/>
                </w:tcPr>
                <w:p w14:paraId="42750697">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矿石开采须采用湿式凿岩作业方式。矿石转运、破碎、筛分等粉尘产生工序，须配备抑尘、除尘设施，除尘效率不低于99%。矿石、废石堆场须采用洒水抑尘、设置围挡等无组织粉尘防治措施。大气污染物排放须满足《大气污染物综合排放标准》（GB16297）要求，有行业排放标准的执行行业标准</w:t>
                  </w:r>
                </w:p>
              </w:tc>
              <w:tc>
                <w:tcPr>
                  <w:tcW w:w="1508" w:type="pct"/>
                  <w:vAlign w:val="center"/>
                </w:tcPr>
                <w:p w14:paraId="49055432">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项目砂石矿运输车辆采用篷布遮盖，限速并严禁超载，运矿道路洒水降尘；堆场采用防尘网苫盖并洒水保湿，</w:t>
                  </w:r>
                  <w:r>
                    <w:rPr>
                      <w:rFonts w:hint="eastAsia" w:cstheme="minorBidi"/>
                      <w:b w:val="0"/>
                      <w:bCs/>
                      <w:kern w:val="44"/>
                      <w:sz w:val="21"/>
                      <w:szCs w:val="24"/>
                      <w:lang w:val="en-US" w:eastAsia="zh-CN" w:bidi="ar-SA"/>
                    </w:rPr>
                    <w:t>筛分通过</w:t>
                  </w:r>
                  <w:r>
                    <w:rPr>
                      <w:rFonts w:hint="eastAsia"/>
                      <w:sz w:val="21"/>
                      <w:szCs w:val="21"/>
                    </w:rPr>
                    <w:t>上部设置集气罩</w:t>
                  </w:r>
                  <w:r>
                    <w:rPr>
                      <w:rFonts w:hint="eastAsia"/>
                      <w:sz w:val="21"/>
                      <w:szCs w:val="21"/>
                      <w:lang w:eastAsia="zh-CN"/>
                    </w:rPr>
                    <w:t>(</w:t>
                  </w:r>
                  <w:r>
                    <w:rPr>
                      <w:rFonts w:hint="eastAsia"/>
                      <w:sz w:val="21"/>
                      <w:szCs w:val="21"/>
                      <w:lang w:val="en-US" w:eastAsia="zh-CN"/>
                    </w:rPr>
                    <w:t>95</w:t>
                  </w:r>
                  <w:r>
                    <w:rPr>
                      <w:rFonts w:hint="eastAsia"/>
                      <w:sz w:val="21"/>
                      <w:szCs w:val="21"/>
                    </w:rPr>
                    <w:t>%)+风机</w:t>
                  </w:r>
                  <w:r>
                    <w:rPr>
                      <w:rFonts w:hint="eastAsia"/>
                      <w:sz w:val="21"/>
                      <w:szCs w:val="21"/>
                      <w:lang w:eastAsia="zh-CN"/>
                    </w:rPr>
                    <w:t>（</w:t>
                  </w:r>
                  <w:r>
                    <w:rPr>
                      <w:rFonts w:hint="eastAsia"/>
                      <w:sz w:val="21"/>
                      <w:szCs w:val="21"/>
                    </w:rPr>
                    <w:t>风量20000m</w:t>
                  </w:r>
                  <w:r>
                    <w:rPr>
                      <w:rFonts w:hint="eastAsia"/>
                      <w:sz w:val="21"/>
                      <w:szCs w:val="21"/>
                      <w:vertAlign w:val="superscript"/>
                    </w:rPr>
                    <w:t>3</w:t>
                  </w:r>
                  <w:r>
                    <w:rPr>
                      <w:rFonts w:hint="eastAsia"/>
                      <w:sz w:val="21"/>
                      <w:szCs w:val="21"/>
                    </w:rPr>
                    <w:t>/h</w:t>
                  </w:r>
                  <w:r>
                    <w:rPr>
                      <w:rFonts w:hint="eastAsia"/>
                      <w:sz w:val="21"/>
                      <w:szCs w:val="21"/>
                      <w:lang w:eastAsia="zh-CN"/>
                    </w:rPr>
                    <w:t>）</w:t>
                  </w:r>
                  <w:r>
                    <w:rPr>
                      <w:rFonts w:hint="eastAsia"/>
                      <w:sz w:val="21"/>
                      <w:szCs w:val="21"/>
                    </w:rPr>
                    <w:t>+布袋除尘</w:t>
                  </w:r>
                  <w:r>
                    <w:rPr>
                      <w:rFonts w:hint="eastAsia"/>
                      <w:color w:val="000000"/>
                      <w:sz w:val="21"/>
                      <w:szCs w:val="21"/>
                    </w:rPr>
                    <w:t>器</w:t>
                  </w:r>
                  <w:r>
                    <w:rPr>
                      <w:rFonts w:hint="eastAsia"/>
                      <w:color w:val="000000"/>
                      <w:sz w:val="21"/>
                      <w:szCs w:val="21"/>
                      <w:lang w:eastAsia="zh-CN"/>
                    </w:rPr>
                    <w:t>(</w:t>
                  </w:r>
                  <w:r>
                    <w:rPr>
                      <w:rFonts w:hint="eastAsia"/>
                      <w:color w:val="000000"/>
                      <w:sz w:val="21"/>
                      <w:szCs w:val="21"/>
                    </w:rPr>
                    <w:t>99%)+15m排气筒</w:t>
                  </w:r>
                  <w:r>
                    <w:rPr>
                      <w:rFonts w:hint="eastAsia" w:ascii="Times New Roman" w:hAnsi="Times New Roman" w:eastAsia="宋体" w:cstheme="minorBidi"/>
                      <w:b w:val="0"/>
                      <w:bCs/>
                      <w:kern w:val="44"/>
                      <w:sz w:val="21"/>
                      <w:szCs w:val="24"/>
                      <w:lang w:val="en-US" w:eastAsia="zh-CN" w:bidi="ar-SA"/>
                    </w:rPr>
                    <w:t>堆场按照《工业料堆场扬尘整治规范》（DB65/T4064-2017）建设，厂界颗粒物排放满足《大气污染物综合排放标准》（GB16297-1996）要求</w:t>
                  </w:r>
                </w:p>
              </w:tc>
              <w:tc>
                <w:tcPr>
                  <w:tcW w:w="763" w:type="pct"/>
                  <w:vAlign w:val="center"/>
                </w:tcPr>
                <w:p w14:paraId="7380820E">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1670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1AA7C82C">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3</w:t>
                  </w:r>
                </w:p>
              </w:tc>
              <w:tc>
                <w:tcPr>
                  <w:tcW w:w="2386" w:type="pct"/>
                  <w:vAlign w:val="center"/>
                </w:tcPr>
                <w:p w14:paraId="395416EF">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严禁未经处理的采矿废水直接排放，禁止利用渗井、渗坑、裂隙和溶洞等排放废水。鼓励将矿坑水优先作为生产用水和辅助水源利用。在干旱缺水地区，鼓励将外排矿坑水处理达标后用于农林灌溉，生活污水处理达标后尽量综合利用，边远矿区的生活污水排放和综合利用可参照《农村生活污水处理排放标准》（DB65/4275）要求管控。</w:t>
                  </w:r>
                </w:p>
              </w:tc>
              <w:tc>
                <w:tcPr>
                  <w:tcW w:w="1508" w:type="pct"/>
                  <w:vAlign w:val="center"/>
                </w:tcPr>
                <w:p w14:paraId="1CE27F4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本项目生产过程中</w:t>
                  </w:r>
                  <w:r>
                    <w:rPr>
                      <w:rFonts w:hint="eastAsia" w:cstheme="minorBidi"/>
                      <w:b w:val="0"/>
                      <w:bCs/>
                      <w:kern w:val="44"/>
                      <w:sz w:val="21"/>
                      <w:szCs w:val="24"/>
                      <w:lang w:val="en-US" w:eastAsia="zh-CN" w:bidi="ar-SA"/>
                    </w:rPr>
                    <w:t>洗砂</w:t>
                  </w:r>
                  <w:r>
                    <w:rPr>
                      <w:rFonts w:hint="eastAsia" w:ascii="Times New Roman" w:hAnsi="Times New Roman" w:eastAsia="宋体" w:cstheme="minorBidi"/>
                      <w:b w:val="0"/>
                      <w:bCs/>
                      <w:kern w:val="44"/>
                      <w:sz w:val="21"/>
                      <w:szCs w:val="24"/>
                      <w:lang w:val="en-US" w:eastAsia="zh-CN" w:bidi="ar-SA"/>
                    </w:rPr>
                    <w:t>废水</w:t>
                  </w:r>
                  <w:r>
                    <w:rPr>
                      <w:rFonts w:hint="eastAsia" w:cstheme="minorBidi"/>
                      <w:b w:val="0"/>
                      <w:bCs/>
                      <w:kern w:val="44"/>
                      <w:sz w:val="21"/>
                      <w:szCs w:val="24"/>
                      <w:lang w:val="en-US" w:eastAsia="zh-CN" w:bidi="ar-SA"/>
                    </w:rPr>
                    <w:t>回用生产，不外排。食堂废水经隔油处理后与其他生活污水经地埋式一体化污水处理设施处理后用于场地洒水抑尘。执行《农村生活污水处理排放标准》（DB65/4275―2019）表2中B级标准要求及《城市污水再生利用 城市杂用水水质》（GB/T18920-2020）中城市绿化、道路清扫、消防、建筑施工要求</w:t>
                  </w:r>
                </w:p>
              </w:tc>
              <w:tc>
                <w:tcPr>
                  <w:tcW w:w="763" w:type="pct"/>
                  <w:vAlign w:val="center"/>
                </w:tcPr>
                <w:p w14:paraId="158C9FE0">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239B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2CF37B47">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4</w:t>
                  </w:r>
                </w:p>
              </w:tc>
              <w:tc>
                <w:tcPr>
                  <w:tcW w:w="2386" w:type="pct"/>
                  <w:vAlign w:val="center"/>
                </w:tcPr>
                <w:p w14:paraId="56723BB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噪声排放执行《工业企业厂界环境噪声排放标准》(GB12348)。</w:t>
                  </w:r>
                </w:p>
              </w:tc>
              <w:tc>
                <w:tcPr>
                  <w:tcW w:w="1508" w:type="pct"/>
                  <w:vAlign w:val="center"/>
                </w:tcPr>
                <w:p w14:paraId="308DDD94">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本项目厂界噪声均可满足《工业企业厂界环境噪声排放标准》(GB12348)2类标准要求。</w:t>
                  </w:r>
                </w:p>
              </w:tc>
              <w:tc>
                <w:tcPr>
                  <w:tcW w:w="763" w:type="pct"/>
                  <w:vAlign w:val="center"/>
                </w:tcPr>
                <w:p w14:paraId="3CEA8C6F">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08EC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6E14D09F">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5</w:t>
                  </w:r>
                </w:p>
              </w:tc>
              <w:tc>
                <w:tcPr>
                  <w:tcW w:w="2386" w:type="pct"/>
                  <w:vAlign w:val="center"/>
                </w:tcPr>
                <w:p w14:paraId="3B883905">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应对采矿废石等固体废物采取回填、筑路、制作建筑材料等方式资源综合利用，提高综合利用率。无法利用的必须使用专用场所堆放，并采取有效措施防止二次环境污染及诱发次生地质灾害，固体废物处置率100%。废石堆场按《一般工业固体废物贮存和填埋污染控制标准》(GB18599)要求建设。生活垃圾实现100%无害化处置。</w:t>
                  </w:r>
                </w:p>
              </w:tc>
              <w:tc>
                <w:tcPr>
                  <w:tcW w:w="1508" w:type="pct"/>
                  <w:vAlign w:val="center"/>
                </w:tcPr>
                <w:p w14:paraId="4FD74AE9">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本项目废砂石待闭矿期用于采坑回填；生活垃圾收集后统一交由环卫部门处置；废机油按要求在矿区收集、暂存后交由有资质的单位处理处置。</w:t>
                  </w:r>
                  <w:r>
                    <w:rPr>
                      <w:rFonts w:hint="eastAsia" w:cstheme="minorBidi"/>
                      <w:b w:val="0"/>
                      <w:bCs/>
                      <w:kern w:val="44"/>
                      <w:sz w:val="21"/>
                      <w:szCs w:val="24"/>
                      <w:lang w:val="en-US" w:eastAsia="zh-CN" w:bidi="ar-SA"/>
                    </w:rPr>
                    <w:t>固体废物处理</w:t>
                  </w:r>
                  <w:r>
                    <w:rPr>
                      <w:rFonts w:hint="eastAsia" w:ascii="Times New Roman" w:hAnsi="Times New Roman" w:eastAsia="宋体" w:cstheme="minorBidi"/>
                      <w:b w:val="0"/>
                      <w:bCs/>
                      <w:kern w:val="44"/>
                      <w:sz w:val="21"/>
                      <w:szCs w:val="24"/>
                      <w:lang w:val="en-US" w:eastAsia="zh-CN" w:bidi="ar-SA"/>
                    </w:rPr>
                    <w:t>率100%</w:t>
                  </w:r>
                  <w:r>
                    <w:rPr>
                      <w:rFonts w:hint="eastAsia" w:cstheme="minorBidi"/>
                      <w:b w:val="0"/>
                      <w:bCs/>
                      <w:kern w:val="44"/>
                      <w:sz w:val="21"/>
                      <w:szCs w:val="24"/>
                      <w:lang w:val="en-US" w:eastAsia="zh-CN" w:bidi="ar-SA"/>
                    </w:rPr>
                    <w:t>。</w:t>
                  </w:r>
                </w:p>
              </w:tc>
              <w:tc>
                <w:tcPr>
                  <w:tcW w:w="763" w:type="pct"/>
                  <w:vAlign w:val="center"/>
                </w:tcPr>
                <w:p w14:paraId="43416516">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r w14:paraId="013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 w:type="pct"/>
                  <w:vAlign w:val="center"/>
                </w:tcPr>
                <w:p w14:paraId="59D06DEC">
                  <w:pPr>
                    <w:spacing w:line="240" w:lineRule="auto"/>
                    <w:ind w:firstLine="0" w:firstLineChars="0"/>
                    <w:jc w:val="center"/>
                    <w:rPr>
                      <w:rFonts w:hint="default" w:cstheme="minorBidi"/>
                      <w:b w:val="0"/>
                      <w:bCs/>
                      <w:kern w:val="44"/>
                      <w:sz w:val="21"/>
                      <w:szCs w:val="24"/>
                      <w:lang w:val="en-US" w:eastAsia="zh-CN" w:bidi="ar-SA"/>
                    </w:rPr>
                  </w:pPr>
                  <w:r>
                    <w:rPr>
                      <w:rFonts w:hint="eastAsia" w:cstheme="minorBidi"/>
                      <w:b w:val="0"/>
                      <w:bCs/>
                      <w:kern w:val="44"/>
                      <w:sz w:val="21"/>
                      <w:szCs w:val="24"/>
                      <w:lang w:val="en-US" w:eastAsia="zh-CN" w:bidi="ar-SA"/>
                    </w:rPr>
                    <w:t>6</w:t>
                  </w:r>
                </w:p>
              </w:tc>
              <w:tc>
                <w:tcPr>
                  <w:tcW w:w="2386" w:type="pct"/>
                  <w:vAlign w:val="center"/>
                </w:tcPr>
                <w:p w14:paraId="49A6C86B">
                  <w:pPr>
                    <w:spacing w:line="240" w:lineRule="auto"/>
                    <w:ind w:firstLine="0" w:firstLineChars="0"/>
                    <w:jc w:val="center"/>
                    <w:rPr>
                      <w:rFonts w:hint="eastAsia" w:ascii="Times New Roman" w:hAnsi="Times New Roman" w:eastAsia="宋体" w:cstheme="minorBidi"/>
                      <w:b w:val="0"/>
                      <w:bCs/>
                      <w:kern w:val="44"/>
                      <w:sz w:val="21"/>
                      <w:szCs w:val="24"/>
                      <w:lang w:val="en-US" w:eastAsia="zh-CN" w:bidi="ar-SA"/>
                    </w:rPr>
                  </w:pPr>
                  <w:r>
                    <w:rPr>
                      <w:rFonts w:hint="eastAsia" w:ascii="Times New Roman" w:hAnsi="Times New Roman" w:eastAsia="宋体" w:cstheme="minorBidi"/>
                      <w:b w:val="0"/>
                      <w:bCs/>
                      <w:kern w:val="44"/>
                      <w:sz w:val="21"/>
                      <w:szCs w:val="24"/>
                      <w:lang w:val="en-US" w:eastAsia="zh-CN" w:bidi="ar-SA"/>
                    </w:rPr>
                    <w:t>新建、改（扩）建矿山应在矿山开采前完成《矿山生态环境保护与恢复治理方案》编制工作。位于荒漠和风沙区的矿产资源开发应尽可能避开易发生风蚀和生态退化地带；排土场、料场等场地应采取围挡和覆盖等防风蚀措施。水蚀敏感区矿产资源开发应科学设置露天采场、排土场及料场，并采取边坡防护、工程拦挡等水土保持措施。矿山生产过程中应采取复垦措施，对露天坑、废石场等永久性坡面进行稳定化处理，防止水土流失和滑坡。历史遗留矿山开采破坏土地复垦率达到45%以上，新建矿山应做到边开采、边复垦，破坏土地复垦率达到85%以上。</w:t>
                  </w:r>
                </w:p>
              </w:tc>
              <w:tc>
                <w:tcPr>
                  <w:tcW w:w="1508" w:type="pct"/>
                  <w:vAlign w:val="center"/>
                </w:tcPr>
                <w:p w14:paraId="64F5B551">
                  <w:pPr>
                    <w:spacing w:line="240" w:lineRule="auto"/>
                    <w:ind w:firstLine="0" w:firstLineChars="0"/>
                    <w:jc w:val="center"/>
                    <w:rPr>
                      <w:rFonts w:hint="default" w:ascii="Times New Roman" w:hAnsi="Times New Roman" w:eastAsia="宋体" w:cstheme="minorBidi"/>
                      <w:b w:val="0"/>
                      <w:bCs/>
                      <w:kern w:val="44"/>
                      <w:sz w:val="21"/>
                      <w:szCs w:val="24"/>
                      <w:lang w:val="en-US" w:eastAsia="zh-CN" w:bidi="ar-SA"/>
                    </w:rPr>
                  </w:pPr>
                  <w:r>
                    <w:rPr>
                      <w:rFonts w:hint="default" w:ascii="Times New Roman" w:hAnsi="Times New Roman" w:eastAsia="宋体" w:cstheme="minorBidi"/>
                      <w:b w:val="0"/>
                      <w:bCs/>
                      <w:kern w:val="44"/>
                      <w:sz w:val="21"/>
                      <w:szCs w:val="24"/>
                      <w:lang w:val="en-US" w:eastAsia="zh-CN" w:bidi="ar-SA"/>
                    </w:rPr>
                    <w:t>本项目已编制《矿产资源开发利用与生态保护修复方案》，堆料场采取围挡和遮盖的措施，防止水土流失。</w:t>
                  </w:r>
                </w:p>
              </w:tc>
              <w:tc>
                <w:tcPr>
                  <w:tcW w:w="763" w:type="pct"/>
                  <w:vAlign w:val="center"/>
                </w:tcPr>
                <w:p w14:paraId="33C3A521">
                  <w:pPr>
                    <w:spacing w:line="240" w:lineRule="auto"/>
                    <w:ind w:firstLine="0" w:firstLineChars="0"/>
                    <w:jc w:val="center"/>
                    <w:rPr>
                      <w:rFonts w:hint="eastAsia" w:cstheme="minorBidi"/>
                      <w:b w:val="0"/>
                      <w:bCs/>
                      <w:kern w:val="44"/>
                      <w:sz w:val="21"/>
                      <w:szCs w:val="24"/>
                      <w:lang w:val="en-US" w:eastAsia="zh-CN" w:bidi="ar-SA"/>
                    </w:rPr>
                  </w:pPr>
                  <w:r>
                    <w:rPr>
                      <w:rFonts w:hint="eastAsia" w:cstheme="minorBidi"/>
                      <w:b w:val="0"/>
                      <w:bCs/>
                      <w:kern w:val="44"/>
                      <w:sz w:val="21"/>
                      <w:szCs w:val="24"/>
                      <w:lang w:val="en-US" w:eastAsia="zh-CN" w:bidi="ar-SA"/>
                    </w:rPr>
                    <w:t>符合</w:t>
                  </w:r>
                </w:p>
              </w:tc>
            </w:tr>
          </w:tbl>
          <w:p w14:paraId="4E8F13A8">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8</w:t>
            </w:r>
            <w:r>
              <w:rPr>
                <w:rFonts w:hint="default" w:ascii="Times New Roman" w:hAnsi="Times New Roman" w:eastAsia="宋体" w:cstheme="minorBidi"/>
                <w:b/>
                <w:bCs w:val="0"/>
                <w:kern w:val="2"/>
                <w:sz w:val="24"/>
                <w:szCs w:val="24"/>
                <w:lang w:val="en-US" w:eastAsia="zh-CN" w:bidi="ar-SA"/>
              </w:rPr>
              <w:t>、与《新疆维吾尔自治区昌吉回族自治州矿产资源总体规划（2021-2025年）》符合性分析</w:t>
            </w:r>
          </w:p>
          <w:p w14:paraId="11BC54FC">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文件中要求：“坚持绿色矿山建设原则、坚持‘制度落实，方案先行，预防与控制相结合’、‘谁破坏，谁复垦’、‘边开采，边恢复’的原则；采用合理的采矿方法和开采工艺，坚持‘源头控制，绿色作业’、‘加强对被破坏矿山地质环境及废弃土地的调查评价和监管’的原则”。</w:t>
            </w:r>
          </w:p>
          <w:p w14:paraId="6729711D">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本项目开采前优先进行环境影响评价，设计相关环保措施，完成绿色矿山建设，开采过程采取“边开采，边治理”、“谁破坏，谁复垦”的措施、深化矿产资源管理改革，增强矿业发展活力动力。开采完成后，落实复垦义务，符合文件要求。</w:t>
            </w:r>
          </w:p>
          <w:p w14:paraId="140DFE10">
            <w:pPr>
              <w:pStyle w:val="14"/>
              <w:numPr>
                <w:ilvl w:val="0"/>
                <w:numId w:val="0"/>
              </w:numPr>
              <w:ind w:firstLine="482" w:firstLineChars="200"/>
              <w:rPr>
                <w:rFonts w:hint="default" w:ascii="Times New Roman" w:hAnsi="Times New Roman" w:eastAsia="宋体" w:cstheme="minorBidi"/>
                <w:b/>
                <w:bCs w:val="0"/>
                <w:kern w:val="2"/>
                <w:sz w:val="24"/>
                <w:szCs w:val="24"/>
                <w:lang w:val="en-US" w:eastAsia="zh-CN" w:bidi="ar-SA"/>
              </w:rPr>
            </w:pPr>
            <w:r>
              <w:rPr>
                <w:rFonts w:hint="eastAsia" w:cstheme="minorBidi"/>
                <w:b/>
                <w:bCs w:val="0"/>
                <w:kern w:val="2"/>
                <w:sz w:val="24"/>
                <w:szCs w:val="24"/>
                <w:lang w:val="en-US" w:eastAsia="zh-CN" w:bidi="ar-SA"/>
              </w:rPr>
              <w:t>9</w:t>
            </w:r>
            <w:r>
              <w:rPr>
                <w:rFonts w:hint="default" w:ascii="Times New Roman" w:hAnsi="Times New Roman" w:eastAsia="宋体" w:cstheme="minorBidi"/>
                <w:b/>
                <w:bCs w:val="0"/>
                <w:kern w:val="2"/>
                <w:sz w:val="24"/>
                <w:szCs w:val="24"/>
                <w:lang w:val="en-US" w:eastAsia="zh-CN" w:bidi="ar-SA"/>
              </w:rPr>
              <w:t>、与《吉木萨尔县矿产资源总体规划（2021-2025）》符合性分析</w:t>
            </w:r>
          </w:p>
          <w:p w14:paraId="0C6DDE61">
            <w:pPr>
              <w:pStyle w:val="14"/>
              <w:numPr>
                <w:ilvl w:val="0"/>
                <w:numId w:val="0"/>
              </w:numPr>
              <w:ind w:firstLine="480" w:firstLineChars="200"/>
              <w:rPr>
                <w:rFonts w:hint="default" w:ascii="Times New Roman" w:hAnsi="Times New Roman" w:eastAsia="宋体" w:cstheme="minorBidi"/>
                <w:bCs/>
                <w:kern w:val="2"/>
                <w:sz w:val="24"/>
                <w:szCs w:val="24"/>
                <w:lang w:val="en-US" w:eastAsia="zh-CN" w:bidi="ar-SA"/>
              </w:rPr>
            </w:pPr>
            <w:r>
              <w:rPr>
                <w:rFonts w:hint="default" w:ascii="Times New Roman" w:hAnsi="Times New Roman" w:eastAsia="宋体" w:cstheme="minorBidi"/>
                <w:bCs/>
                <w:kern w:val="2"/>
                <w:sz w:val="24"/>
                <w:szCs w:val="24"/>
                <w:lang w:val="en-US" w:eastAsia="zh-CN" w:bidi="ar-SA"/>
              </w:rPr>
              <w:t>文件中要求：“坚持绿色转型与管理改革相互促进，生产矿山主体责任进一步落实，做到‘边开采，边恢复’。”“严禁‘三高’项目进吉木萨尔，严格执行能源、矿产资源开发审批制度，以绿色发展理念推进生态文明建设”。本项目属于砂石料开采项目，不属于‘三高’项目，目前已编制开发利用方案，并通过专家评审。开采过程采取“边开采、边治理”措施，认真落实各项污染防护措施。开采完成后，落实复垦义务。可以实现实现开采方式科学化、资源利用高效化、企业管理规范化、生产工艺环保化、矿山环境生态化、矿山社区和谐化，符合文件要求。</w:t>
            </w:r>
          </w:p>
          <w:p w14:paraId="76A75885">
            <w:pPr>
              <w:pStyle w:val="14"/>
              <w:rPr>
                <w:b/>
                <w:bCs/>
                <w:sz w:val="24"/>
                <w:szCs w:val="24"/>
              </w:rPr>
            </w:pPr>
            <w:r>
              <w:rPr>
                <w:rFonts w:hint="eastAsia"/>
                <w:b/>
                <w:bCs/>
                <w:sz w:val="24"/>
                <w:szCs w:val="24"/>
                <w:lang w:val="en-US" w:eastAsia="zh-CN"/>
              </w:rPr>
              <w:t>10</w:t>
            </w:r>
            <w:r>
              <w:rPr>
                <w:rFonts w:hint="eastAsia"/>
                <w:b/>
                <w:bCs/>
                <w:sz w:val="24"/>
                <w:szCs w:val="24"/>
              </w:rPr>
              <w:t>、产业符合性分析</w:t>
            </w:r>
          </w:p>
          <w:p w14:paraId="152E322D">
            <w:pPr>
              <w:ind w:firstLine="480"/>
              <w:rPr>
                <w:rFonts w:hint="eastAsia" w:ascii="Times New Roman" w:hAnsi="Times New Roman" w:eastAsia="宋体" w:cstheme="minorBidi"/>
                <w:bCs/>
                <w:kern w:val="2"/>
                <w:sz w:val="24"/>
                <w:szCs w:val="24"/>
                <w:lang w:val="en-US" w:eastAsia="zh-CN" w:bidi="ar-SA"/>
              </w:rPr>
            </w:pPr>
            <w:r>
              <w:rPr>
                <w:rFonts w:hint="eastAsia" w:ascii="Times New Roman" w:hAnsi="Times New Roman" w:eastAsia="宋体" w:cstheme="minorBidi"/>
                <w:bCs/>
                <w:kern w:val="2"/>
                <w:sz w:val="24"/>
                <w:szCs w:val="24"/>
                <w:lang w:val="en-US" w:eastAsia="zh-CN" w:bidi="ar-SA"/>
              </w:rPr>
              <w:t>根据中华人民共和国国家发展和改革委员会令第7号《产业结构调整指导目录（2024年）》中的规定，本项目</w:t>
            </w:r>
            <w:r>
              <w:rPr>
                <w:rFonts w:hint="eastAsia" w:cstheme="minorBidi"/>
                <w:bCs/>
                <w:kern w:val="2"/>
                <w:sz w:val="24"/>
                <w:szCs w:val="24"/>
                <w:lang w:val="en-US" w:eastAsia="zh-CN" w:bidi="ar-SA"/>
              </w:rPr>
              <w:t>不属于鼓励类、限制类和淘汰类，为允许类。</w:t>
            </w:r>
            <w:r>
              <w:rPr>
                <w:rFonts w:hint="eastAsia" w:ascii="Times New Roman" w:hAnsi="Times New Roman" w:eastAsia="宋体" w:cstheme="minorBidi"/>
                <w:bCs/>
                <w:kern w:val="2"/>
                <w:sz w:val="24"/>
                <w:szCs w:val="24"/>
                <w:lang w:val="en-US" w:eastAsia="zh-CN" w:bidi="ar-SA"/>
              </w:rPr>
              <w:t>因此，项目建设符合国家相关产业政策的要求。</w:t>
            </w:r>
          </w:p>
          <w:p w14:paraId="411F08F0">
            <w:pPr>
              <w:ind w:firstLine="480"/>
              <w:rPr>
                <w:rFonts w:hint="eastAsia" w:ascii="Times New Roman" w:hAnsi="Times New Roman" w:eastAsia="宋体" w:cstheme="minorBidi"/>
                <w:bCs/>
                <w:kern w:val="2"/>
                <w:sz w:val="24"/>
                <w:szCs w:val="24"/>
                <w:lang w:val="en-US" w:eastAsia="zh-CN" w:bidi="ar-SA"/>
              </w:rPr>
            </w:pPr>
          </w:p>
        </w:tc>
      </w:tr>
    </w:tbl>
    <w:p w14:paraId="1E1F3BEF">
      <w:r>
        <w:br w:type="page"/>
      </w:r>
    </w:p>
    <w:p w14:paraId="1F2C5D8E">
      <w:pPr>
        <w:pStyle w:val="2"/>
        <w:numPr>
          <w:ilvl w:val="0"/>
          <w:numId w:val="0"/>
        </w:numPr>
        <w:jc w:val="center"/>
      </w:pPr>
      <w:r>
        <w:rPr>
          <w:rFonts w:hint="eastAsia" w:ascii="Times New Roman" w:hAnsi="Times New Roman" w:eastAsia="宋体" w:cstheme="minorBidi"/>
          <w:b/>
          <w:kern w:val="44"/>
          <w:sz w:val="30"/>
          <w:szCs w:val="24"/>
          <w:lang w:val="en-US" w:eastAsia="zh-CN" w:bidi="ar-SA"/>
        </w:rPr>
        <w:t>二、</w:t>
      </w:r>
      <w:r>
        <w:rPr>
          <w:rFonts w:hint="eastAsia"/>
        </w:rPr>
        <w:t>建设内容</w:t>
      </w:r>
    </w:p>
    <w:tbl>
      <w:tblPr>
        <w:tblStyle w:val="22"/>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88"/>
      </w:tblGrid>
      <w:tr w14:paraId="54BB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81" w:type="dxa"/>
            <w:vAlign w:val="center"/>
          </w:tcPr>
          <w:p w14:paraId="7CF66282">
            <w:pPr>
              <w:pStyle w:val="28"/>
              <w:rPr>
                <w:rFonts w:hint="default"/>
              </w:rPr>
            </w:pPr>
            <w:r>
              <w:t>地理位置</w:t>
            </w:r>
          </w:p>
        </w:tc>
        <w:tc>
          <w:tcPr>
            <w:tcW w:w="8059" w:type="dxa"/>
            <w:vAlign w:val="center"/>
          </w:tcPr>
          <w:p w14:paraId="77D5CDFF">
            <w:pP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吉木萨尔县位于天山山脉东段北麓，准尔盆地东南缘，地处东径88°30'-89°30'，北纬43°30-45°30'之间，东同奇台县为邻，西与阜康市接壤，北越卡拉麦里山和富蕴相连，南以博格达山分水岭同吐鲁番市、乌鲁木齐县为界县城西距自治区首府乌鲁木齐市165km，距昌吉回族自治州首府昌吉市200km，东离哈密市550km。项目区位于吉木萨尔县城西北方向287°，直距约32km处，行政区划属吉木萨尔县三台镇管辖。矿区中心地理坐标为：东经88°47′18.62″，北纬44°05′05.05″。自吉木萨尔县城出发沿303省道向西行驶33km，再沿矿区简易道路向北行驶0.5km即可到达矿区，交通运输距离34km，矿区交通较为方便。</w:t>
            </w:r>
          </w:p>
          <w:p w14:paraId="2BBBBB84">
            <w:pPr>
              <w:ind w:left="0" w:leftChars="0" w:firstLine="0" w:firstLineChars="0"/>
              <w:jc w:val="center"/>
              <w:rPr>
                <w:rFonts w:hint="default"/>
                <w:lang w:val="en-US"/>
              </w:rPr>
            </w:pPr>
            <w:r>
              <w:rPr>
                <w:b/>
                <w:bCs/>
              </w:rPr>
              <w:drawing>
                <wp:anchor distT="0" distB="0" distL="114300" distR="114300" simplePos="0" relativeHeight="251663360" behindDoc="0" locked="0" layoutInCell="1" allowOverlap="1">
                  <wp:simplePos x="0" y="0"/>
                  <wp:positionH relativeFrom="column">
                    <wp:posOffset>149860</wp:posOffset>
                  </wp:positionH>
                  <wp:positionV relativeFrom="paragraph">
                    <wp:posOffset>30480</wp:posOffset>
                  </wp:positionV>
                  <wp:extent cx="4907280" cy="4648200"/>
                  <wp:effectExtent l="0" t="0" r="0" b="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1"/>
                          <a:stretch>
                            <a:fillRect/>
                          </a:stretch>
                        </pic:blipFill>
                        <pic:spPr>
                          <a:xfrm>
                            <a:off x="0" y="0"/>
                            <a:ext cx="4907280" cy="4648200"/>
                          </a:xfrm>
                          <a:prstGeom prst="rect">
                            <a:avLst/>
                          </a:prstGeom>
                          <a:noFill/>
                          <a:ln>
                            <a:noFill/>
                          </a:ln>
                        </pic:spPr>
                      </pic:pic>
                    </a:graphicData>
                  </a:graphic>
                </wp:anchor>
              </w:drawing>
            </w:r>
            <w:r>
              <w:rPr>
                <w:rFonts w:hint="eastAsia"/>
                <w:b/>
                <w:bCs/>
                <w:lang w:eastAsia="zh-CN"/>
              </w:rPr>
              <w:t>图</w:t>
            </w:r>
            <w:r>
              <w:rPr>
                <w:rFonts w:hint="eastAsia"/>
                <w:b/>
                <w:bCs/>
                <w:lang w:val="en-US" w:eastAsia="zh-CN"/>
              </w:rPr>
              <w:t>2-1 地理位置图</w:t>
            </w:r>
          </w:p>
        </w:tc>
      </w:tr>
      <w:tr w14:paraId="5268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1" w:type="dxa"/>
            <w:vAlign w:val="center"/>
          </w:tcPr>
          <w:p w14:paraId="023A3405">
            <w:pPr>
              <w:ind w:firstLine="0" w:firstLineChars="0"/>
              <w:jc w:val="center"/>
            </w:pPr>
            <w:r>
              <w:rPr>
                <w:rFonts w:hint="eastAsia"/>
              </w:rPr>
              <w:t>项目组成及规模</w:t>
            </w:r>
          </w:p>
        </w:tc>
        <w:tc>
          <w:tcPr>
            <w:tcW w:w="8059" w:type="dxa"/>
            <w:vAlign w:val="center"/>
          </w:tcPr>
          <w:p w14:paraId="011BAD27">
            <w:pPr>
              <w:pStyle w:val="3"/>
              <w:numPr>
                <w:ilvl w:val="0"/>
                <w:numId w:val="0"/>
              </w:numPr>
              <w:spacing w:before="156" w:after="156"/>
              <w:outlineLvl w:val="1"/>
            </w:pPr>
            <w:r>
              <w:rPr>
                <w:rFonts w:hint="default" w:ascii="宋体" w:hAnsi="宋体" w:eastAsia="宋体" w:cs="宋体"/>
                <w:b/>
                <w:kern w:val="2"/>
                <w:sz w:val="24"/>
                <w:szCs w:val="24"/>
                <w:lang w:val="en-US" w:eastAsia="zh-CN" w:bidi="ar-SA"/>
              </w:rPr>
              <w:t>1.</w:t>
            </w:r>
            <w:r>
              <w:rPr>
                <w:rFonts w:hint="eastAsia"/>
              </w:rPr>
              <w:t>主要建设内容</w:t>
            </w:r>
          </w:p>
          <w:p w14:paraId="7B94D141">
            <w:pPr>
              <w:bidi w:val="0"/>
              <w:rPr>
                <w:rFonts w:hint="eastAsia"/>
                <w:lang w:val="en-US" w:eastAsia="zh-CN"/>
              </w:rPr>
            </w:pPr>
            <w:r>
              <w:rPr>
                <w:rFonts w:hint="eastAsia"/>
                <w:lang w:val="en-US" w:eastAsia="zh-CN"/>
              </w:rPr>
              <w:t>2016年建设内容主要包括一条砂石料生产线，办公室、宿舍及其它配套设施。现因原矿区东西宽69米，南北长500米，矿原有矿权已到期。为此采矿权人特申请扩大矿区范围以满足正常开采。原有生产设施因已不满足环保要求，全部进行新建。</w:t>
            </w:r>
          </w:p>
          <w:p w14:paraId="1EB0621E">
            <w:pPr>
              <w:bidi w:val="0"/>
            </w:pPr>
            <w:r>
              <w:rPr>
                <w:rFonts w:hint="eastAsia"/>
                <w:lang w:val="en-US" w:eastAsia="zh-CN"/>
              </w:rPr>
              <w:t>2023年8月昌吉州公共资源交易中心受吉木萨尔县自然资源局的委托，吉木萨尔县三台镇创业砂石料厂采矿权变更矿区范围(新增资源量)公开挂牌出让于2023年9月13日至9月26日在昌吉州公共资源交易网挂牌出让，最终确定吉木萨尔县三台镇创业砂石料厂竞得该采矿权。</w:t>
            </w:r>
            <w:r>
              <w:rPr>
                <w:lang w:val="en-US" w:eastAsia="zh-CN"/>
              </w:rPr>
              <w:t>该矿属中型建筑用砂矿，根据吉木萨尔县出让方案及该矿矿权评估和挂牌出让文件要求，确定矿山建设规模为</w:t>
            </w:r>
            <w:r>
              <w:rPr>
                <w:rFonts w:hint="default"/>
                <w:lang w:val="en-US" w:eastAsia="zh-CN"/>
              </w:rPr>
              <w:t>15</w:t>
            </w:r>
            <w:r>
              <w:rPr>
                <w:lang w:val="en-US" w:eastAsia="zh-CN"/>
              </w:rPr>
              <w:t>万</w:t>
            </w:r>
            <w:r>
              <w:rPr>
                <w:rFonts w:hint="default"/>
                <w:lang w:val="en-US" w:eastAsia="zh-CN"/>
              </w:rPr>
              <w:t>m</w:t>
            </w:r>
            <w:r>
              <w:rPr>
                <w:rFonts w:hint="default"/>
                <w:vertAlign w:val="superscript"/>
                <w:lang w:val="en-US" w:eastAsia="zh-CN"/>
              </w:rPr>
              <w:t>3</w:t>
            </w:r>
            <w:r>
              <w:rPr>
                <w:rFonts w:hint="default"/>
                <w:lang w:val="en-US" w:eastAsia="zh-CN"/>
              </w:rPr>
              <w:t>/</w:t>
            </w:r>
            <w:r>
              <w:rPr>
                <w:lang w:val="en-US" w:eastAsia="zh-CN"/>
              </w:rPr>
              <w:t>年。每年工作</w:t>
            </w:r>
            <w:r>
              <w:rPr>
                <w:rFonts w:hint="default"/>
                <w:lang w:val="en-US" w:eastAsia="zh-CN"/>
              </w:rPr>
              <w:t>210</w:t>
            </w:r>
            <w:r>
              <w:rPr>
                <w:lang w:val="en-US" w:eastAsia="zh-CN"/>
              </w:rPr>
              <w:t>天，平均每天开采砂石料产品约</w:t>
            </w:r>
            <w:r>
              <w:rPr>
                <w:rFonts w:hint="default"/>
                <w:lang w:val="en-US" w:eastAsia="zh-CN"/>
              </w:rPr>
              <w:t>714m</w:t>
            </w:r>
            <w:r>
              <w:rPr>
                <w:rFonts w:hint="default"/>
                <w:vertAlign w:val="superscript"/>
                <w:lang w:val="en-US" w:eastAsia="zh-CN"/>
              </w:rPr>
              <w:t>3</w:t>
            </w:r>
            <w:r>
              <w:rPr>
                <w:lang w:val="en-US" w:eastAsia="zh-CN"/>
              </w:rPr>
              <w:t>。</w:t>
            </w:r>
          </w:p>
          <w:p w14:paraId="0FA40FC7">
            <w:pPr>
              <w:pStyle w:val="26"/>
              <w:spacing w:before="156"/>
              <w:rPr>
                <w:b/>
                <w:bCs/>
                <w:sz w:val="24"/>
                <w:szCs w:val="24"/>
              </w:rPr>
            </w:pPr>
            <w:r>
              <w:rPr>
                <w:rFonts w:hint="eastAsia"/>
                <w:b/>
                <w:bCs/>
                <w:sz w:val="24"/>
                <w:szCs w:val="24"/>
              </w:rPr>
              <w:t>表2-1 建设项目主要工程一览表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176"/>
              <w:gridCol w:w="1388"/>
              <w:gridCol w:w="3739"/>
              <w:gridCol w:w="1009"/>
            </w:tblGrid>
            <w:tr w14:paraId="55892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Align w:val="center"/>
                </w:tcPr>
                <w:p w14:paraId="0A410ED2">
                  <w:pPr>
                    <w:pStyle w:val="28"/>
                    <w:rPr>
                      <w:rFonts w:hint="default"/>
                      <w:b/>
                      <w:bCs/>
                      <w:sz w:val="21"/>
                      <w:szCs w:val="21"/>
                    </w:rPr>
                  </w:pPr>
                  <w:r>
                    <w:rPr>
                      <w:b/>
                      <w:bCs/>
                      <w:sz w:val="21"/>
                      <w:szCs w:val="21"/>
                    </w:rPr>
                    <w:t>序号</w:t>
                  </w:r>
                </w:p>
              </w:tc>
              <w:tc>
                <w:tcPr>
                  <w:tcW w:w="748" w:type="pct"/>
                  <w:vAlign w:val="center"/>
                </w:tcPr>
                <w:p w14:paraId="68F989E9">
                  <w:pPr>
                    <w:pStyle w:val="28"/>
                    <w:rPr>
                      <w:rFonts w:hint="default"/>
                      <w:b/>
                      <w:bCs/>
                      <w:sz w:val="21"/>
                      <w:szCs w:val="21"/>
                    </w:rPr>
                  </w:pPr>
                  <w:r>
                    <w:rPr>
                      <w:b/>
                      <w:bCs/>
                      <w:sz w:val="21"/>
                      <w:szCs w:val="21"/>
                    </w:rPr>
                    <w:t>项目类别</w:t>
                  </w:r>
                </w:p>
              </w:tc>
              <w:tc>
                <w:tcPr>
                  <w:tcW w:w="883" w:type="pct"/>
                  <w:vAlign w:val="center"/>
                </w:tcPr>
                <w:p w14:paraId="56B34EA6">
                  <w:pPr>
                    <w:pStyle w:val="28"/>
                    <w:rPr>
                      <w:rFonts w:hint="default"/>
                      <w:b/>
                      <w:bCs/>
                      <w:sz w:val="21"/>
                      <w:szCs w:val="21"/>
                    </w:rPr>
                  </w:pPr>
                  <w:r>
                    <w:rPr>
                      <w:b/>
                      <w:bCs/>
                      <w:sz w:val="21"/>
                      <w:szCs w:val="21"/>
                    </w:rPr>
                    <w:t>工程名称</w:t>
                  </w:r>
                </w:p>
              </w:tc>
              <w:tc>
                <w:tcPr>
                  <w:tcW w:w="2378" w:type="pct"/>
                  <w:vAlign w:val="center"/>
                </w:tcPr>
                <w:p w14:paraId="35772C8A">
                  <w:pPr>
                    <w:pStyle w:val="28"/>
                    <w:rPr>
                      <w:rFonts w:hint="default"/>
                      <w:b/>
                      <w:bCs/>
                      <w:sz w:val="21"/>
                      <w:szCs w:val="21"/>
                    </w:rPr>
                  </w:pPr>
                  <w:r>
                    <w:rPr>
                      <w:b/>
                      <w:bCs/>
                      <w:sz w:val="21"/>
                      <w:szCs w:val="21"/>
                    </w:rPr>
                    <w:t>工程内容</w:t>
                  </w:r>
                </w:p>
              </w:tc>
              <w:tc>
                <w:tcPr>
                  <w:tcW w:w="641" w:type="pct"/>
                  <w:vAlign w:val="center"/>
                </w:tcPr>
                <w:p w14:paraId="221640C7">
                  <w:pPr>
                    <w:pStyle w:val="28"/>
                    <w:rPr>
                      <w:rFonts w:hint="default"/>
                      <w:b/>
                      <w:bCs/>
                      <w:sz w:val="21"/>
                      <w:szCs w:val="21"/>
                    </w:rPr>
                  </w:pPr>
                  <w:r>
                    <w:rPr>
                      <w:b/>
                      <w:bCs/>
                      <w:sz w:val="21"/>
                      <w:szCs w:val="21"/>
                    </w:rPr>
                    <w:t>备注</w:t>
                  </w:r>
                </w:p>
              </w:tc>
            </w:tr>
            <w:tr w14:paraId="77A4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0B906090">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1</w:t>
                  </w:r>
                </w:p>
              </w:tc>
              <w:tc>
                <w:tcPr>
                  <w:tcW w:w="748" w:type="pct"/>
                  <w:vMerge w:val="restart"/>
                  <w:vAlign w:val="center"/>
                </w:tcPr>
                <w:p w14:paraId="1F639031">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主体工程</w:t>
                  </w:r>
                </w:p>
              </w:tc>
              <w:tc>
                <w:tcPr>
                  <w:tcW w:w="883" w:type="pct"/>
                  <w:vAlign w:val="center"/>
                </w:tcPr>
                <w:p w14:paraId="69BB4EEA">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露天采场</w:t>
                  </w:r>
                </w:p>
              </w:tc>
              <w:tc>
                <w:tcPr>
                  <w:tcW w:w="2378" w:type="pct"/>
                  <w:vAlign w:val="center"/>
                </w:tcPr>
                <w:p w14:paraId="27E4EB19">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规划总露天采场为矿区范围，面积19.6</w:t>
                  </w:r>
                  <w:r>
                    <w:rPr>
                      <w:rFonts w:hint="eastAsia" w:cstheme="minorBidi"/>
                      <w:b w:val="0"/>
                      <w:kern w:val="2"/>
                      <w:sz w:val="21"/>
                      <w:szCs w:val="24"/>
                      <w:lang w:val="en-US" w:eastAsia="zh-CN" w:bidi="ar-SA"/>
                    </w:rPr>
                    <w:t>h</w:t>
                  </w:r>
                  <w:r>
                    <w:rPr>
                      <w:rFonts w:hint="default" w:ascii="Times New Roman" w:hAnsi="Times New Roman" w:eastAsia="宋体" w:cstheme="minorBidi"/>
                      <w:b w:val="0"/>
                      <w:kern w:val="2"/>
                      <w:sz w:val="21"/>
                      <w:szCs w:val="24"/>
                      <w:lang w:val="en-US" w:eastAsia="zh-CN" w:bidi="ar-SA"/>
                    </w:rPr>
                    <w:t>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，采深15m</w:t>
                  </w:r>
                  <w:r>
                    <w:rPr>
                      <w:rFonts w:hint="eastAsia" w:cstheme="minorBidi"/>
                      <w:b w:val="0"/>
                      <w:kern w:val="2"/>
                      <w:sz w:val="21"/>
                      <w:szCs w:val="24"/>
                      <w:lang w:val="en-US" w:eastAsia="zh-CN" w:bidi="ar-SA"/>
                    </w:rPr>
                    <w:t>。</w:t>
                  </w:r>
                </w:p>
              </w:tc>
              <w:tc>
                <w:tcPr>
                  <w:tcW w:w="641" w:type="pct"/>
                  <w:vAlign w:val="center"/>
                </w:tcPr>
                <w:p w14:paraId="44C28589">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4EF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continue"/>
                  <w:vAlign w:val="center"/>
                </w:tcPr>
                <w:p w14:paraId="3057F561">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38AC6F77">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0FD2C5D8">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临时排土场</w:t>
                  </w:r>
                </w:p>
              </w:tc>
              <w:tc>
                <w:tcPr>
                  <w:tcW w:w="2378" w:type="pct"/>
                  <w:vAlign w:val="center"/>
                </w:tcPr>
                <w:p w14:paraId="506585EF">
                  <w:pPr>
                    <w:keepNext w:val="0"/>
                    <w:keepLines w:val="0"/>
                    <w:widowControl/>
                    <w:suppressLineNumbers w:val="0"/>
                    <w:spacing w:line="240" w:lineRule="auto"/>
                    <w:ind w:left="0" w:leftChars="0" w:firstLine="0" w:firstLineChars="0"/>
                    <w:jc w:val="left"/>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废石堆放在废石堆放区，后期用于采坑回填。排士场内平台设2%～5%的反坡，并在排土场平台上修筑排水沟，以拦截平台表面及坡面汇水</w:t>
                  </w:r>
                  <w:r>
                    <w:rPr>
                      <w:rFonts w:hint="eastAsia" w:ascii="Times New Roman" w:hAnsi="Times New Roman" w:eastAsia="宋体" w:cstheme="minorBidi"/>
                      <w:b w:val="0"/>
                      <w:kern w:val="2"/>
                      <w:sz w:val="21"/>
                      <w:szCs w:val="24"/>
                      <w:lang w:val="en-US" w:eastAsia="zh-CN" w:bidi="ar-SA"/>
                    </w:rPr>
                    <w:t>。</w:t>
                  </w:r>
                </w:p>
              </w:tc>
              <w:tc>
                <w:tcPr>
                  <w:tcW w:w="641" w:type="pct"/>
                  <w:vAlign w:val="center"/>
                </w:tcPr>
                <w:p w14:paraId="5756A61A">
                  <w:pPr>
                    <w:pStyle w:val="28"/>
                    <w:rPr>
                      <w:rFonts w:hint="default" w:ascii="Times New Roman" w:hAnsi="Times New Roman" w:eastAsia="宋体" w:cstheme="minorBidi"/>
                      <w:b w:val="0"/>
                      <w:kern w:val="2"/>
                      <w:sz w:val="21"/>
                      <w:szCs w:val="24"/>
                      <w:lang w:val="en-US" w:eastAsia="zh-CN" w:bidi="ar-SA"/>
                    </w:rPr>
                  </w:pPr>
                  <w:r>
                    <w:rPr>
                      <w:rFonts w:hint="eastAsia" w:ascii="Times New Roman" w:hAnsi="Times New Roman" w:eastAsia="宋体" w:cstheme="minorBidi"/>
                      <w:b w:val="0"/>
                      <w:kern w:val="2"/>
                      <w:sz w:val="21"/>
                      <w:szCs w:val="24"/>
                      <w:lang w:val="en-US" w:eastAsia="zh-CN" w:bidi="ar-SA"/>
                    </w:rPr>
                    <w:t>新建</w:t>
                  </w:r>
                </w:p>
              </w:tc>
            </w:tr>
            <w:tr w14:paraId="6150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1DB82BCF">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2</w:t>
                  </w:r>
                </w:p>
              </w:tc>
              <w:tc>
                <w:tcPr>
                  <w:tcW w:w="748" w:type="pct"/>
                  <w:vMerge w:val="restart"/>
                  <w:vAlign w:val="center"/>
                </w:tcPr>
                <w:p w14:paraId="66C12543">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储运工程</w:t>
                  </w:r>
                </w:p>
              </w:tc>
              <w:tc>
                <w:tcPr>
                  <w:tcW w:w="883" w:type="pct"/>
                  <w:vAlign w:val="center"/>
                </w:tcPr>
                <w:p w14:paraId="7E629EA0">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成品堆放区</w:t>
                  </w:r>
                </w:p>
              </w:tc>
              <w:tc>
                <w:tcPr>
                  <w:tcW w:w="2378" w:type="pct"/>
                  <w:vAlign w:val="center"/>
                </w:tcPr>
                <w:p w14:paraId="48F59E15">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料堆区有</w:t>
                  </w:r>
                  <w:r>
                    <w:rPr>
                      <w:rFonts w:hint="eastAsia" w:cstheme="minorBidi"/>
                      <w:b w:val="0"/>
                      <w:kern w:val="2"/>
                      <w:sz w:val="21"/>
                      <w:szCs w:val="24"/>
                      <w:lang w:val="en-US" w:eastAsia="zh-CN" w:bidi="ar-SA"/>
                    </w:rPr>
                    <w:t>1</w:t>
                  </w:r>
                  <w:r>
                    <w:rPr>
                      <w:rFonts w:hint="default" w:ascii="Times New Roman" w:hAnsi="Times New Roman" w:eastAsia="宋体" w:cstheme="minorBidi"/>
                      <w:b w:val="0"/>
                      <w:kern w:val="2"/>
                      <w:sz w:val="21"/>
                      <w:szCs w:val="24"/>
                      <w:lang w:val="en-US" w:eastAsia="zh-CN" w:bidi="ar-SA"/>
                    </w:rPr>
                    <w:t>处，面积为</w:t>
                  </w:r>
                  <w:r>
                    <w:rPr>
                      <w:rFonts w:hint="eastAsia" w:cstheme="minorBidi"/>
                      <w:b w:val="0"/>
                      <w:kern w:val="2"/>
                      <w:sz w:val="21"/>
                      <w:szCs w:val="24"/>
                      <w:lang w:val="en-US" w:eastAsia="zh-CN" w:bidi="ar-SA"/>
                    </w:rPr>
                    <w:t>1500</w:t>
                  </w:r>
                  <w:r>
                    <w:rPr>
                      <w:rFonts w:hint="default" w:ascii="Times New Roman" w:hAnsi="Times New Roman" w:eastAsia="宋体" w:cstheme="minorBidi"/>
                      <w:b w:val="0"/>
                      <w:kern w:val="2"/>
                      <w:sz w:val="21"/>
                      <w:szCs w:val="24"/>
                      <w:lang w:val="en-US" w:eastAsia="zh-CN" w:bidi="ar-SA"/>
                    </w:rPr>
                    <w:t>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w:t>
                  </w:r>
                </w:p>
              </w:tc>
              <w:tc>
                <w:tcPr>
                  <w:tcW w:w="641" w:type="pct"/>
                  <w:vAlign w:val="center"/>
                </w:tcPr>
                <w:p w14:paraId="23616EFB">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700F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continue"/>
                  <w:vAlign w:val="center"/>
                </w:tcPr>
                <w:p w14:paraId="5890BE00">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196921D7">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25787B39">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原料堆放区</w:t>
                  </w:r>
                </w:p>
              </w:tc>
              <w:tc>
                <w:tcPr>
                  <w:tcW w:w="2378" w:type="pct"/>
                  <w:vAlign w:val="center"/>
                </w:tcPr>
                <w:p w14:paraId="0A375570">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原料处1处，用于原料堆放。</w:t>
                  </w:r>
                </w:p>
              </w:tc>
              <w:tc>
                <w:tcPr>
                  <w:tcW w:w="641" w:type="pct"/>
                  <w:vAlign w:val="center"/>
                </w:tcPr>
                <w:p w14:paraId="3CCD90D2">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r w14:paraId="5009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Align w:val="center"/>
                </w:tcPr>
                <w:p w14:paraId="57C47E13">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3</w:t>
                  </w:r>
                </w:p>
              </w:tc>
              <w:tc>
                <w:tcPr>
                  <w:tcW w:w="748" w:type="pct"/>
                  <w:vAlign w:val="center"/>
                </w:tcPr>
                <w:p w14:paraId="391D9CCC">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辅助工程</w:t>
                  </w:r>
                </w:p>
              </w:tc>
              <w:tc>
                <w:tcPr>
                  <w:tcW w:w="883" w:type="pct"/>
                  <w:vAlign w:val="center"/>
                </w:tcPr>
                <w:p w14:paraId="2136DF55">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办公区</w:t>
                  </w:r>
                </w:p>
              </w:tc>
              <w:tc>
                <w:tcPr>
                  <w:tcW w:w="2378" w:type="pct"/>
                  <w:vAlign w:val="center"/>
                </w:tcPr>
                <w:p w14:paraId="30BE9B1F">
                  <w:pPr>
                    <w:pStyle w:val="28"/>
                    <w:jc w:val="both"/>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占地面积653.2m</w:t>
                  </w:r>
                  <w:r>
                    <w:rPr>
                      <w:rFonts w:hint="default" w:ascii="Times New Roman" w:hAnsi="Times New Roman" w:eastAsia="宋体" w:cstheme="minorBidi"/>
                      <w:b w:val="0"/>
                      <w:kern w:val="2"/>
                      <w:sz w:val="21"/>
                      <w:szCs w:val="24"/>
                      <w:vertAlign w:val="superscript"/>
                      <w:lang w:val="en-US" w:eastAsia="zh-CN" w:bidi="ar-SA"/>
                    </w:rPr>
                    <w:t>2</w:t>
                  </w:r>
                  <w:r>
                    <w:rPr>
                      <w:rFonts w:hint="default" w:ascii="Times New Roman" w:hAnsi="Times New Roman" w:eastAsia="宋体" w:cstheme="minorBidi"/>
                      <w:b w:val="0"/>
                      <w:kern w:val="2"/>
                      <w:sz w:val="21"/>
                      <w:szCs w:val="24"/>
                      <w:lang w:val="en-US" w:eastAsia="zh-CN" w:bidi="ar-SA"/>
                    </w:rPr>
                    <w:t>，内设办公室、食堂、仓库</w:t>
                  </w:r>
                  <w:r>
                    <w:rPr>
                      <w:rFonts w:hint="eastAsia" w:cstheme="minorBidi"/>
                      <w:b w:val="0"/>
                      <w:kern w:val="2"/>
                      <w:sz w:val="21"/>
                      <w:szCs w:val="24"/>
                      <w:lang w:val="en-US" w:eastAsia="zh-CN" w:bidi="ar-SA"/>
                    </w:rPr>
                    <w:t>。</w:t>
                  </w:r>
                </w:p>
              </w:tc>
              <w:tc>
                <w:tcPr>
                  <w:tcW w:w="641" w:type="pct"/>
                  <w:vAlign w:val="center"/>
                </w:tcPr>
                <w:p w14:paraId="5A2FAA07">
                  <w:pPr>
                    <w:pStyle w:val="28"/>
                    <w:rPr>
                      <w:rFonts w:hint="eastAsia"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依托</w:t>
                  </w:r>
                </w:p>
              </w:tc>
            </w:tr>
            <w:tr w14:paraId="0CD0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348" w:type="pct"/>
                  <w:vMerge w:val="restart"/>
                  <w:vAlign w:val="center"/>
                </w:tcPr>
                <w:p w14:paraId="1D3CA487">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4</w:t>
                  </w:r>
                </w:p>
              </w:tc>
              <w:tc>
                <w:tcPr>
                  <w:tcW w:w="748" w:type="pct"/>
                  <w:vMerge w:val="restart"/>
                  <w:vAlign w:val="center"/>
                </w:tcPr>
                <w:p w14:paraId="4F740749">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公用工程</w:t>
                  </w:r>
                </w:p>
              </w:tc>
              <w:tc>
                <w:tcPr>
                  <w:tcW w:w="883" w:type="pct"/>
                  <w:vAlign w:val="center"/>
                </w:tcPr>
                <w:p w14:paraId="7228C7F5">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供水</w:t>
                  </w:r>
                </w:p>
              </w:tc>
              <w:tc>
                <w:tcPr>
                  <w:tcW w:w="2378" w:type="pct"/>
                  <w:vAlign w:val="center"/>
                </w:tcPr>
                <w:p w14:paraId="57075DD3">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用水由场地地下水井进行抽取</w:t>
                  </w:r>
                </w:p>
              </w:tc>
              <w:tc>
                <w:tcPr>
                  <w:tcW w:w="641" w:type="pct"/>
                  <w:vAlign w:val="center"/>
                </w:tcPr>
                <w:p w14:paraId="6415E871">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依托</w:t>
                  </w:r>
                </w:p>
              </w:tc>
            </w:tr>
            <w:tr w14:paraId="51C1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8" w:type="pct"/>
                  <w:vMerge w:val="continue"/>
                  <w:vAlign w:val="center"/>
                </w:tcPr>
                <w:p w14:paraId="2B192A09">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4E47EEC4">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06CFAD19">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供电</w:t>
                  </w:r>
                </w:p>
              </w:tc>
              <w:tc>
                <w:tcPr>
                  <w:tcW w:w="2378" w:type="pct"/>
                  <w:vAlign w:val="center"/>
                </w:tcPr>
                <w:p w14:paraId="2AA4A8C6">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生活电供应就近接市政电网。</w:t>
                  </w:r>
                </w:p>
              </w:tc>
              <w:tc>
                <w:tcPr>
                  <w:tcW w:w="641" w:type="pct"/>
                  <w:vAlign w:val="center"/>
                </w:tcPr>
                <w:p w14:paraId="60E5E3EF">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依托</w:t>
                  </w:r>
                </w:p>
              </w:tc>
            </w:tr>
            <w:tr w14:paraId="755A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8" w:type="pct"/>
                  <w:vMerge w:val="continue"/>
                  <w:vAlign w:val="center"/>
                </w:tcPr>
                <w:p w14:paraId="7BACAF59">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5701534C">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094135A7">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供暖</w:t>
                  </w:r>
                </w:p>
              </w:tc>
              <w:tc>
                <w:tcPr>
                  <w:tcW w:w="2378" w:type="pct"/>
                  <w:vAlign w:val="center"/>
                </w:tcPr>
                <w:p w14:paraId="66B5946F">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采用电供暖</w:t>
                  </w:r>
                </w:p>
              </w:tc>
              <w:tc>
                <w:tcPr>
                  <w:tcW w:w="641" w:type="pct"/>
                  <w:vAlign w:val="center"/>
                </w:tcPr>
                <w:p w14:paraId="23FBF2B3">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依托</w:t>
                  </w:r>
                </w:p>
              </w:tc>
            </w:tr>
            <w:tr w14:paraId="7511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348" w:type="pct"/>
                  <w:vMerge w:val="restart"/>
                  <w:vAlign w:val="center"/>
                </w:tcPr>
                <w:p w14:paraId="59224D02">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5</w:t>
                  </w:r>
                </w:p>
              </w:tc>
              <w:tc>
                <w:tcPr>
                  <w:tcW w:w="748" w:type="pct"/>
                  <w:vMerge w:val="restart"/>
                  <w:vAlign w:val="center"/>
                </w:tcPr>
                <w:p w14:paraId="2A0992C3">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环保工程</w:t>
                  </w:r>
                </w:p>
              </w:tc>
              <w:tc>
                <w:tcPr>
                  <w:tcW w:w="883" w:type="pct"/>
                  <w:vAlign w:val="center"/>
                </w:tcPr>
                <w:p w14:paraId="7EA2569A">
                  <w:pPr>
                    <w:tabs>
                      <w:tab w:val="left" w:pos="3255"/>
                    </w:tabs>
                    <w:spacing w:line="240" w:lineRule="auto"/>
                    <w:ind w:firstLine="0" w:firstLineChars="0"/>
                    <w:jc w:val="center"/>
                    <w:rPr>
                      <w:sz w:val="21"/>
                      <w:szCs w:val="21"/>
                    </w:rPr>
                  </w:pPr>
                  <w:r>
                    <w:rPr>
                      <w:rFonts w:hint="eastAsia"/>
                      <w:sz w:val="21"/>
                      <w:szCs w:val="21"/>
                    </w:rPr>
                    <w:t>废气</w:t>
                  </w:r>
                </w:p>
                <w:p w14:paraId="05BBEAA7">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color w:val="000000"/>
                      <w:sz w:val="21"/>
                      <w:szCs w:val="21"/>
                    </w:rPr>
                    <w:t>治理</w:t>
                  </w:r>
                </w:p>
              </w:tc>
              <w:tc>
                <w:tcPr>
                  <w:tcW w:w="2378" w:type="pct"/>
                  <w:vAlign w:val="center"/>
                </w:tcPr>
                <w:p w14:paraId="1F43971B">
                  <w:pPr>
                    <w:pStyle w:val="28"/>
                    <w:jc w:val="left"/>
                    <w:rPr>
                      <w:rFonts w:hint="default" w:ascii="Times New Roman" w:hAnsi="Times New Roman" w:eastAsia="宋体" w:cstheme="minorBidi"/>
                      <w:b w:val="0"/>
                      <w:kern w:val="2"/>
                      <w:sz w:val="21"/>
                      <w:szCs w:val="24"/>
                      <w:lang w:val="en-US" w:eastAsia="zh-CN" w:bidi="ar-SA"/>
                    </w:rPr>
                  </w:pPr>
                  <w:r>
                    <w:rPr>
                      <w:rFonts w:hint="eastAsia"/>
                      <w:color w:val="000000"/>
                      <w:sz w:val="21"/>
                      <w:szCs w:val="21"/>
                    </w:rPr>
                    <w:t>全</w:t>
                  </w:r>
                  <w:r>
                    <w:rPr>
                      <w:rFonts w:hint="eastAsia"/>
                      <w:sz w:val="21"/>
                      <w:szCs w:val="21"/>
                    </w:rPr>
                    <w:t>封闭生产车间并安装喷淋系统，</w:t>
                  </w:r>
                  <w:r>
                    <w:rPr>
                      <w:rFonts w:hint="eastAsia"/>
                      <w:sz w:val="21"/>
                      <w:szCs w:val="21"/>
                      <w:lang w:eastAsia="zh-CN"/>
                    </w:rPr>
                    <w:t>筛</w:t>
                  </w:r>
                  <w:r>
                    <w:rPr>
                      <w:rFonts w:hint="eastAsia"/>
                      <w:sz w:val="21"/>
                      <w:szCs w:val="21"/>
                    </w:rPr>
                    <w:t>分上部设置集气罩</w:t>
                  </w:r>
                  <w:r>
                    <w:rPr>
                      <w:rFonts w:hint="eastAsia"/>
                      <w:sz w:val="21"/>
                      <w:szCs w:val="21"/>
                      <w:lang w:eastAsia="zh-CN"/>
                    </w:rPr>
                    <w:t>(</w:t>
                  </w:r>
                  <w:r>
                    <w:rPr>
                      <w:rFonts w:hint="eastAsia"/>
                      <w:sz w:val="21"/>
                      <w:szCs w:val="21"/>
                      <w:lang w:val="en-US" w:eastAsia="zh-CN"/>
                    </w:rPr>
                    <w:t>95</w:t>
                  </w:r>
                  <w:r>
                    <w:rPr>
                      <w:rFonts w:hint="eastAsia"/>
                      <w:sz w:val="21"/>
                      <w:szCs w:val="21"/>
                    </w:rPr>
                    <w:t>%)+风机</w:t>
                  </w:r>
                  <w:r>
                    <w:rPr>
                      <w:rFonts w:hint="eastAsia"/>
                      <w:sz w:val="21"/>
                      <w:szCs w:val="21"/>
                      <w:lang w:eastAsia="zh-CN"/>
                    </w:rPr>
                    <w:t>（</w:t>
                  </w:r>
                  <w:r>
                    <w:rPr>
                      <w:rFonts w:hint="eastAsia"/>
                      <w:sz w:val="21"/>
                      <w:szCs w:val="21"/>
                    </w:rPr>
                    <w:t>风量20000m</w:t>
                  </w:r>
                  <w:r>
                    <w:rPr>
                      <w:rFonts w:hint="eastAsia"/>
                      <w:sz w:val="21"/>
                      <w:szCs w:val="21"/>
                      <w:vertAlign w:val="superscript"/>
                    </w:rPr>
                    <w:t>3</w:t>
                  </w:r>
                  <w:r>
                    <w:rPr>
                      <w:rFonts w:hint="eastAsia"/>
                      <w:sz w:val="21"/>
                      <w:szCs w:val="21"/>
                    </w:rPr>
                    <w:t>/h</w:t>
                  </w:r>
                  <w:r>
                    <w:rPr>
                      <w:rFonts w:hint="eastAsia"/>
                      <w:sz w:val="21"/>
                      <w:szCs w:val="21"/>
                      <w:lang w:eastAsia="zh-CN"/>
                    </w:rPr>
                    <w:t>）</w:t>
                  </w:r>
                  <w:r>
                    <w:rPr>
                      <w:rFonts w:hint="eastAsia"/>
                      <w:sz w:val="21"/>
                      <w:szCs w:val="21"/>
                    </w:rPr>
                    <w:t>+布袋除尘</w:t>
                  </w:r>
                  <w:r>
                    <w:rPr>
                      <w:rFonts w:hint="eastAsia"/>
                      <w:color w:val="000000"/>
                      <w:sz w:val="21"/>
                      <w:szCs w:val="21"/>
                    </w:rPr>
                    <w:t>器</w:t>
                  </w:r>
                  <w:r>
                    <w:rPr>
                      <w:rFonts w:hint="eastAsia"/>
                      <w:color w:val="000000"/>
                      <w:sz w:val="21"/>
                      <w:szCs w:val="21"/>
                      <w:lang w:eastAsia="zh-CN"/>
                    </w:rPr>
                    <w:t>(</w:t>
                  </w:r>
                  <w:r>
                    <w:rPr>
                      <w:rFonts w:hint="eastAsia"/>
                      <w:color w:val="000000"/>
                      <w:sz w:val="21"/>
                      <w:szCs w:val="21"/>
                    </w:rPr>
                    <w:t>99%)+15m排气筒，皮带输送采取密闭运输；</w:t>
                  </w: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r>
                    <w:rPr>
                      <w:rFonts w:hint="eastAsia"/>
                      <w:color w:val="000000"/>
                      <w:sz w:val="21"/>
                      <w:szCs w:val="21"/>
                    </w:rPr>
                    <w:t>；场区进出口设置1处车辆冲洗池；厨房安装油烟净化器</w:t>
                  </w:r>
                </w:p>
              </w:tc>
              <w:tc>
                <w:tcPr>
                  <w:tcW w:w="641" w:type="pct"/>
                  <w:vAlign w:val="center"/>
                </w:tcPr>
                <w:p w14:paraId="194C758E">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1186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48" w:type="pct"/>
                  <w:vMerge w:val="continue"/>
                  <w:vAlign w:val="center"/>
                </w:tcPr>
                <w:p w14:paraId="09C10F89">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31014348">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41B42A93">
                  <w:pPr>
                    <w:tabs>
                      <w:tab w:val="left" w:pos="3255"/>
                    </w:tabs>
                    <w:spacing w:line="240" w:lineRule="auto"/>
                    <w:ind w:firstLine="0" w:firstLineChars="0"/>
                    <w:jc w:val="center"/>
                    <w:rPr>
                      <w:sz w:val="21"/>
                      <w:szCs w:val="21"/>
                    </w:rPr>
                  </w:pPr>
                  <w:r>
                    <w:rPr>
                      <w:rFonts w:hint="eastAsia"/>
                      <w:sz w:val="21"/>
                      <w:szCs w:val="21"/>
                    </w:rPr>
                    <w:t>废水</w:t>
                  </w:r>
                </w:p>
                <w:p w14:paraId="6F2EE3FA">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4091E322">
                  <w:pPr>
                    <w:pStyle w:val="28"/>
                    <w:jc w:val="left"/>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生产废水经三级沉淀池沉淀后全部回用，不外排；食堂废水经隔油处理后与其他生活污水经地埋式一体化污水处理设施处理后用于场地洒水抑尘。</w:t>
                  </w:r>
                </w:p>
              </w:tc>
              <w:tc>
                <w:tcPr>
                  <w:tcW w:w="641" w:type="pct"/>
                  <w:vAlign w:val="center"/>
                </w:tcPr>
                <w:p w14:paraId="2AA3F84F">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00D2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03563600">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1FFAD155">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28B73F83">
                  <w:pPr>
                    <w:tabs>
                      <w:tab w:val="left" w:pos="3255"/>
                    </w:tabs>
                    <w:spacing w:line="240" w:lineRule="auto"/>
                    <w:ind w:firstLine="0" w:firstLineChars="0"/>
                    <w:jc w:val="center"/>
                    <w:rPr>
                      <w:sz w:val="21"/>
                      <w:szCs w:val="21"/>
                    </w:rPr>
                  </w:pPr>
                  <w:r>
                    <w:rPr>
                      <w:rFonts w:hint="eastAsia"/>
                      <w:sz w:val="21"/>
                      <w:szCs w:val="21"/>
                    </w:rPr>
                    <w:t>噪声</w:t>
                  </w:r>
                </w:p>
                <w:p w14:paraId="1A2F76D6">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617FD6D1">
                  <w:pPr>
                    <w:tabs>
                      <w:tab w:val="left" w:pos="3255"/>
                    </w:tabs>
                    <w:spacing w:line="240" w:lineRule="auto"/>
                    <w:ind w:firstLine="0" w:firstLineChars="0"/>
                    <w:jc w:val="left"/>
                    <w:rPr>
                      <w:rFonts w:hint="default" w:ascii="Times New Roman" w:hAnsi="Times New Roman" w:eastAsia="宋体" w:cstheme="minorBidi"/>
                      <w:kern w:val="2"/>
                      <w:sz w:val="21"/>
                      <w:szCs w:val="21"/>
                      <w:lang w:val="en-US" w:eastAsia="zh-CN" w:bidi="ar-SA"/>
                    </w:rPr>
                  </w:pPr>
                  <w:r>
                    <w:rPr>
                      <w:sz w:val="21"/>
                      <w:szCs w:val="21"/>
                    </w:rPr>
                    <w:t>选用低噪声设备，并采用消声、减震以及隔声等措施；加强车辆运输管理，合理安排运输时间，限速等</w:t>
                  </w:r>
                </w:p>
              </w:tc>
              <w:tc>
                <w:tcPr>
                  <w:tcW w:w="641" w:type="pct"/>
                  <w:vAlign w:val="center"/>
                </w:tcPr>
                <w:p w14:paraId="27BFAF50">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1BEB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55302FBF">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6FFB5A1B">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384D0500">
                  <w:pPr>
                    <w:tabs>
                      <w:tab w:val="left" w:pos="3255"/>
                    </w:tabs>
                    <w:spacing w:line="240" w:lineRule="auto"/>
                    <w:ind w:firstLine="0" w:firstLineChars="0"/>
                    <w:jc w:val="center"/>
                    <w:rPr>
                      <w:sz w:val="21"/>
                      <w:szCs w:val="21"/>
                    </w:rPr>
                  </w:pPr>
                  <w:r>
                    <w:rPr>
                      <w:rFonts w:hint="eastAsia"/>
                      <w:sz w:val="21"/>
                      <w:szCs w:val="21"/>
                    </w:rPr>
                    <w:t>固废</w:t>
                  </w:r>
                </w:p>
                <w:p w14:paraId="30FAAF9C">
                  <w:pPr>
                    <w:tabs>
                      <w:tab w:val="left" w:pos="3255"/>
                    </w:tabs>
                    <w:spacing w:line="240" w:lineRule="auto"/>
                    <w:ind w:firstLine="0" w:firstLineChars="0"/>
                    <w:jc w:val="center"/>
                    <w:rPr>
                      <w:rFonts w:hint="default" w:ascii="Times New Roman" w:hAnsi="Times New Roman" w:eastAsia="宋体" w:cstheme="minorBidi"/>
                      <w:b w:val="0"/>
                      <w:kern w:val="2"/>
                      <w:sz w:val="21"/>
                      <w:szCs w:val="24"/>
                      <w:lang w:val="en-US" w:eastAsia="zh-CN" w:bidi="ar-SA"/>
                    </w:rPr>
                  </w:pPr>
                  <w:r>
                    <w:rPr>
                      <w:rFonts w:hint="eastAsia"/>
                      <w:sz w:val="21"/>
                      <w:szCs w:val="21"/>
                    </w:rPr>
                    <w:t>治理</w:t>
                  </w:r>
                </w:p>
              </w:tc>
              <w:tc>
                <w:tcPr>
                  <w:tcW w:w="2378" w:type="pct"/>
                  <w:vAlign w:val="center"/>
                </w:tcPr>
                <w:p w14:paraId="4621A347">
                  <w:pPr>
                    <w:tabs>
                      <w:tab w:val="left" w:pos="3255"/>
                    </w:tabs>
                    <w:spacing w:line="240" w:lineRule="auto"/>
                    <w:ind w:firstLine="0" w:firstLineChars="0"/>
                    <w:jc w:val="left"/>
                    <w:rPr>
                      <w:rFonts w:hint="default" w:ascii="Times New Roman" w:hAnsi="Times New Roman" w:eastAsia="宋体" w:cstheme="minorBidi"/>
                      <w:kern w:val="2"/>
                      <w:sz w:val="21"/>
                      <w:szCs w:val="21"/>
                      <w:lang w:val="en-US" w:eastAsia="zh-CN" w:bidi="ar-SA"/>
                    </w:rPr>
                  </w:pPr>
                  <w:r>
                    <w:rPr>
                      <w:rFonts w:hint="eastAsia"/>
                      <w:sz w:val="21"/>
                      <w:szCs w:val="21"/>
                    </w:rPr>
                    <w:t>新建10m</w:t>
                  </w:r>
                  <w:r>
                    <w:rPr>
                      <w:rFonts w:hint="eastAsia"/>
                      <w:sz w:val="21"/>
                      <w:szCs w:val="21"/>
                      <w:vertAlign w:val="superscript"/>
                    </w:rPr>
                    <w:t>2</w:t>
                  </w:r>
                  <w:r>
                    <w:rPr>
                      <w:rFonts w:hint="eastAsia"/>
                      <w:sz w:val="21"/>
                      <w:szCs w:val="21"/>
                    </w:rPr>
                    <w:t>危废间1间</w:t>
                  </w:r>
                  <w:r>
                    <w:rPr>
                      <w:rFonts w:hint="eastAsia"/>
                      <w:sz w:val="21"/>
                      <w:szCs w:val="21"/>
                      <w:lang w:val="en-US" w:eastAsia="zh-CN"/>
                    </w:rPr>
                    <w:t>；</w:t>
                  </w:r>
                  <w:r>
                    <w:rPr>
                      <w:rFonts w:hint="eastAsia"/>
                      <w:sz w:val="21"/>
                      <w:szCs w:val="21"/>
                    </w:rPr>
                    <w:t>厂区内购置生活垃圾箱4个</w:t>
                  </w:r>
                </w:p>
              </w:tc>
              <w:tc>
                <w:tcPr>
                  <w:tcW w:w="641" w:type="pct"/>
                  <w:vAlign w:val="center"/>
                </w:tcPr>
                <w:p w14:paraId="4D49D4D8">
                  <w:pPr>
                    <w:pStyle w:val="28"/>
                    <w:rPr>
                      <w:rFonts w:hint="default" w:ascii="Times New Roman" w:hAnsi="Times New Roman" w:eastAsia="宋体" w:cstheme="minorBidi"/>
                      <w:b w:val="0"/>
                      <w:kern w:val="2"/>
                      <w:sz w:val="21"/>
                      <w:szCs w:val="24"/>
                      <w:lang w:val="en-US" w:eastAsia="zh-CN" w:bidi="ar-SA"/>
                    </w:rPr>
                  </w:pPr>
                  <w:r>
                    <w:rPr>
                      <w:rFonts w:hint="default" w:ascii="Times New Roman" w:hAnsi="Times New Roman" w:eastAsia="宋体" w:cstheme="minorBidi"/>
                      <w:b w:val="0"/>
                      <w:kern w:val="2"/>
                      <w:sz w:val="21"/>
                      <w:szCs w:val="24"/>
                      <w:lang w:val="en-US" w:eastAsia="zh-CN" w:bidi="ar-SA"/>
                    </w:rPr>
                    <w:t>新建</w:t>
                  </w:r>
                </w:p>
              </w:tc>
            </w:tr>
            <w:tr w14:paraId="1E13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348" w:type="pct"/>
                  <w:vMerge w:val="continue"/>
                  <w:vAlign w:val="center"/>
                </w:tcPr>
                <w:p w14:paraId="49EDAFC0">
                  <w:pPr>
                    <w:pStyle w:val="28"/>
                    <w:rPr>
                      <w:rFonts w:hint="default" w:ascii="Times New Roman" w:hAnsi="Times New Roman" w:eastAsia="宋体" w:cstheme="minorBidi"/>
                      <w:b w:val="0"/>
                      <w:kern w:val="2"/>
                      <w:sz w:val="21"/>
                      <w:szCs w:val="24"/>
                      <w:lang w:val="en-US" w:eastAsia="zh-CN" w:bidi="ar-SA"/>
                    </w:rPr>
                  </w:pPr>
                </w:p>
              </w:tc>
              <w:tc>
                <w:tcPr>
                  <w:tcW w:w="748" w:type="pct"/>
                  <w:vMerge w:val="continue"/>
                  <w:vAlign w:val="center"/>
                </w:tcPr>
                <w:p w14:paraId="5C647188">
                  <w:pPr>
                    <w:pStyle w:val="28"/>
                    <w:rPr>
                      <w:rFonts w:hint="default" w:ascii="Times New Roman" w:hAnsi="Times New Roman" w:eastAsia="宋体" w:cstheme="minorBidi"/>
                      <w:b w:val="0"/>
                      <w:kern w:val="2"/>
                      <w:sz w:val="21"/>
                      <w:szCs w:val="24"/>
                      <w:lang w:val="en-US" w:eastAsia="zh-CN" w:bidi="ar-SA"/>
                    </w:rPr>
                  </w:pPr>
                </w:p>
              </w:tc>
              <w:tc>
                <w:tcPr>
                  <w:tcW w:w="883" w:type="pct"/>
                  <w:vAlign w:val="center"/>
                </w:tcPr>
                <w:p w14:paraId="0EC8301B">
                  <w:pPr>
                    <w:tabs>
                      <w:tab w:val="left" w:pos="3255"/>
                    </w:tabs>
                    <w:spacing w:line="240" w:lineRule="auto"/>
                    <w:ind w:firstLine="0" w:firstLineChars="0"/>
                    <w:jc w:val="center"/>
                    <w:rPr>
                      <w:rFonts w:hint="eastAsia" w:eastAsia="宋体"/>
                      <w:sz w:val="21"/>
                      <w:szCs w:val="21"/>
                      <w:lang w:eastAsia="zh-CN"/>
                    </w:rPr>
                  </w:pPr>
                  <w:r>
                    <w:rPr>
                      <w:rFonts w:hint="eastAsia"/>
                      <w:sz w:val="21"/>
                      <w:szCs w:val="21"/>
                      <w:lang w:eastAsia="zh-CN"/>
                    </w:rPr>
                    <w:t>生态环境保护</w:t>
                  </w:r>
                </w:p>
              </w:tc>
              <w:tc>
                <w:tcPr>
                  <w:tcW w:w="2378" w:type="pct"/>
                  <w:vAlign w:val="center"/>
                </w:tcPr>
                <w:p w14:paraId="39AAE024">
                  <w:pPr>
                    <w:tabs>
                      <w:tab w:val="left" w:pos="3255"/>
                    </w:tabs>
                    <w:spacing w:line="240" w:lineRule="auto"/>
                    <w:ind w:firstLine="0" w:firstLineChars="0"/>
                    <w:jc w:val="left"/>
                    <w:rPr>
                      <w:rFonts w:hint="eastAsia"/>
                      <w:sz w:val="21"/>
                      <w:szCs w:val="21"/>
                    </w:rPr>
                  </w:pPr>
                  <w:r>
                    <w:rPr>
                      <w:rFonts w:hint="eastAsia"/>
                      <w:sz w:val="21"/>
                      <w:szCs w:val="21"/>
                    </w:rPr>
                    <w:t>采结束后，通过边坡、断面防护、采坑回填，播撒草籽、恢复种植当地常见草种的措施进行生态恢复</w:t>
                  </w:r>
                </w:p>
              </w:tc>
              <w:tc>
                <w:tcPr>
                  <w:tcW w:w="641" w:type="pct"/>
                  <w:vAlign w:val="center"/>
                </w:tcPr>
                <w:p w14:paraId="31FC659B">
                  <w:pPr>
                    <w:pStyle w:val="28"/>
                    <w:rPr>
                      <w:rFonts w:hint="default" w:ascii="Times New Roman" w:hAnsi="Times New Roman" w:eastAsia="宋体" w:cstheme="minorBidi"/>
                      <w:b w:val="0"/>
                      <w:kern w:val="2"/>
                      <w:sz w:val="21"/>
                      <w:szCs w:val="24"/>
                      <w:lang w:val="en-US" w:eastAsia="zh-CN" w:bidi="ar-SA"/>
                    </w:rPr>
                  </w:pPr>
                  <w:r>
                    <w:rPr>
                      <w:rFonts w:hint="eastAsia" w:cstheme="minorBidi"/>
                      <w:b w:val="0"/>
                      <w:kern w:val="2"/>
                      <w:sz w:val="21"/>
                      <w:szCs w:val="24"/>
                      <w:lang w:val="en-US" w:eastAsia="zh-CN" w:bidi="ar-SA"/>
                    </w:rPr>
                    <w:t>新建</w:t>
                  </w:r>
                </w:p>
              </w:tc>
            </w:tr>
          </w:tbl>
          <w:p w14:paraId="497BDDB0">
            <w:pPr>
              <w:bidi w:val="0"/>
              <w:rPr>
                <w:rFonts w:hint="eastAsia"/>
                <w:lang w:val="en-US" w:eastAsia="zh-CN"/>
              </w:rPr>
            </w:pPr>
            <w:r>
              <w:rPr>
                <w:rFonts w:hint="eastAsia"/>
                <w:lang w:val="en-US" w:eastAsia="zh-CN"/>
              </w:rPr>
              <w:t>本项目依托工程主要为原有办公区，其余均进行新建。利用原有办公楼可以减少对新建筑的需求，降低对环境的影响和破坏，符合绿色发展的理念，同时可以减少占地的影响，综上所述，本项项目依托工程是可行的。</w:t>
            </w:r>
          </w:p>
          <w:p w14:paraId="551A9531">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劳动定员及工作制度</w:t>
            </w:r>
          </w:p>
          <w:p w14:paraId="3149B307">
            <w:pPr>
              <w:ind w:firstLine="480"/>
            </w:pPr>
            <w:r>
              <w:rPr>
                <w:rFonts w:hint="eastAsia"/>
                <w:lang w:eastAsia="zh-CN"/>
              </w:rPr>
              <w:t>运营期</w:t>
            </w:r>
            <w:r>
              <w:rPr>
                <w:rFonts w:hint="eastAsia"/>
              </w:rPr>
              <w:t>人员约为</w:t>
            </w:r>
            <w:r>
              <w:rPr>
                <w:rFonts w:hint="eastAsia"/>
                <w:lang w:val="en-US" w:eastAsia="zh-CN"/>
              </w:rPr>
              <w:t>18</w:t>
            </w:r>
            <w:r>
              <w:rPr>
                <w:rFonts w:hint="eastAsia"/>
              </w:rPr>
              <w:t>人，</w:t>
            </w:r>
            <w:r>
              <w:rPr>
                <w:rFonts w:hint="eastAsia"/>
                <w:lang w:eastAsia="zh-CN"/>
              </w:rPr>
              <w:t>运行</w:t>
            </w:r>
            <w:r>
              <w:rPr>
                <w:rFonts w:hint="eastAsia"/>
                <w:lang w:val="en-US" w:eastAsia="zh-CN"/>
              </w:rPr>
              <w:t>210天，实行2班制，每班7小时</w:t>
            </w:r>
            <w:r>
              <w:rPr>
                <w:rFonts w:hint="eastAsia"/>
              </w:rPr>
              <w:t>。</w:t>
            </w:r>
          </w:p>
          <w:p w14:paraId="4D0E72A4">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eastAsia="宋体" w:cs="宋体"/>
                <w:b/>
                <w:kern w:val="2"/>
                <w:sz w:val="24"/>
                <w:szCs w:val="24"/>
                <w:lang w:val="en-US" w:eastAsia="zh-CN" w:bidi="ar-SA"/>
              </w:rPr>
              <w:t>3.</w:t>
            </w:r>
            <w:r>
              <w:rPr>
                <w:rFonts w:hint="eastAsia" w:ascii="宋体" w:hAnsi="宋体" w:cs="宋体"/>
                <w:b/>
                <w:kern w:val="2"/>
                <w:sz w:val="24"/>
                <w:szCs w:val="24"/>
                <w:lang w:val="en-US" w:eastAsia="zh-CN" w:bidi="ar-SA"/>
              </w:rPr>
              <w:t>产品方案</w:t>
            </w:r>
          </w:p>
          <w:p w14:paraId="3DB883A9">
            <w:pPr>
              <w:ind w:firstLine="480"/>
              <w:rPr>
                <w:rFonts w:hint="default"/>
                <w:lang w:val="en-US" w:eastAsia="zh-CN"/>
              </w:rPr>
            </w:pPr>
            <w:r>
              <w:rPr>
                <w:rFonts w:hint="default" w:ascii="Times New Roman" w:hAnsi="Times New Roman" w:cs="Times New Roman" w:eastAsiaTheme="minorEastAsia"/>
                <w:lang w:val="en-US" w:eastAsia="zh-CN"/>
              </w:rPr>
              <w:t>经筛分后产品种类为：粒级40～20mm石子；粒级20～5mm石子；粒级＜5mm水洗砂</w:t>
            </w:r>
            <w:r>
              <w:rPr>
                <w:rFonts w:hint="eastAsia" w:cs="Times New Roman" w:eastAsiaTheme="minorEastAsia"/>
                <w:lang w:val="en-US" w:eastAsia="zh-CN"/>
              </w:rPr>
              <w:t>，年产15万m³/a。</w:t>
            </w:r>
          </w:p>
          <w:p w14:paraId="07542BE6">
            <w:pPr>
              <w:pStyle w:val="3"/>
              <w:numPr>
                <w:ilvl w:val="0"/>
                <w:numId w:val="0"/>
              </w:numPr>
              <w:spacing w:before="156" w:after="156"/>
              <w:outlineLvl w:val="1"/>
              <w:rPr>
                <w:rFonts w:hint="eastAsia" w:eastAsia="宋体"/>
                <w:lang w:eastAsia="zh-CN"/>
              </w:rPr>
            </w:pPr>
            <w:r>
              <w:rPr>
                <w:rFonts w:hint="eastAsia" w:ascii="宋体" w:hAnsi="宋体" w:cs="宋体"/>
                <w:b/>
                <w:kern w:val="2"/>
                <w:sz w:val="24"/>
                <w:szCs w:val="24"/>
                <w:lang w:val="en-US" w:eastAsia="zh-CN" w:bidi="ar-SA"/>
              </w:rPr>
              <w:t>4</w:t>
            </w:r>
            <w:r>
              <w:rPr>
                <w:rFonts w:hint="default" w:ascii="宋体" w:hAnsi="宋体" w:eastAsia="宋体" w:cs="宋体"/>
                <w:b/>
                <w:kern w:val="2"/>
                <w:sz w:val="24"/>
                <w:szCs w:val="24"/>
                <w:lang w:val="en-US" w:eastAsia="zh-CN" w:bidi="ar-SA"/>
              </w:rPr>
              <w:t>.</w:t>
            </w:r>
            <w:r>
              <w:rPr>
                <w:rFonts w:hint="eastAsia"/>
                <w:lang w:eastAsia="zh-CN"/>
              </w:rPr>
              <w:t>设备一览表</w:t>
            </w:r>
          </w:p>
          <w:p w14:paraId="5A895285">
            <w:pPr>
              <w:pStyle w:val="19"/>
              <w:numPr>
                <w:ilvl w:val="0"/>
                <w:numId w:val="0"/>
              </w:numPr>
              <w:spacing w:line="240" w:lineRule="auto"/>
              <w:ind w:left="0" w:leftChars="0" w:right="113" w:rightChars="0" w:firstLine="0" w:firstLineChars="0"/>
              <w:jc w:val="center"/>
              <w:rPr>
                <w:rFonts w:hint="eastAsia" w:cs="Times New Roman"/>
                <w:b/>
                <w:bCs w:val="0"/>
                <w:kern w:val="2"/>
                <w:sz w:val="24"/>
                <w:szCs w:val="24"/>
                <w:lang w:val="en-US" w:eastAsia="zh-CN" w:bidi="ar-SA"/>
              </w:rPr>
            </w:pPr>
            <w:r>
              <w:rPr>
                <w:rFonts w:hint="eastAsia" w:cs="Times New Roman"/>
                <w:b/>
                <w:bCs w:val="0"/>
                <w:kern w:val="2"/>
                <w:sz w:val="24"/>
                <w:szCs w:val="24"/>
                <w:lang w:val="en-US" w:eastAsia="zh-CN" w:bidi="ar-SA"/>
              </w:rPr>
              <w:t>表2-2设备一览表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955"/>
              <w:gridCol w:w="2141"/>
              <w:gridCol w:w="1030"/>
              <w:gridCol w:w="1686"/>
            </w:tblGrid>
            <w:tr w14:paraId="1DDA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29B96957">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序号</w:t>
                  </w:r>
                </w:p>
              </w:tc>
              <w:tc>
                <w:tcPr>
                  <w:tcW w:w="1243" w:type="pct"/>
                  <w:vAlign w:val="center"/>
                </w:tcPr>
                <w:p w14:paraId="1E4B7B65">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设备名称</w:t>
                  </w:r>
                </w:p>
              </w:tc>
              <w:tc>
                <w:tcPr>
                  <w:tcW w:w="1361" w:type="pct"/>
                  <w:vAlign w:val="center"/>
                </w:tcPr>
                <w:p w14:paraId="2E5EFFAC">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型号</w:t>
                  </w:r>
                </w:p>
              </w:tc>
              <w:tc>
                <w:tcPr>
                  <w:tcW w:w="655" w:type="pct"/>
                  <w:vAlign w:val="center"/>
                </w:tcPr>
                <w:p w14:paraId="74DBEAC1">
                  <w:pPr>
                    <w:spacing w:line="240" w:lineRule="auto"/>
                    <w:ind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数量</w:t>
                  </w:r>
                </w:p>
              </w:tc>
              <w:tc>
                <w:tcPr>
                  <w:tcW w:w="1072" w:type="pct"/>
                  <w:vAlign w:val="center"/>
                </w:tcPr>
                <w:p w14:paraId="3F5C4A95">
                  <w:pPr>
                    <w:spacing w:line="240" w:lineRule="auto"/>
                    <w:ind w:firstLine="0" w:firstLineChars="0"/>
                    <w:jc w:val="center"/>
                    <w:rPr>
                      <w:rFonts w:hint="eastAsia"/>
                      <w:b/>
                      <w:bCs/>
                      <w:sz w:val="21"/>
                      <w:szCs w:val="21"/>
                      <w:vertAlign w:val="baseline"/>
                      <w:lang w:val="en-US" w:eastAsia="zh-CN"/>
                    </w:rPr>
                  </w:pPr>
                  <w:r>
                    <w:rPr>
                      <w:rFonts w:hint="eastAsia"/>
                      <w:b/>
                      <w:bCs/>
                      <w:sz w:val="21"/>
                      <w:szCs w:val="21"/>
                      <w:vertAlign w:val="baseline"/>
                      <w:lang w:val="en-US" w:eastAsia="zh-CN"/>
                    </w:rPr>
                    <w:t>备注</w:t>
                  </w:r>
                </w:p>
              </w:tc>
            </w:tr>
            <w:tr w14:paraId="35C3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3AC0B897">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w:t>
                  </w:r>
                </w:p>
              </w:tc>
              <w:tc>
                <w:tcPr>
                  <w:tcW w:w="1243" w:type="pct"/>
                  <w:vAlign w:val="center"/>
                </w:tcPr>
                <w:p w14:paraId="204164AB">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挖掘机</w:t>
                  </w:r>
                </w:p>
              </w:tc>
              <w:tc>
                <w:tcPr>
                  <w:tcW w:w="1361" w:type="pct"/>
                  <w:vAlign w:val="center"/>
                </w:tcPr>
                <w:p w14:paraId="77BF73B9">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SY485H</w:t>
                  </w:r>
                  <w:r>
                    <w:rPr>
                      <w:rFonts w:hint="eastAsia"/>
                      <w:sz w:val="21"/>
                      <w:szCs w:val="21"/>
                      <w:vertAlign w:val="baseline"/>
                      <w:lang w:val="en-US" w:eastAsia="zh-CN"/>
                    </w:rPr>
                    <w:t>，铲斗容量1m³，功率103kW</w:t>
                  </w:r>
                </w:p>
              </w:tc>
              <w:tc>
                <w:tcPr>
                  <w:tcW w:w="655" w:type="pct"/>
                  <w:vAlign w:val="center"/>
                </w:tcPr>
                <w:p w14:paraId="50CA4B4E">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vAlign w:val="center"/>
                </w:tcPr>
                <w:p w14:paraId="043F7154">
                  <w:pPr>
                    <w:spacing w:line="240" w:lineRule="auto"/>
                    <w:ind w:firstLine="0" w:firstLineChars="0"/>
                    <w:jc w:val="center"/>
                    <w:rPr>
                      <w:rFonts w:hint="default"/>
                      <w:sz w:val="21"/>
                      <w:szCs w:val="21"/>
                      <w:vertAlign w:val="baseline"/>
                      <w:lang w:val="en-US" w:eastAsia="zh-CN"/>
                    </w:rPr>
                  </w:pPr>
                </w:p>
              </w:tc>
            </w:tr>
            <w:tr w14:paraId="0701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58AA87A2">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w:t>
                  </w:r>
                </w:p>
              </w:tc>
              <w:tc>
                <w:tcPr>
                  <w:tcW w:w="1243" w:type="pct"/>
                  <w:vAlign w:val="center"/>
                </w:tcPr>
                <w:p w14:paraId="71D2D5F5">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装载机</w:t>
                  </w:r>
                </w:p>
              </w:tc>
              <w:tc>
                <w:tcPr>
                  <w:tcW w:w="1361" w:type="pct"/>
                  <w:vAlign w:val="center"/>
                </w:tcPr>
                <w:p w14:paraId="4EB1589E">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ZL50型</w:t>
                  </w:r>
                  <w:r>
                    <w:rPr>
                      <w:rFonts w:hint="eastAsia"/>
                      <w:sz w:val="21"/>
                      <w:szCs w:val="21"/>
                      <w:vertAlign w:val="baseline"/>
                      <w:lang w:val="en-US" w:eastAsia="zh-CN"/>
                    </w:rPr>
                    <w:t>，斗容3m³，功率154kW</w:t>
                  </w:r>
                </w:p>
              </w:tc>
              <w:tc>
                <w:tcPr>
                  <w:tcW w:w="655" w:type="pct"/>
                  <w:vAlign w:val="center"/>
                </w:tcPr>
                <w:p w14:paraId="4B018D1F">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vAlign w:val="center"/>
                </w:tcPr>
                <w:p w14:paraId="3A4A202A">
                  <w:pPr>
                    <w:spacing w:line="240" w:lineRule="auto"/>
                    <w:ind w:firstLine="0" w:firstLineChars="0"/>
                    <w:jc w:val="center"/>
                    <w:rPr>
                      <w:rFonts w:hint="default"/>
                      <w:sz w:val="21"/>
                      <w:szCs w:val="21"/>
                      <w:vertAlign w:val="baseline"/>
                      <w:lang w:val="en-US" w:eastAsia="zh-CN"/>
                    </w:rPr>
                  </w:pPr>
                </w:p>
              </w:tc>
            </w:tr>
            <w:tr w14:paraId="7626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621253F5">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3</w:t>
                  </w:r>
                </w:p>
              </w:tc>
              <w:tc>
                <w:tcPr>
                  <w:tcW w:w="1243" w:type="pct"/>
                  <w:vAlign w:val="center"/>
                </w:tcPr>
                <w:p w14:paraId="3D2BD6DC">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前端式装载机</w:t>
                  </w:r>
                </w:p>
              </w:tc>
              <w:tc>
                <w:tcPr>
                  <w:tcW w:w="1361" w:type="pct"/>
                  <w:vAlign w:val="center"/>
                </w:tcPr>
                <w:p w14:paraId="159343E8">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ZL50F-II型</w:t>
                  </w:r>
                </w:p>
              </w:tc>
              <w:tc>
                <w:tcPr>
                  <w:tcW w:w="655" w:type="pct"/>
                  <w:vAlign w:val="center"/>
                </w:tcPr>
                <w:p w14:paraId="5630AB32">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vAlign w:val="center"/>
                </w:tcPr>
                <w:p w14:paraId="08ED47AE">
                  <w:pPr>
                    <w:spacing w:line="240" w:lineRule="auto"/>
                    <w:ind w:firstLine="0" w:firstLineChars="0"/>
                    <w:jc w:val="center"/>
                    <w:rPr>
                      <w:rFonts w:hint="default"/>
                      <w:sz w:val="21"/>
                      <w:szCs w:val="21"/>
                      <w:vertAlign w:val="baseline"/>
                      <w:lang w:val="en-US" w:eastAsia="zh-CN"/>
                    </w:rPr>
                  </w:pPr>
                </w:p>
              </w:tc>
            </w:tr>
            <w:tr w14:paraId="0CD6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2615EF60">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4</w:t>
                  </w:r>
                </w:p>
              </w:tc>
              <w:tc>
                <w:tcPr>
                  <w:tcW w:w="1243" w:type="pct"/>
                  <w:vAlign w:val="center"/>
                </w:tcPr>
                <w:p w14:paraId="1108CF81">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潜水泵</w:t>
                  </w:r>
                </w:p>
              </w:tc>
              <w:tc>
                <w:tcPr>
                  <w:tcW w:w="1361" w:type="pct"/>
                  <w:vAlign w:val="center"/>
                </w:tcPr>
                <w:p w14:paraId="7FD1B77A">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QY15-26-2.2</w:t>
                  </w:r>
                </w:p>
              </w:tc>
              <w:tc>
                <w:tcPr>
                  <w:tcW w:w="655" w:type="pct"/>
                  <w:vAlign w:val="center"/>
                </w:tcPr>
                <w:p w14:paraId="7A14197A">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2台</w:t>
                  </w:r>
                </w:p>
              </w:tc>
              <w:tc>
                <w:tcPr>
                  <w:tcW w:w="1072" w:type="pct"/>
                  <w:vAlign w:val="center"/>
                </w:tcPr>
                <w:p w14:paraId="3A3A9B64">
                  <w:pPr>
                    <w:spacing w:line="240" w:lineRule="auto"/>
                    <w:ind w:firstLine="0" w:firstLineChars="0"/>
                    <w:jc w:val="center"/>
                    <w:rPr>
                      <w:rFonts w:hint="default"/>
                      <w:sz w:val="21"/>
                      <w:szCs w:val="21"/>
                      <w:vertAlign w:val="baseline"/>
                      <w:lang w:val="en-US" w:eastAsia="zh-CN"/>
                    </w:rPr>
                  </w:pPr>
                </w:p>
              </w:tc>
            </w:tr>
            <w:tr w14:paraId="36EF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080F2D26">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5</w:t>
                  </w:r>
                </w:p>
              </w:tc>
              <w:tc>
                <w:tcPr>
                  <w:tcW w:w="1243" w:type="pct"/>
                  <w:vAlign w:val="center"/>
                </w:tcPr>
                <w:p w14:paraId="5E6DB6AA">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圆筒筛分机</w:t>
                  </w:r>
                </w:p>
              </w:tc>
              <w:tc>
                <w:tcPr>
                  <w:tcW w:w="1361" w:type="pct"/>
                  <w:vAlign w:val="center"/>
                </w:tcPr>
                <w:p w14:paraId="5FC3BF08">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2YT1020型</w:t>
                  </w:r>
                  <w:r>
                    <w:rPr>
                      <w:rFonts w:hint="eastAsia"/>
                      <w:sz w:val="21"/>
                      <w:szCs w:val="21"/>
                      <w:vertAlign w:val="baseline"/>
                      <w:lang w:val="en-US" w:eastAsia="zh-CN"/>
                    </w:rPr>
                    <w:t>，生产能力120m3/h，功率7.5kW</w:t>
                  </w:r>
                </w:p>
              </w:tc>
              <w:tc>
                <w:tcPr>
                  <w:tcW w:w="655" w:type="pct"/>
                  <w:vAlign w:val="center"/>
                </w:tcPr>
                <w:p w14:paraId="01516A9B">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vAlign w:val="center"/>
                </w:tcPr>
                <w:p w14:paraId="1DA8619E">
                  <w:pPr>
                    <w:spacing w:line="240" w:lineRule="auto"/>
                    <w:ind w:firstLine="0" w:firstLineChars="0"/>
                    <w:jc w:val="center"/>
                    <w:rPr>
                      <w:rFonts w:hint="default"/>
                      <w:sz w:val="21"/>
                      <w:szCs w:val="21"/>
                      <w:vertAlign w:val="baseline"/>
                      <w:lang w:val="en-US" w:eastAsia="zh-CN"/>
                    </w:rPr>
                  </w:pPr>
                </w:p>
              </w:tc>
            </w:tr>
            <w:tr w14:paraId="2DF2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pct"/>
                  <w:vAlign w:val="center"/>
                </w:tcPr>
                <w:p w14:paraId="1E9BDA91">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6</w:t>
                  </w:r>
                </w:p>
              </w:tc>
              <w:tc>
                <w:tcPr>
                  <w:tcW w:w="1243" w:type="pct"/>
                  <w:vAlign w:val="center"/>
                </w:tcPr>
                <w:p w14:paraId="1CE503F4">
                  <w:pPr>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洗砂机</w:t>
                  </w:r>
                </w:p>
              </w:tc>
              <w:tc>
                <w:tcPr>
                  <w:tcW w:w="1361" w:type="pct"/>
                  <w:vAlign w:val="center"/>
                </w:tcPr>
                <w:p w14:paraId="1B180419">
                  <w:pPr>
                    <w:spacing w:line="240" w:lineRule="auto"/>
                    <w:ind w:firstLine="0" w:firstLineChars="0"/>
                    <w:jc w:val="center"/>
                    <w:rPr>
                      <w:rFonts w:hint="default"/>
                      <w:sz w:val="21"/>
                      <w:szCs w:val="21"/>
                      <w:vertAlign w:val="baseline"/>
                      <w:lang w:val="en-US" w:eastAsia="zh-CN"/>
                    </w:rPr>
                  </w:pPr>
                  <w:r>
                    <w:rPr>
                      <w:rFonts w:hint="default"/>
                      <w:sz w:val="21"/>
                      <w:szCs w:val="21"/>
                      <w:vertAlign w:val="baseline"/>
                      <w:lang w:val="en-US" w:eastAsia="zh-CN"/>
                    </w:rPr>
                    <w:t>LSX920型</w:t>
                  </w:r>
                  <w:r>
                    <w:rPr>
                      <w:rFonts w:hint="eastAsia"/>
                      <w:sz w:val="21"/>
                      <w:szCs w:val="21"/>
                      <w:vertAlign w:val="baseline"/>
                      <w:lang w:val="en-US" w:eastAsia="zh-CN"/>
                    </w:rPr>
                    <w:t>，生产能力80t/h,功率11KW</w:t>
                  </w:r>
                </w:p>
              </w:tc>
              <w:tc>
                <w:tcPr>
                  <w:tcW w:w="655" w:type="pct"/>
                  <w:vAlign w:val="center"/>
                </w:tcPr>
                <w:p w14:paraId="6B615755">
                  <w:pPr>
                    <w:spacing w:line="240" w:lineRule="auto"/>
                    <w:ind w:firstLine="0" w:firstLineChars="0"/>
                    <w:jc w:val="center"/>
                    <w:rPr>
                      <w:rFonts w:hint="default"/>
                      <w:sz w:val="21"/>
                      <w:szCs w:val="21"/>
                      <w:vertAlign w:val="baseline"/>
                      <w:lang w:val="en-US" w:eastAsia="zh-CN"/>
                    </w:rPr>
                  </w:pPr>
                  <w:r>
                    <w:rPr>
                      <w:rFonts w:hint="eastAsia"/>
                      <w:sz w:val="21"/>
                      <w:szCs w:val="21"/>
                      <w:vertAlign w:val="baseline"/>
                      <w:lang w:val="en-US" w:eastAsia="zh-CN"/>
                    </w:rPr>
                    <w:t>1台</w:t>
                  </w:r>
                </w:p>
              </w:tc>
              <w:tc>
                <w:tcPr>
                  <w:tcW w:w="1072" w:type="pct"/>
                  <w:vAlign w:val="center"/>
                </w:tcPr>
                <w:p w14:paraId="29FB7AC7">
                  <w:pPr>
                    <w:spacing w:line="240" w:lineRule="auto"/>
                    <w:ind w:firstLine="0" w:firstLineChars="0"/>
                    <w:jc w:val="center"/>
                    <w:rPr>
                      <w:rFonts w:hint="default"/>
                      <w:sz w:val="21"/>
                      <w:szCs w:val="21"/>
                      <w:vertAlign w:val="baseline"/>
                      <w:lang w:val="en-US" w:eastAsia="zh-CN"/>
                    </w:rPr>
                  </w:pPr>
                </w:p>
              </w:tc>
            </w:tr>
          </w:tbl>
          <w:p w14:paraId="0C3C3143">
            <w:pPr>
              <w:numPr>
                <w:ilvl w:val="0"/>
                <w:numId w:val="0"/>
              </w:numPr>
              <w:bidi w:val="0"/>
              <w:ind w:left="0" w:leftChars="0" w:firstLine="0" w:firstLineChars="0"/>
              <w:rPr>
                <w:rFonts w:hint="eastAsia"/>
                <w:b/>
                <w:bCs/>
                <w:lang w:val="en-US" w:eastAsia="zh-CN"/>
              </w:rPr>
            </w:pPr>
            <w:r>
              <w:rPr>
                <w:rFonts w:hint="eastAsia" w:ascii="Times New Roman" w:hAnsi="Times New Roman" w:eastAsia="宋体" w:cstheme="minorBidi"/>
                <w:b/>
                <w:bCs/>
                <w:kern w:val="2"/>
                <w:sz w:val="24"/>
                <w:szCs w:val="24"/>
                <w:lang w:val="en-US" w:eastAsia="zh-CN" w:bidi="ar-SA"/>
              </w:rPr>
              <w:t>5.</w:t>
            </w:r>
            <w:r>
              <w:rPr>
                <w:rFonts w:hint="eastAsia"/>
                <w:b/>
                <w:bCs/>
                <w:lang w:val="en-US" w:eastAsia="zh-CN"/>
              </w:rPr>
              <w:t>矿区坐标范围</w:t>
            </w:r>
          </w:p>
          <w:p w14:paraId="264421F4">
            <w:pPr>
              <w:bidi w:val="0"/>
              <w:ind w:left="0" w:leftChars="0" w:firstLine="0" w:firstLineChars="0"/>
              <w:jc w:val="center"/>
              <w:rPr>
                <w:rFonts w:hint="default"/>
                <w:b/>
                <w:bCs/>
                <w:lang w:val="en-US" w:eastAsia="zh-CN"/>
              </w:rPr>
            </w:pPr>
            <w:r>
              <w:rPr>
                <w:rFonts w:hint="eastAsia"/>
                <w:b/>
                <w:bCs/>
                <w:lang w:val="en-US" w:eastAsia="zh-CN"/>
              </w:rPr>
              <w:t>表2-3矿区坐标范围一览表</w:t>
            </w:r>
          </w:p>
          <w:p w14:paraId="39F5C6BC">
            <w:pPr>
              <w:pStyle w:val="8"/>
              <w:numPr>
                <w:ilvl w:val="0"/>
                <w:numId w:val="0"/>
              </w:numPr>
              <w:ind w:right="113" w:rightChars="0"/>
            </w:pPr>
            <w:r>
              <w:drawing>
                <wp:inline distT="0" distB="0" distL="114300" distR="114300">
                  <wp:extent cx="4832350" cy="2964180"/>
                  <wp:effectExtent l="0" t="0" r="13970" b="762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4832350" cy="2964180"/>
                          </a:xfrm>
                          <a:prstGeom prst="rect">
                            <a:avLst/>
                          </a:prstGeom>
                          <a:noFill/>
                          <a:ln>
                            <a:noFill/>
                          </a:ln>
                        </pic:spPr>
                      </pic:pic>
                    </a:graphicData>
                  </a:graphic>
                </wp:inline>
              </w:drawing>
            </w:r>
          </w:p>
          <w:p w14:paraId="4D39684A">
            <w:pPr>
              <w:numPr>
                <w:ilvl w:val="0"/>
                <w:numId w:val="0"/>
              </w:numPr>
              <w:bidi w:val="0"/>
              <w:ind w:left="0" w:leftChars="0" w:firstLine="0" w:firstLineChars="0"/>
              <w:rPr>
                <w:rFonts w:hint="eastAsia" w:ascii="Times New Roman" w:hAnsi="Times New Roman" w:eastAsia="宋体" w:cstheme="minorBidi"/>
                <w:b/>
                <w:bCs/>
                <w:kern w:val="2"/>
                <w:sz w:val="24"/>
                <w:szCs w:val="24"/>
                <w:lang w:val="en-US" w:eastAsia="zh-CN" w:bidi="ar-SA"/>
              </w:rPr>
            </w:pPr>
            <w:r>
              <w:rPr>
                <w:rFonts w:hint="eastAsia" w:ascii="Times New Roman" w:hAnsi="Times New Roman" w:eastAsia="宋体" w:cstheme="minorBidi"/>
                <w:b/>
                <w:bCs/>
                <w:kern w:val="2"/>
                <w:sz w:val="24"/>
                <w:szCs w:val="24"/>
                <w:lang w:val="en-US" w:eastAsia="zh-CN" w:bidi="ar-SA"/>
              </w:rPr>
              <w:t>6.水平衡</w:t>
            </w:r>
          </w:p>
          <w:p w14:paraId="35F17C4B">
            <w:pPr>
              <w:adjustRightInd w:val="0"/>
              <w:snapToGrid w:val="0"/>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p>
          <w:p w14:paraId="72C1BFDA">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.1洗砂废水</w:t>
            </w:r>
          </w:p>
          <w:p w14:paraId="58EF9BB3">
            <w:pPr>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筛分后产出</w:t>
            </w:r>
            <w:r>
              <w:rPr>
                <w:rFonts w:hint="eastAsia" w:cstheme="minorBidi"/>
                <w:b w:val="0"/>
                <w:kern w:val="2"/>
                <w:sz w:val="24"/>
                <w:szCs w:val="24"/>
                <w:highlight w:val="none"/>
                <w:lang w:val="en-US" w:eastAsia="zh-CN" w:bidi="ar-SA"/>
              </w:rPr>
              <w:t>的</w:t>
            </w:r>
            <w:r>
              <w:rPr>
                <w:rFonts w:hint="default" w:ascii="Times New Roman" w:hAnsi="Times New Roman" w:cs="Times New Roman" w:eastAsiaTheme="minorEastAsia"/>
                <w:lang w:val="en-US" w:eastAsia="zh-CN"/>
              </w:rPr>
              <w:t>粒级＜5mm</w:t>
            </w:r>
            <w:r>
              <w:rPr>
                <w:rFonts w:hint="eastAsia" w:cstheme="minorBidi"/>
                <w:b w:val="0"/>
                <w:kern w:val="2"/>
                <w:sz w:val="24"/>
                <w:szCs w:val="24"/>
                <w:highlight w:val="none"/>
                <w:lang w:val="en-US" w:eastAsia="zh-CN" w:bidi="ar-SA"/>
              </w:rPr>
              <w:t>砂石（5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w:t>
            </w:r>
            <w:r>
              <w:rPr>
                <w:rFonts w:hint="eastAsia" w:cstheme="minorBidi"/>
                <w:b w:val="0"/>
                <w:kern w:val="2"/>
                <w:sz w:val="24"/>
                <w:szCs w:val="24"/>
                <w:highlight w:val="none"/>
                <w:lang w:val="en-US" w:eastAsia="zh-CN" w:bidi="ar-SA"/>
              </w:rPr>
              <w:t>）需要进行水洗</w:t>
            </w:r>
            <w:r>
              <w:rPr>
                <w:rFonts w:hint="eastAsia" w:ascii="Times New Roman" w:hAnsi="Times New Roman" w:eastAsia="宋体" w:cstheme="minorBidi"/>
                <w:b w:val="0"/>
                <w:kern w:val="2"/>
                <w:sz w:val="24"/>
                <w:szCs w:val="24"/>
                <w:highlight w:val="none"/>
                <w:lang w:val="en-US" w:eastAsia="zh-CN" w:bidi="ar-SA"/>
              </w:rPr>
              <w:t>，根据建设单位提供的资料，洗砂水比约为1：1.15，洗砂工序累计用水量为</w:t>
            </w:r>
            <w:r>
              <w:rPr>
                <w:rFonts w:hint="eastAsia" w:cstheme="minorBidi"/>
                <w:b w:val="0"/>
                <w:kern w:val="2"/>
                <w:sz w:val="24"/>
                <w:szCs w:val="24"/>
                <w:highlight w:val="none"/>
                <w:lang w:val="en-US" w:eastAsia="zh-CN" w:bidi="ar-SA"/>
              </w:rPr>
              <w:t>5.75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w:t>
            </w:r>
            <w:r>
              <w:rPr>
                <w:rFonts w:hint="eastAsia" w:cstheme="minorBidi"/>
                <w:b w:val="0"/>
                <w:kern w:val="2"/>
                <w:sz w:val="24"/>
                <w:szCs w:val="24"/>
                <w:highlight w:val="none"/>
                <w:lang w:val="en-US" w:eastAsia="zh-CN" w:bidi="ar-SA"/>
              </w:rPr>
              <w:t>（273.8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w:t>
            </w:r>
            <w:r>
              <w:rPr>
                <w:rFonts w:hint="eastAsia" w:cstheme="minorBidi"/>
                <w:b w:val="0"/>
                <w:kern w:val="2"/>
                <w:sz w:val="24"/>
                <w:szCs w:val="24"/>
                <w:highlight w:val="none"/>
                <w:lang w:val="en-US" w:eastAsia="zh-CN" w:bidi="ar-SA"/>
              </w:rPr>
              <w:t>d）</w:t>
            </w:r>
            <w:r>
              <w:rPr>
                <w:rFonts w:hint="eastAsia" w:ascii="Times New Roman" w:hAnsi="Times New Roman" w:eastAsia="宋体" w:cstheme="minorBidi"/>
                <w:b w:val="0"/>
                <w:kern w:val="2"/>
                <w:sz w:val="24"/>
                <w:szCs w:val="24"/>
                <w:highlight w:val="none"/>
                <w:lang w:val="en-US" w:eastAsia="zh-CN" w:bidi="ar-SA"/>
              </w:rPr>
              <w:t>，进入产品水量20%，则废水产生量为</w:t>
            </w:r>
            <w:r>
              <w:rPr>
                <w:rFonts w:hint="eastAsia" w:cstheme="minorBidi"/>
                <w:b w:val="0"/>
                <w:kern w:val="2"/>
                <w:sz w:val="24"/>
                <w:szCs w:val="24"/>
                <w:highlight w:val="none"/>
                <w:lang w:val="en-US" w:eastAsia="zh-CN" w:bidi="ar-SA"/>
              </w:rPr>
              <w:t>4.6</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/a，排入三级沉淀池，总容积为180m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，洗砂废水经沉淀后回用于洗砂过程。项目产生的废水不外排。</w:t>
            </w:r>
          </w:p>
          <w:p w14:paraId="119732D0">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.2运输车辆冲洗废水</w:t>
            </w:r>
          </w:p>
          <w:p w14:paraId="5B108455">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在进出口设置1处30m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的沉淀池，对场区进出口车辆轮胎进行清洗，洗车用水量为0.5m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105</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/a。排水量按清洗水量的80%计算，则废水产生量为0.4m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84</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/a。清车废水在沉淀池沉淀后用于洒水抑尘。</w:t>
            </w:r>
          </w:p>
          <w:p w14:paraId="7F73B04C">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cstheme="minorBidi"/>
                <w:b/>
                <w:bCs/>
                <w:kern w:val="2"/>
                <w:sz w:val="24"/>
                <w:szCs w:val="24"/>
                <w:highlight w:val="none"/>
                <w:lang w:val="en-US" w:eastAsia="zh-CN" w:bidi="ar-SA"/>
              </w:rPr>
              <w:t>6</w:t>
            </w:r>
            <w:r>
              <w:rPr>
                <w:rFonts w:hint="eastAsia" w:ascii="Times New Roman" w:hAnsi="Times New Roman" w:eastAsia="宋体" w:cstheme="minorBidi"/>
                <w:b/>
                <w:bCs/>
                <w:kern w:val="2"/>
                <w:sz w:val="24"/>
                <w:szCs w:val="24"/>
                <w:highlight w:val="none"/>
                <w:lang w:val="en-US" w:eastAsia="zh-CN" w:bidi="ar-SA"/>
              </w:rPr>
              <w:t>.3生活污水</w:t>
            </w:r>
          </w:p>
          <w:p w14:paraId="3933D200">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运营期员工人数为</w:t>
            </w:r>
            <w:r>
              <w:rPr>
                <w:rFonts w:hint="eastAsia" w:cstheme="minorBidi"/>
                <w:b w:val="0"/>
                <w:kern w:val="2"/>
                <w:sz w:val="24"/>
                <w:szCs w:val="24"/>
                <w:highlight w:val="none"/>
                <w:lang w:val="en-US" w:eastAsia="zh-CN" w:bidi="ar-SA"/>
              </w:rPr>
              <w:t>18</w:t>
            </w:r>
            <w:r>
              <w:rPr>
                <w:rFonts w:hint="eastAsia" w:ascii="Times New Roman" w:hAnsi="Times New Roman" w:eastAsia="宋体" w:cstheme="minorBidi"/>
                <w:b w:val="0"/>
                <w:kern w:val="2"/>
                <w:sz w:val="24"/>
                <w:szCs w:val="24"/>
                <w:highlight w:val="none"/>
                <w:lang w:val="en-US" w:eastAsia="zh-CN" w:bidi="ar-SA"/>
              </w:rPr>
              <w:t>人，生活用水量按40L/（d•人）计算，</w:t>
            </w:r>
            <w:r>
              <w:rPr>
                <w:rFonts w:hint="eastAsia" w:cstheme="minorBidi"/>
                <w:b w:val="0"/>
                <w:kern w:val="2"/>
                <w:sz w:val="24"/>
                <w:szCs w:val="24"/>
                <w:highlight w:val="none"/>
                <w:lang w:val="en-US" w:eastAsia="zh-CN" w:bidi="ar-SA"/>
              </w:rPr>
              <w:t>用水</w:t>
            </w:r>
            <w:r>
              <w:rPr>
                <w:rFonts w:hint="eastAsia" w:ascii="Times New Roman" w:hAnsi="Times New Roman" w:eastAsia="宋体" w:cstheme="minorBidi"/>
                <w:b w:val="0"/>
                <w:kern w:val="2"/>
                <w:sz w:val="24"/>
                <w:szCs w:val="24"/>
                <w:highlight w:val="none"/>
                <w:lang w:val="en-US" w:eastAsia="zh-CN" w:bidi="ar-SA"/>
              </w:rPr>
              <w:t>量为</w:t>
            </w:r>
            <w:r>
              <w:rPr>
                <w:rFonts w:hint="eastAsia" w:cstheme="minorBidi"/>
                <w:b w:val="0"/>
                <w:kern w:val="2"/>
                <w:sz w:val="24"/>
                <w:szCs w:val="24"/>
                <w:highlight w:val="none"/>
                <w:lang w:val="en-US" w:eastAsia="zh-CN" w:bidi="ar-SA"/>
              </w:rPr>
              <w:t>0.72</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51.2</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/a），生活污水以用水量80%计，项目生活污水产生量为0.</w:t>
            </w:r>
            <w:r>
              <w:rPr>
                <w:rFonts w:hint="eastAsia" w:cstheme="minorBidi"/>
                <w:b w:val="0"/>
                <w:kern w:val="2"/>
                <w:sz w:val="24"/>
                <w:szCs w:val="24"/>
                <w:highlight w:val="none"/>
                <w:lang w:val="en-US" w:eastAsia="zh-CN" w:bidi="ar-SA"/>
              </w:rPr>
              <w:t>58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21.8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/a。食堂废水经隔油处理后与其他生活污水暂存于化粪池，定期委托个人由吸污泵车拉运至</w:t>
            </w:r>
            <w:r>
              <w:rPr>
                <w:rFonts w:hint="eastAsia" w:cstheme="minorBidi"/>
                <w:b w:val="0"/>
                <w:kern w:val="2"/>
                <w:sz w:val="24"/>
                <w:szCs w:val="24"/>
                <w:highlight w:val="none"/>
                <w:lang w:val="en-US" w:eastAsia="zh-CN" w:bidi="ar-SA"/>
              </w:rPr>
              <w:t>吉木萨尔</w:t>
            </w:r>
            <w:r>
              <w:rPr>
                <w:rFonts w:hint="eastAsia" w:ascii="Times New Roman" w:hAnsi="Times New Roman" w:eastAsia="宋体" w:cstheme="minorBidi"/>
                <w:b w:val="0"/>
                <w:kern w:val="2"/>
                <w:sz w:val="24"/>
                <w:szCs w:val="24"/>
                <w:highlight w:val="none"/>
                <w:lang w:val="en-US" w:eastAsia="zh-CN" w:bidi="ar-SA"/>
              </w:rPr>
              <w:t>县污水处理厂处置。</w:t>
            </w:r>
          </w:p>
          <w:p w14:paraId="53F9BD4C">
            <w:pPr>
              <w:numPr>
                <w:ilvl w:val="0"/>
                <w:numId w:val="0"/>
              </w:numPr>
              <w:bidi w:val="0"/>
            </w:pPr>
            <w:r>
              <w:drawing>
                <wp:inline distT="0" distB="0" distL="114300" distR="114300">
                  <wp:extent cx="4732655" cy="2910840"/>
                  <wp:effectExtent l="0" t="0" r="698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3"/>
                          <a:stretch>
                            <a:fillRect/>
                          </a:stretch>
                        </pic:blipFill>
                        <pic:spPr>
                          <a:xfrm>
                            <a:off x="0" y="0"/>
                            <a:ext cx="4732655" cy="2910840"/>
                          </a:xfrm>
                          <a:prstGeom prst="rect">
                            <a:avLst/>
                          </a:prstGeom>
                          <a:noFill/>
                          <a:ln>
                            <a:noFill/>
                          </a:ln>
                        </pic:spPr>
                      </pic:pic>
                    </a:graphicData>
                  </a:graphic>
                </wp:inline>
              </w:drawing>
            </w:r>
          </w:p>
          <w:p w14:paraId="6DE8BB27">
            <w:pPr>
              <w:bidi w:val="0"/>
              <w:ind w:left="0" w:leftChars="0" w:firstLine="0" w:firstLineChars="0"/>
              <w:jc w:val="center"/>
              <w:rPr>
                <w:rFonts w:hint="eastAsia"/>
                <w:b/>
                <w:bCs/>
                <w:lang w:val="en-US" w:eastAsia="zh-CN"/>
              </w:rPr>
            </w:pPr>
            <w:r>
              <w:rPr>
                <w:rFonts w:hint="eastAsia"/>
                <w:b/>
                <w:bCs/>
                <w:lang w:val="en-US" w:eastAsia="zh-CN"/>
              </w:rPr>
              <w:t>图2-1 水平衡图（</w:t>
            </w:r>
            <w:r>
              <w:rPr>
                <w:rFonts w:hint="eastAsia" w:ascii="Times New Roman" w:hAnsi="Times New Roman" w:eastAsia="宋体" w:cstheme="minorBidi"/>
                <w:b/>
                <w:bCs/>
                <w:kern w:val="2"/>
                <w:sz w:val="24"/>
                <w:szCs w:val="24"/>
                <w:highlight w:val="none"/>
                <w:lang w:val="en-US" w:eastAsia="zh-CN" w:bidi="ar-SA"/>
              </w:rPr>
              <w:t>m</w:t>
            </w:r>
            <w:r>
              <w:rPr>
                <w:rFonts w:hint="eastAsia" w:ascii="Times New Roman" w:hAnsi="Times New Roman" w:eastAsia="宋体" w:cstheme="minorBidi"/>
                <w:b/>
                <w:bCs/>
                <w:kern w:val="2"/>
                <w:sz w:val="24"/>
                <w:szCs w:val="24"/>
                <w:highlight w:val="none"/>
                <w:vertAlign w:val="superscript"/>
                <w:lang w:val="en-US" w:eastAsia="zh-CN" w:bidi="ar-SA"/>
              </w:rPr>
              <w:t>3</w:t>
            </w:r>
            <w:r>
              <w:rPr>
                <w:rFonts w:hint="eastAsia" w:ascii="Times New Roman" w:hAnsi="Times New Roman" w:eastAsia="宋体" w:cstheme="minorBidi"/>
                <w:b/>
                <w:bCs/>
                <w:kern w:val="2"/>
                <w:sz w:val="24"/>
                <w:szCs w:val="24"/>
                <w:highlight w:val="none"/>
                <w:lang w:val="en-US" w:eastAsia="zh-CN" w:bidi="ar-SA"/>
              </w:rPr>
              <w:t>/d</w:t>
            </w:r>
            <w:r>
              <w:rPr>
                <w:rFonts w:hint="eastAsia"/>
                <w:b/>
                <w:bCs/>
                <w:lang w:val="en-US" w:eastAsia="zh-CN"/>
              </w:rPr>
              <w:t>）</w:t>
            </w:r>
          </w:p>
          <w:p w14:paraId="455A500F">
            <w:pPr>
              <w:numPr>
                <w:ilvl w:val="0"/>
                <w:numId w:val="0"/>
              </w:numPr>
              <w:bidi w:val="0"/>
              <w:ind w:left="0" w:leftChars="0" w:firstLine="0" w:firstLineChars="0"/>
              <w:rPr>
                <w:rFonts w:hint="eastAsia"/>
                <w:b/>
                <w:bCs/>
                <w:lang w:val="en-US" w:eastAsia="zh-CN"/>
              </w:rPr>
            </w:pPr>
            <w:r>
              <w:rPr>
                <w:rFonts w:hint="eastAsia" w:ascii="Times New Roman" w:hAnsi="Times New Roman" w:eastAsia="宋体" w:cstheme="minorBidi"/>
                <w:b/>
                <w:bCs/>
                <w:kern w:val="2"/>
                <w:sz w:val="24"/>
                <w:szCs w:val="24"/>
                <w:lang w:val="en-US" w:eastAsia="zh-CN" w:bidi="ar-SA"/>
              </w:rPr>
              <w:t>7.</w:t>
            </w:r>
            <w:r>
              <w:rPr>
                <w:rFonts w:hint="eastAsia"/>
                <w:b/>
                <w:bCs/>
                <w:lang w:val="en-US" w:eastAsia="zh-CN"/>
              </w:rPr>
              <w:t>物料平衡</w:t>
            </w:r>
          </w:p>
          <w:p w14:paraId="07A5D90D">
            <w:pPr>
              <w:numPr>
                <w:ilvl w:val="0"/>
                <w:numId w:val="0"/>
              </w:numPr>
              <w:bidi w:val="0"/>
            </w:pPr>
            <w:r>
              <w:drawing>
                <wp:inline distT="0" distB="0" distL="114300" distR="114300">
                  <wp:extent cx="4994275" cy="2964180"/>
                  <wp:effectExtent l="0" t="0" r="4445" b="762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4"/>
                          <a:stretch>
                            <a:fillRect/>
                          </a:stretch>
                        </pic:blipFill>
                        <pic:spPr>
                          <a:xfrm>
                            <a:off x="0" y="0"/>
                            <a:ext cx="4994275" cy="2964180"/>
                          </a:xfrm>
                          <a:prstGeom prst="rect">
                            <a:avLst/>
                          </a:prstGeom>
                          <a:noFill/>
                          <a:ln>
                            <a:noFill/>
                          </a:ln>
                        </pic:spPr>
                      </pic:pic>
                    </a:graphicData>
                  </a:graphic>
                </wp:inline>
              </w:drawing>
            </w:r>
          </w:p>
          <w:p w14:paraId="3C9788B5">
            <w:pPr>
              <w:bidi w:val="0"/>
              <w:ind w:left="0" w:leftChars="0" w:firstLine="0" w:firstLineChars="0"/>
              <w:jc w:val="center"/>
              <w:rPr>
                <w:rFonts w:hint="default"/>
                <w:lang w:val="en-US" w:eastAsia="zh-CN"/>
              </w:rPr>
            </w:pPr>
            <w:r>
              <w:rPr>
                <w:rFonts w:hint="eastAsia"/>
                <w:b/>
                <w:bCs/>
                <w:lang w:val="en-US" w:eastAsia="zh-CN"/>
              </w:rPr>
              <w:t>图2-2 物料平衡图（</w:t>
            </w:r>
            <w:r>
              <w:rPr>
                <w:rFonts w:hint="eastAsia" w:ascii="Times New Roman" w:hAnsi="Times New Roman" w:eastAsia="宋体" w:cstheme="minorBidi"/>
                <w:b/>
                <w:bCs/>
                <w:kern w:val="2"/>
                <w:sz w:val="24"/>
                <w:szCs w:val="24"/>
                <w:highlight w:val="none"/>
                <w:lang w:val="en-US" w:eastAsia="zh-CN" w:bidi="ar-SA"/>
              </w:rPr>
              <w:t>m</w:t>
            </w:r>
            <w:r>
              <w:rPr>
                <w:rFonts w:hint="eastAsia" w:ascii="Times New Roman" w:hAnsi="Times New Roman" w:eastAsia="宋体" w:cstheme="minorBidi"/>
                <w:b/>
                <w:bCs/>
                <w:kern w:val="2"/>
                <w:sz w:val="24"/>
                <w:szCs w:val="24"/>
                <w:highlight w:val="none"/>
                <w:vertAlign w:val="superscript"/>
                <w:lang w:val="en-US" w:eastAsia="zh-CN" w:bidi="ar-SA"/>
              </w:rPr>
              <w:t>3</w:t>
            </w:r>
            <w:r>
              <w:rPr>
                <w:rFonts w:hint="eastAsia" w:ascii="Times New Roman" w:hAnsi="Times New Roman" w:eastAsia="宋体" w:cstheme="minorBidi"/>
                <w:b/>
                <w:bCs/>
                <w:kern w:val="2"/>
                <w:sz w:val="24"/>
                <w:szCs w:val="24"/>
                <w:highlight w:val="none"/>
                <w:lang w:val="en-US" w:eastAsia="zh-CN" w:bidi="ar-SA"/>
              </w:rPr>
              <w:t>/d</w:t>
            </w:r>
            <w:r>
              <w:rPr>
                <w:rFonts w:hint="eastAsia"/>
                <w:b/>
                <w:bCs/>
                <w:lang w:val="en-US" w:eastAsia="zh-CN"/>
              </w:rPr>
              <w:t>）</w:t>
            </w:r>
          </w:p>
        </w:tc>
      </w:tr>
      <w:tr w14:paraId="5291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81" w:type="dxa"/>
            <w:vAlign w:val="center"/>
          </w:tcPr>
          <w:p w14:paraId="6657DC98">
            <w:pPr>
              <w:ind w:firstLine="0" w:firstLineChars="0"/>
              <w:jc w:val="center"/>
            </w:pPr>
            <w:r>
              <w:rPr>
                <w:rFonts w:hint="eastAsia"/>
              </w:rPr>
              <w:t>总平面及现场布置</w:t>
            </w:r>
          </w:p>
        </w:tc>
        <w:tc>
          <w:tcPr>
            <w:tcW w:w="8059" w:type="dxa"/>
            <w:vAlign w:val="center"/>
          </w:tcPr>
          <w:p w14:paraId="19CC2C0D">
            <w:pPr>
              <w:pStyle w:val="18"/>
              <w:widowControl/>
              <w:spacing w:beforeAutospacing="0" w:afterAutospacing="0"/>
              <w:ind w:left="0" w:leftChars="0" w:firstLine="0" w:firstLineChars="0"/>
            </w:pPr>
            <w:r>
              <w:rPr>
                <w:rFonts w:hint="default" w:ascii="宋体" w:hAnsi="宋体" w:eastAsia="宋体" w:cs="宋体"/>
                <w:b/>
                <w:kern w:val="2"/>
                <w:sz w:val="24"/>
                <w:szCs w:val="24"/>
                <w:lang w:val="en-US" w:eastAsia="zh-CN" w:bidi="ar-SA"/>
              </w:rPr>
              <w:t>1.</w:t>
            </w:r>
            <w:r>
              <w:rPr>
                <w:rFonts w:hint="eastAsia" w:ascii="宋体" w:hAnsi="宋体" w:cs="宋体"/>
                <w:b/>
                <w:kern w:val="2"/>
                <w:sz w:val="24"/>
                <w:szCs w:val="24"/>
                <w:lang w:val="en-US" w:eastAsia="zh-CN" w:bidi="ar-SA"/>
              </w:rPr>
              <w:t>工程平面布置</w:t>
            </w:r>
          </w:p>
          <w:p w14:paraId="7AD7143C">
            <w:pPr>
              <w:rPr>
                <w:b/>
                <w:bCs/>
              </w:rPr>
            </w:pPr>
            <w:r>
              <w:t>项目平面以节约用地、满足生产工艺、交通运输、安全防护的前提下进行布置：本项目</w:t>
            </w:r>
            <w:r>
              <w:rPr>
                <w:rFonts w:hint="eastAsia"/>
              </w:rPr>
              <w:t>矿山生活区位于南部</w:t>
            </w:r>
            <w:r>
              <w:t>，</w:t>
            </w:r>
            <w:r>
              <w:rPr>
                <w:lang w:val="en-US" w:eastAsia="zh-CN"/>
              </w:rPr>
              <w:t>现阶段矿区存在</w:t>
            </w:r>
            <w:r>
              <w:rPr>
                <w:rFonts w:hint="eastAsia"/>
                <w:lang w:val="en-US" w:eastAsia="zh-CN"/>
              </w:rPr>
              <w:t>1</w:t>
            </w:r>
            <w:r>
              <w:rPr>
                <w:lang w:val="en-US" w:eastAsia="zh-CN"/>
              </w:rPr>
              <w:t>料堆，</w:t>
            </w:r>
            <w:r>
              <w:rPr>
                <w:rFonts w:hint="eastAsia"/>
                <w:lang w:eastAsia="zh-CN"/>
              </w:rPr>
              <w:t>位于矿区南部</w:t>
            </w:r>
            <w:r>
              <w:rPr>
                <w:rFonts w:hint="eastAsia"/>
                <w:lang w:val="en-US" w:eastAsia="zh-CN"/>
              </w:rPr>
              <w:t>，水池位于矿区东南部，工业场地位于矿区北部。</w:t>
            </w:r>
            <w:r>
              <w:rPr>
                <w:rFonts w:hint="eastAsia"/>
              </w:rPr>
              <w:t>项目平面布置图见附图2。</w:t>
            </w:r>
          </w:p>
          <w:p w14:paraId="14E777FE">
            <w:pPr>
              <w:ind w:firstLine="48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综上所述，从环境保护角度，项目的平面布置是合理的。</w:t>
            </w:r>
          </w:p>
          <w:p w14:paraId="6FB89537">
            <w:pPr>
              <w:ind w:left="0" w:leftChars="0" w:firstLine="0" w:firstLineChars="0"/>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1.</w:t>
            </w:r>
            <w:r>
              <w:rPr>
                <w:rFonts w:hint="eastAsia" w:cs="Times New Roman" w:eastAsiaTheme="minorEastAsia"/>
                <w:b/>
                <w:bCs/>
                <w:lang w:val="en-US" w:eastAsia="zh-CN"/>
              </w:rPr>
              <w:t>1</w:t>
            </w:r>
            <w:r>
              <w:rPr>
                <w:rFonts w:hint="default" w:ascii="Times New Roman" w:hAnsi="Times New Roman" w:cs="Times New Roman" w:eastAsiaTheme="minorEastAsia"/>
                <w:b/>
                <w:bCs/>
                <w:lang w:val="en-US" w:eastAsia="zh-CN"/>
              </w:rPr>
              <w:t>规划地面布局</w:t>
            </w:r>
          </w:p>
          <w:p w14:paraId="46095187">
            <w:pP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规划总露天采场为矿区范围，面积</w:t>
            </w:r>
            <w:r>
              <w:rPr>
                <w:rFonts w:hint="eastAsia" w:cs="Times New Roman" w:eastAsiaTheme="minorEastAsia"/>
                <w:lang w:val="en-US" w:eastAsia="zh-CN"/>
              </w:rPr>
              <w:t>0.196k</w:t>
            </w:r>
            <w:r>
              <w:rPr>
                <w:rFonts w:hint="default" w:ascii="Times New Roman" w:hAnsi="Times New Roman" w:cs="Times New Roman" w:eastAsiaTheme="minorEastAsia"/>
                <w:lang w:val="en-US" w:eastAsia="zh-CN"/>
              </w:rPr>
              <w:t>m</w:t>
            </w:r>
            <w:r>
              <w:rPr>
                <w:rFonts w:hint="default" w:ascii="Times New Roman" w:hAnsi="Times New Roman" w:cs="Times New Roman" w:eastAsiaTheme="minorEastAsia"/>
                <w:vertAlign w:val="superscript"/>
                <w:lang w:val="en-US" w:eastAsia="zh-CN"/>
              </w:rPr>
              <w:t>2</w:t>
            </w:r>
            <w:r>
              <w:rPr>
                <w:rFonts w:hint="default" w:ascii="Times New Roman" w:hAnsi="Times New Roman" w:cs="Times New Roman" w:eastAsiaTheme="minorEastAsia"/>
                <w:lang w:val="en-US" w:eastAsia="zh-CN"/>
              </w:rPr>
              <w:t>，采深15m，最终边坡角45</w:t>
            </w:r>
            <w:r>
              <w:rPr>
                <w:rFonts w:hint="default" w:ascii="Times New Roman" w:hAnsi="Times New Roman" w:cs="Times New Roman" w:eastAsiaTheme="minorEastAsia"/>
                <w:vertAlign w:val="superscript"/>
                <w:lang w:val="en-US" w:eastAsia="zh-CN"/>
              </w:rPr>
              <w:t>。</w:t>
            </w:r>
            <w:r>
              <w:rPr>
                <w:rFonts w:hint="default" w:ascii="Times New Roman" w:hAnsi="Times New Roman" w:cs="Times New Roman" w:eastAsiaTheme="minorEastAsia"/>
                <w:lang w:val="en-US" w:eastAsia="zh-CN"/>
              </w:rPr>
              <w:t>采用自上而下分层台阶式开采，分三个台阶，台阶高度5m，台阶间预留5m的安全平台。</w:t>
            </w:r>
          </w:p>
          <w:p w14:paraId="470B4CE2">
            <w:pPr>
              <w:ind w:left="0" w:leftChars="0" w:firstLine="0" w:firstLineChars="0"/>
              <w:rPr>
                <w:rFonts w:hint="default"/>
                <w:lang w:val="en-US"/>
              </w:rPr>
            </w:pPr>
          </w:p>
        </w:tc>
      </w:tr>
      <w:tr w14:paraId="709D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481" w:type="dxa"/>
            <w:vAlign w:val="center"/>
          </w:tcPr>
          <w:p w14:paraId="201EC421">
            <w:pPr>
              <w:ind w:firstLine="0" w:firstLineChars="0"/>
              <w:jc w:val="center"/>
            </w:pPr>
            <w:r>
              <w:rPr>
                <w:rFonts w:hint="eastAsia"/>
              </w:rPr>
              <w:t>施工方案</w:t>
            </w:r>
          </w:p>
        </w:tc>
        <w:tc>
          <w:tcPr>
            <w:tcW w:w="8059" w:type="dxa"/>
            <w:vAlign w:val="center"/>
          </w:tcPr>
          <w:p w14:paraId="595077D1">
            <w:pPr>
              <w:bidi w:val="0"/>
              <w:ind w:left="0" w:leftChars="0" w:firstLine="0" w:firstLineChars="0"/>
              <w:rPr>
                <w:b/>
                <w:bCs/>
              </w:rPr>
            </w:pPr>
            <w:r>
              <w:rPr>
                <w:rFonts w:hint="default"/>
                <w:b/>
                <w:bCs/>
                <w:lang w:val="en-US" w:eastAsia="zh-CN"/>
              </w:rPr>
              <w:t>1.</w:t>
            </w:r>
            <w:r>
              <w:rPr>
                <w:b/>
                <w:bCs/>
                <w:lang w:val="en-US" w:eastAsia="zh-CN"/>
              </w:rPr>
              <w:t>开采方式</w:t>
            </w:r>
          </w:p>
          <w:p w14:paraId="227549B4">
            <w:pPr>
              <w:bidi w:val="0"/>
              <w:rPr>
                <w:rFonts w:hint="default"/>
                <w:lang w:val="en-US" w:eastAsia="zh-CN"/>
              </w:rPr>
            </w:pPr>
            <w:r>
              <w:rPr>
                <w:rFonts w:hint="default"/>
                <w:lang w:val="en-US" w:eastAsia="zh-CN"/>
              </w:rPr>
              <w:t>根据矿山地形地质条件、矿山建设规模及机械化程度，为确保安全生产，提高资源利用率，设计采用自上而下水平分层台阶式</w:t>
            </w:r>
            <w:r>
              <w:rPr>
                <w:rFonts w:hint="eastAsia"/>
                <w:lang w:val="en-US" w:eastAsia="zh-CN"/>
              </w:rPr>
              <w:t>同时湿法进行</w:t>
            </w:r>
            <w:r>
              <w:rPr>
                <w:rFonts w:hint="default"/>
                <w:lang w:val="en-US" w:eastAsia="zh-CN"/>
              </w:rPr>
              <w:t>开采</w:t>
            </w:r>
            <w:r>
              <w:rPr>
                <w:rFonts w:hint="eastAsia"/>
                <w:lang w:val="en-US" w:eastAsia="zh-CN"/>
              </w:rPr>
              <w:t>的</w:t>
            </w:r>
            <w:r>
              <w:rPr>
                <w:rFonts w:hint="default"/>
                <w:lang w:val="en-US" w:eastAsia="zh-CN"/>
              </w:rPr>
              <w:t>方法。根据《金属非金属露天矿山安全规程》（GB16423-2020）5.2.1：松软的岩土采掘作业方式采用机械铲装，不爆破，阶段高度不大于机械的最大挖掘高度，因此共设置3层台阶，台阶高度5m，台阶间预留5m的安全平台，满足生产安全需要。设计最终台段坡面角为45°</w:t>
            </w:r>
            <w:r>
              <w:rPr>
                <w:rFonts w:hint="eastAsia"/>
                <w:lang w:val="en-US" w:eastAsia="zh-CN"/>
              </w:rPr>
              <w:t>，</w:t>
            </w:r>
            <w:r>
              <w:rPr>
                <w:rFonts w:hint="default" w:ascii="Times New Roman" w:hAnsi="Times New Roman" w:cs="Times New Roman" w:eastAsiaTheme="minorEastAsia"/>
                <w:lang w:val="en-US" w:eastAsia="zh-CN"/>
              </w:rPr>
              <w:t>采深15m</w:t>
            </w:r>
            <w:r>
              <w:rPr>
                <w:rFonts w:hint="eastAsia" w:cs="Times New Roman" w:eastAsiaTheme="minorEastAsia"/>
                <w:lang w:val="en-US" w:eastAsia="zh-CN"/>
              </w:rPr>
              <w:t>。</w:t>
            </w:r>
            <w:r>
              <w:rPr>
                <w:rFonts w:hint="default"/>
                <w:lang w:val="en-US" w:eastAsia="zh-CN"/>
              </w:rPr>
              <w:t>开采完成后，利用废石逐步回填采坑，覆盖剥离的表土进行生态恢复。其中老采坑将由</w:t>
            </w:r>
            <w:r>
              <w:rPr>
                <w:rFonts w:hint="eastAsia" w:eastAsia="宋体"/>
                <w:lang w:eastAsia="zh-CN"/>
              </w:rPr>
              <w:t>吉木萨尔县三台镇创业砂石料厂</w:t>
            </w:r>
            <w:r>
              <w:rPr>
                <w:rFonts w:hint="default"/>
                <w:lang w:val="en-US" w:eastAsia="zh-CN"/>
              </w:rPr>
              <w:t>进行生态治理及复垦。</w:t>
            </w:r>
          </w:p>
          <w:p w14:paraId="354224D5">
            <w:pPr>
              <w:bidi w:val="0"/>
              <w:rPr>
                <w:rFonts w:hint="default"/>
                <w:lang w:val="en-US" w:eastAsia="zh-CN"/>
              </w:rPr>
            </w:pPr>
            <w:r>
              <w:rPr>
                <w:rFonts w:hint="eastAsia"/>
                <w:lang w:val="en-US" w:eastAsia="zh-CN"/>
              </w:rPr>
              <w:t>本次环评提出要求建设单位在开采时进行“边开采，边复垦”的开采方式，减少对生态的破坏。</w:t>
            </w:r>
          </w:p>
          <w:p w14:paraId="20CA9F34">
            <w:pPr>
              <w:bidi w:val="0"/>
              <w:ind w:left="0" w:leftChars="0" w:firstLine="0" w:firstLineChars="0"/>
              <w:rPr>
                <w:b/>
                <w:bCs/>
              </w:rPr>
            </w:pPr>
            <w:r>
              <w:rPr>
                <w:rFonts w:hint="default"/>
                <w:b/>
                <w:bCs/>
                <w:lang w:val="en-US" w:eastAsia="zh-CN"/>
              </w:rPr>
              <w:t>2.</w:t>
            </w:r>
            <w:r>
              <w:rPr>
                <w:b/>
                <w:bCs/>
                <w:lang w:val="en-US" w:eastAsia="zh-CN"/>
              </w:rPr>
              <w:t>开拓运输方案</w:t>
            </w:r>
          </w:p>
          <w:p w14:paraId="0E7E2059">
            <w:pPr>
              <w:bidi w:val="0"/>
            </w:pPr>
            <w:r>
              <w:rPr>
                <w:lang w:val="en-US" w:eastAsia="zh-CN"/>
              </w:rPr>
              <w:t>设计采用公路开拓汽车运输的方案。运输线路采用双向单车道设计，运输车车身宽度为</w:t>
            </w:r>
            <w:r>
              <w:rPr>
                <w:rFonts w:hint="default"/>
                <w:lang w:val="en-US" w:eastAsia="zh-CN"/>
              </w:rPr>
              <w:t>2.55m</w:t>
            </w:r>
            <w:r>
              <w:rPr>
                <w:lang w:val="en-US" w:eastAsia="zh-CN"/>
              </w:rPr>
              <w:t>，因此运输线路路面宽度设计为</w:t>
            </w:r>
            <w:r>
              <w:rPr>
                <w:rFonts w:hint="default"/>
                <w:lang w:val="en-US" w:eastAsia="zh-CN"/>
              </w:rPr>
              <w:t>6m</w:t>
            </w:r>
            <w:r>
              <w:rPr>
                <w:lang w:val="en-US" w:eastAsia="zh-CN"/>
              </w:rPr>
              <w:t>，路基设计宽度为</w:t>
            </w:r>
            <w:r>
              <w:rPr>
                <w:rFonts w:hint="default"/>
                <w:lang w:val="en-US" w:eastAsia="zh-CN"/>
              </w:rPr>
              <w:t>8</w:t>
            </w:r>
            <w:r>
              <w:rPr>
                <w:lang w:val="en-US" w:eastAsia="zh-CN"/>
              </w:rPr>
              <w:t>米</w:t>
            </w:r>
            <w:r>
              <w:rPr>
                <w:rFonts w:hint="default"/>
                <w:lang w:val="en-US" w:eastAsia="zh-CN"/>
              </w:rPr>
              <w:t>m</w:t>
            </w:r>
            <w:r>
              <w:rPr>
                <w:lang w:val="en-US" w:eastAsia="zh-CN"/>
              </w:rPr>
              <w:t>。</w:t>
            </w:r>
          </w:p>
          <w:p w14:paraId="694ECBF0">
            <w:pPr>
              <w:bidi w:val="0"/>
              <w:ind w:left="0" w:leftChars="0" w:firstLine="0" w:firstLineChars="0"/>
              <w:rPr>
                <w:b/>
                <w:bCs/>
              </w:rPr>
            </w:pPr>
            <w:r>
              <w:rPr>
                <w:rFonts w:hint="default"/>
                <w:b/>
                <w:bCs/>
                <w:lang w:val="en-US" w:eastAsia="zh-CN"/>
              </w:rPr>
              <w:t>3.</w:t>
            </w:r>
            <w:r>
              <w:rPr>
                <w:b/>
                <w:bCs/>
                <w:lang w:val="en-US" w:eastAsia="zh-CN"/>
              </w:rPr>
              <w:t>采矿方法</w:t>
            </w:r>
          </w:p>
          <w:p w14:paraId="1E6A6C38">
            <w:pPr>
              <w:bidi w:val="0"/>
            </w:pPr>
            <w:r>
              <w:rPr>
                <w:lang w:val="en-US" w:eastAsia="zh-CN"/>
              </w:rPr>
              <w:t>根据矿山地形地质条件、矿山建设规模及机械化程度，为确保安全生产，提高资源利用率，设计由东往西露天开采，采用自上而下水平分层台阶式挖掘机开采的方法，对采场表面覆土层经挖掘机剥离、运输车拉运至排土场，等矿山闭坑回填之后覆盖在采坑之上。开采沿山坡地形等高线，严格按自上而下的工序逐级布置工作台阶。先开采上部水平，用挖掘机挖掘后，装载机装运至筛分场，第一台阶开采完毕，进行下一台阶的开采。不允许在上阶段未开采剥离的情况下就开采下部矿层，最终边坡角小于等于</w:t>
            </w:r>
            <w:r>
              <w:rPr>
                <w:rFonts w:hint="default"/>
                <w:lang w:val="en-US" w:eastAsia="zh-CN"/>
              </w:rPr>
              <w:t>45°</w:t>
            </w:r>
          </w:p>
          <w:p w14:paraId="4E8F0A43">
            <w:pPr>
              <w:numPr>
                <w:ilvl w:val="0"/>
                <w:numId w:val="0"/>
              </w:numPr>
              <w:bidi w:val="0"/>
              <w:ind w:left="0" w:leftChars="0" w:firstLine="0" w:firstLineChars="0"/>
              <w:rPr>
                <w:rFonts w:hint="eastAsia" w:ascii="Times New Roman" w:hAnsi="Times New Roman" w:eastAsia="宋体"/>
                <w:b/>
                <w:bCs/>
                <w:lang w:val="en-US" w:eastAsia="zh-CN"/>
              </w:rPr>
            </w:pPr>
            <w:r>
              <w:rPr>
                <w:rFonts w:hint="eastAsia" w:ascii="Times New Roman" w:hAnsi="Times New Roman" w:eastAsia="宋体" w:cstheme="minorBidi"/>
                <w:b/>
                <w:bCs/>
                <w:kern w:val="2"/>
                <w:sz w:val="24"/>
                <w:szCs w:val="24"/>
                <w:lang w:val="en-US" w:eastAsia="zh-CN" w:bidi="ar-SA"/>
              </w:rPr>
              <w:t>4.</w:t>
            </w:r>
            <w:r>
              <w:rPr>
                <w:rFonts w:hint="eastAsia" w:ascii="Times New Roman" w:hAnsi="Times New Roman" w:eastAsia="宋体"/>
                <w:b/>
                <w:bCs/>
                <w:lang w:val="en-US" w:eastAsia="zh-CN"/>
              </w:rPr>
              <w:t>运营期工艺流程</w:t>
            </w:r>
          </w:p>
          <w:p w14:paraId="497247E2">
            <w:pPr>
              <w:widowControl/>
              <w:ind w:firstLine="480"/>
            </w:pPr>
            <w:r>
              <w:rPr>
                <w:rFonts w:hint="eastAsia"/>
                <w:lang w:eastAsia="zh-CN"/>
              </w:rPr>
              <w:t>开采的碎石</w:t>
            </w:r>
            <w:r>
              <w:rPr>
                <w:rFonts w:hint="eastAsia"/>
              </w:rPr>
              <w:t>进入原料库房暂存，由铲车装入给料机，</w:t>
            </w:r>
            <w:r>
              <w:rPr>
                <w:rFonts w:hint="eastAsia"/>
                <w:lang w:eastAsia="zh-CN"/>
              </w:rPr>
              <w:t>经密闭式输送带进行</w:t>
            </w:r>
            <w:r>
              <w:rPr>
                <w:rFonts w:hint="eastAsia"/>
              </w:rPr>
              <w:t>筛分机进行</w:t>
            </w:r>
            <w:r>
              <w:rPr>
                <w:rFonts w:hint="eastAsia"/>
                <w:lang w:eastAsia="zh-CN"/>
              </w:rPr>
              <w:t>三级</w:t>
            </w:r>
            <w:r>
              <w:rPr>
                <w:rFonts w:hint="eastAsia"/>
              </w:rPr>
              <w:t>筛分，筛分后的</w:t>
            </w:r>
            <w:r>
              <w:rPr>
                <w:rFonts w:hint="eastAsia"/>
                <w:lang w:eastAsia="zh-CN"/>
              </w:rPr>
              <w:t>＜5mm砂石</w:t>
            </w:r>
            <w:r>
              <w:rPr>
                <w:rFonts w:hint="eastAsia"/>
              </w:rPr>
              <w:t>进行清洗，经水洗后由送往成品库，</w:t>
            </w:r>
            <w:r>
              <w:rPr>
                <w:rFonts w:hint="eastAsia"/>
                <w:lang w:eastAsia="zh-CN"/>
              </w:rPr>
              <w:t>符合规格的碎石在筛分后送往成品库房，最终产品进行自用和外售</w:t>
            </w:r>
            <w:r>
              <w:rPr>
                <w:rFonts w:hint="eastAsia"/>
              </w:rPr>
              <w:t>。运营</w:t>
            </w:r>
            <w:r>
              <w:rPr>
                <w:rFonts w:hint="eastAsia"/>
                <w:lang w:eastAsia="zh-CN"/>
              </w:rPr>
              <w:t>期</w:t>
            </w:r>
            <w:r>
              <w:rPr>
                <w:rFonts w:hint="eastAsia"/>
              </w:rPr>
              <w:t>工艺流程图见</w:t>
            </w:r>
            <w:r>
              <w:rPr>
                <w:rFonts w:hint="eastAsia"/>
                <w:lang w:eastAsia="zh-CN"/>
              </w:rPr>
              <w:t>下图</w:t>
            </w:r>
            <w:r>
              <w:rPr>
                <w:rFonts w:hint="eastAsia"/>
              </w:rPr>
              <w:t>。</w:t>
            </w:r>
          </w:p>
          <w:p w14:paraId="20D44DAE">
            <w:pPr>
              <w:numPr>
                <w:ilvl w:val="0"/>
                <w:numId w:val="0"/>
              </w:numPr>
              <w:bidi w:val="0"/>
              <w:rPr>
                <w:rFonts w:hint="default"/>
                <w:lang w:val="en-US" w:eastAsia="zh-CN"/>
              </w:rPr>
            </w:pPr>
            <w:r>
              <w:rPr>
                <w:rFonts w:hint="eastAsia"/>
                <w:lang w:val="en-US" w:eastAsia="zh-CN"/>
              </w:rPr>
              <w:t xml:space="preserve"> </w:t>
            </w:r>
            <w:r>
              <w:drawing>
                <wp:inline distT="0" distB="0" distL="114300" distR="114300">
                  <wp:extent cx="4884420" cy="2367915"/>
                  <wp:effectExtent l="0" t="0" r="7620"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5"/>
                          <a:stretch>
                            <a:fillRect/>
                          </a:stretch>
                        </pic:blipFill>
                        <pic:spPr>
                          <a:xfrm>
                            <a:off x="0" y="0"/>
                            <a:ext cx="4884420" cy="2367915"/>
                          </a:xfrm>
                          <a:prstGeom prst="rect">
                            <a:avLst/>
                          </a:prstGeom>
                          <a:noFill/>
                          <a:ln>
                            <a:noFill/>
                          </a:ln>
                        </pic:spPr>
                      </pic:pic>
                    </a:graphicData>
                  </a:graphic>
                </wp:inline>
              </w:drawing>
            </w:r>
          </w:p>
          <w:p w14:paraId="1C811D36">
            <w:pPr>
              <w:bidi w:val="0"/>
              <w:ind w:left="0" w:leftChars="0" w:firstLine="0" w:firstLineChars="0"/>
              <w:jc w:val="center"/>
              <w:rPr>
                <w:rFonts w:hint="eastAsia"/>
                <w:b/>
                <w:bCs/>
                <w:lang w:val="en-US" w:eastAsia="zh-CN"/>
              </w:rPr>
            </w:pPr>
            <w:r>
              <w:rPr>
                <w:rFonts w:hint="eastAsia"/>
                <w:b/>
                <w:bCs/>
                <w:lang w:val="en-US" w:eastAsia="zh-CN"/>
              </w:rPr>
              <w:t>图2-1 运营期工艺流程</w:t>
            </w:r>
          </w:p>
          <w:p w14:paraId="1CD81F64">
            <w:pPr>
              <w:pStyle w:val="8"/>
              <w:ind w:left="0" w:leftChars="0" w:firstLine="0" w:firstLineChars="0"/>
              <w:jc w:val="center"/>
              <w:rPr>
                <w:b/>
                <w:sz w:val="24"/>
              </w:rPr>
            </w:pPr>
            <w:r>
              <w:rPr>
                <w:rFonts w:hint="eastAsia"/>
                <w:b/>
                <w:sz w:val="24"/>
              </w:rPr>
              <w:t>表2-5</w:t>
            </w:r>
            <w:r>
              <w:rPr>
                <w:rFonts w:hint="eastAsia"/>
                <w:b/>
                <w:sz w:val="24"/>
                <w:lang w:val="en-US" w:eastAsia="zh-CN"/>
              </w:rPr>
              <w:t xml:space="preserve">  </w:t>
            </w:r>
            <w:r>
              <w:rPr>
                <w:rFonts w:hint="eastAsia"/>
                <w:b/>
                <w:sz w:val="24"/>
              </w:rPr>
              <w:t>主要产污环节和排污特征</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3668"/>
              <w:gridCol w:w="3126"/>
            </w:tblGrid>
            <w:tr w14:paraId="08DD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Align w:val="center"/>
                </w:tcPr>
                <w:p w14:paraId="79AA99FE">
                  <w:pPr>
                    <w:spacing w:line="240" w:lineRule="auto"/>
                    <w:ind w:firstLine="0" w:firstLineChars="0"/>
                    <w:jc w:val="center"/>
                    <w:rPr>
                      <w:b/>
                      <w:bCs/>
                      <w:sz w:val="21"/>
                      <w:szCs w:val="21"/>
                    </w:rPr>
                  </w:pPr>
                  <w:r>
                    <w:rPr>
                      <w:b/>
                      <w:bCs/>
                      <w:sz w:val="21"/>
                      <w:szCs w:val="21"/>
                    </w:rPr>
                    <w:t>类别</w:t>
                  </w:r>
                </w:p>
              </w:tc>
              <w:tc>
                <w:tcPr>
                  <w:tcW w:w="2333" w:type="pct"/>
                  <w:vAlign w:val="center"/>
                </w:tcPr>
                <w:p w14:paraId="2AC45418">
                  <w:pPr>
                    <w:spacing w:line="240" w:lineRule="auto"/>
                    <w:ind w:firstLine="0" w:firstLineChars="0"/>
                    <w:jc w:val="center"/>
                    <w:rPr>
                      <w:b/>
                      <w:bCs/>
                      <w:sz w:val="21"/>
                      <w:szCs w:val="21"/>
                    </w:rPr>
                  </w:pPr>
                  <w:r>
                    <w:rPr>
                      <w:b/>
                      <w:bCs/>
                      <w:sz w:val="21"/>
                      <w:szCs w:val="21"/>
                    </w:rPr>
                    <w:t>种类</w:t>
                  </w:r>
                </w:p>
              </w:tc>
              <w:tc>
                <w:tcPr>
                  <w:tcW w:w="1988" w:type="pct"/>
                  <w:vAlign w:val="center"/>
                </w:tcPr>
                <w:p w14:paraId="65C352CC">
                  <w:pPr>
                    <w:spacing w:line="240" w:lineRule="auto"/>
                    <w:ind w:firstLine="0" w:firstLineChars="0"/>
                    <w:jc w:val="center"/>
                    <w:rPr>
                      <w:b/>
                      <w:bCs/>
                      <w:sz w:val="21"/>
                      <w:szCs w:val="21"/>
                    </w:rPr>
                  </w:pPr>
                  <w:r>
                    <w:rPr>
                      <w:b/>
                      <w:bCs/>
                      <w:sz w:val="21"/>
                      <w:szCs w:val="21"/>
                    </w:rPr>
                    <w:t>污染物</w:t>
                  </w:r>
                </w:p>
              </w:tc>
            </w:tr>
            <w:tr w14:paraId="4DB0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09CB6C6C">
                  <w:pPr>
                    <w:pStyle w:val="45"/>
                    <w:spacing w:line="240" w:lineRule="auto"/>
                    <w:ind w:firstLine="0" w:firstLineChars="0"/>
                    <w:rPr>
                      <w:sz w:val="21"/>
                      <w:szCs w:val="21"/>
                      <w:lang w:val="en-US"/>
                    </w:rPr>
                  </w:pPr>
                  <w:r>
                    <w:rPr>
                      <w:sz w:val="21"/>
                      <w:szCs w:val="21"/>
                    </w:rPr>
                    <w:t>废气</w:t>
                  </w:r>
                </w:p>
              </w:tc>
              <w:tc>
                <w:tcPr>
                  <w:tcW w:w="2333" w:type="pct"/>
                  <w:vAlign w:val="center"/>
                </w:tcPr>
                <w:p w14:paraId="6514D785">
                  <w:pPr>
                    <w:pStyle w:val="17"/>
                    <w:spacing w:after="0" w:line="240" w:lineRule="auto"/>
                    <w:ind w:firstLine="0" w:firstLineChars="0"/>
                    <w:jc w:val="center"/>
                    <w:rPr>
                      <w:sz w:val="21"/>
                      <w:szCs w:val="21"/>
                      <w:lang w:val="en-US"/>
                    </w:rPr>
                  </w:pPr>
                  <w:r>
                    <w:rPr>
                      <w:rFonts w:hint="eastAsia"/>
                      <w:sz w:val="21"/>
                      <w:szCs w:val="21"/>
                    </w:rPr>
                    <w:t>原料堆场粉尘</w:t>
                  </w:r>
                </w:p>
              </w:tc>
              <w:tc>
                <w:tcPr>
                  <w:tcW w:w="1988" w:type="pct"/>
                  <w:vMerge w:val="restart"/>
                  <w:vAlign w:val="center"/>
                </w:tcPr>
                <w:p w14:paraId="0CEDEC37">
                  <w:pPr>
                    <w:pStyle w:val="45"/>
                    <w:spacing w:line="240" w:lineRule="auto"/>
                    <w:ind w:firstLine="0" w:firstLineChars="0"/>
                    <w:jc w:val="center"/>
                    <w:rPr>
                      <w:sz w:val="21"/>
                      <w:szCs w:val="21"/>
                      <w:lang w:val="en-US"/>
                    </w:rPr>
                  </w:pPr>
                  <w:r>
                    <w:rPr>
                      <w:sz w:val="21"/>
                      <w:szCs w:val="21"/>
                    </w:rPr>
                    <w:t>颗粒物</w:t>
                  </w:r>
                </w:p>
              </w:tc>
            </w:tr>
            <w:tr w14:paraId="464B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2BFBB6E7">
                  <w:pPr>
                    <w:pStyle w:val="8"/>
                    <w:spacing w:after="0" w:line="240" w:lineRule="auto"/>
                    <w:ind w:firstLine="420"/>
                    <w:jc w:val="center"/>
                    <w:rPr>
                      <w:sz w:val="21"/>
                      <w:szCs w:val="21"/>
                    </w:rPr>
                  </w:pPr>
                </w:p>
              </w:tc>
              <w:tc>
                <w:tcPr>
                  <w:tcW w:w="2333" w:type="pct"/>
                  <w:vAlign w:val="center"/>
                </w:tcPr>
                <w:p w14:paraId="7EF0B500">
                  <w:pPr>
                    <w:pStyle w:val="17"/>
                    <w:spacing w:after="0" w:line="240" w:lineRule="auto"/>
                    <w:ind w:firstLine="0" w:firstLineChars="0"/>
                    <w:jc w:val="center"/>
                    <w:rPr>
                      <w:sz w:val="21"/>
                      <w:szCs w:val="21"/>
                      <w:lang w:val="en-US"/>
                    </w:rPr>
                  </w:pPr>
                  <w:r>
                    <w:rPr>
                      <w:rFonts w:hint="eastAsia"/>
                      <w:sz w:val="21"/>
                      <w:szCs w:val="21"/>
                    </w:rPr>
                    <w:t>投料粉尘</w:t>
                  </w:r>
                </w:p>
              </w:tc>
              <w:tc>
                <w:tcPr>
                  <w:tcW w:w="1988" w:type="pct"/>
                  <w:vMerge w:val="continue"/>
                  <w:vAlign w:val="center"/>
                </w:tcPr>
                <w:p w14:paraId="15DEC7FC">
                  <w:pPr>
                    <w:pStyle w:val="45"/>
                    <w:spacing w:line="240" w:lineRule="auto"/>
                    <w:ind w:firstLine="0" w:firstLineChars="0"/>
                    <w:jc w:val="center"/>
                    <w:rPr>
                      <w:sz w:val="21"/>
                      <w:szCs w:val="21"/>
                      <w:lang w:val="en-US"/>
                    </w:rPr>
                  </w:pPr>
                </w:p>
              </w:tc>
            </w:tr>
            <w:tr w14:paraId="6D5D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1528EFEF">
                  <w:pPr>
                    <w:pStyle w:val="8"/>
                    <w:spacing w:after="0" w:line="240" w:lineRule="auto"/>
                    <w:ind w:firstLine="420"/>
                    <w:jc w:val="center"/>
                    <w:rPr>
                      <w:sz w:val="21"/>
                      <w:szCs w:val="21"/>
                    </w:rPr>
                  </w:pPr>
                </w:p>
              </w:tc>
              <w:tc>
                <w:tcPr>
                  <w:tcW w:w="2333" w:type="pct"/>
                  <w:vAlign w:val="center"/>
                </w:tcPr>
                <w:p w14:paraId="6129807B">
                  <w:pPr>
                    <w:pStyle w:val="17"/>
                    <w:spacing w:after="0" w:line="240" w:lineRule="auto"/>
                    <w:ind w:firstLine="0" w:firstLineChars="0"/>
                    <w:jc w:val="center"/>
                    <w:rPr>
                      <w:sz w:val="21"/>
                      <w:szCs w:val="21"/>
                    </w:rPr>
                  </w:pPr>
                  <w:r>
                    <w:rPr>
                      <w:rFonts w:hint="eastAsia"/>
                      <w:color w:val="000000"/>
                      <w:sz w:val="21"/>
                      <w:szCs w:val="21"/>
                      <w:highlight w:val="none"/>
                    </w:rPr>
                    <w:t>筛分粉尘</w:t>
                  </w:r>
                </w:p>
              </w:tc>
              <w:tc>
                <w:tcPr>
                  <w:tcW w:w="1988" w:type="pct"/>
                  <w:vMerge w:val="continue"/>
                  <w:vAlign w:val="center"/>
                </w:tcPr>
                <w:p w14:paraId="60122DFC">
                  <w:pPr>
                    <w:pStyle w:val="45"/>
                    <w:spacing w:line="240" w:lineRule="auto"/>
                    <w:ind w:firstLine="0" w:firstLineChars="0"/>
                    <w:jc w:val="center"/>
                    <w:rPr>
                      <w:sz w:val="21"/>
                      <w:szCs w:val="21"/>
                    </w:rPr>
                  </w:pPr>
                </w:p>
              </w:tc>
            </w:tr>
            <w:tr w14:paraId="5910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4ECDFFF0">
                  <w:pPr>
                    <w:pStyle w:val="8"/>
                    <w:spacing w:after="0" w:line="240" w:lineRule="auto"/>
                    <w:ind w:firstLine="420"/>
                    <w:jc w:val="center"/>
                    <w:rPr>
                      <w:sz w:val="21"/>
                      <w:szCs w:val="21"/>
                    </w:rPr>
                  </w:pPr>
                </w:p>
              </w:tc>
              <w:tc>
                <w:tcPr>
                  <w:tcW w:w="2333" w:type="pct"/>
                  <w:vAlign w:val="center"/>
                </w:tcPr>
                <w:p w14:paraId="3EB8F51D">
                  <w:pPr>
                    <w:pStyle w:val="17"/>
                    <w:spacing w:after="0" w:line="240" w:lineRule="auto"/>
                    <w:ind w:firstLine="0" w:firstLineChars="0"/>
                    <w:jc w:val="center"/>
                    <w:rPr>
                      <w:sz w:val="21"/>
                      <w:szCs w:val="21"/>
                    </w:rPr>
                  </w:pPr>
                  <w:r>
                    <w:rPr>
                      <w:rFonts w:hint="eastAsia"/>
                      <w:color w:val="000000"/>
                      <w:sz w:val="21"/>
                      <w:szCs w:val="21"/>
                    </w:rPr>
                    <w:t>物料转运及装卸扬尘</w:t>
                  </w:r>
                </w:p>
              </w:tc>
              <w:tc>
                <w:tcPr>
                  <w:tcW w:w="1988" w:type="pct"/>
                  <w:vMerge w:val="continue"/>
                  <w:vAlign w:val="center"/>
                </w:tcPr>
                <w:p w14:paraId="0280D7C1">
                  <w:pPr>
                    <w:pStyle w:val="45"/>
                    <w:spacing w:line="240" w:lineRule="auto"/>
                    <w:ind w:firstLine="0" w:firstLineChars="0"/>
                    <w:jc w:val="center"/>
                    <w:rPr>
                      <w:sz w:val="21"/>
                      <w:szCs w:val="21"/>
                    </w:rPr>
                  </w:pPr>
                </w:p>
              </w:tc>
            </w:tr>
            <w:tr w14:paraId="279D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497CE15D">
                  <w:pPr>
                    <w:pStyle w:val="8"/>
                    <w:spacing w:after="0" w:line="240" w:lineRule="auto"/>
                    <w:ind w:firstLine="420"/>
                    <w:jc w:val="center"/>
                    <w:rPr>
                      <w:sz w:val="21"/>
                      <w:szCs w:val="21"/>
                    </w:rPr>
                  </w:pPr>
                </w:p>
              </w:tc>
              <w:tc>
                <w:tcPr>
                  <w:tcW w:w="2333" w:type="pct"/>
                  <w:vAlign w:val="center"/>
                </w:tcPr>
                <w:p w14:paraId="1449E76B">
                  <w:pPr>
                    <w:pStyle w:val="17"/>
                    <w:spacing w:after="0" w:line="240" w:lineRule="auto"/>
                    <w:ind w:firstLine="0" w:firstLineChars="0"/>
                    <w:jc w:val="center"/>
                    <w:rPr>
                      <w:sz w:val="21"/>
                      <w:szCs w:val="21"/>
                      <w:lang w:val="en-US"/>
                    </w:rPr>
                  </w:pPr>
                  <w:r>
                    <w:rPr>
                      <w:rFonts w:hint="eastAsia"/>
                      <w:color w:val="000000"/>
                      <w:sz w:val="21"/>
                      <w:szCs w:val="21"/>
                    </w:rPr>
                    <w:t>皮带输送粉尘</w:t>
                  </w:r>
                </w:p>
              </w:tc>
              <w:tc>
                <w:tcPr>
                  <w:tcW w:w="1988" w:type="pct"/>
                  <w:vMerge w:val="continue"/>
                  <w:vAlign w:val="center"/>
                </w:tcPr>
                <w:p w14:paraId="381889A0">
                  <w:pPr>
                    <w:pStyle w:val="45"/>
                    <w:spacing w:line="240" w:lineRule="auto"/>
                    <w:ind w:firstLine="0" w:firstLineChars="0"/>
                    <w:jc w:val="center"/>
                    <w:rPr>
                      <w:sz w:val="21"/>
                      <w:szCs w:val="21"/>
                      <w:lang w:val="en-US"/>
                    </w:rPr>
                  </w:pPr>
                </w:p>
              </w:tc>
            </w:tr>
            <w:tr w14:paraId="3D66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20B49745">
                  <w:pPr>
                    <w:pStyle w:val="8"/>
                    <w:spacing w:after="0" w:line="240" w:lineRule="auto"/>
                    <w:ind w:firstLine="420"/>
                    <w:jc w:val="center"/>
                    <w:rPr>
                      <w:sz w:val="21"/>
                      <w:szCs w:val="21"/>
                    </w:rPr>
                  </w:pPr>
                </w:p>
              </w:tc>
              <w:tc>
                <w:tcPr>
                  <w:tcW w:w="2333" w:type="pct"/>
                  <w:vAlign w:val="center"/>
                </w:tcPr>
                <w:p w14:paraId="56FCF63C">
                  <w:pPr>
                    <w:pStyle w:val="17"/>
                    <w:spacing w:after="0" w:line="240" w:lineRule="auto"/>
                    <w:ind w:firstLine="0" w:firstLineChars="0"/>
                    <w:jc w:val="center"/>
                    <w:rPr>
                      <w:sz w:val="21"/>
                      <w:szCs w:val="21"/>
                    </w:rPr>
                  </w:pPr>
                  <w:r>
                    <w:rPr>
                      <w:color w:val="000000"/>
                      <w:sz w:val="21"/>
                      <w:szCs w:val="21"/>
                    </w:rPr>
                    <w:t>车辆运输扬尘</w:t>
                  </w:r>
                </w:p>
              </w:tc>
              <w:tc>
                <w:tcPr>
                  <w:tcW w:w="1988" w:type="pct"/>
                  <w:vMerge w:val="continue"/>
                  <w:vAlign w:val="center"/>
                </w:tcPr>
                <w:p w14:paraId="5EE0E05D">
                  <w:pPr>
                    <w:pStyle w:val="45"/>
                    <w:spacing w:line="240" w:lineRule="auto"/>
                    <w:ind w:firstLine="0" w:firstLineChars="0"/>
                    <w:jc w:val="center"/>
                    <w:rPr>
                      <w:rFonts w:hint="eastAsia"/>
                      <w:sz w:val="21"/>
                      <w:szCs w:val="21"/>
                      <w:lang w:val="en-US"/>
                    </w:rPr>
                  </w:pPr>
                </w:p>
              </w:tc>
            </w:tr>
            <w:tr w14:paraId="4B5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2D960677">
                  <w:pPr>
                    <w:pStyle w:val="8"/>
                    <w:spacing w:after="0" w:line="240" w:lineRule="auto"/>
                    <w:ind w:firstLine="420"/>
                    <w:jc w:val="center"/>
                    <w:rPr>
                      <w:sz w:val="21"/>
                      <w:szCs w:val="21"/>
                    </w:rPr>
                  </w:pPr>
                </w:p>
              </w:tc>
              <w:tc>
                <w:tcPr>
                  <w:tcW w:w="2333" w:type="pct"/>
                  <w:vAlign w:val="center"/>
                </w:tcPr>
                <w:p w14:paraId="7DB19DE6">
                  <w:pPr>
                    <w:pStyle w:val="17"/>
                    <w:spacing w:after="0" w:line="240" w:lineRule="auto"/>
                    <w:ind w:firstLine="0" w:firstLineChars="0"/>
                    <w:jc w:val="center"/>
                    <w:rPr>
                      <w:rFonts w:hint="eastAsia" w:eastAsia="宋体"/>
                      <w:sz w:val="21"/>
                      <w:szCs w:val="21"/>
                      <w:lang w:eastAsia="zh-CN"/>
                    </w:rPr>
                  </w:pPr>
                  <w:r>
                    <w:rPr>
                      <w:rFonts w:hint="eastAsia"/>
                      <w:sz w:val="21"/>
                      <w:szCs w:val="21"/>
                      <w:lang w:eastAsia="zh-CN"/>
                    </w:rPr>
                    <w:t>车辆尾气</w:t>
                  </w:r>
                </w:p>
              </w:tc>
              <w:tc>
                <w:tcPr>
                  <w:tcW w:w="1988" w:type="pct"/>
                  <w:vAlign w:val="center"/>
                </w:tcPr>
                <w:p w14:paraId="7DD0DFA9">
                  <w:pPr>
                    <w:pStyle w:val="45"/>
                    <w:spacing w:line="240" w:lineRule="auto"/>
                    <w:ind w:firstLine="0" w:firstLineChars="0"/>
                    <w:jc w:val="center"/>
                    <w:rPr>
                      <w:rFonts w:hint="eastAsia"/>
                      <w:sz w:val="21"/>
                      <w:szCs w:val="21"/>
                      <w:lang w:val="en-US"/>
                    </w:rPr>
                  </w:pPr>
                  <w:r>
                    <w:rPr>
                      <w:rFonts w:hint="eastAsia"/>
                      <w:sz w:val="21"/>
                      <w:szCs w:val="21"/>
                      <w:lang w:val="en-US"/>
                    </w:rPr>
                    <w:t>SO</w:t>
                  </w:r>
                  <w:r>
                    <w:rPr>
                      <w:rFonts w:hint="eastAsia"/>
                      <w:sz w:val="21"/>
                      <w:szCs w:val="21"/>
                      <w:vertAlign w:val="subscript"/>
                      <w:lang w:val="en-US"/>
                    </w:rPr>
                    <w:t>2</w:t>
                  </w:r>
                  <w:r>
                    <w:rPr>
                      <w:sz w:val="21"/>
                      <w:szCs w:val="21"/>
                    </w:rPr>
                    <w:t>、</w:t>
                  </w:r>
                  <w:r>
                    <w:rPr>
                      <w:sz w:val="21"/>
                      <w:szCs w:val="21"/>
                      <w:lang w:val="en-US"/>
                    </w:rPr>
                    <w:t>NOx</w:t>
                  </w:r>
                </w:p>
              </w:tc>
            </w:tr>
            <w:tr w14:paraId="432F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restart"/>
                  <w:vAlign w:val="center"/>
                </w:tcPr>
                <w:p w14:paraId="29261454">
                  <w:pPr>
                    <w:pStyle w:val="8"/>
                    <w:spacing w:after="0" w:line="240" w:lineRule="auto"/>
                    <w:ind w:left="0" w:leftChars="0" w:firstLine="0" w:firstLineChars="0"/>
                    <w:jc w:val="center"/>
                    <w:rPr>
                      <w:rFonts w:hint="eastAsia" w:eastAsia="宋体"/>
                      <w:sz w:val="21"/>
                      <w:szCs w:val="21"/>
                      <w:lang w:val="en-US" w:eastAsia="zh-CN"/>
                    </w:rPr>
                  </w:pPr>
                  <w:r>
                    <w:rPr>
                      <w:rFonts w:hint="eastAsia"/>
                      <w:sz w:val="21"/>
                      <w:szCs w:val="21"/>
                      <w:lang w:val="en-US" w:eastAsia="zh-CN"/>
                    </w:rPr>
                    <w:t>废水</w:t>
                  </w:r>
                </w:p>
              </w:tc>
              <w:tc>
                <w:tcPr>
                  <w:tcW w:w="2333" w:type="pct"/>
                  <w:vAlign w:val="center"/>
                </w:tcPr>
                <w:p w14:paraId="3CC16EEA">
                  <w:pPr>
                    <w:pStyle w:val="45"/>
                    <w:spacing w:line="240" w:lineRule="auto"/>
                    <w:ind w:firstLine="0" w:firstLineChars="0"/>
                    <w:rPr>
                      <w:rFonts w:hint="default" w:eastAsia="宋体"/>
                      <w:sz w:val="21"/>
                      <w:szCs w:val="21"/>
                      <w:lang w:val="en-US" w:eastAsia="zh-CN"/>
                    </w:rPr>
                  </w:pPr>
                  <w:r>
                    <w:rPr>
                      <w:rFonts w:hint="eastAsia"/>
                      <w:sz w:val="21"/>
                      <w:szCs w:val="21"/>
                      <w:lang w:val="en-US" w:eastAsia="zh-CN"/>
                    </w:rPr>
                    <w:t>洗砂废水</w:t>
                  </w:r>
                </w:p>
              </w:tc>
              <w:tc>
                <w:tcPr>
                  <w:tcW w:w="1988" w:type="pct"/>
                  <w:vMerge w:val="restart"/>
                  <w:vAlign w:val="center"/>
                </w:tcPr>
                <w:p w14:paraId="2DB354F6">
                  <w:pPr>
                    <w:pStyle w:val="45"/>
                    <w:spacing w:line="240" w:lineRule="auto"/>
                    <w:ind w:firstLine="0" w:firstLineChars="0"/>
                    <w:jc w:val="center"/>
                    <w:rPr>
                      <w:rFonts w:hint="default" w:eastAsia="宋体"/>
                      <w:sz w:val="21"/>
                      <w:szCs w:val="21"/>
                      <w:lang w:val="en-US" w:eastAsia="zh-CN"/>
                    </w:rPr>
                  </w:pPr>
                  <w:r>
                    <w:rPr>
                      <w:rFonts w:hint="eastAsia"/>
                      <w:sz w:val="21"/>
                      <w:szCs w:val="21"/>
                      <w:lang w:val="en-US" w:eastAsia="zh-CN"/>
                    </w:rPr>
                    <w:t>SS</w:t>
                  </w:r>
                </w:p>
              </w:tc>
            </w:tr>
            <w:tr w14:paraId="5426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77" w:type="pct"/>
                  <w:vMerge w:val="continue"/>
                  <w:vAlign w:val="center"/>
                </w:tcPr>
                <w:p w14:paraId="010D9D4B">
                  <w:pPr>
                    <w:pStyle w:val="8"/>
                    <w:spacing w:after="0" w:line="240" w:lineRule="auto"/>
                    <w:ind w:firstLine="420"/>
                    <w:jc w:val="center"/>
                    <w:rPr>
                      <w:sz w:val="21"/>
                      <w:szCs w:val="21"/>
                    </w:rPr>
                  </w:pPr>
                </w:p>
              </w:tc>
              <w:tc>
                <w:tcPr>
                  <w:tcW w:w="2333" w:type="pct"/>
                  <w:vAlign w:val="center"/>
                </w:tcPr>
                <w:p w14:paraId="0BB01B08">
                  <w:pPr>
                    <w:pStyle w:val="45"/>
                    <w:spacing w:line="240" w:lineRule="auto"/>
                    <w:ind w:firstLine="0" w:firstLineChars="0"/>
                    <w:rPr>
                      <w:rFonts w:hint="default" w:eastAsia="宋体"/>
                      <w:sz w:val="21"/>
                      <w:szCs w:val="21"/>
                      <w:lang w:val="en-US" w:eastAsia="zh-CN"/>
                    </w:rPr>
                  </w:pPr>
                  <w:r>
                    <w:rPr>
                      <w:rFonts w:hint="eastAsia"/>
                      <w:sz w:val="21"/>
                      <w:szCs w:val="21"/>
                      <w:lang w:val="en-US" w:eastAsia="zh-CN"/>
                    </w:rPr>
                    <w:t>车辆冲洗废水</w:t>
                  </w:r>
                </w:p>
              </w:tc>
              <w:tc>
                <w:tcPr>
                  <w:tcW w:w="1988" w:type="pct"/>
                  <w:vMerge w:val="continue"/>
                  <w:vAlign w:val="center"/>
                </w:tcPr>
                <w:p w14:paraId="0E9DA569">
                  <w:pPr>
                    <w:pStyle w:val="45"/>
                    <w:spacing w:line="240" w:lineRule="auto"/>
                    <w:ind w:firstLine="0" w:firstLineChars="0"/>
                    <w:jc w:val="center"/>
                    <w:rPr>
                      <w:rFonts w:hint="eastAsia"/>
                      <w:sz w:val="21"/>
                      <w:szCs w:val="21"/>
                      <w:lang w:val="en-US"/>
                    </w:rPr>
                  </w:pPr>
                </w:p>
              </w:tc>
            </w:tr>
            <w:tr w14:paraId="6BFA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0856536A">
                  <w:pPr>
                    <w:pStyle w:val="45"/>
                    <w:spacing w:line="240" w:lineRule="auto"/>
                    <w:ind w:firstLine="0" w:firstLineChars="0"/>
                    <w:rPr>
                      <w:sz w:val="21"/>
                      <w:szCs w:val="21"/>
                      <w:lang w:val="en-US"/>
                    </w:rPr>
                  </w:pPr>
                  <w:r>
                    <w:rPr>
                      <w:sz w:val="21"/>
                      <w:szCs w:val="21"/>
                    </w:rPr>
                    <w:t>噪声</w:t>
                  </w:r>
                </w:p>
              </w:tc>
              <w:tc>
                <w:tcPr>
                  <w:tcW w:w="3668" w:type="dxa"/>
                  <w:vAlign w:val="center"/>
                </w:tcPr>
                <w:p w14:paraId="491A88D9">
                  <w:pPr>
                    <w:bidi w:val="0"/>
                    <w:spacing w:line="240" w:lineRule="auto"/>
                    <w:ind w:firstLine="0" w:firstLineChars="0"/>
                    <w:jc w:val="center"/>
                    <w:rPr>
                      <w:sz w:val="21"/>
                      <w:szCs w:val="21"/>
                      <w:lang w:val="en-US"/>
                    </w:rPr>
                  </w:pPr>
                  <w:r>
                    <w:rPr>
                      <w:rFonts w:hint="eastAsia"/>
                      <w:sz w:val="21"/>
                      <w:szCs w:val="21"/>
                      <w:lang w:val="en-US" w:eastAsia="zh-CN"/>
                    </w:rPr>
                    <w:t>筛分机</w:t>
                  </w:r>
                </w:p>
              </w:tc>
              <w:tc>
                <w:tcPr>
                  <w:tcW w:w="1988" w:type="pct"/>
                  <w:vMerge w:val="restart"/>
                  <w:vAlign w:val="center"/>
                </w:tcPr>
                <w:p w14:paraId="73559B8B">
                  <w:pPr>
                    <w:pStyle w:val="45"/>
                    <w:spacing w:line="240" w:lineRule="auto"/>
                    <w:ind w:firstLine="0" w:firstLineChars="0"/>
                    <w:jc w:val="center"/>
                    <w:rPr>
                      <w:sz w:val="21"/>
                      <w:szCs w:val="21"/>
                    </w:rPr>
                  </w:pPr>
                  <w:r>
                    <w:rPr>
                      <w:rFonts w:hint="eastAsia"/>
                      <w:sz w:val="21"/>
                      <w:szCs w:val="21"/>
                    </w:rPr>
                    <w:t>噪声</w:t>
                  </w:r>
                </w:p>
              </w:tc>
            </w:tr>
            <w:tr w14:paraId="2EC9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5F20AE0F">
                  <w:pPr>
                    <w:pStyle w:val="8"/>
                    <w:spacing w:after="0" w:line="240" w:lineRule="auto"/>
                    <w:ind w:firstLine="420"/>
                    <w:jc w:val="center"/>
                    <w:rPr>
                      <w:sz w:val="21"/>
                      <w:szCs w:val="21"/>
                    </w:rPr>
                  </w:pPr>
                </w:p>
              </w:tc>
              <w:tc>
                <w:tcPr>
                  <w:tcW w:w="3668" w:type="dxa"/>
                  <w:vAlign w:val="center"/>
                </w:tcPr>
                <w:p w14:paraId="191B3CD6">
                  <w:pPr>
                    <w:bidi w:val="0"/>
                    <w:spacing w:line="240" w:lineRule="auto"/>
                    <w:ind w:firstLine="0" w:firstLineChars="0"/>
                    <w:jc w:val="center"/>
                    <w:rPr>
                      <w:sz w:val="21"/>
                      <w:szCs w:val="21"/>
                      <w:lang w:val="en-US"/>
                    </w:rPr>
                  </w:pPr>
                  <w:r>
                    <w:rPr>
                      <w:rFonts w:hint="default"/>
                      <w:sz w:val="21"/>
                      <w:szCs w:val="21"/>
                      <w:lang w:val="en-US" w:eastAsia="zh-CN"/>
                    </w:rPr>
                    <w:t>皮带输送机</w:t>
                  </w:r>
                </w:p>
              </w:tc>
              <w:tc>
                <w:tcPr>
                  <w:tcW w:w="1988" w:type="pct"/>
                  <w:vMerge w:val="continue"/>
                  <w:vAlign w:val="center"/>
                </w:tcPr>
                <w:p w14:paraId="7135E45D">
                  <w:pPr>
                    <w:pStyle w:val="45"/>
                    <w:spacing w:line="240" w:lineRule="auto"/>
                    <w:ind w:firstLine="0" w:firstLineChars="0"/>
                    <w:jc w:val="center"/>
                    <w:rPr>
                      <w:sz w:val="21"/>
                      <w:szCs w:val="21"/>
                      <w:lang w:val="en-US"/>
                    </w:rPr>
                  </w:pPr>
                </w:p>
              </w:tc>
            </w:tr>
            <w:tr w14:paraId="29B7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1385424C">
                  <w:pPr>
                    <w:pStyle w:val="8"/>
                    <w:spacing w:after="0" w:line="240" w:lineRule="auto"/>
                    <w:ind w:firstLine="420"/>
                    <w:jc w:val="center"/>
                    <w:rPr>
                      <w:sz w:val="21"/>
                      <w:szCs w:val="21"/>
                    </w:rPr>
                  </w:pPr>
                </w:p>
              </w:tc>
              <w:tc>
                <w:tcPr>
                  <w:tcW w:w="3668" w:type="dxa"/>
                  <w:vAlign w:val="center"/>
                </w:tcPr>
                <w:p w14:paraId="00CC3FE0">
                  <w:pPr>
                    <w:bidi w:val="0"/>
                    <w:spacing w:line="240" w:lineRule="auto"/>
                    <w:ind w:firstLine="0" w:firstLineChars="0"/>
                    <w:jc w:val="center"/>
                    <w:rPr>
                      <w:sz w:val="21"/>
                      <w:szCs w:val="21"/>
                      <w:lang w:val="en-US"/>
                    </w:rPr>
                  </w:pPr>
                  <w:r>
                    <w:rPr>
                      <w:rFonts w:hint="default"/>
                      <w:sz w:val="21"/>
                      <w:szCs w:val="21"/>
                      <w:lang w:val="en-US" w:eastAsia="zh-CN"/>
                    </w:rPr>
                    <w:t>洗砂机</w:t>
                  </w:r>
                </w:p>
              </w:tc>
              <w:tc>
                <w:tcPr>
                  <w:tcW w:w="1988" w:type="pct"/>
                  <w:vMerge w:val="continue"/>
                  <w:vAlign w:val="center"/>
                </w:tcPr>
                <w:p w14:paraId="5C7565E3">
                  <w:pPr>
                    <w:pStyle w:val="45"/>
                    <w:spacing w:line="240" w:lineRule="auto"/>
                    <w:ind w:firstLine="0" w:firstLineChars="0"/>
                    <w:jc w:val="center"/>
                    <w:rPr>
                      <w:sz w:val="21"/>
                      <w:szCs w:val="21"/>
                      <w:lang w:val="en-US"/>
                    </w:rPr>
                  </w:pPr>
                </w:p>
              </w:tc>
            </w:tr>
            <w:tr w14:paraId="012E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63975663">
                  <w:pPr>
                    <w:pStyle w:val="8"/>
                    <w:spacing w:after="0" w:line="240" w:lineRule="auto"/>
                    <w:ind w:firstLine="420"/>
                    <w:jc w:val="center"/>
                    <w:rPr>
                      <w:sz w:val="21"/>
                      <w:szCs w:val="21"/>
                    </w:rPr>
                  </w:pPr>
                </w:p>
              </w:tc>
              <w:tc>
                <w:tcPr>
                  <w:tcW w:w="3668" w:type="dxa"/>
                  <w:vAlign w:val="center"/>
                </w:tcPr>
                <w:p w14:paraId="618DA758">
                  <w:pPr>
                    <w:bidi w:val="0"/>
                    <w:spacing w:line="240" w:lineRule="auto"/>
                    <w:ind w:firstLine="0" w:firstLineChars="0"/>
                    <w:jc w:val="center"/>
                    <w:rPr>
                      <w:rFonts w:hint="default" w:eastAsia="宋体"/>
                      <w:sz w:val="21"/>
                      <w:szCs w:val="21"/>
                      <w:lang w:val="en-US" w:eastAsia="zh-CN"/>
                    </w:rPr>
                  </w:pPr>
                  <w:r>
                    <w:rPr>
                      <w:rFonts w:hint="default"/>
                      <w:sz w:val="21"/>
                      <w:szCs w:val="21"/>
                      <w:lang w:val="en-US" w:eastAsia="zh-CN"/>
                    </w:rPr>
                    <w:t>运输车辆</w:t>
                  </w:r>
                </w:p>
              </w:tc>
              <w:tc>
                <w:tcPr>
                  <w:tcW w:w="1988" w:type="pct"/>
                  <w:vMerge w:val="continue"/>
                  <w:vAlign w:val="center"/>
                </w:tcPr>
                <w:p w14:paraId="5F448839">
                  <w:pPr>
                    <w:pStyle w:val="45"/>
                    <w:spacing w:line="240" w:lineRule="auto"/>
                    <w:ind w:firstLine="0" w:firstLineChars="0"/>
                    <w:jc w:val="center"/>
                    <w:rPr>
                      <w:sz w:val="21"/>
                      <w:szCs w:val="21"/>
                      <w:lang w:val="en-US"/>
                    </w:rPr>
                  </w:pPr>
                </w:p>
              </w:tc>
            </w:tr>
            <w:tr w14:paraId="5A19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continue"/>
                  <w:vAlign w:val="center"/>
                </w:tcPr>
                <w:p w14:paraId="3DB3DA9B">
                  <w:pPr>
                    <w:pStyle w:val="8"/>
                    <w:spacing w:after="0" w:line="240" w:lineRule="auto"/>
                    <w:ind w:firstLine="420"/>
                    <w:jc w:val="center"/>
                    <w:rPr>
                      <w:sz w:val="21"/>
                      <w:szCs w:val="21"/>
                    </w:rPr>
                  </w:pPr>
                </w:p>
              </w:tc>
              <w:tc>
                <w:tcPr>
                  <w:tcW w:w="3668" w:type="dxa"/>
                  <w:vAlign w:val="center"/>
                </w:tcPr>
                <w:p w14:paraId="5377A3C3">
                  <w:pPr>
                    <w:bidi w:val="0"/>
                    <w:spacing w:line="240" w:lineRule="auto"/>
                    <w:ind w:firstLine="0" w:firstLineChars="0"/>
                    <w:jc w:val="center"/>
                    <w:rPr>
                      <w:sz w:val="21"/>
                      <w:szCs w:val="21"/>
                    </w:rPr>
                  </w:pPr>
                  <w:r>
                    <w:rPr>
                      <w:rFonts w:hint="default"/>
                      <w:sz w:val="21"/>
                      <w:szCs w:val="21"/>
                      <w:lang w:val="en-US" w:eastAsia="zh-CN"/>
                    </w:rPr>
                    <w:t>水泵</w:t>
                  </w:r>
                </w:p>
              </w:tc>
              <w:tc>
                <w:tcPr>
                  <w:tcW w:w="1988" w:type="pct"/>
                  <w:vMerge w:val="continue"/>
                  <w:vAlign w:val="center"/>
                </w:tcPr>
                <w:p w14:paraId="437F563B">
                  <w:pPr>
                    <w:pStyle w:val="45"/>
                    <w:spacing w:line="240" w:lineRule="auto"/>
                    <w:ind w:firstLine="0" w:firstLineChars="0"/>
                    <w:jc w:val="center"/>
                    <w:rPr>
                      <w:sz w:val="21"/>
                      <w:szCs w:val="21"/>
                    </w:rPr>
                  </w:pPr>
                </w:p>
              </w:tc>
            </w:tr>
            <w:tr w14:paraId="2F36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7" w:type="pct"/>
                  <w:vMerge w:val="restart"/>
                  <w:vAlign w:val="center"/>
                </w:tcPr>
                <w:p w14:paraId="43CFB2E7">
                  <w:pPr>
                    <w:pStyle w:val="45"/>
                    <w:spacing w:line="240" w:lineRule="auto"/>
                    <w:ind w:firstLine="0" w:firstLineChars="0"/>
                    <w:rPr>
                      <w:sz w:val="21"/>
                      <w:szCs w:val="21"/>
                      <w:lang w:val="en-US"/>
                    </w:rPr>
                  </w:pPr>
                  <w:r>
                    <w:rPr>
                      <w:sz w:val="21"/>
                      <w:szCs w:val="21"/>
                    </w:rPr>
                    <w:t>固废</w:t>
                  </w:r>
                </w:p>
              </w:tc>
              <w:tc>
                <w:tcPr>
                  <w:tcW w:w="2333" w:type="pct"/>
                  <w:vAlign w:val="center"/>
                </w:tcPr>
                <w:p w14:paraId="4CD4D552">
                  <w:pPr>
                    <w:pStyle w:val="45"/>
                    <w:spacing w:line="240" w:lineRule="auto"/>
                    <w:ind w:firstLine="0" w:firstLineChars="0"/>
                    <w:rPr>
                      <w:sz w:val="21"/>
                      <w:szCs w:val="21"/>
                      <w:lang w:val="en-US"/>
                    </w:rPr>
                  </w:pPr>
                  <w:r>
                    <w:rPr>
                      <w:sz w:val="21"/>
                      <w:szCs w:val="21"/>
                    </w:rPr>
                    <w:t>生活垃圾</w:t>
                  </w:r>
                </w:p>
              </w:tc>
              <w:tc>
                <w:tcPr>
                  <w:tcW w:w="1988" w:type="pct"/>
                  <w:vAlign w:val="center"/>
                </w:tcPr>
                <w:p w14:paraId="121915A0">
                  <w:pPr>
                    <w:pStyle w:val="45"/>
                    <w:spacing w:line="240" w:lineRule="auto"/>
                    <w:ind w:firstLine="0" w:firstLineChars="0"/>
                    <w:jc w:val="center"/>
                    <w:rPr>
                      <w:sz w:val="21"/>
                      <w:szCs w:val="21"/>
                      <w:lang w:val="en-US"/>
                    </w:rPr>
                  </w:pPr>
                  <w:r>
                    <w:rPr>
                      <w:sz w:val="21"/>
                      <w:szCs w:val="21"/>
                    </w:rPr>
                    <w:t>生活垃圾</w:t>
                  </w:r>
                </w:p>
              </w:tc>
            </w:tr>
            <w:tr w14:paraId="5C54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677" w:type="pct"/>
                  <w:vMerge w:val="continue"/>
                  <w:vAlign w:val="center"/>
                </w:tcPr>
                <w:p w14:paraId="3DC348CF">
                  <w:pPr>
                    <w:pStyle w:val="8"/>
                    <w:spacing w:after="0" w:line="240" w:lineRule="auto"/>
                    <w:ind w:firstLine="420"/>
                    <w:jc w:val="center"/>
                  </w:pPr>
                </w:p>
              </w:tc>
              <w:tc>
                <w:tcPr>
                  <w:tcW w:w="2333" w:type="pct"/>
                  <w:vAlign w:val="center"/>
                </w:tcPr>
                <w:p w14:paraId="386F7F55">
                  <w:pPr>
                    <w:pStyle w:val="45"/>
                    <w:spacing w:line="240" w:lineRule="auto"/>
                    <w:ind w:firstLine="0" w:firstLineChars="0"/>
                    <w:rPr>
                      <w:sz w:val="21"/>
                      <w:szCs w:val="21"/>
                      <w:lang w:val="en-US"/>
                    </w:rPr>
                  </w:pPr>
                  <w:r>
                    <w:rPr>
                      <w:sz w:val="21"/>
                      <w:szCs w:val="21"/>
                    </w:rPr>
                    <w:t>沉淀池泥沙</w:t>
                  </w:r>
                </w:p>
              </w:tc>
              <w:tc>
                <w:tcPr>
                  <w:tcW w:w="1988" w:type="pct"/>
                  <w:vAlign w:val="center"/>
                </w:tcPr>
                <w:p w14:paraId="02AC3DD8">
                  <w:pPr>
                    <w:pStyle w:val="45"/>
                    <w:spacing w:line="240" w:lineRule="auto"/>
                    <w:ind w:firstLine="0" w:firstLineChars="0"/>
                    <w:jc w:val="center"/>
                    <w:rPr>
                      <w:sz w:val="21"/>
                      <w:szCs w:val="21"/>
                      <w:lang w:val="en-US"/>
                    </w:rPr>
                  </w:pPr>
                  <w:r>
                    <w:rPr>
                      <w:sz w:val="21"/>
                      <w:szCs w:val="21"/>
                    </w:rPr>
                    <w:t>泥沙</w:t>
                  </w:r>
                </w:p>
              </w:tc>
            </w:tr>
          </w:tbl>
          <w:p w14:paraId="0F533015">
            <w:pPr>
              <w:bidi w:val="0"/>
              <w:rPr>
                <w:rFonts w:hint="default"/>
                <w:lang w:val="en-US" w:eastAsia="zh-CN"/>
              </w:rPr>
            </w:pPr>
          </w:p>
        </w:tc>
      </w:tr>
      <w:tr w14:paraId="684E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atLeast"/>
          <w:jc w:val="center"/>
        </w:trPr>
        <w:tc>
          <w:tcPr>
            <w:tcW w:w="481" w:type="dxa"/>
            <w:vAlign w:val="center"/>
          </w:tcPr>
          <w:p w14:paraId="246CE6CA">
            <w:pPr>
              <w:ind w:firstLine="0" w:firstLineChars="0"/>
              <w:jc w:val="center"/>
            </w:pPr>
            <w:r>
              <w:rPr>
                <w:rFonts w:hint="eastAsia"/>
              </w:rPr>
              <w:t>其他</w:t>
            </w:r>
          </w:p>
        </w:tc>
        <w:tc>
          <w:tcPr>
            <w:tcW w:w="8059" w:type="dxa"/>
            <w:vAlign w:val="center"/>
          </w:tcPr>
          <w:p w14:paraId="48E2FFD1">
            <w:pPr>
              <w:ind w:firstLine="480"/>
              <w:jc w:val="center"/>
            </w:pPr>
            <w:r>
              <w:rPr>
                <w:rFonts w:hint="eastAsia"/>
              </w:rPr>
              <w:t>无</w:t>
            </w:r>
          </w:p>
        </w:tc>
      </w:tr>
    </w:tbl>
    <w:p w14:paraId="3850F9E5">
      <w:pPr>
        <w:ind w:firstLine="480"/>
      </w:pPr>
      <w:r>
        <w:rPr>
          <w:rFonts w:hint="eastAsia"/>
        </w:rPr>
        <w:br w:type="page"/>
      </w:r>
    </w:p>
    <w:p w14:paraId="4F6CA470">
      <w:pPr>
        <w:pStyle w:val="2"/>
        <w:numPr>
          <w:ilvl w:val="0"/>
          <w:numId w:val="0"/>
        </w:numPr>
        <w:jc w:val="center"/>
      </w:pPr>
      <w:r>
        <w:rPr>
          <w:rFonts w:hint="eastAsia" w:ascii="Times New Roman" w:hAnsi="Times New Roman" w:eastAsia="宋体" w:cstheme="minorBidi"/>
          <w:b/>
          <w:kern w:val="44"/>
          <w:sz w:val="30"/>
          <w:szCs w:val="24"/>
          <w:lang w:val="en-US" w:eastAsia="zh-CN" w:bidi="ar-SA"/>
        </w:rPr>
        <w:t>三、</w:t>
      </w:r>
      <w:r>
        <w:rPr>
          <w:rFonts w:hint="eastAsia"/>
        </w:rPr>
        <w:t>生态环境现状、保护目标及评价标准</w:t>
      </w:r>
    </w:p>
    <w:tbl>
      <w:tblPr>
        <w:tblStyle w:val="22"/>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14:paraId="6318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1" w:hRule="atLeast"/>
        </w:trPr>
        <w:tc>
          <w:tcPr>
            <w:tcW w:w="754" w:type="dxa"/>
            <w:vAlign w:val="center"/>
          </w:tcPr>
          <w:p w14:paraId="21CFEFAE">
            <w:pPr>
              <w:pStyle w:val="28"/>
              <w:rPr>
                <w:rFonts w:hint="default"/>
              </w:rPr>
            </w:pPr>
            <w:r>
              <w:t>生态环境现状</w:t>
            </w:r>
          </w:p>
        </w:tc>
        <w:tc>
          <w:tcPr>
            <w:tcW w:w="7763" w:type="dxa"/>
          </w:tcPr>
          <w:p w14:paraId="5450F47C">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eastAsia="宋体" w:cs="宋体"/>
                <w:b/>
                <w:kern w:val="2"/>
                <w:sz w:val="24"/>
                <w:szCs w:val="24"/>
                <w:lang w:val="en-US" w:eastAsia="zh-CN" w:bidi="ar-SA"/>
              </w:rPr>
              <w:t>1.</w:t>
            </w:r>
            <w:r>
              <w:rPr>
                <w:rFonts w:hint="eastAsia" w:ascii="宋体" w:hAnsi="宋体" w:cs="宋体"/>
                <w:b/>
                <w:kern w:val="2"/>
                <w:sz w:val="24"/>
                <w:szCs w:val="24"/>
                <w:lang w:val="en-US" w:eastAsia="zh-CN" w:bidi="ar-SA"/>
              </w:rPr>
              <w:t>主体功能区划</w:t>
            </w:r>
          </w:p>
          <w:p w14:paraId="7D539B12">
            <w:pPr>
              <w:bidi w:val="0"/>
              <w:rPr>
                <w:rFonts w:hint="eastAsia"/>
                <w:lang w:val="en-US" w:eastAsia="zh-CN"/>
              </w:rPr>
            </w:pPr>
            <w:r>
              <w:rPr>
                <w:rFonts w:hint="eastAsia"/>
                <w:lang w:val="en-US" w:eastAsia="zh-CN"/>
              </w:rPr>
              <w:t>（1）主体功能区规划情况</w:t>
            </w:r>
          </w:p>
          <w:p w14:paraId="4FAF124F">
            <w:pPr>
              <w:bidi w:val="0"/>
              <w:rPr>
                <w:rFonts w:hint="eastAsia"/>
                <w:lang w:val="en-US" w:eastAsia="zh-CN"/>
              </w:rPr>
            </w:pPr>
            <w:r>
              <w:rPr>
                <w:rFonts w:hint="eastAsia"/>
                <w:lang w:val="en-US" w:eastAsia="zh-CN"/>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点上开发、面上保护”。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6D4C2076">
            <w:pPr>
              <w:bidi w:val="0"/>
              <w:rPr>
                <w:rFonts w:hint="eastAsia"/>
                <w:lang w:val="en-US" w:eastAsia="zh-CN"/>
              </w:rPr>
            </w:pPr>
            <w:r>
              <w:rPr>
                <w:rFonts w:hint="eastAsia"/>
                <w:lang w:val="en-US" w:eastAsia="zh-CN"/>
              </w:rPr>
              <w:t>本项目位于《新疆维吾尔自治区主体功能区规划》中的重点开发区。要求按照该区域的主体功能定位实行“点上开发、面上保护”。形成资源点状开发，生态面上保护的空间结构。本项目尽可能减少对生态环境的扰动和破坏，同时加强对矿产开发区迹地的生态修复。符合主体功能区对项目所在区域的开发管制原则。</w:t>
            </w:r>
          </w:p>
          <w:p w14:paraId="239E5667">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生态环境现状</w:t>
            </w:r>
          </w:p>
          <w:p w14:paraId="72F0B18D">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ascii="宋体" w:hAnsi="宋体" w:cs="宋体"/>
                <w:b/>
                <w:kern w:val="2"/>
                <w:sz w:val="24"/>
                <w:szCs w:val="24"/>
                <w:lang w:val="en-US" w:eastAsia="zh-CN" w:bidi="ar-SA"/>
              </w:rPr>
              <w:t>1</w:t>
            </w:r>
            <w:r>
              <w:rPr>
                <w:rFonts w:hint="default" w:ascii="宋体" w:hAnsi="宋体" w:eastAsia="宋体" w:cs="宋体"/>
                <w:b/>
                <w:kern w:val="2"/>
                <w:sz w:val="24"/>
                <w:szCs w:val="24"/>
                <w:lang w:val="en-US" w:eastAsia="zh-CN" w:bidi="ar-SA"/>
              </w:rPr>
              <w:t>地形地貌</w:t>
            </w:r>
          </w:p>
          <w:p w14:paraId="314643F1">
            <w:pPr>
              <w:pStyle w:val="3"/>
              <w:numPr>
                <w:ilvl w:val="0"/>
                <w:numId w:val="0"/>
              </w:numPr>
              <w:spacing w:before="156" w:after="156" w:line="360" w:lineRule="auto"/>
              <w:ind w:firstLine="482" w:firstLineChars="200"/>
              <w:outlineLvl w:val="1"/>
              <w:rPr>
                <w:rFonts w:hint="default" w:ascii="Times New Roman" w:hAnsi="Times New Roman" w:eastAsia="宋体" w:cstheme="minorBidi"/>
                <w:b w:val="0"/>
                <w:kern w:val="2"/>
                <w:sz w:val="24"/>
                <w:szCs w:val="24"/>
                <w:lang w:val="en-US" w:eastAsia="zh-CN" w:bidi="ar-SA"/>
              </w:rPr>
            </w:pPr>
            <w:r>
              <w:drawing>
                <wp:anchor distT="0" distB="0" distL="114300" distR="114300" simplePos="0" relativeHeight="251668480" behindDoc="0" locked="0" layoutInCell="1" allowOverlap="1">
                  <wp:simplePos x="0" y="0"/>
                  <wp:positionH relativeFrom="column">
                    <wp:posOffset>207010</wp:posOffset>
                  </wp:positionH>
                  <wp:positionV relativeFrom="paragraph">
                    <wp:posOffset>1706880</wp:posOffset>
                  </wp:positionV>
                  <wp:extent cx="4457065" cy="2019300"/>
                  <wp:effectExtent l="0" t="0" r="8255" b="762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6"/>
                          <a:stretch>
                            <a:fillRect/>
                          </a:stretch>
                        </pic:blipFill>
                        <pic:spPr>
                          <a:xfrm>
                            <a:off x="0" y="0"/>
                            <a:ext cx="4457065" cy="2019300"/>
                          </a:xfrm>
                          <a:prstGeom prst="rect">
                            <a:avLst/>
                          </a:prstGeom>
                          <a:noFill/>
                          <a:ln>
                            <a:noFill/>
                          </a:ln>
                        </pic:spPr>
                      </pic:pic>
                    </a:graphicData>
                  </a:graphic>
                </wp:anchor>
              </w:drawing>
            </w:r>
            <w:r>
              <w:rPr>
                <w:rFonts w:hint="default" w:ascii="Times New Roman" w:hAnsi="Times New Roman" w:eastAsia="宋体" w:cstheme="minorBidi"/>
                <w:b w:val="0"/>
                <w:kern w:val="2"/>
                <w:sz w:val="24"/>
                <w:szCs w:val="24"/>
                <w:lang w:val="en-US" w:eastAsia="zh-CN" w:bidi="ar-SA"/>
              </w:rPr>
              <w:t>矿区位于位于天山山脉东段北麓，准噶尔盆地东南缘，山前冲洪积平原一带，地势比较平坦，坡度不大，坡度角1°～3°，根据实测矿区海拔高度+580～+598m，相对高差18m，地势北高南低，地势较平坦。矿区内水系不发育，无常年性流水水系。区内不良地质作用，无滑坡、泥石流等地质灾害情况反生。</w:t>
            </w:r>
          </w:p>
          <w:p w14:paraId="2F03C703">
            <w:pPr>
              <w:ind w:left="0" w:leftChars="0" w:firstLine="0" w:firstLineChars="0"/>
              <w:jc w:val="center"/>
              <w:rPr>
                <w:rFonts w:hint="eastAsia"/>
                <w:b/>
                <w:bCs/>
                <w:lang w:val="en-US" w:eastAsia="zh-CN"/>
              </w:rPr>
            </w:pPr>
            <w:r>
              <w:rPr>
                <w:rFonts w:hint="eastAsia"/>
                <w:b/>
                <w:bCs/>
                <w:lang w:val="en-US" w:eastAsia="zh-CN"/>
              </w:rPr>
              <w:t>图3-1 矿区地形地貌</w:t>
            </w:r>
          </w:p>
          <w:p w14:paraId="4F8A5B42">
            <w:pPr>
              <w:bidi w:val="0"/>
              <w:ind w:left="0" w:leftChars="0" w:firstLine="0" w:firstLineChars="0"/>
              <w:rPr>
                <w:rFonts w:hint="default"/>
                <w:b/>
                <w:bCs/>
                <w:lang w:val="en-US" w:eastAsia="zh-CN"/>
              </w:rPr>
            </w:pPr>
            <w:r>
              <w:rPr>
                <w:rFonts w:hint="default"/>
                <w:b/>
                <w:bCs/>
                <w:lang w:val="en-US" w:eastAsia="zh-CN"/>
              </w:rPr>
              <w:t>2.2气象水文</w:t>
            </w:r>
          </w:p>
          <w:p w14:paraId="252D94C8">
            <w:pPr>
              <w:bidi w:val="0"/>
              <w:rPr>
                <w:rFonts w:hint="default"/>
                <w:lang w:val="en-US" w:eastAsia="zh-CN"/>
              </w:rPr>
            </w:pPr>
            <w:r>
              <w:rPr>
                <w:rFonts w:hint="default"/>
                <w:lang w:val="en-US" w:eastAsia="zh-CN"/>
              </w:rPr>
              <w:t>该区属温带大陆性干旱半干旱气候，春秋两季较短，冬夏两季较长，昼夜温差大。年平均温度7.0℃，最暖的七、八月平均气温为25.7℃，最冷的一月平均气温为-15.2℃，日照时数2861.1小时，年平均降水183.4毫米，年蒸发量2140.4毫米，年平均相对湿度61%，无霜期年平均170天（从4月下旬到10月上旬），盛行西北风，最大风力8～10级，年平均风速2.7米/秒。</w:t>
            </w:r>
          </w:p>
          <w:p w14:paraId="5BA54C07">
            <w:pPr>
              <w:bidi w:val="0"/>
              <w:ind w:left="0" w:leftChars="0" w:firstLine="0" w:firstLineChars="0"/>
              <w:rPr>
                <w:rFonts w:hint="default"/>
                <w:b/>
                <w:bCs/>
                <w:lang w:val="en-US" w:eastAsia="zh-CN"/>
              </w:rPr>
            </w:pPr>
            <w:r>
              <w:rPr>
                <w:rFonts w:hint="default"/>
                <w:b/>
                <w:bCs/>
                <w:lang w:val="en-US" w:eastAsia="zh-CN"/>
              </w:rPr>
              <w:t>2.3植被</w:t>
            </w:r>
          </w:p>
          <w:p w14:paraId="691A299E">
            <w:pPr>
              <w:bidi w:val="0"/>
              <w:rPr>
                <w:rFonts w:hint="default"/>
                <w:lang w:val="en-US" w:eastAsia="zh-CN"/>
              </w:rPr>
            </w:pPr>
            <w:r>
              <w:rPr>
                <w:rFonts w:hint="default"/>
                <w:lang w:val="en-US" w:eastAsia="zh-CN"/>
              </w:rPr>
              <w:t>根据现场调查，矿区植被发育，呈零星分布，根据新疆维吾尔自治区畜牧科学院草原研究所编制的《新疆维吾尔自治区草地类型图》和《新疆维吾尔自治区草地利用现状图》等资料分析汇总得出该区植被现状。矿区属于天山北坡中段，准噶尔盆地南缘，矿区位于山前冲洪积平原一带，年降水量远小于蒸发量，气候干燥，有机质贫乏，富含盐分，地表水缺乏，矿区有小蓬、角果蔾等植物，植被覆盖率</w:t>
            </w:r>
            <w:r>
              <w:rPr>
                <w:rFonts w:hint="eastAsia"/>
                <w:lang w:val="en-US" w:eastAsia="zh-CN"/>
              </w:rPr>
              <w:t>2</w:t>
            </w:r>
            <w:r>
              <w:rPr>
                <w:rFonts w:hint="default"/>
                <w:lang w:val="en-US" w:eastAsia="zh-CN"/>
              </w:rPr>
              <w:t>0%。</w:t>
            </w:r>
          </w:p>
          <w:p w14:paraId="1B36AC6F">
            <w:pPr>
              <w:bidi w:val="0"/>
              <w:ind w:left="0" w:leftChars="0" w:firstLine="0" w:firstLineChars="0"/>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102870</wp:posOffset>
                  </wp:positionV>
                  <wp:extent cx="4979035" cy="2423795"/>
                  <wp:effectExtent l="0" t="0" r="4445" b="14605"/>
                  <wp:wrapTopAndBottom/>
                  <wp:docPr id="11" name="图片 11" descr="588cadf820188658bdaba77d2489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88cadf820188658bdaba77d248921f"/>
                          <pic:cNvPicPr>
                            <a:picLocks noChangeAspect="1"/>
                          </pic:cNvPicPr>
                        </pic:nvPicPr>
                        <pic:blipFill>
                          <a:blip r:embed="rId27"/>
                          <a:stretch>
                            <a:fillRect/>
                          </a:stretch>
                        </pic:blipFill>
                        <pic:spPr>
                          <a:xfrm>
                            <a:off x="0" y="0"/>
                            <a:ext cx="4979035" cy="2423795"/>
                          </a:xfrm>
                          <a:prstGeom prst="rect">
                            <a:avLst/>
                          </a:prstGeom>
                        </pic:spPr>
                      </pic:pic>
                    </a:graphicData>
                  </a:graphic>
                </wp:anchor>
              </w:drawing>
            </w:r>
            <w:r>
              <w:rPr>
                <w:rFonts w:hint="default"/>
                <w:lang w:val="en-US" w:eastAsia="zh-CN"/>
              </w:rPr>
              <w:drawing>
                <wp:inline distT="0" distB="0" distL="114300" distR="114300">
                  <wp:extent cx="4979035" cy="2583180"/>
                  <wp:effectExtent l="0" t="0" r="4445" b="7620"/>
                  <wp:docPr id="13" name="图片 13" descr="d57ceee412772f34c11d6e3b1916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7ceee412772f34c11d6e3b19165b3"/>
                          <pic:cNvPicPr>
                            <a:picLocks noChangeAspect="1"/>
                          </pic:cNvPicPr>
                        </pic:nvPicPr>
                        <pic:blipFill>
                          <a:blip r:embed="rId28"/>
                          <a:stretch>
                            <a:fillRect/>
                          </a:stretch>
                        </pic:blipFill>
                        <pic:spPr>
                          <a:xfrm>
                            <a:off x="0" y="0"/>
                            <a:ext cx="4979035" cy="2583180"/>
                          </a:xfrm>
                          <a:prstGeom prst="rect">
                            <a:avLst/>
                          </a:prstGeom>
                        </pic:spPr>
                      </pic:pic>
                    </a:graphicData>
                  </a:graphic>
                </wp:inline>
              </w:drawing>
            </w:r>
          </w:p>
          <w:p w14:paraId="520BDDA3">
            <w:pPr>
              <w:ind w:left="0" w:leftChars="0" w:firstLine="0" w:firstLineChars="0"/>
              <w:jc w:val="center"/>
              <w:rPr>
                <w:rFonts w:hint="default" w:ascii="宋体" w:hAnsi="宋体" w:eastAsia="宋体" w:cs="宋体"/>
                <w:b/>
                <w:kern w:val="2"/>
                <w:sz w:val="24"/>
                <w:szCs w:val="24"/>
                <w:lang w:val="en-US" w:eastAsia="zh-CN" w:bidi="ar-SA"/>
              </w:rPr>
            </w:pPr>
            <w:r>
              <w:rPr>
                <w:rFonts w:hint="eastAsia"/>
                <w:b/>
                <w:bCs/>
                <w:lang w:val="en-US" w:eastAsia="zh-CN"/>
              </w:rPr>
              <w:t>图3-2 矿区地表植被</w:t>
            </w:r>
          </w:p>
          <w:p w14:paraId="3F562282">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default" w:ascii="宋体" w:hAnsi="宋体" w:eastAsia="宋体" w:cs="宋体"/>
                <w:b/>
                <w:kern w:val="2"/>
                <w:sz w:val="24"/>
                <w:szCs w:val="24"/>
                <w:lang w:val="en-US" w:eastAsia="zh-CN" w:bidi="ar-SA"/>
              </w:rPr>
              <w:t>2.4土壤</w:t>
            </w:r>
          </w:p>
          <w:p w14:paraId="273703E2">
            <w:pPr>
              <w:adjustRightInd w:val="0"/>
              <w:ind w:firstLine="360" w:firstLineChars="150"/>
              <w:rPr>
                <w:rFonts w:hint="eastAsia"/>
              </w:rPr>
            </w:pPr>
            <w:r>
              <w:rPr>
                <w:rFonts w:hint="eastAsia"/>
              </w:rPr>
              <w:t>根据《新疆土种志》得知，矿区地表土壤类型为</w:t>
            </w:r>
            <w:r>
              <w:rPr>
                <w:rFonts w:hint="eastAsia"/>
                <w:lang w:eastAsia="zh-CN"/>
              </w:rPr>
              <w:t>灰褐土</w:t>
            </w:r>
            <w:r>
              <w:rPr>
                <w:rFonts w:hint="eastAsia"/>
              </w:rPr>
              <w:t>，矿区位于山前冲洪积平原一带。年降水量远小于蒸发量，气候干燥，有机质贫乏，富含盐分，地表水缺乏，矿区地下水类型为第四系松散岩类孔隙潜水，含水层岩性主要为第四系砂砾石层，依据核实报告，地下水位埋深大于40m。</w:t>
            </w:r>
            <w:r>
              <w:rPr>
                <w:rFonts w:hint="eastAsia"/>
                <w:lang w:val="en-US" w:eastAsia="zh-CN"/>
              </w:rPr>
              <w:t>母质多为冲洪积物，植被生长，厚度</w:t>
            </w:r>
            <w:r>
              <w:rPr>
                <w:rFonts w:hint="default"/>
                <w:lang w:val="en-US" w:eastAsia="zh-CN"/>
              </w:rPr>
              <w:t>10-20cm</w:t>
            </w:r>
            <w:r>
              <w:rPr>
                <w:rFonts w:hint="eastAsia"/>
                <w:lang w:val="en-US" w:eastAsia="zh-CN"/>
              </w:rPr>
              <w:t>，质地轻松，多为粉土和砂质土，土壤有机质含量为</w:t>
            </w:r>
            <w:r>
              <w:rPr>
                <w:rFonts w:hint="default"/>
                <w:lang w:val="en-US" w:eastAsia="zh-CN"/>
              </w:rPr>
              <w:t>32.6-37.6g/kg</w:t>
            </w:r>
            <w:r>
              <w:rPr>
                <w:rFonts w:hint="eastAsia"/>
                <w:lang w:val="en-US" w:eastAsia="zh-CN"/>
              </w:rPr>
              <w:t>，土壤总体</w:t>
            </w:r>
            <w:r>
              <w:rPr>
                <w:rFonts w:hint="default"/>
                <w:lang w:val="en-US" w:eastAsia="zh-CN"/>
              </w:rPr>
              <w:t>PH</w:t>
            </w:r>
            <w:r>
              <w:rPr>
                <w:rFonts w:hint="eastAsia"/>
                <w:lang w:val="en-US" w:eastAsia="zh-CN"/>
              </w:rPr>
              <w:t>值为</w:t>
            </w:r>
            <w:r>
              <w:rPr>
                <w:rFonts w:hint="default"/>
                <w:lang w:val="en-US" w:eastAsia="zh-CN"/>
              </w:rPr>
              <w:t>7.0</w:t>
            </w:r>
            <w:r>
              <w:rPr>
                <w:rFonts w:hint="eastAsia"/>
                <w:lang w:val="en-US" w:eastAsia="zh-CN"/>
              </w:rPr>
              <w:t>～</w:t>
            </w:r>
            <w:r>
              <w:rPr>
                <w:rFonts w:hint="default"/>
                <w:lang w:val="en-US" w:eastAsia="zh-CN"/>
              </w:rPr>
              <w:t>8.0</w:t>
            </w:r>
            <w:r>
              <w:rPr>
                <w:rFonts w:hint="eastAsia"/>
                <w:lang w:val="en-US" w:eastAsia="zh-CN"/>
              </w:rPr>
              <w:t>。</w:t>
            </w:r>
          </w:p>
          <w:p w14:paraId="22158DD1">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2.5野生动物</w:t>
            </w:r>
          </w:p>
          <w:p w14:paraId="10632F2E">
            <w:pPr>
              <w:rPr>
                <w:rFonts w:hint="default"/>
                <w:lang w:val="en-US" w:eastAsia="zh-CN"/>
              </w:rPr>
            </w:pPr>
            <w:r>
              <w:rPr>
                <w:rFonts w:hint="default"/>
                <w:lang w:val="en-US" w:eastAsia="zh-CN"/>
              </w:rPr>
              <w:t>由于内陆干旱气候控制下自然环境条件和人为活动的干扰致使评价区所属动物区系的野生动物种类组成贫乏，组成简单，有麻雀、老鼠等动物活动。项目区域内没有国家及自治区级野生保护动物分布。</w:t>
            </w:r>
          </w:p>
          <w:p w14:paraId="57772404">
            <w:pPr>
              <w:pStyle w:val="3"/>
              <w:numPr>
                <w:ilvl w:val="0"/>
                <w:numId w:val="0"/>
              </w:numPr>
              <w:spacing w:before="156" w:after="156"/>
              <w:outlineLvl w:val="1"/>
            </w:pPr>
            <w:r>
              <w:rPr>
                <w:rFonts w:hint="default" w:ascii="宋体" w:hAnsi="宋体" w:eastAsia="宋体" w:cs="宋体"/>
                <w:b/>
                <w:kern w:val="2"/>
                <w:sz w:val="24"/>
                <w:szCs w:val="24"/>
                <w:lang w:val="en-US" w:eastAsia="zh-CN" w:bidi="ar-SA"/>
              </w:rPr>
              <w:t>3.</w:t>
            </w:r>
            <w:r>
              <w:rPr>
                <w:rFonts w:hint="eastAsia"/>
              </w:rPr>
              <w:t>区域环境质量现状</w:t>
            </w:r>
          </w:p>
          <w:p w14:paraId="36B01B33">
            <w:pPr>
              <w:pStyle w:val="4"/>
              <w:numPr>
                <w:ilvl w:val="1"/>
                <w:numId w:val="0"/>
              </w:numPr>
              <w:outlineLvl w:val="2"/>
            </w:pPr>
            <w:r>
              <w:rPr>
                <w:rFonts w:hint="default" w:ascii="宋体" w:hAnsi="宋体" w:eastAsia="宋体" w:cs="宋体"/>
                <w:b/>
                <w:kern w:val="2"/>
                <w:sz w:val="24"/>
                <w:szCs w:val="24"/>
                <w:lang w:val="en-US" w:eastAsia="zh-CN" w:bidi="ar-SA"/>
              </w:rPr>
              <w:t>3.1.</w:t>
            </w:r>
            <w:r>
              <w:rPr>
                <w:rFonts w:hint="eastAsia"/>
              </w:rPr>
              <w:t>环境空气质量现状</w:t>
            </w:r>
          </w:p>
          <w:p w14:paraId="03D21723">
            <w:pPr>
              <w:adjustRightInd w:val="0"/>
              <w:ind w:firstLine="360" w:firstLineChars="150"/>
              <w:rPr>
                <w:rFonts w:hint="eastAsia"/>
              </w:rPr>
            </w:pPr>
            <w:r>
              <w:rPr>
                <w:rFonts w:hint="eastAsia"/>
              </w:rPr>
              <w:t>项目所在地区域环境空气执行《环境空气质量标准》（</w:t>
            </w:r>
            <w:r>
              <w:t>GB3095-2012</w:t>
            </w:r>
            <w:r>
              <w:rPr>
                <w:rFonts w:hint="eastAsia"/>
              </w:rPr>
              <w:t>） 中二级标准，依据《环境影响评价技术导则 大气环境》（</w:t>
            </w:r>
            <w:r>
              <w:t>HJ2.2-2018</w:t>
            </w:r>
            <w:r>
              <w:rPr>
                <w:rFonts w:hint="eastAsia"/>
              </w:rPr>
              <w:t>）中“</w:t>
            </w:r>
            <w:r>
              <w:t xml:space="preserve">6.2.1 </w:t>
            </w:r>
            <w:r>
              <w:rPr>
                <w:rFonts w:hint="eastAsia"/>
              </w:rPr>
              <w:t>项目所在区域达标判定，优先采用国家或地方生态环境主管部门公开发布的评价基准年环境质量公告或环境质量报告中数据或结论”。</w:t>
            </w:r>
            <w:r>
              <w:rPr>
                <w:rFonts w:hint="eastAsia"/>
                <w:lang w:val="en-US" w:eastAsia="zh-CN"/>
              </w:rPr>
              <w:t>本次环评引用吉木萨尔县大气环境在线监测站点（环保局站点）2022年在线监测的数据作为本项目评价依据作为本项目环境空气现状评价基本污染物SO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、CO、O</w:t>
            </w:r>
            <w:r>
              <w:rPr>
                <w:rFonts w:hint="eastAsia"/>
                <w:vertAlign w:val="subscript"/>
                <w:lang w:val="en-US" w:eastAsia="zh-CN"/>
              </w:rPr>
              <w:t>3</w:t>
            </w:r>
            <w:r>
              <w:rPr>
                <w:rFonts w:hint="eastAsia"/>
                <w:lang w:val="en-US" w:eastAsia="zh-CN"/>
              </w:rPr>
              <w:t>的数据来源</w:t>
            </w:r>
            <w:r>
              <w:rPr>
                <w:rFonts w:hint="eastAsia"/>
              </w:rPr>
              <w:t>，监测数据如下：</w:t>
            </w:r>
          </w:p>
          <w:p w14:paraId="6425DC89">
            <w:pPr>
              <w:pStyle w:val="2"/>
              <w:keepLines w:val="0"/>
              <w:numPr>
                <w:ilvl w:val="0"/>
                <w:numId w:val="0"/>
              </w:numPr>
              <w:spacing w:line="360" w:lineRule="auto"/>
              <w:rPr>
                <w:rFonts w:eastAsia="宋体" w:cs="Times New Roman"/>
                <w:kern w:val="0"/>
                <w:sz w:val="24"/>
              </w:rPr>
            </w:pPr>
            <w:r>
              <w:rPr>
                <w:rFonts w:hint="eastAsia" w:eastAsia="宋体" w:cs="Times New Roman"/>
                <w:kern w:val="0"/>
                <w:sz w:val="24"/>
              </w:rPr>
              <w:t>表3-1 环境空气质量现状评价表（单位：μg/m</w:t>
            </w:r>
            <w:r>
              <w:rPr>
                <w:rFonts w:hint="eastAsia" w:eastAsia="宋体" w:cs="Times New Roman"/>
                <w:kern w:val="0"/>
                <w:sz w:val="24"/>
                <w:vertAlign w:val="superscript"/>
              </w:rPr>
              <w:t>3</w:t>
            </w:r>
            <w:r>
              <w:rPr>
                <w:rFonts w:hint="eastAsia" w:eastAsia="宋体" w:cs="Times New Roman"/>
                <w:kern w:val="0"/>
                <w:sz w:val="24"/>
              </w:rPr>
              <w:t>）</w:t>
            </w:r>
          </w:p>
          <w:p w14:paraId="5A2546C4">
            <w:pPr>
              <w:ind w:left="0" w:leftChars="0" w:firstLine="480" w:firstLineChars="200"/>
              <w:rPr>
                <w:vertAlign w:val="subscript"/>
              </w:rPr>
            </w:pPr>
            <w:r>
              <w:drawing>
                <wp:anchor distT="0" distB="0" distL="114300" distR="114300" simplePos="0" relativeHeight="251666432" behindDoc="0" locked="0" layoutInCell="1" allowOverlap="1">
                  <wp:simplePos x="0" y="0"/>
                  <wp:positionH relativeFrom="column">
                    <wp:posOffset>299085</wp:posOffset>
                  </wp:positionH>
                  <wp:positionV relativeFrom="paragraph">
                    <wp:posOffset>68580</wp:posOffset>
                  </wp:positionV>
                  <wp:extent cx="5028565" cy="1440815"/>
                  <wp:effectExtent l="0" t="0" r="635" b="698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028565" cy="1440815"/>
                          </a:xfrm>
                          <a:prstGeom prst="rect">
                            <a:avLst/>
                          </a:prstGeom>
                          <a:noFill/>
                          <a:ln>
                            <a:noFill/>
                          </a:ln>
                        </pic:spPr>
                      </pic:pic>
                    </a:graphicData>
                  </a:graphic>
                </wp:anchor>
              </w:drawing>
            </w:r>
            <w:r>
              <w:t>由上表可知，项目所在区域SO</w:t>
            </w:r>
            <w:r>
              <w:rPr>
                <w:vertAlign w:val="subscript"/>
              </w:rPr>
              <w:t>2</w:t>
            </w:r>
            <w:r>
              <w:t>、NO</w:t>
            </w:r>
            <w:r>
              <w:rPr>
                <w:vertAlign w:val="subscript"/>
              </w:rPr>
              <w:t>2</w:t>
            </w:r>
            <w:r>
              <w:t>、CO</w:t>
            </w:r>
            <w:r>
              <w:rPr>
                <w:rFonts w:hint="eastAsia"/>
              </w:rPr>
              <w:t>、</w:t>
            </w:r>
            <w:r>
              <w:t>O</w:t>
            </w:r>
            <w:r>
              <w:rPr>
                <w:vertAlign w:val="subscript"/>
              </w:rPr>
              <w:t>3</w:t>
            </w:r>
            <w:r>
              <w:t>年均值均满足《环境空气质量标准》（GB3095-2012）中二级标准浓度。PM</w:t>
            </w:r>
            <w:r>
              <w:rPr>
                <w:vertAlign w:val="subscript"/>
              </w:rPr>
              <w:t>2.5</w:t>
            </w:r>
            <w:r>
              <w:rPr>
                <w:rFonts w:hint="eastAsia"/>
                <w:vertAlign w:val="baseline"/>
                <w:lang w:eastAsia="zh-CN"/>
              </w:rPr>
              <w:t>、</w:t>
            </w:r>
            <w:r>
              <w:rPr>
                <w:rFonts w:hint="eastAsia"/>
                <w:lang w:val="en-US" w:eastAsia="zh-CN"/>
              </w:rPr>
              <w:t>PM</w:t>
            </w:r>
            <w:r>
              <w:rPr>
                <w:rFonts w:hint="eastAsia"/>
                <w:vertAlign w:val="subscript"/>
                <w:lang w:val="en-US" w:eastAsia="zh-CN"/>
              </w:rPr>
              <w:t>10</w:t>
            </w:r>
            <w:r>
              <w:rPr>
                <w:rFonts w:hint="eastAsia"/>
                <w:vertAlign w:val="baseline"/>
                <w:lang w:eastAsia="zh-CN"/>
              </w:rPr>
              <w:t>不满足</w:t>
            </w:r>
            <w:r>
              <w:t>《环境空气质量标准》（GB3095-2012）中二级标准浓度</w:t>
            </w:r>
            <w:r>
              <w:rPr>
                <w:rFonts w:hint="eastAsia"/>
                <w:lang w:eastAsia="zh-CN"/>
              </w:rPr>
              <w:t>。</w:t>
            </w:r>
            <w:r>
              <w:t>由此判定项目所在区域为环境空气质量</w:t>
            </w:r>
            <w:r>
              <w:rPr>
                <w:rFonts w:hint="eastAsia"/>
                <w:lang w:eastAsia="zh-CN"/>
              </w:rPr>
              <w:t>为不</w:t>
            </w:r>
            <w:r>
              <w:t>达标区。</w:t>
            </w:r>
          </w:p>
          <w:p w14:paraId="7AFC6188">
            <w:pPr>
              <w:pStyle w:val="4"/>
              <w:numPr>
                <w:ilvl w:val="1"/>
                <w:numId w:val="0"/>
              </w:numPr>
              <w:outlineLvl w:val="2"/>
            </w:pPr>
            <w:r>
              <w:rPr>
                <w:rFonts w:hint="default" w:ascii="宋体" w:hAnsi="宋体" w:eastAsia="宋体" w:cs="宋体"/>
                <w:b/>
                <w:kern w:val="2"/>
                <w:sz w:val="24"/>
                <w:szCs w:val="24"/>
                <w:lang w:val="en-US" w:eastAsia="zh-CN" w:bidi="ar-SA"/>
              </w:rPr>
              <w:t>3.2.</w:t>
            </w:r>
            <w:r>
              <w:rPr>
                <w:rFonts w:hint="eastAsia"/>
              </w:rPr>
              <w:t>地表水环境质量现状</w:t>
            </w:r>
          </w:p>
          <w:p w14:paraId="55AF7C54">
            <w:pPr>
              <w:pStyle w:val="4"/>
              <w:numPr>
                <w:ilvl w:val="1"/>
                <w:numId w:val="0"/>
              </w:numPr>
              <w:spacing w:line="360" w:lineRule="auto"/>
              <w:ind w:firstLine="480" w:firstLineChars="200"/>
              <w:outlineLvl w:val="2"/>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本项目厂界500m范围内无地表水环境敏感目标。因此本项目不对地表水环境现状进行调查及分析。</w:t>
            </w:r>
          </w:p>
          <w:p w14:paraId="5EE385C6">
            <w:pPr>
              <w:pStyle w:val="4"/>
              <w:numPr>
                <w:ilvl w:val="1"/>
                <w:numId w:val="0"/>
              </w:numPr>
              <w:outlineLvl w:val="2"/>
            </w:pPr>
            <w:r>
              <w:rPr>
                <w:rFonts w:hint="default" w:ascii="宋体" w:hAnsi="宋体" w:eastAsia="宋体" w:cs="宋体"/>
                <w:b/>
                <w:kern w:val="2"/>
                <w:sz w:val="24"/>
                <w:szCs w:val="24"/>
                <w:lang w:val="en-US" w:eastAsia="zh-CN" w:bidi="ar-SA"/>
              </w:rPr>
              <w:t>3.3.</w:t>
            </w:r>
            <w:r>
              <w:rPr>
                <w:rFonts w:hint="eastAsia"/>
              </w:rPr>
              <w:t>声环境质量现状</w:t>
            </w:r>
          </w:p>
          <w:p w14:paraId="345E0BE4">
            <w:pPr>
              <w:ind w:firstLine="480"/>
            </w:pPr>
            <w:r>
              <w:t>经现场踏勘，项目所在地厂界周围50m范围内无声环境</w:t>
            </w:r>
            <w:r>
              <w:rPr>
                <w:rFonts w:hint="eastAsia"/>
              </w:rPr>
              <w:t>保护目标</w:t>
            </w:r>
            <w:r>
              <w:t>，</w:t>
            </w:r>
            <w:r>
              <w:rPr>
                <w:rFonts w:hint="eastAsia"/>
              </w:rPr>
              <w:t>因此</w:t>
            </w:r>
            <w:r>
              <w:t>不再进行现状监测。</w:t>
            </w:r>
          </w:p>
          <w:p w14:paraId="2E539A50">
            <w:pPr>
              <w:bidi w:val="0"/>
              <w:ind w:left="0" w:leftChars="0" w:firstLine="0" w:firstLineChars="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3.4地下水质量现状</w:t>
            </w:r>
          </w:p>
          <w:p w14:paraId="71BE0E26">
            <w:pPr>
              <w:bidi w:val="0"/>
              <w:rPr>
                <w:rFonts w:hint="default"/>
                <w:lang w:val="en-US" w:eastAsia="zh-CN"/>
              </w:rPr>
            </w:pPr>
            <w:r>
              <w:rPr>
                <w:rFonts w:hint="default"/>
                <w:lang w:val="en-US" w:eastAsia="zh-CN"/>
              </w:rPr>
              <w:t>根据《环境影响评价技术导则地下水环境》（HJ610-2016）中附录A地下水环境影响评价行业分类表，本项目属J非金属矿采选及制品制造-54、土砂石开采-其他，属于IV类建设项目，IV类建设项目不开展地下水环境影响评价。</w:t>
            </w:r>
          </w:p>
          <w:p w14:paraId="16F6DDA1">
            <w:pPr>
              <w:bidi w:val="0"/>
              <w:ind w:left="0" w:leftChars="0" w:firstLine="0" w:firstLineChars="0"/>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3.5、土壤环境质量现状</w:t>
            </w:r>
          </w:p>
          <w:p w14:paraId="23209337">
            <w:pPr>
              <w:bidi w:val="0"/>
              <w:rPr>
                <w:rFonts w:hint="default"/>
                <w:lang w:val="en-US" w:eastAsia="zh-CN"/>
              </w:rPr>
            </w:pPr>
            <w:r>
              <w:rPr>
                <w:rFonts w:hint="eastAsia"/>
                <w:lang w:val="en-US" w:eastAsia="zh-CN"/>
              </w:rPr>
              <w:t>根据《环境影响评价技术导则土壤环境（试行）》（HJ964-2018）中4.2.2“根据行业特征、工艺特点或规模大小等将建设项目类别分为I类、II类、III类、IV类，见附件A，其中IV类建设项目可不开展土壤环境影响评价；自身为敏感目标的建设项目，可根据需要仅对土壤现状进行调查”，本项目属于附录A中的采矿业III类项目，根据普查地质报告浅井数据，土壤pH值为8.05，为不敏感。根据《环境影响评价技术导则土壤环境（试行）》（HJ964-2018）中表1生态影响型敏感程度分级表，本项目为不敏感，根据表2生态影响型评价工作等级划分表，本项目可不开展土壤环境影响评价工作，且本项目用地未建设过对土壤环境造成影响的建设项目，土壤环境状况良好。</w:t>
            </w:r>
          </w:p>
        </w:tc>
      </w:tr>
      <w:tr w14:paraId="20E7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0" w:hRule="atLeast"/>
        </w:trPr>
        <w:tc>
          <w:tcPr>
            <w:tcW w:w="754" w:type="dxa"/>
            <w:vAlign w:val="center"/>
          </w:tcPr>
          <w:p w14:paraId="05825201">
            <w:pPr>
              <w:pStyle w:val="28"/>
              <w:rPr>
                <w:rFonts w:hint="default"/>
              </w:rPr>
            </w:pPr>
            <w:r>
              <w:t>与项目有关的原有环境污染和生态破坏问题</w:t>
            </w:r>
          </w:p>
        </w:tc>
        <w:tc>
          <w:tcPr>
            <w:tcW w:w="7763" w:type="dxa"/>
            <w:vAlign w:val="center"/>
          </w:tcPr>
          <w:p w14:paraId="7FAEBBF9">
            <w:pPr>
              <w:bidi w:val="0"/>
              <w:rPr>
                <w:rFonts w:hint="default"/>
                <w:lang w:val="en-US" w:eastAsia="zh-CN"/>
              </w:rPr>
            </w:pPr>
            <w:r>
              <w:rPr>
                <w:rFonts w:hint="eastAsia"/>
                <w:lang w:val="en-US" w:eastAsia="zh-CN"/>
              </w:rPr>
              <w:t>本项目与原有场地无关，原有场地因矿权到期正在进行生态恢复。本次为吉木萨尔县自然资源局2023年10月18日新办采矿许可证（证号：C6523272014027130132999）。</w:t>
            </w:r>
          </w:p>
        </w:tc>
      </w:tr>
      <w:tr w14:paraId="7364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4" w:hRule="atLeast"/>
        </w:trPr>
        <w:tc>
          <w:tcPr>
            <w:tcW w:w="754" w:type="dxa"/>
            <w:vAlign w:val="center"/>
          </w:tcPr>
          <w:p w14:paraId="1C56F9D7">
            <w:pPr>
              <w:pStyle w:val="28"/>
              <w:rPr>
                <w:rFonts w:hint="default"/>
              </w:rPr>
            </w:pPr>
            <w:r>
              <w:t>生态环境保护</w:t>
            </w:r>
          </w:p>
          <w:p w14:paraId="489CB764">
            <w:pPr>
              <w:pStyle w:val="28"/>
              <w:rPr>
                <w:rFonts w:hint="default"/>
              </w:rPr>
            </w:pPr>
            <w:r>
              <w:t>目标</w:t>
            </w:r>
          </w:p>
        </w:tc>
        <w:tc>
          <w:tcPr>
            <w:tcW w:w="7763" w:type="dxa"/>
          </w:tcPr>
          <w:p w14:paraId="7AB63409">
            <w:pPr>
              <w:pStyle w:val="3"/>
              <w:numPr>
                <w:ilvl w:val="0"/>
                <w:numId w:val="0"/>
              </w:numPr>
              <w:tabs>
                <w:tab w:val="clear" w:pos="0"/>
              </w:tabs>
            </w:pPr>
            <w:r>
              <w:rPr>
                <w:rFonts w:hint="eastAsia"/>
              </w:rPr>
              <w:t>主要环境保护目标</w:t>
            </w:r>
          </w:p>
          <w:p w14:paraId="56C7092D">
            <w:pPr>
              <w:widowControl/>
              <w:ind w:left="0" w:leftChars="0" w:firstLine="480" w:firstLineChars="200"/>
              <w:rPr>
                <w:rFonts w:hint="eastAsia"/>
              </w:rPr>
            </w:pPr>
            <w:r>
              <w:rPr>
                <w:rFonts w:hint="eastAsia"/>
              </w:rPr>
              <w:t>项目位于</w:t>
            </w:r>
            <w:r>
              <w:rPr>
                <w:rFonts w:hint="eastAsia"/>
                <w:lang w:eastAsia="zh-CN"/>
              </w:rPr>
              <w:t>新疆维吾尔自治区昌吉州吉木萨尔县三台镇</w:t>
            </w:r>
            <w:r>
              <w:rPr>
                <w:rFonts w:hint="eastAsia"/>
              </w:rPr>
              <w:t>。根据对建设项目所在地周边环境现状的踏勘，</w:t>
            </w:r>
          </w:p>
          <w:p w14:paraId="2D8170EA">
            <w:pPr>
              <w:widowControl/>
              <w:numPr>
                <w:ilvl w:val="0"/>
                <w:numId w:val="0"/>
              </w:numPr>
              <w:ind w:left="0" w:leftChars="0" w:firstLine="480" w:firstLineChars="200"/>
              <w:rPr>
                <w:rFonts w:hint="eastAsia"/>
              </w:rPr>
            </w:pPr>
            <w:r>
              <w:rPr>
                <w:rFonts w:hint="eastAsia" w:ascii="Times New Roman" w:hAnsi="Times New Roman" w:eastAsia="宋体" w:cstheme="minorBidi"/>
                <w:kern w:val="2"/>
                <w:sz w:val="24"/>
                <w:szCs w:val="24"/>
                <w:lang w:val="en-US" w:eastAsia="zh-CN" w:bidi="ar-SA"/>
              </w:rPr>
              <w:t>1、</w:t>
            </w:r>
            <w:r>
              <w:rPr>
                <w:rFonts w:hint="eastAsia"/>
              </w:rPr>
              <w:t>大气环境：根据现场调查，本项目500m范围内无自然保护区、风景名胜区、居住区、文化区和农村地区中人群较集中区域。无大气环境保护目标。</w:t>
            </w:r>
          </w:p>
          <w:p w14:paraId="185AA1A1">
            <w:pPr>
              <w:widowControl/>
              <w:numPr>
                <w:ilvl w:val="0"/>
                <w:numId w:val="0"/>
              </w:numPr>
              <w:ind w:left="0" w:leftChars="0" w:firstLine="480" w:firstLineChars="200"/>
              <w:rPr>
                <w:rFonts w:hint="eastAsia"/>
              </w:rPr>
            </w:pPr>
            <w:r>
              <w:rPr>
                <w:rFonts w:hint="eastAsia"/>
              </w:rPr>
              <w:t>2、声环境：本项目50m范围内无声环境敏感点。</w:t>
            </w:r>
          </w:p>
          <w:p w14:paraId="403C5E34">
            <w:pPr>
              <w:widowControl/>
              <w:numPr>
                <w:ilvl w:val="0"/>
                <w:numId w:val="0"/>
              </w:numPr>
              <w:ind w:left="0" w:leftChars="0" w:firstLine="480" w:firstLineChars="200"/>
              <w:rPr>
                <w:rFonts w:hint="eastAsia"/>
              </w:rPr>
            </w:pPr>
            <w:r>
              <w:rPr>
                <w:rFonts w:hint="eastAsia"/>
              </w:rPr>
              <w:t>3、水环境：项目区厂界外500m内无地下水集中饮用水水源和热水、矿泉水、温泉等特殊地下水资源。保护项目区地下水环境，确保不因项目的建设污染地下水。</w:t>
            </w:r>
          </w:p>
          <w:p w14:paraId="67D1078B">
            <w:pPr>
              <w:widowControl/>
              <w:numPr>
                <w:ilvl w:val="0"/>
                <w:numId w:val="0"/>
              </w:numPr>
              <w:ind w:left="0" w:leftChars="0" w:firstLine="480" w:firstLineChars="200"/>
              <w:rPr>
                <w:rFonts w:hint="eastAsia"/>
              </w:rPr>
            </w:pPr>
            <w:r>
              <w:rPr>
                <w:rFonts w:hint="eastAsia"/>
              </w:rPr>
              <w:t>4、固体废弃物：妥善处理本项目产生的废石料，避免对区域环境造成影响。</w:t>
            </w:r>
          </w:p>
          <w:p w14:paraId="6F5E5671">
            <w:pPr>
              <w:widowControl/>
              <w:numPr>
                <w:ilvl w:val="0"/>
                <w:numId w:val="0"/>
              </w:numPr>
              <w:ind w:left="0" w:leftChars="0" w:firstLine="480" w:firstLineChars="200"/>
            </w:pPr>
            <w:r>
              <w:rPr>
                <w:rFonts w:hint="eastAsia"/>
              </w:rPr>
              <w:t>5、生态环境：本项目区草地类型为</w:t>
            </w:r>
            <w:r>
              <w:rPr>
                <w:rFonts w:hint="eastAsia"/>
                <w:lang w:eastAsia="zh-CN"/>
              </w:rPr>
              <w:t>其它草</w:t>
            </w:r>
            <w:r>
              <w:rPr>
                <w:rFonts w:hint="eastAsia"/>
              </w:rPr>
              <w:t>地，在项目区服务期结束后进行土地复垦、播撒草籽恢复原有项目区植被及植被覆盖度。</w:t>
            </w:r>
          </w:p>
        </w:tc>
      </w:tr>
      <w:tr w14:paraId="0ABD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4" w:type="dxa"/>
            <w:vAlign w:val="center"/>
          </w:tcPr>
          <w:p w14:paraId="615B8408">
            <w:pPr>
              <w:pStyle w:val="28"/>
              <w:rPr>
                <w:rFonts w:hint="default"/>
              </w:rPr>
            </w:pPr>
            <w:r>
              <w:t>评价标准</w:t>
            </w:r>
          </w:p>
        </w:tc>
        <w:tc>
          <w:tcPr>
            <w:tcW w:w="7763" w:type="dxa"/>
          </w:tcPr>
          <w:p w14:paraId="3167B171">
            <w:pPr>
              <w:pStyle w:val="3"/>
              <w:numPr>
                <w:ilvl w:val="0"/>
                <w:numId w:val="0"/>
              </w:numPr>
              <w:spacing w:before="156" w:after="156"/>
              <w:outlineLvl w:val="1"/>
            </w:pPr>
            <w:r>
              <w:rPr>
                <w:rFonts w:hint="default" w:ascii="宋体" w:hAnsi="宋体" w:eastAsia="宋体" w:cs="宋体"/>
                <w:b/>
                <w:kern w:val="2"/>
                <w:sz w:val="24"/>
                <w:szCs w:val="24"/>
                <w:lang w:val="en-US" w:eastAsia="zh-CN" w:bidi="ar-SA"/>
              </w:rPr>
              <w:t>1.</w:t>
            </w:r>
            <w:r>
              <w:rPr>
                <w:rFonts w:hint="eastAsia"/>
              </w:rPr>
              <w:t>环境质量标准</w:t>
            </w:r>
          </w:p>
          <w:p w14:paraId="6F84F28C">
            <w:pPr>
              <w:pStyle w:val="4"/>
              <w:numPr>
                <w:ilvl w:val="1"/>
                <w:numId w:val="0"/>
              </w:numPr>
              <w:outlineLvl w:val="2"/>
            </w:pPr>
            <w:r>
              <w:rPr>
                <w:rFonts w:hint="default" w:ascii="宋体" w:hAnsi="宋体" w:eastAsia="宋体" w:cs="宋体"/>
                <w:b/>
                <w:kern w:val="2"/>
                <w:sz w:val="24"/>
                <w:szCs w:val="24"/>
                <w:lang w:val="en-US" w:eastAsia="zh-CN" w:bidi="ar-SA"/>
              </w:rPr>
              <w:t>1.1.</w:t>
            </w:r>
            <w:r>
              <w:rPr>
                <w:rFonts w:hint="eastAsia"/>
              </w:rPr>
              <w:t>空气环境质量标准</w:t>
            </w:r>
          </w:p>
          <w:p w14:paraId="4F9884EE">
            <w:pPr>
              <w:ind w:firstLine="480"/>
            </w:pPr>
            <w:r>
              <w:rPr>
                <w:rFonts w:hint="eastAsia"/>
              </w:rPr>
              <w:t>本项目属于2类功能区，执行《环境空气质量标准》（GB3095-2012）中的二级标准。</w:t>
            </w:r>
          </w:p>
          <w:p w14:paraId="36C13076">
            <w:pPr>
              <w:spacing w:afterLines="50" w:line="240" w:lineRule="auto"/>
              <w:ind w:left="0" w:leftChars="0" w:firstLine="0" w:firstLineChars="0"/>
              <w:jc w:val="center"/>
              <w:rPr>
                <w:rFonts w:hint="eastAsia"/>
                <w:b/>
              </w:rPr>
            </w:pPr>
            <w:r>
              <w:rPr>
                <w:rFonts w:hint="eastAsia"/>
                <w:b/>
              </w:rPr>
              <w:t>表3-</w:t>
            </w:r>
            <w:r>
              <w:rPr>
                <w:rFonts w:hint="eastAsia"/>
                <w:b/>
                <w:lang w:val="en-US" w:eastAsia="zh-CN"/>
              </w:rPr>
              <w:t>2</w:t>
            </w:r>
            <w:r>
              <w:rPr>
                <w:rFonts w:hint="eastAsia"/>
                <w:b/>
              </w:rPr>
              <w:t xml:space="preserve"> 环境空气质量标准</w:t>
            </w:r>
          </w:p>
          <w:tbl>
            <w:tblPr>
              <w:tblStyle w:val="22"/>
              <w:tblW w:w="7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567"/>
              <w:gridCol w:w="2333"/>
              <w:gridCol w:w="2283"/>
            </w:tblGrid>
            <w:tr w14:paraId="6FE1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5BB1418B">
                  <w:pPr>
                    <w:pStyle w:val="25"/>
                  </w:pPr>
                  <w:r>
                    <w:rPr>
                      <w:rFonts w:hint="eastAsia"/>
                    </w:rPr>
                    <w:t>序号</w:t>
                  </w:r>
                </w:p>
              </w:tc>
              <w:tc>
                <w:tcPr>
                  <w:tcW w:w="1567" w:type="dxa"/>
                  <w:vAlign w:val="center"/>
                </w:tcPr>
                <w:p w14:paraId="0000BE51">
                  <w:pPr>
                    <w:pStyle w:val="25"/>
                  </w:pPr>
                  <w:r>
                    <w:rPr>
                      <w:rFonts w:hint="eastAsia"/>
                    </w:rPr>
                    <w:t>污染物</w:t>
                  </w:r>
                </w:p>
              </w:tc>
              <w:tc>
                <w:tcPr>
                  <w:tcW w:w="2333" w:type="dxa"/>
                  <w:vAlign w:val="center"/>
                </w:tcPr>
                <w:p w14:paraId="2EEF65E9">
                  <w:pPr>
                    <w:pStyle w:val="25"/>
                  </w:pPr>
                  <w:r>
                    <w:rPr>
                      <w:rFonts w:hint="eastAsia"/>
                    </w:rPr>
                    <w:t>一小时平均（</w:t>
                  </w:r>
                  <w:r>
                    <w:rPr>
                      <w:rFonts w:hint="eastAsia"/>
                      <w:lang w:eastAsia="zh-CN"/>
                    </w:rPr>
                    <w:t>μg/m</w:t>
                  </w:r>
                  <w:r>
                    <w:rPr>
                      <w:rFonts w:hint="eastAsia"/>
                      <w:vertAlign w:val="superscript"/>
                      <w:lang w:eastAsia="zh-CN"/>
                    </w:rPr>
                    <w:t>3</w:t>
                  </w:r>
                  <w:r>
                    <w:rPr>
                      <w:rFonts w:hint="eastAsia"/>
                    </w:rPr>
                    <w:t>）</w:t>
                  </w:r>
                </w:p>
              </w:tc>
              <w:tc>
                <w:tcPr>
                  <w:tcW w:w="2283" w:type="dxa"/>
                  <w:vAlign w:val="center"/>
                </w:tcPr>
                <w:p w14:paraId="22D7F676">
                  <w:pPr>
                    <w:pStyle w:val="25"/>
                  </w:pPr>
                  <w:r>
                    <w:rPr>
                      <w:rFonts w:hint="eastAsia"/>
                    </w:rPr>
                    <w:t>24小时平均（</w:t>
                  </w:r>
                  <w:r>
                    <w:rPr>
                      <w:rFonts w:hint="eastAsia"/>
                      <w:lang w:eastAsia="zh-CN"/>
                    </w:rPr>
                    <w:t>μg/m</w:t>
                  </w:r>
                  <w:r>
                    <w:rPr>
                      <w:rFonts w:hint="eastAsia"/>
                      <w:vertAlign w:val="superscript"/>
                      <w:lang w:eastAsia="zh-CN"/>
                    </w:rPr>
                    <w:t>3</w:t>
                  </w:r>
                  <w:r>
                    <w:rPr>
                      <w:rFonts w:hint="eastAsia"/>
                    </w:rPr>
                    <w:t>）</w:t>
                  </w:r>
                </w:p>
              </w:tc>
            </w:tr>
            <w:tr w14:paraId="5110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4BCC9457">
                  <w:pPr>
                    <w:pStyle w:val="25"/>
                    <w:rPr>
                      <w:b w:val="0"/>
                      <w:bCs/>
                    </w:rPr>
                  </w:pPr>
                  <w:r>
                    <w:rPr>
                      <w:rFonts w:hint="eastAsia"/>
                      <w:b w:val="0"/>
                      <w:bCs/>
                    </w:rPr>
                    <w:t>1</w:t>
                  </w:r>
                </w:p>
              </w:tc>
              <w:tc>
                <w:tcPr>
                  <w:tcW w:w="1567" w:type="dxa"/>
                  <w:vAlign w:val="center"/>
                </w:tcPr>
                <w:p w14:paraId="73B4C13B">
                  <w:pPr>
                    <w:pStyle w:val="25"/>
                    <w:rPr>
                      <w:b w:val="0"/>
                      <w:bCs/>
                    </w:rPr>
                  </w:pPr>
                  <w:r>
                    <w:rPr>
                      <w:rFonts w:hint="eastAsia"/>
                      <w:b w:val="0"/>
                      <w:bCs/>
                    </w:rPr>
                    <w:t>SO</w:t>
                  </w:r>
                  <w:r>
                    <w:rPr>
                      <w:rFonts w:hint="eastAsia"/>
                      <w:b w:val="0"/>
                      <w:bCs/>
                      <w:vertAlign w:val="subscript"/>
                    </w:rPr>
                    <w:t>2</w:t>
                  </w:r>
                </w:p>
              </w:tc>
              <w:tc>
                <w:tcPr>
                  <w:tcW w:w="2333" w:type="dxa"/>
                  <w:vAlign w:val="center"/>
                </w:tcPr>
                <w:p w14:paraId="2D2EA82C">
                  <w:pPr>
                    <w:pStyle w:val="25"/>
                    <w:rPr>
                      <w:b w:val="0"/>
                      <w:bCs/>
                    </w:rPr>
                  </w:pPr>
                  <w:r>
                    <w:rPr>
                      <w:rFonts w:hint="eastAsia"/>
                      <w:b w:val="0"/>
                      <w:bCs/>
                    </w:rPr>
                    <w:t>500</w:t>
                  </w:r>
                </w:p>
              </w:tc>
              <w:tc>
                <w:tcPr>
                  <w:tcW w:w="2283" w:type="dxa"/>
                  <w:vAlign w:val="center"/>
                </w:tcPr>
                <w:p w14:paraId="3B576754">
                  <w:pPr>
                    <w:pStyle w:val="25"/>
                    <w:rPr>
                      <w:b w:val="0"/>
                      <w:bCs/>
                    </w:rPr>
                  </w:pPr>
                  <w:r>
                    <w:rPr>
                      <w:rFonts w:hint="eastAsia"/>
                      <w:b w:val="0"/>
                      <w:bCs/>
                    </w:rPr>
                    <w:t>150</w:t>
                  </w:r>
                </w:p>
              </w:tc>
            </w:tr>
            <w:tr w14:paraId="14AF8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78D8EA0B">
                  <w:pPr>
                    <w:pStyle w:val="25"/>
                    <w:rPr>
                      <w:b w:val="0"/>
                      <w:bCs/>
                    </w:rPr>
                  </w:pPr>
                  <w:r>
                    <w:rPr>
                      <w:rFonts w:hint="eastAsia"/>
                      <w:b w:val="0"/>
                      <w:bCs/>
                    </w:rPr>
                    <w:t>2</w:t>
                  </w:r>
                </w:p>
              </w:tc>
              <w:tc>
                <w:tcPr>
                  <w:tcW w:w="1567" w:type="dxa"/>
                  <w:vAlign w:val="center"/>
                </w:tcPr>
                <w:p w14:paraId="71A81358">
                  <w:pPr>
                    <w:pStyle w:val="25"/>
                    <w:rPr>
                      <w:b w:val="0"/>
                      <w:bCs/>
                    </w:rPr>
                  </w:pPr>
                  <w:r>
                    <w:rPr>
                      <w:rFonts w:hint="eastAsia"/>
                      <w:b w:val="0"/>
                      <w:bCs/>
                    </w:rPr>
                    <w:t>NO</w:t>
                  </w:r>
                  <w:r>
                    <w:rPr>
                      <w:rFonts w:hint="eastAsia"/>
                      <w:b w:val="0"/>
                      <w:bCs/>
                      <w:vertAlign w:val="subscript"/>
                    </w:rPr>
                    <w:t>2</w:t>
                  </w:r>
                </w:p>
              </w:tc>
              <w:tc>
                <w:tcPr>
                  <w:tcW w:w="2333" w:type="dxa"/>
                  <w:vAlign w:val="center"/>
                </w:tcPr>
                <w:p w14:paraId="54AC914B">
                  <w:pPr>
                    <w:pStyle w:val="25"/>
                    <w:rPr>
                      <w:b w:val="0"/>
                      <w:bCs/>
                    </w:rPr>
                  </w:pPr>
                  <w:r>
                    <w:rPr>
                      <w:rFonts w:hint="eastAsia"/>
                      <w:b w:val="0"/>
                      <w:bCs/>
                    </w:rPr>
                    <w:t>200</w:t>
                  </w:r>
                </w:p>
              </w:tc>
              <w:tc>
                <w:tcPr>
                  <w:tcW w:w="2283" w:type="dxa"/>
                  <w:vAlign w:val="center"/>
                </w:tcPr>
                <w:p w14:paraId="4E7347C3">
                  <w:pPr>
                    <w:pStyle w:val="25"/>
                    <w:rPr>
                      <w:b w:val="0"/>
                      <w:bCs/>
                    </w:rPr>
                  </w:pPr>
                  <w:r>
                    <w:rPr>
                      <w:rFonts w:hint="eastAsia"/>
                      <w:b w:val="0"/>
                      <w:bCs/>
                    </w:rPr>
                    <w:t>80</w:t>
                  </w:r>
                </w:p>
              </w:tc>
            </w:tr>
            <w:tr w14:paraId="2A79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3D8EC908">
                  <w:pPr>
                    <w:pStyle w:val="25"/>
                    <w:rPr>
                      <w:b w:val="0"/>
                      <w:bCs/>
                    </w:rPr>
                  </w:pPr>
                  <w:r>
                    <w:rPr>
                      <w:rFonts w:hint="eastAsia"/>
                      <w:b w:val="0"/>
                      <w:bCs/>
                    </w:rPr>
                    <w:t>3</w:t>
                  </w:r>
                </w:p>
              </w:tc>
              <w:tc>
                <w:tcPr>
                  <w:tcW w:w="1567" w:type="dxa"/>
                  <w:vAlign w:val="center"/>
                </w:tcPr>
                <w:p w14:paraId="643666D6">
                  <w:pPr>
                    <w:pStyle w:val="25"/>
                    <w:rPr>
                      <w:b w:val="0"/>
                      <w:bCs/>
                    </w:rPr>
                  </w:pPr>
                  <w:r>
                    <w:rPr>
                      <w:rFonts w:hint="eastAsia"/>
                      <w:b w:val="0"/>
                      <w:bCs/>
                    </w:rPr>
                    <w:t>CO</w:t>
                  </w:r>
                </w:p>
              </w:tc>
              <w:tc>
                <w:tcPr>
                  <w:tcW w:w="2333" w:type="dxa"/>
                  <w:vAlign w:val="center"/>
                </w:tcPr>
                <w:p w14:paraId="6C2384BD">
                  <w:pPr>
                    <w:pStyle w:val="25"/>
                    <w:rPr>
                      <w:b w:val="0"/>
                      <w:bCs/>
                    </w:rPr>
                  </w:pPr>
                  <w:r>
                    <w:rPr>
                      <w:rFonts w:hint="eastAsia"/>
                      <w:b w:val="0"/>
                      <w:bCs/>
                    </w:rPr>
                    <w:t>--</w:t>
                  </w:r>
                </w:p>
              </w:tc>
              <w:tc>
                <w:tcPr>
                  <w:tcW w:w="2283" w:type="dxa"/>
                  <w:vAlign w:val="center"/>
                </w:tcPr>
                <w:p w14:paraId="68DB31C1">
                  <w:pPr>
                    <w:pStyle w:val="25"/>
                    <w:rPr>
                      <w:b w:val="0"/>
                      <w:bCs/>
                    </w:rPr>
                  </w:pPr>
                  <w:r>
                    <w:rPr>
                      <w:rFonts w:hint="eastAsia"/>
                      <w:b w:val="0"/>
                      <w:bCs/>
                    </w:rPr>
                    <w:t>150</w:t>
                  </w:r>
                </w:p>
              </w:tc>
            </w:tr>
            <w:tr w14:paraId="6B9B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0593E28E">
                  <w:pPr>
                    <w:pStyle w:val="25"/>
                    <w:rPr>
                      <w:b w:val="0"/>
                      <w:bCs/>
                    </w:rPr>
                  </w:pPr>
                  <w:r>
                    <w:rPr>
                      <w:rFonts w:hint="eastAsia"/>
                      <w:b w:val="0"/>
                      <w:bCs/>
                    </w:rPr>
                    <w:t>4</w:t>
                  </w:r>
                </w:p>
              </w:tc>
              <w:tc>
                <w:tcPr>
                  <w:tcW w:w="1567" w:type="dxa"/>
                  <w:vAlign w:val="center"/>
                </w:tcPr>
                <w:p w14:paraId="247D5A24">
                  <w:pPr>
                    <w:pStyle w:val="25"/>
                    <w:rPr>
                      <w:b w:val="0"/>
                      <w:bCs/>
                    </w:rPr>
                  </w:pPr>
                  <w:r>
                    <w:rPr>
                      <w:rFonts w:hint="eastAsia"/>
                      <w:b w:val="0"/>
                      <w:bCs/>
                    </w:rPr>
                    <w:t>O</w:t>
                  </w:r>
                  <w:r>
                    <w:rPr>
                      <w:rFonts w:hint="eastAsia"/>
                      <w:b w:val="0"/>
                      <w:bCs/>
                      <w:vertAlign w:val="subscript"/>
                    </w:rPr>
                    <w:t>3</w:t>
                  </w:r>
                </w:p>
              </w:tc>
              <w:tc>
                <w:tcPr>
                  <w:tcW w:w="2333" w:type="dxa"/>
                  <w:vAlign w:val="center"/>
                </w:tcPr>
                <w:p w14:paraId="461C2F95">
                  <w:pPr>
                    <w:pStyle w:val="25"/>
                    <w:rPr>
                      <w:b w:val="0"/>
                      <w:bCs/>
                    </w:rPr>
                  </w:pPr>
                  <w:r>
                    <w:rPr>
                      <w:rFonts w:hint="eastAsia"/>
                      <w:b w:val="0"/>
                      <w:bCs/>
                    </w:rPr>
                    <w:t>10</w:t>
                  </w:r>
                </w:p>
              </w:tc>
              <w:tc>
                <w:tcPr>
                  <w:tcW w:w="2283" w:type="dxa"/>
                  <w:vAlign w:val="center"/>
                </w:tcPr>
                <w:p w14:paraId="3BD4334D">
                  <w:pPr>
                    <w:pStyle w:val="25"/>
                    <w:rPr>
                      <w:b w:val="0"/>
                      <w:bCs/>
                    </w:rPr>
                  </w:pPr>
                  <w:r>
                    <w:rPr>
                      <w:rFonts w:hint="eastAsia"/>
                      <w:b w:val="0"/>
                      <w:bCs/>
                    </w:rPr>
                    <w:t>200</w:t>
                  </w:r>
                </w:p>
              </w:tc>
            </w:tr>
            <w:tr w14:paraId="39A7C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082C9759">
                  <w:pPr>
                    <w:pStyle w:val="25"/>
                    <w:rPr>
                      <w:b w:val="0"/>
                      <w:bCs/>
                    </w:rPr>
                  </w:pPr>
                  <w:r>
                    <w:rPr>
                      <w:rFonts w:hint="eastAsia"/>
                      <w:b w:val="0"/>
                      <w:bCs/>
                    </w:rPr>
                    <w:t>5</w:t>
                  </w:r>
                </w:p>
              </w:tc>
              <w:tc>
                <w:tcPr>
                  <w:tcW w:w="1567" w:type="dxa"/>
                  <w:vAlign w:val="center"/>
                </w:tcPr>
                <w:p w14:paraId="20552FBE">
                  <w:pPr>
                    <w:pStyle w:val="25"/>
                    <w:rPr>
                      <w:b w:val="0"/>
                      <w:bCs/>
                    </w:rPr>
                  </w:pPr>
                  <w:r>
                    <w:rPr>
                      <w:rFonts w:hint="eastAsia"/>
                      <w:b w:val="0"/>
                      <w:bCs/>
                    </w:rPr>
                    <w:t>PM</w:t>
                  </w:r>
                  <w:r>
                    <w:rPr>
                      <w:rFonts w:hint="eastAsia"/>
                      <w:b w:val="0"/>
                      <w:bCs/>
                      <w:vertAlign w:val="subscript"/>
                    </w:rPr>
                    <w:t>10</w:t>
                  </w:r>
                </w:p>
              </w:tc>
              <w:tc>
                <w:tcPr>
                  <w:tcW w:w="2333" w:type="dxa"/>
                  <w:vAlign w:val="center"/>
                </w:tcPr>
                <w:p w14:paraId="54B3F508">
                  <w:pPr>
                    <w:pStyle w:val="25"/>
                    <w:rPr>
                      <w:b w:val="0"/>
                      <w:bCs/>
                    </w:rPr>
                  </w:pPr>
                  <w:r>
                    <w:rPr>
                      <w:rFonts w:hint="eastAsia"/>
                      <w:b w:val="0"/>
                      <w:bCs/>
                    </w:rPr>
                    <w:t>--</w:t>
                  </w:r>
                </w:p>
              </w:tc>
              <w:tc>
                <w:tcPr>
                  <w:tcW w:w="2283" w:type="dxa"/>
                  <w:vAlign w:val="center"/>
                </w:tcPr>
                <w:p w14:paraId="797AE118">
                  <w:pPr>
                    <w:pStyle w:val="25"/>
                    <w:rPr>
                      <w:b w:val="0"/>
                      <w:bCs/>
                    </w:rPr>
                  </w:pPr>
                  <w:r>
                    <w:rPr>
                      <w:rFonts w:hint="eastAsia"/>
                      <w:b w:val="0"/>
                      <w:bCs/>
                    </w:rPr>
                    <w:t>75</w:t>
                  </w:r>
                </w:p>
              </w:tc>
            </w:tr>
            <w:tr w14:paraId="2B0B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14:paraId="3268FC84">
                  <w:pPr>
                    <w:pStyle w:val="25"/>
                    <w:rPr>
                      <w:b w:val="0"/>
                      <w:bCs/>
                    </w:rPr>
                  </w:pPr>
                  <w:r>
                    <w:rPr>
                      <w:rFonts w:hint="eastAsia"/>
                      <w:b w:val="0"/>
                      <w:bCs/>
                    </w:rPr>
                    <w:t>6</w:t>
                  </w:r>
                </w:p>
              </w:tc>
              <w:tc>
                <w:tcPr>
                  <w:tcW w:w="1567" w:type="dxa"/>
                  <w:vAlign w:val="center"/>
                </w:tcPr>
                <w:p w14:paraId="3801DCB6">
                  <w:pPr>
                    <w:pStyle w:val="25"/>
                    <w:rPr>
                      <w:b w:val="0"/>
                      <w:bCs/>
                    </w:rPr>
                  </w:pPr>
                  <w:r>
                    <w:rPr>
                      <w:rFonts w:hint="eastAsia"/>
                      <w:b w:val="0"/>
                      <w:bCs/>
                    </w:rPr>
                    <w:t>PM</w:t>
                  </w:r>
                  <w:r>
                    <w:rPr>
                      <w:rFonts w:hint="eastAsia"/>
                      <w:b w:val="0"/>
                      <w:bCs/>
                      <w:vertAlign w:val="subscript"/>
                    </w:rPr>
                    <w:t>2.5</w:t>
                  </w:r>
                </w:p>
              </w:tc>
              <w:tc>
                <w:tcPr>
                  <w:tcW w:w="2333" w:type="dxa"/>
                  <w:vAlign w:val="center"/>
                </w:tcPr>
                <w:p w14:paraId="62AF88BE">
                  <w:pPr>
                    <w:pStyle w:val="25"/>
                    <w:rPr>
                      <w:b w:val="0"/>
                      <w:bCs/>
                    </w:rPr>
                  </w:pPr>
                  <w:r>
                    <w:rPr>
                      <w:rFonts w:hint="eastAsia"/>
                      <w:b w:val="0"/>
                      <w:bCs/>
                    </w:rPr>
                    <w:t>--</w:t>
                  </w:r>
                </w:p>
              </w:tc>
              <w:tc>
                <w:tcPr>
                  <w:tcW w:w="2283" w:type="dxa"/>
                  <w:vAlign w:val="center"/>
                </w:tcPr>
                <w:p w14:paraId="583C2314">
                  <w:pPr>
                    <w:pStyle w:val="25"/>
                    <w:rPr>
                      <w:b w:val="0"/>
                      <w:bCs/>
                    </w:rPr>
                  </w:pPr>
                  <w:r>
                    <w:rPr>
                      <w:rFonts w:hint="eastAsia"/>
                      <w:b w:val="0"/>
                      <w:bCs/>
                    </w:rPr>
                    <w:t>150</w:t>
                  </w:r>
                </w:p>
              </w:tc>
            </w:tr>
          </w:tbl>
          <w:p w14:paraId="29C3294A">
            <w:pPr>
              <w:pStyle w:val="4"/>
              <w:numPr>
                <w:ilvl w:val="1"/>
                <w:numId w:val="0"/>
              </w:numPr>
              <w:outlineLvl w:val="2"/>
            </w:pPr>
            <w:r>
              <w:rPr>
                <w:rFonts w:hint="default" w:ascii="宋体" w:hAnsi="宋体" w:eastAsia="宋体" w:cs="宋体"/>
                <w:b/>
                <w:kern w:val="2"/>
                <w:sz w:val="24"/>
                <w:szCs w:val="24"/>
                <w:lang w:val="en-US" w:eastAsia="zh-CN" w:bidi="ar-SA"/>
              </w:rPr>
              <w:t>1.2.</w:t>
            </w:r>
            <w:r>
              <w:rPr>
                <w:rFonts w:hint="eastAsia"/>
              </w:rPr>
              <w:t>地表水环境质量标准</w:t>
            </w:r>
          </w:p>
          <w:p w14:paraId="6AF9AEFD">
            <w:pPr>
              <w:bidi w:val="0"/>
              <w:rPr>
                <w:rFonts w:hint="eastAsia" w:eastAsia="宋体"/>
                <w:lang w:eastAsia="zh-CN"/>
              </w:rPr>
            </w:pPr>
            <w:r>
              <w:rPr>
                <w:rFonts w:hint="eastAsia"/>
              </w:rPr>
              <w:t>项目区附近</w:t>
            </w:r>
            <w:r>
              <w:rPr>
                <w:rFonts w:hint="eastAsia"/>
                <w:lang w:eastAsia="zh-CN"/>
              </w:rPr>
              <w:t>无地表水，故不执行</w:t>
            </w:r>
            <w:r>
              <w:rPr>
                <w:rFonts w:hint="default"/>
              </w:rPr>
              <w:t>《地表水环境质量标准》（GB3838-2002）</w:t>
            </w:r>
            <w:r>
              <w:rPr>
                <w:rFonts w:hint="eastAsia"/>
                <w:lang w:eastAsia="zh-CN"/>
              </w:rPr>
              <w:t>。</w:t>
            </w:r>
          </w:p>
          <w:p w14:paraId="7C22C91E">
            <w:pPr>
              <w:pStyle w:val="4"/>
              <w:numPr>
                <w:ilvl w:val="1"/>
                <w:numId w:val="0"/>
              </w:numPr>
              <w:outlineLvl w:val="2"/>
            </w:pPr>
            <w:r>
              <w:rPr>
                <w:rFonts w:hint="default" w:ascii="宋体" w:hAnsi="宋体" w:eastAsia="宋体" w:cs="宋体"/>
                <w:b/>
                <w:kern w:val="2"/>
                <w:sz w:val="24"/>
                <w:szCs w:val="24"/>
                <w:lang w:val="en-US" w:eastAsia="zh-CN" w:bidi="ar-SA"/>
              </w:rPr>
              <w:t>1.3.</w:t>
            </w:r>
            <w:r>
              <w:rPr>
                <w:rFonts w:hint="eastAsia"/>
              </w:rPr>
              <w:t>声环境质量标准</w:t>
            </w:r>
          </w:p>
          <w:p w14:paraId="61DC8A43">
            <w:pPr>
              <w:ind w:firstLine="480"/>
            </w:pPr>
            <w:r>
              <w:rPr>
                <w:rFonts w:hint="eastAsia"/>
              </w:rPr>
              <w:t>项目所在地位于</w:t>
            </w:r>
            <w:r>
              <w:rPr>
                <w:rFonts w:hint="eastAsia"/>
                <w:lang w:eastAsia="zh-CN"/>
              </w:rPr>
              <w:t>新疆维吾尔自治区昌吉州吉木萨尔县三台镇</w:t>
            </w:r>
            <w:r>
              <w:rPr>
                <w:rFonts w:hint="eastAsia"/>
              </w:rPr>
              <w:t>，为2类声功能区，项目声环境质量标准执行《声环境质量标准》（GB3096-2008）中2类标准；</w:t>
            </w:r>
          </w:p>
          <w:p w14:paraId="66FFC98F">
            <w:pPr>
              <w:pStyle w:val="2"/>
              <w:keepLines w:val="0"/>
              <w:numPr>
                <w:ilvl w:val="0"/>
                <w:numId w:val="0"/>
              </w:numPr>
              <w:spacing w:line="360" w:lineRule="auto"/>
              <w:rPr>
                <w:rFonts w:hint="eastAsia" w:eastAsia="宋体" w:cs="Times New Roman"/>
                <w:kern w:val="0"/>
                <w:sz w:val="24"/>
              </w:rPr>
            </w:pPr>
            <w:r>
              <w:rPr>
                <w:rFonts w:hint="eastAsia" w:eastAsia="宋体" w:cs="Times New Roman"/>
                <w:kern w:val="0"/>
                <w:sz w:val="24"/>
              </w:rPr>
              <w:t>表3-</w:t>
            </w:r>
            <w:r>
              <w:rPr>
                <w:rFonts w:hint="eastAsia" w:cs="Times New Roman"/>
                <w:kern w:val="0"/>
                <w:sz w:val="24"/>
                <w:lang w:val="en-US" w:eastAsia="zh-CN"/>
              </w:rPr>
              <w:t>3</w:t>
            </w:r>
            <w:r>
              <w:rPr>
                <w:rFonts w:hint="eastAsia" w:eastAsia="宋体" w:cs="Times New Roman"/>
                <w:kern w:val="0"/>
                <w:sz w:val="24"/>
              </w:rPr>
              <w:t xml:space="preserve"> 声环境质量标准</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0"/>
              <w:gridCol w:w="1960"/>
              <w:gridCol w:w="1962"/>
              <w:gridCol w:w="1962"/>
            </w:tblGrid>
            <w:tr w14:paraId="7C2F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4D415AAA">
                  <w:pPr>
                    <w:pStyle w:val="25"/>
                  </w:pPr>
                  <w:r>
                    <w:rPr>
                      <w:rFonts w:hint="eastAsia"/>
                    </w:rPr>
                    <w:t>类别</w:t>
                  </w:r>
                </w:p>
              </w:tc>
              <w:tc>
                <w:tcPr>
                  <w:tcW w:w="1249" w:type="pct"/>
                  <w:vAlign w:val="center"/>
                </w:tcPr>
                <w:p w14:paraId="1E33F41D">
                  <w:pPr>
                    <w:pStyle w:val="25"/>
                  </w:pPr>
                  <w:r>
                    <w:rPr>
                      <w:rFonts w:hint="eastAsia"/>
                    </w:rPr>
                    <w:t>昼夜dB（A）</w:t>
                  </w:r>
                </w:p>
              </w:tc>
              <w:tc>
                <w:tcPr>
                  <w:tcW w:w="1250" w:type="pct"/>
                  <w:vAlign w:val="center"/>
                </w:tcPr>
                <w:p w14:paraId="1AF259C3">
                  <w:pPr>
                    <w:pStyle w:val="25"/>
                  </w:pPr>
                  <w:r>
                    <w:rPr>
                      <w:rFonts w:hint="eastAsia"/>
                    </w:rPr>
                    <w:t>夜间dB（A）</w:t>
                  </w:r>
                </w:p>
              </w:tc>
              <w:tc>
                <w:tcPr>
                  <w:tcW w:w="1250" w:type="pct"/>
                  <w:vAlign w:val="center"/>
                </w:tcPr>
                <w:p w14:paraId="16FFD494">
                  <w:pPr>
                    <w:pStyle w:val="25"/>
                  </w:pPr>
                  <w:r>
                    <w:rPr>
                      <w:rFonts w:hint="eastAsia"/>
                    </w:rPr>
                    <w:t>备注</w:t>
                  </w:r>
                </w:p>
              </w:tc>
            </w:tr>
            <w:tr w14:paraId="58DB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Align w:val="center"/>
                </w:tcPr>
                <w:p w14:paraId="60CA226C">
                  <w:pPr>
                    <w:pStyle w:val="25"/>
                    <w:rPr>
                      <w:b w:val="0"/>
                      <w:bCs/>
                    </w:rPr>
                  </w:pPr>
                  <w:r>
                    <w:rPr>
                      <w:rFonts w:hint="eastAsia"/>
                      <w:b w:val="0"/>
                      <w:bCs/>
                    </w:rPr>
                    <w:t>2类</w:t>
                  </w:r>
                </w:p>
              </w:tc>
              <w:tc>
                <w:tcPr>
                  <w:tcW w:w="1249" w:type="pct"/>
                  <w:vAlign w:val="center"/>
                </w:tcPr>
                <w:p w14:paraId="0BE185D0">
                  <w:pPr>
                    <w:pStyle w:val="25"/>
                    <w:rPr>
                      <w:b w:val="0"/>
                      <w:bCs/>
                    </w:rPr>
                  </w:pPr>
                  <w:r>
                    <w:rPr>
                      <w:rFonts w:hint="eastAsia"/>
                      <w:b w:val="0"/>
                      <w:bCs/>
                    </w:rPr>
                    <w:t>60</w:t>
                  </w:r>
                </w:p>
              </w:tc>
              <w:tc>
                <w:tcPr>
                  <w:tcW w:w="1250" w:type="pct"/>
                  <w:vAlign w:val="center"/>
                </w:tcPr>
                <w:p w14:paraId="54053801">
                  <w:pPr>
                    <w:pStyle w:val="25"/>
                    <w:rPr>
                      <w:b w:val="0"/>
                      <w:bCs/>
                    </w:rPr>
                  </w:pPr>
                  <w:r>
                    <w:rPr>
                      <w:rFonts w:hint="eastAsia"/>
                      <w:b w:val="0"/>
                      <w:bCs/>
                    </w:rPr>
                    <w:t>50</w:t>
                  </w:r>
                </w:p>
              </w:tc>
              <w:tc>
                <w:tcPr>
                  <w:tcW w:w="1250" w:type="pct"/>
                  <w:vAlign w:val="center"/>
                </w:tcPr>
                <w:p w14:paraId="77BADB9A">
                  <w:pPr>
                    <w:pStyle w:val="25"/>
                    <w:rPr>
                      <w:b w:val="0"/>
                      <w:bCs/>
                    </w:rPr>
                  </w:pPr>
                  <w:r>
                    <w:rPr>
                      <w:rFonts w:hint="eastAsia"/>
                      <w:b w:val="0"/>
                      <w:bCs/>
                    </w:rPr>
                    <w:t>---</w:t>
                  </w:r>
                </w:p>
              </w:tc>
            </w:tr>
          </w:tbl>
          <w:p w14:paraId="45FA603D">
            <w:pPr>
              <w:pStyle w:val="3"/>
              <w:numPr>
                <w:ilvl w:val="0"/>
                <w:numId w:val="0"/>
              </w:numPr>
              <w:spacing w:before="156" w:after="156"/>
              <w:outlineLvl w:val="1"/>
            </w:pPr>
            <w:r>
              <w:rPr>
                <w:rFonts w:hint="default" w:ascii="宋体" w:hAnsi="宋体" w:eastAsia="宋体" w:cs="宋体"/>
                <w:b/>
                <w:kern w:val="2"/>
                <w:sz w:val="24"/>
                <w:szCs w:val="24"/>
                <w:lang w:val="en-US" w:eastAsia="zh-CN" w:bidi="ar-SA"/>
              </w:rPr>
              <w:t>2.</w:t>
            </w:r>
            <w:r>
              <w:rPr>
                <w:rFonts w:hint="eastAsia"/>
              </w:rPr>
              <w:t>污染物排放标准</w:t>
            </w:r>
          </w:p>
          <w:p w14:paraId="194A0779">
            <w:pPr>
              <w:pStyle w:val="4"/>
              <w:numPr>
                <w:ilvl w:val="1"/>
                <w:numId w:val="0"/>
              </w:numPr>
              <w:outlineLvl w:val="2"/>
            </w:pPr>
            <w:r>
              <w:rPr>
                <w:rFonts w:hint="default" w:ascii="宋体" w:hAnsi="宋体" w:eastAsia="宋体" w:cs="宋体"/>
                <w:b/>
                <w:kern w:val="2"/>
                <w:sz w:val="24"/>
                <w:szCs w:val="24"/>
                <w:lang w:val="en-US" w:eastAsia="zh-CN" w:bidi="ar-SA"/>
              </w:rPr>
              <w:t>2.1.</w:t>
            </w:r>
            <w:r>
              <w:rPr>
                <w:rFonts w:hint="eastAsia"/>
              </w:rPr>
              <w:t>废气</w:t>
            </w:r>
          </w:p>
          <w:p w14:paraId="73C5D082">
            <w:pPr>
              <w:ind w:firstLine="480"/>
            </w:pPr>
            <w:r>
              <w:rPr>
                <w:rFonts w:hint="eastAsia"/>
                <w:lang w:eastAsia="zh-CN"/>
              </w:rPr>
              <w:t>（</w:t>
            </w:r>
            <w:r>
              <w:rPr>
                <w:rFonts w:hint="eastAsia"/>
                <w:lang w:val="en-US" w:eastAsia="zh-CN"/>
              </w:rPr>
              <w:t>1</w:t>
            </w:r>
            <w:r>
              <w:rPr>
                <w:rFonts w:hint="eastAsia"/>
                <w:lang w:eastAsia="zh-CN"/>
              </w:rPr>
              <w:t>）</w:t>
            </w:r>
            <w:r>
              <w:t>本项目施工期废气执行《大气污染物综合排放标准》（GB16297-1996）中无组织排放监控浓度限值</w:t>
            </w:r>
            <w:r>
              <w:rPr>
                <w:rFonts w:hint="eastAsia"/>
              </w:rPr>
              <w:t>。</w:t>
            </w:r>
          </w:p>
          <w:p w14:paraId="4FB85C65">
            <w:pPr>
              <w:spacing w:afterLines="50" w:line="240" w:lineRule="auto"/>
              <w:ind w:firstLine="482"/>
              <w:jc w:val="center"/>
              <w:rPr>
                <w:b/>
              </w:rPr>
            </w:pPr>
            <w:r>
              <w:rPr>
                <w:rFonts w:hint="eastAsia"/>
                <w:b/>
              </w:rPr>
              <w:t>表3-</w:t>
            </w:r>
            <w:r>
              <w:rPr>
                <w:rFonts w:hint="eastAsia"/>
                <w:b/>
                <w:lang w:val="en-US" w:eastAsia="zh-CN"/>
              </w:rPr>
              <w:t>4</w:t>
            </w:r>
            <w:r>
              <w:rPr>
                <w:rFonts w:hint="eastAsia"/>
                <w:b/>
              </w:rPr>
              <w:t xml:space="preserve"> 大气污染物综合排放标准 单位：</w:t>
            </w:r>
            <w:r>
              <w:rPr>
                <w:b/>
              </w:rPr>
              <w:t>mg/m</w:t>
            </w:r>
            <w:r>
              <w:rPr>
                <w:b/>
                <w:vertAlign w:val="superscript"/>
              </w:rPr>
              <w:t>3</w:t>
            </w:r>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1"/>
              <w:gridCol w:w="3923"/>
            </w:tblGrid>
            <w:tr w14:paraId="5BEF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99" w:type="pct"/>
                  <w:vAlign w:val="center"/>
                </w:tcPr>
                <w:p w14:paraId="16E53CB4">
                  <w:pPr>
                    <w:pStyle w:val="25"/>
                  </w:pPr>
                  <w:r>
                    <w:rPr>
                      <w:rFonts w:hint="eastAsia"/>
                    </w:rPr>
                    <w:t>污染物类型</w:t>
                  </w:r>
                </w:p>
              </w:tc>
              <w:tc>
                <w:tcPr>
                  <w:tcW w:w="2500" w:type="pct"/>
                  <w:vAlign w:val="center"/>
                </w:tcPr>
                <w:p w14:paraId="090D89D8">
                  <w:pPr>
                    <w:pStyle w:val="25"/>
                  </w:pPr>
                  <w:r>
                    <w:rPr>
                      <w:rFonts w:hint="eastAsia"/>
                    </w:rPr>
                    <w:t>无组织排放监控浓度限制</w:t>
                  </w:r>
                </w:p>
              </w:tc>
            </w:tr>
            <w:tr w14:paraId="349D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499" w:type="pct"/>
                  <w:vAlign w:val="center"/>
                </w:tcPr>
                <w:p w14:paraId="29BEF38C">
                  <w:pPr>
                    <w:pStyle w:val="25"/>
                    <w:rPr>
                      <w:b w:val="0"/>
                      <w:bCs/>
                    </w:rPr>
                  </w:pPr>
                  <w:r>
                    <w:rPr>
                      <w:rFonts w:hint="eastAsia"/>
                      <w:b w:val="0"/>
                      <w:bCs/>
                    </w:rPr>
                    <w:t>颗粒物</w:t>
                  </w:r>
                </w:p>
              </w:tc>
              <w:tc>
                <w:tcPr>
                  <w:tcW w:w="2500" w:type="pct"/>
                  <w:vAlign w:val="center"/>
                </w:tcPr>
                <w:p w14:paraId="042D7A60">
                  <w:pPr>
                    <w:pStyle w:val="25"/>
                    <w:rPr>
                      <w:b w:val="0"/>
                      <w:bCs/>
                    </w:rPr>
                  </w:pPr>
                  <w:r>
                    <w:rPr>
                      <w:rFonts w:hint="eastAsia"/>
                      <w:b w:val="0"/>
                      <w:bCs/>
                    </w:rPr>
                    <w:t>1.0</w:t>
                  </w:r>
                </w:p>
              </w:tc>
            </w:tr>
          </w:tbl>
          <w:p w14:paraId="2050670A">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运营期颗粒物排放浓度执行《大气污染物综合排放标准》（G</w:t>
            </w:r>
            <w:r>
              <w:t>B16297</w:t>
            </w:r>
            <w:r>
              <w:rPr>
                <w:rFonts w:hint="eastAsia"/>
              </w:rPr>
              <w:t>-</w:t>
            </w:r>
            <w:r>
              <w:t>1996</w:t>
            </w:r>
            <w:r>
              <w:rPr>
                <w:rFonts w:hint="eastAsia"/>
              </w:rPr>
              <w:t>）表2标准限制。</w:t>
            </w:r>
          </w:p>
          <w:p w14:paraId="37CBECD5">
            <w:pPr>
              <w:spacing w:afterLines="50" w:line="240" w:lineRule="auto"/>
              <w:ind w:firstLine="482"/>
              <w:jc w:val="center"/>
              <w:rPr>
                <w:rFonts w:hint="eastAsia"/>
              </w:rPr>
            </w:pPr>
            <w:r>
              <w:rPr>
                <w:rFonts w:hint="eastAsia"/>
                <w:b/>
              </w:rPr>
              <w:t>表3-</w:t>
            </w:r>
            <w:r>
              <w:rPr>
                <w:rFonts w:hint="eastAsia"/>
                <w:b/>
                <w:lang w:val="en-US" w:eastAsia="zh-CN"/>
              </w:rPr>
              <w:t>5</w:t>
            </w:r>
            <w:r>
              <w:rPr>
                <w:rFonts w:hint="eastAsia"/>
                <w:b/>
              </w:rPr>
              <w:t xml:space="preserve">  大气污染物</w:t>
            </w:r>
            <w:r>
              <w:rPr>
                <w:rFonts w:hint="eastAsia"/>
                <w:b/>
                <w:lang w:eastAsia="zh-CN"/>
              </w:rPr>
              <w:t>有组织</w:t>
            </w:r>
            <w:r>
              <w:rPr>
                <w:rFonts w:hint="eastAsia"/>
                <w:b/>
              </w:rPr>
              <w:t>排放限值</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2435"/>
              <w:gridCol w:w="1645"/>
              <w:gridCol w:w="1645"/>
            </w:tblGrid>
            <w:tr w14:paraId="1825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0" w:type="pct"/>
                </w:tcPr>
                <w:p w14:paraId="1A7DF65F">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污染物</w:t>
                  </w:r>
                </w:p>
              </w:tc>
              <w:tc>
                <w:tcPr>
                  <w:tcW w:w="1552" w:type="pct"/>
                </w:tcPr>
                <w:p w14:paraId="273FA34F">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有组织排放标准限值</w:t>
                  </w:r>
                </w:p>
              </w:tc>
              <w:tc>
                <w:tcPr>
                  <w:tcW w:w="1048" w:type="pct"/>
                </w:tcPr>
                <w:p w14:paraId="157D016D">
                  <w:pPr>
                    <w:spacing w:afterLines="50" w:line="240" w:lineRule="auto"/>
                    <w:ind w:left="0" w:leftChars="0" w:firstLine="0" w:firstLineChars="0"/>
                    <w:jc w:val="center"/>
                    <w:rPr>
                      <w:rFonts w:hint="eastAsia"/>
                      <w:b/>
                      <w:sz w:val="21"/>
                      <w:szCs w:val="21"/>
                      <w:lang w:eastAsia="zh-CN"/>
                    </w:rPr>
                  </w:pPr>
                  <w:r>
                    <w:rPr>
                      <w:rFonts w:hint="eastAsia"/>
                      <w:b/>
                      <w:sz w:val="21"/>
                      <w:szCs w:val="21"/>
                      <w:lang w:eastAsia="zh-CN"/>
                    </w:rPr>
                    <w:t>排放速率</w:t>
                  </w:r>
                </w:p>
              </w:tc>
              <w:tc>
                <w:tcPr>
                  <w:tcW w:w="1048" w:type="pct"/>
                </w:tcPr>
                <w:p w14:paraId="6BE3E801">
                  <w:pPr>
                    <w:spacing w:afterLines="50" w:line="240" w:lineRule="auto"/>
                    <w:ind w:left="0" w:leftChars="0" w:firstLine="0" w:firstLineChars="0"/>
                    <w:jc w:val="center"/>
                    <w:rPr>
                      <w:rFonts w:hint="default"/>
                      <w:b/>
                      <w:sz w:val="21"/>
                      <w:szCs w:val="21"/>
                      <w:lang w:val="en-US" w:eastAsia="zh-CN"/>
                    </w:rPr>
                  </w:pPr>
                  <w:r>
                    <w:rPr>
                      <w:rFonts w:hint="eastAsia"/>
                      <w:b/>
                      <w:sz w:val="21"/>
                      <w:szCs w:val="21"/>
                      <w:lang w:val="en-US" w:eastAsia="zh-CN"/>
                    </w:rPr>
                    <w:t>排气筒高度</w:t>
                  </w:r>
                </w:p>
              </w:tc>
            </w:tr>
            <w:tr w14:paraId="6135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50" w:type="pct"/>
                  <w:vAlign w:val="center"/>
                </w:tcPr>
                <w:p w14:paraId="59505982">
                  <w:pPr>
                    <w:pStyle w:val="45"/>
                    <w:spacing w:line="240" w:lineRule="auto"/>
                    <w:ind w:firstLine="630" w:firstLineChars="300"/>
                    <w:jc w:val="both"/>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颗粒物</w:t>
                  </w:r>
                </w:p>
              </w:tc>
              <w:tc>
                <w:tcPr>
                  <w:tcW w:w="1552" w:type="pct"/>
                  <w:vAlign w:val="center"/>
                </w:tcPr>
                <w:p w14:paraId="413F78E9">
                  <w:pPr>
                    <w:pStyle w:val="45"/>
                    <w:spacing w:line="240" w:lineRule="auto"/>
                    <w:ind w:left="0" w:leftChars="0" w:firstLine="210" w:firstLineChars="100"/>
                    <w:jc w:val="center"/>
                    <w:rPr>
                      <w:rFonts w:ascii="Times New Roman" w:hAnsi="Times New Roman" w:cs="Times New Roman"/>
                      <w:sz w:val="21"/>
                      <w:szCs w:val="21"/>
                    </w:rPr>
                  </w:pPr>
                  <w:r>
                    <w:rPr>
                      <w:rFonts w:ascii="Times New Roman" w:hAnsi="Times New Roman" w:cs="Times New Roman"/>
                      <w:sz w:val="21"/>
                      <w:szCs w:val="21"/>
                    </w:rPr>
                    <w:t>120mg/m</w:t>
                  </w:r>
                  <w:r>
                    <w:rPr>
                      <w:rFonts w:ascii="Times New Roman" w:hAnsi="Times New Roman" w:cs="Times New Roman"/>
                      <w:sz w:val="21"/>
                      <w:szCs w:val="21"/>
                      <w:vertAlign w:val="superscript"/>
                    </w:rPr>
                    <w:t>3</w:t>
                  </w:r>
                </w:p>
              </w:tc>
              <w:tc>
                <w:tcPr>
                  <w:tcW w:w="1048" w:type="pct"/>
                  <w:vAlign w:val="center"/>
                </w:tcPr>
                <w:p w14:paraId="4836EC09">
                  <w:pPr>
                    <w:pStyle w:val="45"/>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3.5kg/h</w:t>
                  </w:r>
                </w:p>
              </w:tc>
              <w:tc>
                <w:tcPr>
                  <w:tcW w:w="1048" w:type="pct"/>
                  <w:vAlign w:val="center"/>
                </w:tcPr>
                <w:p w14:paraId="5F15E91D">
                  <w:pPr>
                    <w:pStyle w:val="45"/>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15m</w:t>
                  </w:r>
                </w:p>
              </w:tc>
            </w:tr>
          </w:tbl>
          <w:p w14:paraId="0C365AB2">
            <w:pPr>
              <w:spacing w:afterLines="50" w:line="240" w:lineRule="auto"/>
              <w:ind w:left="0" w:leftChars="0" w:firstLine="0" w:firstLineChars="0"/>
              <w:jc w:val="center"/>
              <w:rPr>
                <w:b/>
                <w:highlight w:val="yellow"/>
              </w:rPr>
            </w:pPr>
            <w:r>
              <w:rPr>
                <w:rFonts w:hint="eastAsia"/>
                <w:b/>
              </w:rPr>
              <w:t>表3-</w:t>
            </w:r>
            <w:r>
              <w:rPr>
                <w:rFonts w:hint="eastAsia"/>
                <w:b/>
                <w:lang w:val="en-US" w:eastAsia="zh-CN"/>
              </w:rPr>
              <w:t>6</w:t>
            </w:r>
            <w:r>
              <w:rPr>
                <w:rFonts w:hint="eastAsia"/>
                <w:b/>
                <w:highlight w:val="none"/>
              </w:rPr>
              <w:t xml:space="preserve">  大气污染物</w:t>
            </w:r>
            <w:r>
              <w:rPr>
                <w:rFonts w:hint="eastAsia"/>
                <w:b/>
                <w:highlight w:val="none"/>
                <w:lang w:eastAsia="zh-CN"/>
              </w:rPr>
              <w:t>无组织</w:t>
            </w:r>
            <w:r>
              <w:rPr>
                <w:rFonts w:hint="eastAsia"/>
                <w:b/>
                <w:highlight w:val="none"/>
              </w:rPr>
              <w:t>排放限值一览表</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5670"/>
            </w:tblGrid>
            <w:tr w14:paraId="3441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86" w:type="pct"/>
                  <w:vAlign w:val="center"/>
                </w:tcPr>
                <w:p w14:paraId="6B76B38A">
                  <w:pPr>
                    <w:spacing w:afterLines="50" w:line="240" w:lineRule="auto"/>
                    <w:ind w:left="0" w:leftChars="0" w:firstLine="0" w:firstLineChars="0"/>
                    <w:jc w:val="center"/>
                    <w:rPr>
                      <w:b/>
                      <w:sz w:val="21"/>
                      <w:szCs w:val="21"/>
                    </w:rPr>
                  </w:pPr>
                  <w:r>
                    <w:rPr>
                      <w:b/>
                      <w:sz w:val="21"/>
                      <w:szCs w:val="21"/>
                    </w:rPr>
                    <w:t>污染物</w:t>
                  </w:r>
                </w:p>
              </w:tc>
              <w:tc>
                <w:tcPr>
                  <w:tcW w:w="3613" w:type="pct"/>
                  <w:vAlign w:val="center"/>
                </w:tcPr>
                <w:p w14:paraId="3BDA5FDD">
                  <w:pPr>
                    <w:spacing w:afterLines="50" w:line="240" w:lineRule="auto"/>
                    <w:ind w:left="0" w:leftChars="0" w:firstLine="0" w:firstLineChars="0"/>
                    <w:jc w:val="center"/>
                    <w:rPr>
                      <w:b/>
                      <w:sz w:val="21"/>
                      <w:szCs w:val="21"/>
                    </w:rPr>
                  </w:pPr>
                  <w:r>
                    <w:rPr>
                      <w:b/>
                      <w:sz w:val="21"/>
                      <w:szCs w:val="21"/>
                    </w:rPr>
                    <w:t>无组织排放厂界标准值（二级）</w:t>
                  </w:r>
                </w:p>
              </w:tc>
            </w:tr>
            <w:tr w14:paraId="459E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86" w:type="pct"/>
                  <w:vAlign w:val="center"/>
                </w:tcPr>
                <w:p w14:paraId="0236E257">
                  <w:pPr>
                    <w:pStyle w:val="45"/>
                    <w:spacing w:line="240" w:lineRule="auto"/>
                    <w:ind w:left="0" w:leftChars="0" w:firstLine="630" w:firstLineChars="300"/>
                    <w:jc w:val="both"/>
                    <w:rPr>
                      <w:rFonts w:ascii="Times New Roman" w:hAnsi="Times New Roman" w:cs="Times New Roman"/>
                      <w:sz w:val="21"/>
                      <w:szCs w:val="21"/>
                    </w:rPr>
                  </w:pPr>
                  <w:r>
                    <w:rPr>
                      <w:rFonts w:ascii="Times New Roman" w:hAnsi="Times New Roman" w:cs="Times New Roman"/>
                      <w:sz w:val="21"/>
                      <w:szCs w:val="21"/>
                    </w:rPr>
                    <w:t>颗粒物</w:t>
                  </w:r>
                </w:p>
              </w:tc>
              <w:tc>
                <w:tcPr>
                  <w:tcW w:w="3613" w:type="pct"/>
                  <w:vAlign w:val="center"/>
                </w:tcPr>
                <w:p w14:paraId="44694FFC">
                  <w:pPr>
                    <w:pStyle w:val="45"/>
                    <w:spacing w:line="240" w:lineRule="auto"/>
                    <w:ind w:firstLine="420"/>
                    <w:rPr>
                      <w:rFonts w:ascii="Times New Roman" w:hAnsi="Times New Roman" w:cs="Times New Roman"/>
                      <w:sz w:val="21"/>
                      <w:szCs w:val="21"/>
                    </w:rPr>
                  </w:pPr>
                  <w:r>
                    <w:rPr>
                      <w:rFonts w:ascii="Times New Roman" w:hAnsi="Times New Roman" w:cs="Times New Roman"/>
                      <w:sz w:val="21"/>
                      <w:szCs w:val="21"/>
                    </w:rPr>
                    <w:t>1.0（mg/m</w:t>
                  </w:r>
                  <w:r>
                    <w:rPr>
                      <w:rFonts w:ascii="Times New Roman" w:hAnsi="Times New Roman" w:cs="Times New Roman"/>
                      <w:sz w:val="21"/>
                      <w:szCs w:val="21"/>
                      <w:vertAlign w:val="superscript"/>
                    </w:rPr>
                    <w:t>3</w:t>
                  </w:r>
                  <w:r>
                    <w:rPr>
                      <w:rFonts w:ascii="Times New Roman" w:hAnsi="Times New Roman" w:cs="Times New Roman"/>
                      <w:sz w:val="21"/>
                      <w:szCs w:val="21"/>
                    </w:rPr>
                    <w:t>）</w:t>
                  </w:r>
                </w:p>
              </w:tc>
            </w:tr>
          </w:tbl>
          <w:p w14:paraId="6C7ABBEE">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餐饮油烟排放执行《饮食业油烟排放标准（试行）》</w:t>
            </w:r>
            <w:r>
              <w:rPr>
                <w:rFonts w:hint="default"/>
              </w:rPr>
              <w:t>（GB18483-2001）</w:t>
            </w:r>
            <w:r>
              <w:rPr>
                <w:rFonts w:hint="eastAsia"/>
              </w:rPr>
              <w:t>中表</w:t>
            </w:r>
            <w:r>
              <w:rPr>
                <w:rFonts w:hint="default"/>
              </w:rPr>
              <w:t>2</w:t>
            </w:r>
            <w:r>
              <w:rPr>
                <w:rFonts w:hint="eastAsia"/>
                <w:lang w:eastAsia="zh-CN"/>
              </w:rPr>
              <w:t>小型</w:t>
            </w:r>
            <w:r>
              <w:rPr>
                <w:rFonts w:hint="eastAsia"/>
              </w:rPr>
              <w:t>排放限值要求</w:t>
            </w:r>
            <w:r>
              <w:rPr>
                <w:rFonts w:hint="eastAsia"/>
                <w:lang w:eastAsia="zh-CN"/>
              </w:rPr>
              <w:t>。</w:t>
            </w:r>
          </w:p>
          <w:p w14:paraId="47948A4B">
            <w:pPr>
              <w:spacing w:afterLines="50" w:line="240" w:lineRule="auto"/>
              <w:ind w:firstLine="482"/>
              <w:jc w:val="center"/>
              <w:rPr>
                <w:rFonts w:hint="eastAsia"/>
                <w:b/>
                <w:lang w:eastAsia="zh-CN"/>
              </w:rPr>
            </w:pPr>
            <w:r>
              <w:rPr>
                <w:rFonts w:hint="eastAsia"/>
                <w:b/>
                <w:lang w:val="en-US" w:eastAsia="zh-CN"/>
              </w:rPr>
              <w:t>表3-7 《饮食业油烟排放标准（试行）》</w:t>
            </w:r>
            <w:r>
              <w:rPr>
                <w:rFonts w:hint="default"/>
                <w:b/>
                <w:lang w:val="en-US" w:eastAsia="zh-CN"/>
              </w:rPr>
              <w:t>（GB18483-2001）单位：mg/m</w:t>
            </w:r>
            <w:r>
              <w:rPr>
                <w:rFonts w:hint="default"/>
                <w:b/>
                <w:vertAlign w:val="superscript"/>
                <w:lang w:val="en-US" w:eastAsia="zh-CN"/>
              </w:rPr>
              <w:t>3</w:t>
            </w:r>
          </w:p>
          <w:tbl>
            <w:tblPr>
              <w:tblStyle w:val="21"/>
              <w:tblW w:w="499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4897"/>
              <w:gridCol w:w="2942"/>
            </w:tblGrid>
            <w:tr w14:paraId="6C26A7E4">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03" w:hRule="atLeast"/>
                <w:jc w:val="center"/>
              </w:trPr>
              <w:tc>
                <w:tcPr>
                  <w:tcW w:w="3123" w:type="pct"/>
                  <w:tcBorders>
                    <w:tl2br w:val="nil"/>
                    <w:tr2bl w:val="nil"/>
                  </w:tcBorders>
                  <w:noWrap w:val="0"/>
                  <w:vAlign w:val="top"/>
                </w:tcPr>
                <w:p w14:paraId="0AF7CDA7">
                  <w:pPr>
                    <w:pStyle w:val="25"/>
                    <w:keepNext w:val="0"/>
                    <w:keepLines w:val="0"/>
                    <w:suppressLineNumbers w:val="0"/>
                    <w:bidi w:val="0"/>
                    <w:spacing w:before="0" w:beforeAutospacing="0" w:after="0" w:afterAutospacing="0"/>
                    <w:ind w:left="0" w:right="0"/>
                    <w:rPr>
                      <w:rFonts w:hint="default"/>
                    </w:rPr>
                  </w:pPr>
                  <w:r>
                    <w:rPr>
                      <w:rFonts w:hint="default"/>
                    </w:rPr>
                    <w:t>规模</w:t>
                  </w:r>
                </w:p>
              </w:tc>
              <w:tc>
                <w:tcPr>
                  <w:tcW w:w="1876" w:type="pct"/>
                  <w:tcBorders>
                    <w:tl2br w:val="nil"/>
                    <w:tr2bl w:val="nil"/>
                  </w:tcBorders>
                  <w:noWrap w:val="0"/>
                  <w:vAlign w:val="top"/>
                </w:tcPr>
                <w:p w14:paraId="4551A166">
                  <w:pPr>
                    <w:pStyle w:val="25"/>
                    <w:keepNext w:val="0"/>
                    <w:keepLines w:val="0"/>
                    <w:suppressLineNumbers w:val="0"/>
                    <w:bidi w:val="0"/>
                    <w:spacing w:before="0" w:beforeAutospacing="0" w:after="0" w:afterAutospacing="0"/>
                    <w:ind w:left="0" w:right="0"/>
                    <w:rPr>
                      <w:rFonts w:hint="default"/>
                    </w:rPr>
                  </w:pPr>
                  <w:r>
                    <w:rPr>
                      <w:rFonts w:hint="default"/>
                    </w:rPr>
                    <w:t>小型</w:t>
                  </w:r>
                </w:p>
              </w:tc>
            </w:tr>
            <w:tr w14:paraId="3ABDDE86">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3123" w:type="pct"/>
                  <w:tcBorders>
                    <w:tl2br w:val="nil"/>
                    <w:tr2bl w:val="nil"/>
                  </w:tcBorders>
                  <w:noWrap w:val="0"/>
                  <w:vAlign w:val="top"/>
                </w:tcPr>
                <w:p w14:paraId="03BC6023">
                  <w:pPr>
                    <w:pStyle w:val="25"/>
                    <w:keepNext w:val="0"/>
                    <w:keepLines w:val="0"/>
                    <w:suppressLineNumbers w:val="0"/>
                    <w:bidi w:val="0"/>
                    <w:spacing w:before="0" w:beforeAutospacing="0" w:after="0" w:afterAutospacing="0"/>
                    <w:ind w:left="0" w:right="0"/>
                    <w:rPr>
                      <w:rFonts w:hint="default"/>
                      <w:b w:val="0"/>
                      <w:bCs/>
                    </w:rPr>
                  </w:pPr>
                  <w:r>
                    <w:rPr>
                      <w:rFonts w:hint="default"/>
                      <w:b w:val="0"/>
                      <w:bCs/>
                    </w:rPr>
                    <w:t>最高允许排放浓度（mg/m</w:t>
                  </w:r>
                  <w:r>
                    <w:rPr>
                      <w:rFonts w:hint="eastAsia"/>
                      <w:b w:val="0"/>
                      <w:bCs/>
                      <w:vertAlign w:val="superscript"/>
                      <w:lang w:val="en-US" w:eastAsia="zh-CN"/>
                    </w:rPr>
                    <w:t>3</w:t>
                  </w:r>
                  <w:r>
                    <w:rPr>
                      <w:rFonts w:hint="default"/>
                      <w:b w:val="0"/>
                      <w:bCs/>
                    </w:rPr>
                    <w:t>）</w:t>
                  </w:r>
                </w:p>
              </w:tc>
              <w:tc>
                <w:tcPr>
                  <w:tcW w:w="1876" w:type="pct"/>
                  <w:tcBorders>
                    <w:tl2br w:val="nil"/>
                    <w:tr2bl w:val="nil"/>
                  </w:tcBorders>
                  <w:noWrap w:val="0"/>
                  <w:vAlign w:val="top"/>
                </w:tcPr>
                <w:p w14:paraId="3F0DE16A">
                  <w:pPr>
                    <w:pStyle w:val="25"/>
                    <w:keepNext w:val="0"/>
                    <w:keepLines w:val="0"/>
                    <w:suppressLineNumbers w:val="0"/>
                    <w:bidi w:val="0"/>
                    <w:spacing w:before="0" w:beforeAutospacing="0" w:after="0" w:afterAutospacing="0"/>
                    <w:ind w:left="0" w:right="0"/>
                    <w:rPr>
                      <w:rFonts w:hint="default"/>
                      <w:b w:val="0"/>
                      <w:bCs/>
                    </w:rPr>
                  </w:pPr>
                  <w:r>
                    <w:rPr>
                      <w:rFonts w:hint="default"/>
                      <w:b w:val="0"/>
                      <w:bCs/>
                    </w:rPr>
                    <w:t>2.0</w:t>
                  </w:r>
                </w:p>
              </w:tc>
            </w:tr>
            <w:tr w14:paraId="5AE1446C">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3123" w:type="pct"/>
                  <w:tcBorders>
                    <w:tl2br w:val="nil"/>
                    <w:tr2bl w:val="nil"/>
                  </w:tcBorders>
                  <w:noWrap w:val="0"/>
                  <w:vAlign w:val="top"/>
                </w:tcPr>
                <w:p w14:paraId="411DAAFD">
                  <w:pPr>
                    <w:pStyle w:val="25"/>
                    <w:keepNext w:val="0"/>
                    <w:keepLines w:val="0"/>
                    <w:suppressLineNumbers w:val="0"/>
                    <w:bidi w:val="0"/>
                    <w:spacing w:before="0" w:beforeAutospacing="0" w:after="0" w:afterAutospacing="0"/>
                    <w:ind w:left="0" w:right="0"/>
                    <w:rPr>
                      <w:rFonts w:hint="default"/>
                      <w:b w:val="0"/>
                      <w:bCs/>
                    </w:rPr>
                  </w:pPr>
                  <w:r>
                    <w:rPr>
                      <w:rFonts w:hint="default"/>
                      <w:b w:val="0"/>
                      <w:bCs/>
                    </w:rPr>
                    <w:t>净化设施最低去除率（%）</w:t>
                  </w:r>
                </w:p>
              </w:tc>
              <w:tc>
                <w:tcPr>
                  <w:tcW w:w="1876" w:type="pct"/>
                  <w:tcBorders>
                    <w:tl2br w:val="nil"/>
                    <w:tr2bl w:val="nil"/>
                  </w:tcBorders>
                  <w:noWrap w:val="0"/>
                  <w:vAlign w:val="top"/>
                </w:tcPr>
                <w:p w14:paraId="37640A07">
                  <w:pPr>
                    <w:pStyle w:val="25"/>
                    <w:keepNext w:val="0"/>
                    <w:keepLines w:val="0"/>
                    <w:suppressLineNumbers w:val="0"/>
                    <w:bidi w:val="0"/>
                    <w:spacing w:before="0" w:beforeAutospacing="0" w:after="0" w:afterAutospacing="0"/>
                    <w:ind w:left="0" w:right="0"/>
                    <w:rPr>
                      <w:rFonts w:hint="default"/>
                      <w:b w:val="0"/>
                      <w:bCs/>
                    </w:rPr>
                  </w:pPr>
                  <w:r>
                    <w:rPr>
                      <w:rFonts w:hint="default"/>
                      <w:b w:val="0"/>
                      <w:bCs/>
                    </w:rPr>
                    <w:t>60</w:t>
                  </w:r>
                </w:p>
              </w:tc>
            </w:tr>
          </w:tbl>
          <w:p w14:paraId="318CCDDD">
            <w:pPr>
              <w:pStyle w:val="4"/>
              <w:numPr>
                <w:ilvl w:val="1"/>
                <w:numId w:val="0"/>
              </w:numPr>
              <w:outlineLvl w:val="2"/>
            </w:pPr>
            <w:r>
              <w:rPr>
                <w:rFonts w:hint="default" w:ascii="宋体" w:hAnsi="宋体" w:eastAsia="宋体" w:cs="宋体"/>
                <w:b/>
                <w:kern w:val="2"/>
                <w:sz w:val="24"/>
                <w:szCs w:val="24"/>
                <w:lang w:val="en-US" w:eastAsia="zh-CN" w:bidi="ar-SA"/>
              </w:rPr>
              <w:t>2.2.</w:t>
            </w:r>
            <w:r>
              <w:rPr>
                <w:rFonts w:hint="eastAsia"/>
              </w:rPr>
              <w:t>废水</w:t>
            </w:r>
          </w:p>
          <w:p w14:paraId="6EDD2E8C">
            <w:pPr>
              <w:bidi w:val="0"/>
              <w:rPr>
                <w:rFonts w:hint="eastAsia" w:ascii="Times New Roman" w:hAnsi="Times New Roman" w:eastAsia="宋体" w:cstheme="minorBidi"/>
                <w:b w:val="0"/>
                <w:kern w:val="2"/>
                <w:sz w:val="24"/>
                <w:szCs w:val="24"/>
                <w:highlight w:val="none"/>
                <w:lang w:val="en-US" w:eastAsia="zh-CN" w:bidi="ar-SA"/>
              </w:rPr>
            </w:pPr>
            <w:r>
              <w:rPr>
                <w:rFonts w:hint="eastAsia"/>
                <w:lang w:val="en-US" w:eastAsia="zh-CN"/>
              </w:rPr>
              <w:t>本项目生产废水沉淀收集回用，不外排；洗车废水经过沉淀池沉淀后回用，不外排；</w:t>
            </w:r>
            <w:r>
              <w:rPr>
                <w:rFonts w:hint="eastAsia" w:ascii="Times New Roman" w:hAnsi="Times New Roman" w:eastAsia="宋体" w:cstheme="minorBidi"/>
                <w:b w:val="0"/>
                <w:kern w:val="2"/>
                <w:sz w:val="24"/>
                <w:szCs w:val="24"/>
                <w:highlight w:val="none"/>
                <w:lang w:val="en-US" w:eastAsia="zh-CN" w:bidi="ar-SA"/>
              </w:rPr>
              <w:t>食堂废水经隔油处理后与其他生活污水经地埋式一体化污水处理设施处理后用于场地洒水抑尘。生活污水应满足《农村生活污水处理排放标准》（DB65</w:t>
            </w:r>
            <w:r>
              <w:rPr>
                <w:rFonts w:hint="eastAsia" w:ascii="Times New Roman" w:hAnsi="Times New Roman" w:cstheme="minorBidi"/>
                <w:b w:val="0"/>
                <w:kern w:val="2"/>
                <w:sz w:val="24"/>
                <w:szCs w:val="24"/>
                <w:highlight w:val="none"/>
                <w:lang w:val="en-US" w:eastAsia="zh-CN" w:bidi="ar-SA"/>
              </w:rPr>
              <w:t>/</w:t>
            </w:r>
            <w:r>
              <w:rPr>
                <w:rFonts w:hint="eastAsia" w:ascii="Times New Roman" w:hAnsi="Times New Roman" w:eastAsia="宋体" w:cstheme="minorBidi"/>
                <w:b w:val="0"/>
                <w:kern w:val="2"/>
                <w:sz w:val="24"/>
                <w:szCs w:val="24"/>
                <w:highlight w:val="none"/>
                <w:lang w:val="en-US" w:eastAsia="zh-CN" w:bidi="ar-SA"/>
              </w:rPr>
              <w:t>4275―2019）表2中B级标准要求及《城市污水再生利用 城市杂用水水质》（GB</w:t>
            </w:r>
            <w:r>
              <w:rPr>
                <w:rFonts w:hint="eastAsia" w:ascii="Times New Roman" w:hAnsi="Times New Roman" w:cstheme="minorBidi"/>
                <w:b w:val="0"/>
                <w:kern w:val="2"/>
                <w:sz w:val="24"/>
                <w:szCs w:val="24"/>
                <w:highlight w:val="none"/>
                <w:lang w:val="en-US" w:eastAsia="zh-CN" w:bidi="ar-SA"/>
              </w:rPr>
              <w:t>/</w:t>
            </w:r>
            <w:r>
              <w:rPr>
                <w:rFonts w:hint="eastAsia" w:ascii="Times New Roman" w:hAnsi="Times New Roman" w:eastAsia="宋体" w:cstheme="minorBidi"/>
                <w:b w:val="0"/>
                <w:kern w:val="2"/>
                <w:sz w:val="24"/>
                <w:szCs w:val="24"/>
                <w:highlight w:val="none"/>
                <w:lang w:val="en-US" w:eastAsia="zh-CN" w:bidi="ar-SA"/>
              </w:rPr>
              <w:t>T18920-20</w:t>
            </w:r>
            <w:r>
              <w:rPr>
                <w:rFonts w:hint="eastAsia" w:ascii="Times New Roman" w:hAnsi="Times New Roman" w:cstheme="minorBidi"/>
                <w:b w:val="0"/>
                <w:kern w:val="2"/>
                <w:sz w:val="24"/>
                <w:szCs w:val="24"/>
                <w:highlight w:val="none"/>
                <w:lang w:val="en-US" w:eastAsia="zh-CN" w:bidi="ar-SA"/>
              </w:rPr>
              <w:t>20</w:t>
            </w:r>
            <w:r>
              <w:rPr>
                <w:rFonts w:hint="eastAsia" w:ascii="Times New Roman" w:hAnsi="Times New Roman" w:eastAsia="宋体" w:cstheme="minorBidi"/>
                <w:b w:val="0"/>
                <w:kern w:val="2"/>
                <w:sz w:val="24"/>
                <w:szCs w:val="24"/>
                <w:highlight w:val="none"/>
                <w:lang w:val="en-US" w:eastAsia="zh-CN" w:bidi="ar-SA"/>
              </w:rPr>
              <w:t>）</w:t>
            </w:r>
            <w:r>
              <w:rPr>
                <w:rFonts w:hint="eastAsia" w:ascii="Times New Roman" w:hAnsi="Times New Roman" w:cstheme="minorBidi"/>
                <w:b w:val="0"/>
                <w:kern w:val="2"/>
                <w:sz w:val="24"/>
                <w:szCs w:val="24"/>
                <w:highlight w:val="none"/>
                <w:lang w:val="en-US" w:eastAsia="zh-CN" w:bidi="ar-SA"/>
              </w:rPr>
              <w:t>中城市绿化、道路清扫、消防、建筑施工</w:t>
            </w:r>
            <w:r>
              <w:rPr>
                <w:rFonts w:hint="eastAsia" w:ascii="Times New Roman" w:hAnsi="Times New Roman" w:eastAsia="宋体" w:cstheme="minorBidi"/>
                <w:b w:val="0"/>
                <w:kern w:val="2"/>
                <w:sz w:val="24"/>
                <w:szCs w:val="24"/>
                <w:highlight w:val="none"/>
                <w:lang w:val="en-US" w:eastAsia="zh-CN" w:bidi="ar-SA"/>
              </w:rPr>
              <w:t>要求。</w:t>
            </w:r>
          </w:p>
          <w:p w14:paraId="7EE28775">
            <w:pPr>
              <w:spacing w:afterLines="50" w:line="240" w:lineRule="auto"/>
              <w:ind w:firstLine="482"/>
              <w:jc w:val="center"/>
              <w:rPr>
                <w:rFonts w:hint="default" w:ascii="Times New Roman" w:hAnsi="Times New Roman"/>
                <w:b/>
                <w:lang w:val="en-US" w:eastAsia="zh-CN"/>
              </w:rPr>
            </w:pPr>
            <w:r>
              <w:rPr>
                <w:rFonts w:hint="eastAsia" w:ascii="Times New Roman" w:hAnsi="Times New Roman"/>
                <w:b/>
                <w:lang w:val="en-US" w:eastAsia="zh-CN"/>
              </w:rPr>
              <w:t>表3-8 《农村生活污水处理排放标准》（DB65/4275―2019）B级标准</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2349"/>
              <w:gridCol w:w="2246"/>
              <w:gridCol w:w="2246"/>
            </w:tblGrid>
            <w:tr w14:paraId="4D01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0B0EB46A">
                  <w:pPr>
                    <w:bidi w:val="0"/>
                    <w:spacing w:line="240" w:lineRule="auto"/>
                    <w:ind w:firstLine="0" w:firstLineChars="0"/>
                    <w:rPr>
                      <w:rFonts w:hint="eastAsia"/>
                      <w:vertAlign w:val="baseline"/>
                      <w:lang w:val="en-US" w:eastAsia="zh-CN"/>
                    </w:rPr>
                  </w:pPr>
                  <w:r>
                    <w:rPr>
                      <w:rFonts w:hint="eastAsia"/>
                      <w:vertAlign w:val="baseline"/>
                      <w:lang w:val="en-US" w:eastAsia="zh-CN"/>
                    </w:rPr>
                    <w:t>序号</w:t>
                  </w:r>
                </w:p>
              </w:tc>
              <w:tc>
                <w:tcPr>
                  <w:tcW w:w="1497" w:type="pct"/>
                </w:tcPr>
                <w:p w14:paraId="0751D822">
                  <w:pPr>
                    <w:bidi w:val="0"/>
                    <w:spacing w:line="240" w:lineRule="auto"/>
                    <w:ind w:firstLine="0" w:firstLineChars="0"/>
                    <w:rPr>
                      <w:rFonts w:hint="eastAsia"/>
                      <w:vertAlign w:val="baseline"/>
                      <w:lang w:val="en-US" w:eastAsia="zh-CN"/>
                    </w:rPr>
                  </w:pPr>
                  <w:r>
                    <w:rPr>
                      <w:rFonts w:hint="eastAsia"/>
                      <w:vertAlign w:val="baseline"/>
                      <w:lang w:val="en-US" w:eastAsia="zh-CN"/>
                    </w:rPr>
                    <w:t>污染物名称</w:t>
                  </w:r>
                </w:p>
              </w:tc>
              <w:tc>
                <w:tcPr>
                  <w:tcW w:w="1431" w:type="pct"/>
                </w:tcPr>
                <w:p w14:paraId="34869316">
                  <w:pPr>
                    <w:bidi w:val="0"/>
                    <w:spacing w:line="240" w:lineRule="auto"/>
                    <w:ind w:firstLine="0" w:firstLineChars="0"/>
                    <w:rPr>
                      <w:rFonts w:hint="eastAsia"/>
                      <w:vertAlign w:val="baseline"/>
                      <w:lang w:val="en-US" w:eastAsia="zh-CN"/>
                    </w:rPr>
                  </w:pPr>
                  <w:r>
                    <w:rPr>
                      <w:rFonts w:hint="eastAsia"/>
                      <w:vertAlign w:val="baseline"/>
                      <w:lang w:val="en-US" w:eastAsia="zh-CN"/>
                    </w:rPr>
                    <w:t>单位</w:t>
                  </w:r>
                </w:p>
              </w:tc>
              <w:tc>
                <w:tcPr>
                  <w:tcW w:w="1431" w:type="pct"/>
                </w:tcPr>
                <w:p w14:paraId="2CCD7F06">
                  <w:pPr>
                    <w:bidi w:val="0"/>
                    <w:spacing w:line="240" w:lineRule="auto"/>
                    <w:ind w:firstLine="0" w:firstLineChars="0"/>
                    <w:rPr>
                      <w:rFonts w:hint="default"/>
                      <w:vertAlign w:val="baseline"/>
                      <w:lang w:val="en-US" w:eastAsia="zh-CN"/>
                    </w:rPr>
                  </w:pPr>
                  <w:r>
                    <w:rPr>
                      <w:rFonts w:hint="eastAsia"/>
                      <w:vertAlign w:val="baseline"/>
                      <w:lang w:val="en-US" w:eastAsia="zh-CN"/>
                    </w:rPr>
                    <w:t>B级标准</w:t>
                  </w:r>
                </w:p>
              </w:tc>
            </w:tr>
            <w:tr w14:paraId="734D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4972CD26">
                  <w:pPr>
                    <w:bidi w:val="0"/>
                    <w:spacing w:line="240" w:lineRule="auto"/>
                    <w:ind w:firstLine="0" w:firstLineChars="0"/>
                    <w:rPr>
                      <w:rFonts w:hint="default"/>
                      <w:vertAlign w:val="baseline"/>
                      <w:lang w:val="en-US" w:eastAsia="zh-CN"/>
                    </w:rPr>
                  </w:pPr>
                  <w:r>
                    <w:rPr>
                      <w:rFonts w:hint="eastAsia"/>
                      <w:vertAlign w:val="baseline"/>
                      <w:lang w:val="en-US" w:eastAsia="zh-CN"/>
                    </w:rPr>
                    <w:t>1</w:t>
                  </w:r>
                </w:p>
              </w:tc>
              <w:tc>
                <w:tcPr>
                  <w:tcW w:w="1497" w:type="pct"/>
                </w:tcPr>
                <w:p w14:paraId="3668C375">
                  <w:pPr>
                    <w:bidi w:val="0"/>
                    <w:spacing w:line="240" w:lineRule="auto"/>
                    <w:ind w:firstLine="0" w:firstLineChars="0"/>
                    <w:rPr>
                      <w:rFonts w:hint="default"/>
                      <w:vertAlign w:val="baseline"/>
                      <w:lang w:val="en-US" w:eastAsia="zh-CN"/>
                    </w:rPr>
                  </w:pPr>
                  <w:r>
                    <w:rPr>
                      <w:rFonts w:hint="eastAsia"/>
                      <w:vertAlign w:val="baseline"/>
                      <w:lang w:val="en-US" w:eastAsia="zh-CN"/>
                    </w:rPr>
                    <w:t>PH</w:t>
                  </w:r>
                </w:p>
              </w:tc>
              <w:tc>
                <w:tcPr>
                  <w:tcW w:w="1431" w:type="pct"/>
                </w:tcPr>
                <w:p w14:paraId="16EA3429">
                  <w:pPr>
                    <w:bidi w:val="0"/>
                    <w:spacing w:line="240" w:lineRule="auto"/>
                    <w:ind w:firstLine="0" w:firstLineChars="0"/>
                    <w:rPr>
                      <w:rFonts w:hint="default"/>
                      <w:vertAlign w:val="baseline"/>
                      <w:lang w:val="en-US" w:eastAsia="zh-CN"/>
                    </w:rPr>
                  </w:pPr>
                  <w:r>
                    <w:rPr>
                      <w:rFonts w:hint="eastAsia"/>
                      <w:vertAlign w:val="baseline"/>
                      <w:lang w:val="en-US" w:eastAsia="zh-CN"/>
                    </w:rPr>
                    <w:t>/</w:t>
                  </w:r>
                </w:p>
              </w:tc>
              <w:tc>
                <w:tcPr>
                  <w:tcW w:w="1431" w:type="pct"/>
                </w:tcPr>
                <w:p w14:paraId="0C473EF9">
                  <w:pPr>
                    <w:bidi w:val="0"/>
                    <w:spacing w:line="240" w:lineRule="auto"/>
                    <w:ind w:firstLine="0" w:firstLineChars="0"/>
                    <w:rPr>
                      <w:rFonts w:hint="default"/>
                      <w:vertAlign w:val="baseline"/>
                      <w:lang w:val="en-US" w:eastAsia="zh-CN"/>
                    </w:rPr>
                  </w:pPr>
                  <w:r>
                    <w:rPr>
                      <w:rFonts w:hint="eastAsia"/>
                      <w:vertAlign w:val="baseline"/>
                      <w:lang w:val="en-US" w:eastAsia="zh-CN"/>
                    </w:rPr>
                    <w:t>6~9</w:t>
                  </w:r>
                </w:p>
              </w:tc>
            </w:tr>
            <w:tr w14:paraId="4C46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3DBE9360">
                  <w:pPr>
                    <w:bidi w:val="0"/>
                    <w:spacing w:line="240" w:lineRule="auto"/>
                    <w:ind w:firstLine="0" w:firstLineChars="0"/>
                    <w:rPr>
                      <w:rFonts w:hint="default"/>
                      <w:vertAlign w:val="baseline"/>
                      <w:lang w:val="en-US" w:eastAsia="zh-CN"/>
                    </w:rPr>
                  </w:pPr>
                  <w:r>
                    <w:rPr>
                      <w:rFonts w:hint="eastAsia"/>
                      <w:vertAlign w:val="baseline"/>
                      <w:lang w:val="en-US" w:eastAsia="zh-CN"/>
                    </w:rPr>
                    <w:t>2</w:t>
                  </w:r>
                </w:p>
              </w:tc>
              <w:tc>
                <w:tcPr>
                  <w:tcW w:w="1497" w:type="pct"/>
                </w:tcPr>
                <w:p w14:paraId="775E62B4">
                  <w:pPr>
                    <w:bidi w:val="0"/>
                    <w:spacing w:line="240" w:lineRule="auto"/>
                    <w:ind w:firstLine="0" w:firstLineChars="0"/>
                    <w:rPr>
                      <w:rFonts w:hint="eastAsia"/>
                      <w:vertAlign w:val="baseline"/>
                      <w:lang w:val="en-US" w:eastAsia="zh-CN"/>
                    </w:rPr>
                  </w:pPr>
                  <w:r>
                    <w:rPr>
                      <w:rFonts w:hint="eastAsia"/>
                      <w:vertAlign w:val="baseline"/>
                      <w:lang w:val="en-US" w:eastAsia="zh-CN"/>
                    </w:rPr>
                    <w:t>化学需氧量</w:t>
                  </w:r>
                </w:p>
              </w:tc>
              <w:tc>
                <w:tcPr>
                  <w:tcW w:w="1431" w:type="pct"/>
                </w:tcPr>
                <w:p w14:paraId="102F7FE8">
                  <w:pPr>
                    <w:bidi w:val="0"/>
                    <w:spacing w:line="240" w:lineRule="auto"/>
                    <w:ind w:firstLine="0" w:firstLineChars="0"/>
                    <w:rPr>
                      <w:rFonts w:hint="default"/>
                      <w:vertAlign w:val="baseline"/>
                      <w:lang w:val="en-US" w:eastAsia="zh-CN"/>
                    </w:rPr>
                  </w:pPr>
                  <w:r>
                    <w:rPr>
                      <w:rFonts w:hint="eastAsia"/>
                      <w:vertAlign w:val="baseline"/>
                      <w:lang w:val="en-US" w:eastAsia="zh-CN"/>
                    </w:rPr>
                    <w:t>mg/L</w:t>
                  </w:r>
                </w:p>
              </w:tc>
              <w:tc>
                <w:tcPr>
                  <w:tcW w:w="1431" w:type="pct"/>
                </w:tcPr>
                <w:p w14:paraId="3A711B6F">
                  <w:pPr>
                    <w:bidi w:val="0"/>
                    <w:spacing w:line="240" w:lineRule="auto"/>
                    <w:ind w:firstLine="0" w:firstLineChars="0"/>
                    <w:rPr>
                      <w:rFonts w:hint="default"/>
                      <w:vertAlign w:val="baseline"/>
                      <w:lang w:val="en-US" w:eastAsia="zh-CN"/>
                    </w:rPr>
                  </w:pPr>
                  <w:r>
                    <w:rPr>
                      <w:rFonts w:hint="eastAsia"/>
                      <w:vertAlign w:val="baseline"/>
                      <w:lang w:val="en-US" w:eastAsia="zh-CN"/>
                    </w:rPr>
                    <w:t>180</w:t>
                  </w:r>
                </w:p>
              </w:tc>
            </w:tr>
            <w:tr w14:paraId="7EB8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7659D7A5">
                  <w:pPr>
                    <w:bidi w:val="0"/>
                    <w:spacing w:line="240" w:lineRule="auto"/>
                    <w:ind w:firstLine="0" w:firstLineChars="0"/>
                    <w:rPr>
                      <w:rFonts w:hint="default"/>
                      <w:vertAlign w:val="baseline"/>
                      <w:lang w:val="en-US" w:eastAsia="zh-CN"/>
                    </w:rPr>
                  </w:pPr>
                  <w:r>
                    <w:rPr>
                      <w:rFonts w:hint="eastAsia"/>
                      <w:vertAlign w:val="baseline"/>
                      <w:lang w:val="en-US" w:eastAsia="zh-CN"/>
                    </w:rPr>
                    <w:t>3</w:t>
                  </w:r>
                </w:p>
              </w:tc>
              <w:tc>
                <w:tcPr>
                  <w:tcW w:w="1497" w:type="pct"/>
                </w:tcPr>
                <w:p w14:paraId="56EA6812">
                  <w:pPr>
                    <w:bidi w:val="0"/>
                    <w:spacing w:line="240" w:lineRule="auto"/>
                    <w:ind w:firstLine="0" w:firstLineChars="0"/>
                    <w:rPr>
                      <w:rFonts w:hint="eastAsia"/>
                      <w:vertAlign w:val="baseline"/>
                      <w:lang w:val="en-US" w:eastAsia="zh-CN"/>
                    </w:rPr>
                  </w:pPr>
                  <w:r>
                    <w:rPr>
                      <w:rFonts w:hint="eastAsia"/>
                      <w:vertAlign w:val="baseline"/>
                      <w:lang w:val="en-US" w:eastAsia="zh-CN"/>
                    </w:rPr>
                    <w:t>悬浮物</w:t>
                  </w:r>
                </w:p>
              </w:tc>
              <w:tc>
                <w:tcPr>
                  <w:tcW w:w="1431" w:type="pct"/>
                </w:tcPr>
                <w:p w14:paraId="1E95FF71">
                  <w:pPr>
                    <w:bidi w:val="0"/>
                    <w:spacing w:line="240" w:lineRule="auto"/>
                    <w:ind w:firstLine="0" w:firstLineChars="0"/>
                    <w:rPr>
                      <w:rFonts w:hint="eastAsia"/>
                      <w:vertAlign w:val="baseline"/>
                      <w:lang w:val="en-US" w:eastAsia="zh-CN"/>
                    </w:rPr>
                  </w:pPr>
                  <w:r>
                    <w:rPr>
                      <w:rFonts w:hint="eastAsia"/>
                      <w:vertAlign w:val="baseline"/>
                      <w:lang w:val="en-US" w:eastAsia="zh-CN"/>
                    </w:rPr>
                    <w:t>mg/L</w:t>
                  </w:r>
                </w:p>
              </w:tc>
              <w:tc>
                <w:tcPr>
                  <w:tcW w:w="1431" w:type="pct"/>
                </w:tcPr>
                <w:p w14:paraId="252D74E4">
                  <w:pPr>
                    <w:bidi w:val="0"/>
                    <w:spacing w:line="240" w:lineRule="auto"/>
                    <w:ind w:firstLine="0" w:firstLineChars="0"/>
                    <w:rPr>
                      <w:rFonts w:hint="default"/>
                      <w:vertAlign w:val="baseline"/>
                      <w:lang w:val="en-US" w:eastAsia="zh-CN"/>
                    </w:rPr>
                  </w:pPr>
                  <w:r>
                    <w:rPr>
                      <w:rFonts w:hint="eastAsia"/>
                      <w:vertAlign w:val="baseline"/>
                      <w:lang w:val="en-US" w:eastAsia="zh-CN"/>
                    </w:rPr>
                    <w:t>90</w:t>
                  </w:r>
                </w:p>
              </w:tc>
            </w:tr>
            <w:tr w14:paraId="5AA3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522C1349">
                  <w:pPr>
                    <w:bidi w:val="0"/>
                    <w:spacing w:line="240" w:lineRule="auto"/>
                    <w:ind w:firstLine="0" w:firstLineChars="0"/>
                    <w:rPr>
                      <w:rFonts w:hint="default"/>
                      <w:vertAlign w:val="baseline"/>
                      <w:lang w:val="en-US" w:eastAsia="zh-CN"/>
                    </w:rPr>
                  </w:pPr>
                  <w:r>
                    <w:rPr>
                      <w:rFonts w:hint="eastAsia"/>
                      <w:vertAlign w:val="baseline"/>
                      <w:lang w:val="en-US" w:eastAsia="zh-CN"/>
                    </w:rPr>
                    <w:t>4</w:t>
                  </w:r>
                </w:p>
              </w:tc>
              <w:tc>
                <w:tcPr>
                  <w:tcW w:w="1497" w:type="pct"/>
                </w:tcPr>
                <w:p w14:paraId="1682FF05">
                  <w:pPr>
                    <w:bidi w:val="0"/>
                    <w:spacing w:line="240" w:lineRule="auto"/>
                    <w:ind w:firstLine="0" w:firstLineChars="0"/>
                    <w:rPr>
                      <w:rFonts w:hint="eastAsia"/>
                      <w:vertAlign w:val="baseline"/>
                      <w:lang w:val="en-US" w:eastAsia="zh-CN"/>
                    </w:rPr>
                  </w:pPr>
                  <w:r>
                    <w:rPr>
                      <w:rFonts w:hint="eastAsia"/>
                      <w:vertAlign w:val="baseline"/>
                      <w:lang w:val="en-US" w:eastAsia="zh-CN"/>
                    </w:rPr>
                    <w:t>粪大肠菌群</w:t>
                  </w:r>
                </w:p>
              </w:tc>
              <w:tc>
                <w:tcPr>
                  <w:tcW w:w="1431" w:type="pct"/>
                </w:tcPr>
                <w:p w14:paraId="74A23EE8">
                  <w:pPr>
                    <w:bidi w:val="0"/>
                    <w:spacing w:line="240" w:lineRule="auto"/>
                    <w:ind w:firstLine="0" w:firstLineChars="0"/>
                    <w:rPr>
                      <w:rFonts w:hint="eastAsia"/>
                      <w:vertAlign w:val="baseline"/>
                      <w:lang w:val="en-US" w:eastAsia="zh-CN"/>
                    </w:rPr>
                  </w:pPr>
                  <w:r>
                    <w:rPr>
                      <w:rFonts w:hint="eastAsia"/>
                      <w:vertAlign w:val="baseline"/>
                      <w:lang w:val="en-US" w:eastAsia="zh-CN"/>
                    </w:rPr>
                    <w:t>MPN/L</w:t>
                  </w:r>
                </w:p>
              </w:tc>
              <w:tc>
                <w:tcPr>
                  <w:tcW w:w="1431" w:type="pct"/>
                </w:tcPr>
                <w:p w14:paraId="6A28717E">
                  <w:pPr>
                    <w:bidi w:val="0"/>
                    <w:spacing w:line="240" w:lineRule="auto"/>
                    <w:ind w:firstLine="0" w:firstLineChars="0"/>
                    <w:rPr>
                      <w:rFonts w:hint="default"/>
                      <w:vertAlign w:val="baseline"/>
                      <w:lang w:val="en-US" w:eastAsia="zh-CN"/>
                    </w:rPr>
                  </w:pPr>
                  <w:r>
                    <w:rPr>
                      <w:rFonts w:hint="eastAsia"/>
                      <w:vertAlign w:val="baseline"/>
                      <w:lang w:val="en-US" w:eastAsia="zh-CN"/>
                    </w:rPr>
                    <w:t>40000</w:t>
                  </w:r>
                </w:p>
              </w:tc>
            </w:tr>
            <w:tr w14:paraId="12CC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pct"/>
                </w:tcPr>
                <w:p w14:paraId="58111E32">
                  <w:pPr>
                    <w:bidi w:val="0"/>
                    <w:spacing w:line="240" w:lineRule="auto"/>
                    <w:ind w:firstLine="0" w:firstLineChars="0"/>
                    <w:rPr>
                      <w:rFonts w:hint="default"/>
                      <w:vertAlign w:val="baseline"/>
                      <w:lang w:val="en-US" w:eastAsia="zh-CN"/>
                    </w:rPr>
                  </w:pPr>
                  <w:r>
                    <w:rPr>
                      <w:rFonts w:hint="eastAsia"/>
                      <w:vertAlign w:val="baseline"/>
                      <w:lang w:val="en-US" w:eastAsia="zh-CN"/>
                    </w:rPr>
                    <w:t>5</w:t>
                  </w:r>
                </w:p>
              </w:tc>
              <w:tc>
                <w:tcPr>
                  <w:tcW w:w="1497" w:type="pct"/>
                </w:tcPr>
                <w:p w14:paraId="2E41C52B">
                  <w:pPr>
                    <w:bidi w:val="0"/>
                    <w:spacing w:line="240" w:lineRule="auto"/>
                    <w:ind w:firstLine="0" w:firstLineChars="0"/>
                    <w:rPr>
                      <w:rFonts w:hint="default"/>
                      <w:vertAlign w:val="baseline"/>
                      <w:lang w:val="en-US" w:eastAsia="zh-CN"/>
                    </w:rPr>
                  </w:pPr>
                  <w:r>
                    <w:rPr>
                      <w:rFonts w:hint="eastAsia"/>
                      <w:vertAlign w:val="baseline"/>
                      <w:lang w:val="en-US" w:eastAsia="zh-CN"/>
                    </w:rPr>
                    <w:t>蛔虫卵个数</w:t>
                  </w:r>
                </w:p>
              </w:tc>
              <w:tc>
                <w:tcPr>
                  <w:tcW w:w="1431" w:type="pct"/>
                </w:tcPr>
                <w:p w14:paraId="5A5A48E3">
                  <w:pPr>
                    <w:bidi w:val="0"/>
                    <w:spacing w:line="240" w:lineRule="auto"/>
                    <w:ind w:firstLine="0" w:firstLineChars="0"/>
                    <w:rPr>
                      <w:rFonts w:hint="eastAsia"/>
                      <w:vertAlign w:val="baseline"/>
                      <w:lang w:val="en-US" w:eastAsia="zh-CN"/>
                    </w:rPr>
                  </w:pPr>
                  <w:r>
                    <w:rPr>
                      <w:rFonts w:hint="eastAsia"/>
                      <w:vertAlign w:val="baseline"/>
                      <w:lang w:val="en-US" w:eastAsia="zh-CN"/>
                    </w:rPr>
                    <w:t>个/L</w:t>
                  </w:r>
                </w:p>
              </w:tc>
              <w:tc>
                <w:tcPr>
                  <w:tcW w:w="1431" w:type="pct"/>
                </w:tcPr>
                <w:p w14:paraId="6745A793">
                  <w:pPr>
                    <w:bidi w:val="0"/>
                    <w:spacing w:line="240" w:lineRule="auto"/>
                    <w:ind w:firstLine="0" w:firstLineChars="0"/>
                    <w:rPr>
                      <w:rFonts w:hint="default"/>
                      <w:vertAlign w:val="baseline"/>
                      <w:lang w:val="en-US" w:eastAsia="zh-CN"/>
                    </w:rPr>
                  </w:pPr>
                  <w:r>
                    <w:rPr>
                      <w:rFonts w:hint="eastAsia"/>
                      <w:vertAlign w:val="baseline"/>
                      <w:lang w:val="en-US" w:eastAsia="zh-CN"/>
                    </w:rPr>
                    <w:t>2</w:t>
                  </w:r>
                </w:p>
              </w:tc>
            </w:tr>
          </w:tbl>
          <w:p w14:paraId="3EDFE382">
            <w:pPr>
              <w:spacing w:afterLines="50" w:line="240" w:lineRule="auto"/>
              <w:ind w:firstLine="482"/>
              <w:jc w:val="center"/>
              <w:rPr>
                <w:rFonts w:hint="eastAsia" w:ascii="Times New Roman" w:hAnsi="Times New Roman"/>
                <w:b/>
                <w:lang w:val="en-US" w:eastAsia="zh-CN"/>
              </w:rPr>
            </w:pPr>
            <w:r>
              <w:rPr>
                <w:rFonts w:hint="eastAsia" w:ascii="Times New Roman" w:hAnsi="Times New Roman"/>
                <w:b/>
                <w:lang w:val="en-US" w:eastAsia="zh-CN"/>
              </w:rPr>
              <w:t>表3-9  城市污水再生利用城市杂用水水质标准</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7"/>
              <w:gridCol w:w="3250"/>
              <w:gridCol w:w="3766"/>
            </w:tblGrid>
            <w:tr w14:paraId="13D75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527" w:type="pct"/>
                  <w:noWrap w:val="0"/>
                  <w:vAlign w:val="top"/>
                </w:tcPr>
                <w:p w14:paraId="781C567D">
                  <w:pPr>
                    <w:pStyle w:val="43"/>
                    <w:spacing w:line="240" w:lineRule="auto"/>
                    <w:ind w:firstLine="0" w:firstLineChars="0"/>
                    <w:jc w:val="center"/>
                    <w:rPr>
                      <w:sz w:val="21"/>
                      <w:szCs w:val="21"/>
                    </w:rPr>
                  </w:pPr>
                  <w:r>
                    <w:rPr>
                      <w:b/>
                      <w:bCs/>
                      <w:spacing w:val="-3"/>
                      <w:sz w:val="21"/>
                      <w:szCs w:val="21"/>
                    </w:rPr>
                    <w:t>序号</w:t>
                  </w:r>
                </w:p>
              </w:tc>
              <w:tc>
                <w:tcPr>
                  <w:tcW w:w="2072" w:type="pct"/>
                  <w:noWrap w:val="0"/>
                  <w:vAlign w:val="top"/>
                </w:tcPr>
                <w:p w14:paraId="3FF578F4">
                  <w:pPr>
                    <w:pStyle w:val="43"/>
                    <w:spacing w:line="240" w:lineRule="auto"/>
                    <w:ind w:firstLine="0" w:firstLineChars="0"/>
                    <w:jc w:val="center"/>
                    <w:rPr>
                      <w:sz w:val="21"/>
                      <w:szCs w:val="21"/>
                    </w:rPr>
                  </w:pPr>
                  <w:r>
                    <w:rPr>
                      <w:b/>
                      <w:bCs/>
                      <w:spacing w:val="-3"/>
                      <w:sz w:val="21"/>
                      <w:szCs w:val="21"/>
                    </w:rPr>
                    <w:t>污染物或项目名称</w:t>
                  </w:r>
                </w:p>
              </w:tc>
              <w:tc>
                <w:tcPr>
                  <w:tcW w:w="2400" w:type="pct"/>
                  <w:noWrap w:val="0"/>
                  <w:vAlign w:val="top"/>
                </w:tcPr>
                <w:p w14:paraId="2E459D92">
                  <w:pPr>
                    <w:pStyle w:val="43"/>
                    <w:spacing w:line="240" w:lineRule="auto"/>
                    <w:ind w:firstLine="0" w:firstLineChars="0"/>
                    <w:jc w:val="center"/>
                    <w:rPr>
                      <w:sz w:val="21"/>
                      <w:szCs w:val="21"/>
                      <w:lang w:eastAsia="zh-CN"/>
                    </w:rPr>
                  </w:pPr>
                  <w:r>
                    <w:rPr>
                      <w:b/>
                      <w:bCs/>
                      <w:spacing w:val="-1"/>
                      <w:sz w:val="21"/>
                      <w:szCs w:val="21"/>
                      <w:lang w:eastAsia="zh-CN"/>
                    </w:rPr>
                    <w:t>城市绿化、道路精扫、消防、</w:t>
                  </w:r>
                  <w:r>
                    <w:rPr>
                      <w:b/>
                      <w:bCs/>
                      <w:spacing w:val="-7"/>
                      <w:sz w:val="21"/>
                      <w:szCs w:val="21"/>
                      <w:lang w:eastAsia="zh-CN"/>
                    </w:rPr>
                    <w:t>建筑施工</w:t>
                  </w:r>
                </w:p>
              </w:tc>
            </w:tr>
            <w:tr w14:paraId="40AD6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527" w:type="pct"/>
                  <w:noWrap w:val="0"/>
                  <w:vAlign w:val="top"/>
                </w:tcPr>
                <w:p w14:paraId="361F9E57">
                  <w:pPr>
                    <w:pStyle w:val="43"/>
                    <w:spacing w:line="240" w:lineRule="auto"/>
                    <w:ind w:firstLine="0" w:firstLineChars="0"/>
                    <w:jc w:val="center"/>
                    <w:rPr>
                      <w:sz w:val="21"/>
                      <w:szCs w:val="21"/>
                    </w:rPr>
                  </w:pPr>
                  <w:r>
                    <w:rPr>
                      <w:position w:val="-2"/>
                      <w:sz w:val="21"/>
                      <w:szCs w:val="21"/>
                    </w:rPr>
                    <w:t>1</w:t>
                  </w:r>
                </w:p>
              </w:tc>
              <w:tc>
                <w:tcPr>
                  <w:tcW w:w="2072" w:type="pct"/>
                  <w:noWrap w:val="0"/>
                  <w:vAlign w:val="top"/>
                </w:tcPr>
                <w:p w14:paraId="3A5EF7E3">
                  <w:pPr>
                    <w:pStyle w:val="43"/>
                    <w:spacing w:line="240" w:lineRule="auto"/>
                    <w:ind w:firstLine="0" w:firstLineChars="0"/>
                    <w:jc w:val="center"/>
                    <w:rPr>
                      <w:sz w:val="21"/>
                      <w:szCs w:val="21"/>
                    </w:rPr>
                  </w:pPr>
                  <w:r>
                    <w:rPr>
                      <w:sz w:val="21"/>
                      <w:szCs w:val="21"/>
                    </w:rPr>
                    <w:t>pH</w:t>
                  </w:r>
                  <w:r>
                    <w:rPr>
                      <w:spacing w:val="5"/>
                      <w:sz w:val="21"/>
                      <w:szCs w:val="21"/>
                    </w:rPr>
                    <w:t>值(无量纲)</w:t>
                  </w:r>
                </w:p>
              </w:tc>
              <w:tc>
                <w:tcPr>
                  <w:tcW w:w="2400" w:type="pct"/>
                  <w:noWrap w:val="0"/>
                  <w:vAlign w:val="top"/>
                </w:tcPr>
                <w:p w14:paraId="5D576B2A">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6.0~9.0</w:t>
                  </w:r>
                </w:p>
              </w:tc>
            </w:tr>
            <w:tr w14:paraId="610D9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527" w:type="pct"/>
                  <w:noWrap w:val="0"/>
                  <w:vAlign w:val="top"/>
                </w:tcPr>
                <w:p w14:paraId="22C59D67">
                  <w:pPr>
                    <w:pStyle w:val="43"/>
                    <w:spacing w:line="240" w:lineRule="auto"/>
                    <w:ind w:firstLine="0" w:firstLineChars="0"/>
                    <w:jc w:val="center"/>
                    <w:rPr>
                      <w:sz w:val="21"/>
                      <w:szCs w:val="21"/>
                    </w:rPr>
                  </w:pPr>
                  <w:r>
                    <w:rPr>
                      <w:sz w:val="21"/>
                      <w:szCs w:val="21"/>
                    </w:rPr>
                    <w:t>2</w:t>
                  </w:r>
                </w:p>
              </w:tc>
              <w:tc>
                <w:tcPr>
                  <w:tcW w:w="2072" w:type="pct"/>
                  <w:noWrap w:val="0"/>
                  <w:vAlign w:val="top"/>
                </w:tcPr>
                <w:p w14:paraId="4120434F">
                  <w:pPr>
                    <w:pStyle w:val="43"/>
                    <w:spacing w:line="240" w:lineRule="auto"/>
                    <w:ind w:right="63" w:firstLine="0" w:firstLineChars="0"/>
                    <w:jc w:val="center"/>
                    <w:rPr>
                      <w:sz w:val="21"/>
                      <w:szCs w:val="21"/>
                      <w:lang w:eastAsia="zh-CN"/>
                    </w:rPr>
                  </w:pPr>
                  <w:r>
                    <w:rPr>
                      <w:spacing w:val="-1"/>
                      <w:sz w:val="21"/>
                      <w:szCs w:val="21"/>
                      <w:lang w:eastAsia="zh-CN"/>
                    </w:rPr>
                    <w:t>色度，铂钴色度单位</w:t>
                  </w:r>
                  <w:r>
                    <w:rPr>
                      <w:sz w:val="21"/>
                      <w:szCs w:val="21"/>
                      <w:lang w:eastAsia="zh-CN"/>
                    </w:rPr>
                    <w:t xml:space="preserve"> ≤</w:t>
                  </w:r>
                </w:p>
              </w:tc>
              <w:tc>
                <w:tcPr>
                  <w:tcW w:w="2400" w:type="pct"/>
                  <w:noWrap w:val="0"/>
                  <w:vAlign w:val="top"/>
                </w:tcPr>
                <w:p w14:paraId="6BEC71FC">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3"/>
                      <w:sz w:val="21"/>
                      <w:szCs w:val="21"/>
                    </w:rPr>
                    <w:t>30</w:t>
                  </w:r>
                </w:p>
              </w:tc>
            </w:tr>
            <w:tr w14:paraId="740E2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527" w:type="pct"/>
                  <w:noWrap w:val="0"/>
                  <w:vAlign w:val="top"/>
                </w:tcPr>
                <w:p w14:paraId="0D5F1516">
                  <w:pPr>
                    <w:pStyle w:val="43"/>
                    <w:spacing w:line="240" w:lineRule="auto"/>
                    <w:ind w:firstLine="0" w:firstLineChars="0"/>
                    <w:jc w:val="center"/>
                    <w:rPr>
                      <w:sz w:val="21"/>
                      <w:szCs w:val="21"/>
                    </w:rPr>
                  </w:pPr>
                  <w:r>
                    <w:rPr>
                      <w:position w:val="-2"/>
                      <w:sz w:val="21"/>
                      <w:szCs w:val="21"/>
                    </w:rPr>
                    <w:t>3</w:t>
                  </w:r>
                </w:p>
              </w:tc>
              <w:tc>
                <w:tcPr>
                  <w:tcW w:w="2072" w:type="pct"/>
                  <w:noWrap w:val="0"/>
                  <w:vAlign w:val="top"/>
                </w:tcPr>
                <w:p w14:paraId="7EAA0A0F">
                  <w:pPr>
                    <w:pStyle w:val="43"/>
                    <w:spacing w:line="240" w:lineRule="auto"/>
                    <w:ind w:firstLine="0" w:firstLineChars="0"/>
                    <w:jc w:val="center"/>
                    <w:rPr>
                      <w:sz w:val="21"/>
                      <w:szCs w:val="21"/>
                    </w:rPr>
                  </w:pPr>
                  <w:r>
                    <w:rPr>
                      <w:sz w:val="21"/>
                      <w:szCs w:val="21"/>
                    </w:rPr>
                    <w:t>嗅</w:t>
                  </w:r>
                </w:p>
              </w:tc>
              <w:tc>
                <w:tcPr>
                  <w:tcW w:w="2400" w:type="pct"/>
                  <w:noWrap w:val="0"/>
                  <w:vAlign w:val="top"/>
                </w:tcPr>
                <w:p w14:paraId="3E2C9D9A">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无不快感</w:t>
                  </w:r>
                </w:p>
              </w:tc>
            </w:tr>
            <w:tr w14:paraId="29CD1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527" w:type="pct"/>
                  <w:noWrap w:val="0"/>
                  <w:vAlign w:val="top"/>
                </w:tcPr>
                <w:p w14:paraId="61A654EA">
                  <w:pPr>
                    <w:pStyle w:val="43"/>
                    <w:spacing w:line="240" w:lineRule="auto"/>
                    <w:ind w:firstLine="0" w:firstLineChars="0"/>
                    <w:jc w:val="center"/>
                    <w:rPr>
                      <w:sz w:val="21"/>
                      <w:szCs w:val="21"/>
                    </w:rPr>
                  </w:pPr>
                  <w:r>
                    <w:rPr>
                      <w:position w:val="-2"/>
                      <w:sz w:val="21"/>
                      <w:szCs w:val="21"/>
                    </w:rPr>
                    <w:t>4</w:t>
                  </w:r>
                </w:p>
              </w:tc>
              <w:tc>
                <w:tcPr>
                  <w:tcW w:w="2072" w:type="pct"/>
                  <w:noWrap w:val="0"/>
                  <w:vAlign w:val="top"/>
                </w:tcPr>
                <w:p w14:paraId="0CA261F3">
                  <w:pPr>
                    <w:pStyle w:val="43"/>
                    <w:spacing w:line="240" w:lineRule="auto"/>
                    <w:ind w:firstLine="0" w:firstLineChars="0"/>
                    <w:jc w:val="center"/>
                    <w:rPr>
                      <w:sz w:val="21"/>
                      <w:szCs w:val="21"/>
                    </w:rPr>
                  </w:pPr>
                  <w:r>
                    <w:rPr>
                      <w:spacing w:val="4"/>
                      <w:sz w:val="21"/>
                      <w:szCs w:val="21"/>
                    </w:rPr>
                    <w:t>浊度/</w:t>
                  </w:r>
                  <w:r>
                    <w:rPr>
                      <w:sz w:val="21"/>
                      <w:szCs w:val="21"/>
                    </w:rPr>
                    <w:t>NTU</w:t>
                  </w:r>
                  <w:r>
                    <w:rPr>
                      <w:spacing w:val="4"/>
                      <w:sz w:val="21"/>
                      <w:szCs w:val="21"/>
                    </w:rPr>
                    <w:t>≤</w:t>
                  </w:r>
                </w:p>
              </w:tc>
              <w:tc>
                <w:tcPr>
                  <w:tcW w:w="2400" w:type="pct"/>
                  <w:noWrap w:val="0"/>
                  <w:vAlign w:val="top"/>
                </w:tcPr>
                <w:p w14:paraId="5AD61EBA">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5"/>
                      <w:position w:val="-2"/>
                      <w:sz w:val="21"/>
                      <w:szCs w:val="21"/>
                    </w:rPr>
                    <w:t>10</w:t>
                  </w:r>
                </w:p>
              </w:tc>
            </w:tr>
            <w:tr w14:paraId="25334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27" w:type="pct"/>
                  <w:noWrap w:val="0"/>
                  <w:vAlign w:val="top"/>
                </w:tcPr>
                <w:p w14:paraId="1AD90279">
                  <w:pPr>
                    <w:pStyle w:val="43"/>
                    <w:spacing w:line="240" w:lineRule="auto"/>
                    <w:ind w:firstLine="0" w:firstLineChars="0"/>
                    <w:jc w:val="center"/>
                    <w:rPr>
                      <w:sz w:val="21"/>
                      <w:szCs w:val="21"/>
                    </w:rPr>
                  </w:pPr>
                  <w:r>
                    <w:rPr>
                      <w:sz w:val="21"/>
                      <w:szCs w:val="21"/>
                    </w:rPr>
                    <w:t>5</w:t>
                  </w:r>
                </w:p>
              </w:tc>
              <w:tc>
                <w:tcPr>
                  <w:tcW w:w="2072" w:type="pct"/>
                  <w:noWrap w:val="0"/>
                  <w:vAlign w:val="top"/>
                </w:tcPr>
                <w:p w14:paraId="5569DFB0">
                  <w:pPr>
                    <w:pStyle w:val="43"/>
                    <w:spacing w:line="240" w:lineRule="auto"/>
                    <w:ind w:right="214" w:firstLine="0" w:firstLineChars="0"/>
                    <w:jc w:val="center"/>
                    <w:rPr>
                      <w:sz w:val="21"/>
                      <w:szCs w:val="21"/>
                    </w:rPr>
                  </w:pPr>
                  <w:r>
                    <w:rPr>
                      <w:spacing w:val="-2"/>
                      <w:sz w:val="21"/>
                      <w:szCs w:val="21"/>
                    </w:rPr>
                    <w:t>五日生化需氧量</w:t>
                  </w:r>
                  <w:r>
                    <w:rPr>
                      <w:spacing w:val="-3"/>
                      <w:sz w:val="21"/>
                      <w:szCs w:val="21"/>
                    </w:rPr>
                    <w:t>(BOD</w:t>
                  </w:r>
                  <w:r>
                    <w:rPr>
                      <w:rFonts w:ascii="Calibri" w:hAnsi="Calibri" w:eastAsia="Calibri" w:cs="Calibri"/>
                      <w:spacing w:val="-3"/>
                      <w:sz w:val="21"/>
                      <w:szCs w:val="21"/>
                    </w:rPr>
                    <w:t>₅</w:t>
                  </w:r>
                  <w:r>
                    <w:rPr>
                      <w:spacing w:val="-3"/>
                      <w:sz w:val="21"/>
                      <w:szCs w:val="21"/>
                    </w:rPr>
                    <w:t>)(mg/L)≤</w:t>
                  </w:r>
                </w:p>
              </w:tc>
              <w:tc>
                <w:tcPr>
                  <w:tcW w:w="2400" w:type="pct"/>
                  <w:noWrap w:val="0"/>
                  <w:vAlign w:val="top"/>
                </w:tcPr>
                <w:p w14:paraId="74B55EE7">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5"/>
                      <w:sz w:val="21"/>
                      <w:szCs w:val="21"/>
                    </w:rPr>
                    <w:t>10</w:t>
                  </w:r>
                </w:p>
              </w:tc>
            </w:tr>
            <w:tr w14:paraId="7DE0C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527" w:type="pct"/>
                  <w:noWrap w:val="0"/>
                  <w:vAlign w:val="top"/>
                </w:tcPr>
                <w:p w14:paraId="1BDC0524">
                  <w:pPr>
                    <w:pStyle w:val="43"/>
                    <w:spacing w:line="240" w:lineRule="auto"/>
                    <w:ind w:firstLine="0" w:firstLineChars="0"/>
                    <w:jc w:val="center"/>
                    <w:rPr>
                      <w:sz w:val="21"/>
                      <w:szCs w:val="21"/>
                    </w:rPr>
                  </w:pPr>
                  <w:r>
                    <w:rPr>
                      <w:position w:val="-2"/>
                      <w:sz w:val="21"/>
                      <w:szCs w:val="21"/>
                    </w:rPr>
                    <w:t>6</w:t>
                  </w:r>
                </w:p>
              </w:tc>
              <w:tc>
                <w:tcPr>
                  <w:tcW w:w="2072" w:type="pct"/>
                  <w:noWrap w:val="0"/>
                  <w:vAlign w:val="top"/>
                </w:tcPr>
                <w:p w14:paraId="6B5833BF">
                  <w:pPr>
                    <w:pStyle w:val="43"/>
                    <w:spacing w:line="240" w:lineRule="auto"/>
                    <w:ind w:firstLine="0" w:firstLineChars="0"/>
                    <w:jc w:val="center"/>
                    <w:rPr>
                      <w:sz w:val="21"/>
                      <w:szCs w:val="21"/>
                    </w:rPr>
                  </w:pPr>
                  <w:r>
                    <w:rPr>
                      <w:spacing w:val="2"/>
                      <w:sz w:val="21"/>
                      <w:szCs w:val="21"/>
                    </w:rPr>
                    <w:t>氨氨/(</w:t>
                  </w:r>
                  <w:r>
                    <w:rPr>
                      <w:sz w:val="21"/>
                      <w:szCs w:val="21"/>
                    </w:rPr>
                    <w:t>mg</w:t>
                  </w:r>
                  <w:r>
                    <w:rPr>
                      <w:spacing w:val="2"/>
                      <w:sz w:val="21"/>
                      <w:szCs w:val="21"/>
                    </w:rPr>
                    <w:t>/L)≤</w:t>
                  </w:r>
                </w:p>
              </w:tc>
              <w:tc>
                <w:tcPr>
                  <w:tcW w:w="2400" w:type="pct"/>
                  <w:noWrap w:val="0"/>
                  <w:vAlign w:val="top"/>
                </w:tcPr>
                <w:p w14:paraId="61D82C8F">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position w:val="-2"/>
                      <w:sz w:val="21"/>
                      <w:szCs w:val="21"/>
                    </w:rPr>
                    <w:t>8</w:t>
                  </w:r>
                </w:p>
              </w:tc>
            </w:tr>
            <w:tr w14:paraId="2722A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trPr>
              <w:tc>
                <w:tcPr>
                  <w:tcW w:w="527" w:type="pct"/>
                  <w:noWrap w:val="0"/>
                  <w:vAlign w:val="top"/>
                </w:tcPr>
                <w:p w14:paraId="4755C06C">
                  <w:pPr>
                    <w:pStyle w:val="43"/>
                    <w:spacing w:line="240" w:lineRule="auto"/>
                    <w:ind w:firstLine="0" w:firstLineChars="0"/>
                    <w:jc w:val="center"/>
                    <w:rPr>
                      <w:sz w:val="21"/>
                      <w:szCs w:val="21"/>
                    </w:rPr>
                  </w:pPr>
                  <w:r>
                    <w:rPr>
                      <w:sz w:val="21"/>
                      <w:szCs w:val="21"/>
                    </w:rPr>
                    <w:t>7</w:t>
                  </w:r>
                </w:p>
              </w:tc>
              <w:tc>
                <w:tcPr>
                  <w:tcW w:w="2072" w:type="pct"/>
                  <w:noWrap w:val="0"/>
                  <w:vAlign w:val="top"/>
                </w:tcPr>
                <w:p w14:paraId="05D85A43">
                  <w:pPr>
                    <w:pStyle w:val="43"/>
                    <w:spacing w:line="240" w:lineRule="auto"/>
                    <w:ind w:right="127" w:firstLine="0" w:firstLineChars="0"/>
                    <w:jc w:val="center"/>
                    <w:rPr>
                      <w:sz w:val="21"/>
                      <w:szCs w:val="21"/>
                      <w:lang w:eastAsia="zh-CN"/>
                    </w:rPr>
                  </w:pPr>
                  <w:r>
                    <w:rPr>
                      <w:spacing w:val="1"/>
                      <w:sz w:val="21"/>
                      <w:szCs w:val="21"/>
                      <w:lang w:eastAsia="zh-CN"/>
                    </w:rPr>
                    <w:t>阴离子表面活性剂</w:t>
                  </w:r>
                  <w:r>
                    <w:rPr>
                      <w:spacing w:val="-1"/>
                      <w:sz w:val="21"/>
                      <w:szCs w:val="21"/>
                      <w:lang w:eastAsia="zh-CN"/>
                    </w:rPr>
                    <w:t>/(mg/L)≤</w:t>
                  </w:r>
                </w:p>
              </w:tc>
              <w:tc>
                <w:tcPr>
                  <w:tcW w:w="2400" w:type="pct"/>
                  <w:noWrap w:val="0"/>
                  <w:vAlign w:val="top"/>
                </w:tcPr>
                <w:p w14:paraId="50CF4F4E">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0.5</w:t>
                  </w:r>
                </w:p>
              </w:tc>
            </w:tr>
            <w:tr w14:paraId="52A2B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27" w:type="pct"/>
                  <w:noWrap w:val="0"/>
                  <w:vAlign w:val="top"/>
                </w:tcPr>
                <w:p w14:paraId="05315A97">
                  <w:pPr>
                    <w:pStyle w:val="43"/>
                    <w:spacing w:line="240" w:lineRule="auto"/>
                    <w:ind w:firstLine="0" w:firstLineChars="0"/>
                    <w:jc w:val="center"/>
                    <w:rPr>
                      <w:sz w:val="21"/>
                      <w:szCs w:val="21"/>
                    </w:rPr>
                  </w:pPr>
                  <w:r>
                    <w:rPr>
                      <w:position w:val="-2"/>
                      <w:sz w:val="21"/>
                      <w:szCs w:val="21"/>
                    </w:rPr>
                    <w:t>8</w:t>
                  </w:r>
                </w:p>
              </w:tc>
              <w:tc>
                <w:tcPr>
                  <w:tcW w:w="2072" w:type="pct"/>
                  <w:noWrap w:val="0"/>
                  <w:vAlign w:val="top"/>
                </w:tcPr>
                <w:p w14:paraId="5BA0A2B5">
                  <w:pPr>
                    <w:pStyle w:val="43"/>
                    <w:spacing w:line="240" w:lineRule="auto"/>
                    <w:ind w:firstLine="0" w:firstLineChars="0"/>
                    <w:jc w:val="center"/>
                    <w:rPr>
                      <w:sz w:val="21"/>
                      <w:szCs w:val="21"/>
                    </w:rPr>
                  </w:pPr>
                  <w:r>
                    <w:rPr>
                      <w:spacing w:val="-1"/>
                      <w:sz w:val="21"/>
                      <w:szCs w:val="21"/>
                    </w:rPr>
                    <w:t>铁/(mg/L)≤</w:t>
                  </w:r>
                </w:p>
              </w:tc>
              <w:tc>
                <w:tcPr>
                  <w:tcW w:w="2400" w:type="pct"/>
                  <w:noWrap w:val="0"/>
                  <w:vAlign w:val="top"/>
                </w:tcPr>
                <w:p w14:paraId="07F4943C">
                  <w:pPr>
                    <w:spacing w:line="240" w:lineRule="auto"/>
                    <w:ind w:firstLine="0" w:firstLineChars="0"/>
                    <w:jc w:val="center"/>
                    <w:rPr>
                      <w:rFonts w:ascii="Times New Roman" w:hAnsi="Times New Roman"/>
                      <w:szCs w:val="21"/>
                    </w:rPr>
                  </w:pPr>
                  <w:r>
                    <w:rPr>
                      <w:rFonts w:ascii="Times New Roman" w:hAnsi="Times New Roman"/>
                      <w:szCs w:val="21"/>
                    </w:rPr>
                    <w:t>-</w:t>
                  </w:r>
                </w:p>
              </w:tc>
            </w:tr>
            <w:tr w14:paraId="62F3F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27" w:type="pct"/>
                  <w:noWrap w:val="0"/>
                  <w:vAlign w:val="top"/>
                </w:tcPr>
                <w:p w14:paraId="168E1125">
                  <w:pPr>
                    <w:pStyle w:val="43"/>
                    <w:spacing w:line="240" w:lineRule="auto"/>
                    <w:ind w:firstLine="0" w:firstLineChars="0"/>
                    <w:jc w:val="center"/>
                    <w:rPr>
                      <w:sz w:val="21"/>
                      <w:szCs w:val="21"/>
                    </w:rPr>
                  </w:pPr>
                  <w:r>
                    <w:rPr>
                      <w:position w:val="-2"/>
                      <w:sz w:val="21"/>
                      <w:szCs w:val="21"/>
                    </w:rPr>
                    <w:t>9</w:t>
                  </w:r>
                </w:p>
              </w:tc>
              <w:tc>
                <w:tcPr>
                  <w:tcW w:w="2072" w:type="pct"/>
                  <w:noWrap w:val="0"/>
                  <w:vAlign w:val="top"/>
                </w:tcPr>
                <w:p w14:paraId="308FEA93">
                  <w:pPr>
                    <w:pStyle w:val="43"/>
                    <w:spacing w:line="240" w:lineRule="auto"/>
                    <w:ind w:firstLine="0" w:firstLineChars="0"/>
                    <w:jc w:val="center"/>
                    <w:rPr>
                      <w:sz w:val="21"/>
                      <w:szCs w:val="21"/>
                    </w:rPr>
                  </w:pPr>
                  <w:r>
                    <w:rPr>
                      <w:spacing w:val="-1"/>
                      <w:sz w:val="21"/>
                      <w:szCs w:val="21"/>
                    </w:rPr>
                    <w:t>锰/(mg/L)≤</w:t>
                  </w:r>
                </w:p>
              </w:tc>
              <w:tc>
                <w:tcPr>
                  <w:tcW w:w="2400" w:type="pct"/>
                  <w:noWrap w:val="0"/>
                  <w:vAlign w:val="top"/>
                </w:tcPr>
                <w:p w14:paraId="735C53CC">
                  <w:pPr>
                    <w:spacing w:line="240" w:lineRule="auto"/>
                    <w:ind w:firstLine="0" w:firstLineChars="0"/>
                    <w:jc w:val="center"/>
                    <w:rPr>
                      <w:rFonts w:ascii="Times New Roman" w:hAnsi="Times New Roman"/>
                      <w:szCs w:val="21"/>
                    </w:rPr>
                  </w:pPr>
                  <w:r>
                    <w:rPr>
                      <w:rFonts w:ascii="Times New Roman" w:hAnsi="Times New Roman"/>
                      <w:szCs w:val="21"/>
                    </w:rPr>
                    <w:t>-</w:t>
                  </w:r>
                </w:p>
              </w:tc>
            </w:tr>
            <w:tr w14:paraId="35DD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527" w:type="pct"/>
                  <w:noWrap w:val="0"/>
                  <w:vAlign w:val="top"/>
                </w:tcPr>
                <w:p w14:paraId="09F3B85E">
                  <w:pPr>
                    <w:pStyle w:val="43"/>
                    <w:spacing w:line="240" w:lineRule="auto"/>
                    <w:ind w:firstLine="0" w:firstLineChars="0"/>
                    <w:jc w:val="center"/>
                    <w:rPr>
                      <w:sz w:val="21"/>
                      <w:szCs w:val="21"/>
                    </w:rPr>
                  </w:pPr>
                  <w:r>
                    <w:rPr>
                      <w:spacing w:val="-5"/>
                      <w:sz w:val="21"/>
                      <w:szCs w:val="21"/>
                    </w:rPr>
                    <w:t>10</w:t>
                  </w:r>
                </w:p>
              </w:tc>
              <w:tc>
                <w:tcPr>
                  <w:tcW w:w="2072" w:type="pct"/>
                  <w:noWrap w:val="0"/>
                  <w:vAlign w:val="top"/>
                </w:tcPr>
                <w:p w14:paraId="0E4659A1">
                  <w:pPr>
                    <w:pStyle w:val="43"/>
                    <w:spacing w:line="240" w:lineRule="auto"/>
                    <w:ind w:firstLine="0" w:firstLineChars="0"/>
                    <w:jc w:val="center"/>
                    <w:rPr>
                      <w:sz w:val="21"/>
                      <w:szCs w:val="21"/>
                      <w:lang w:eastAsia="zh-CN"/>
                    </w:rPr>
                  </w:pPr>
                  <w:r>
                    <w:rPr>
                      <w:spacing w:val="-2"/>
                      <w:sz w:val="21"/>
                      <w:szCs w:val="21"/>
                      <w:lang w:eastAsia="zh-CN"/>
                    </w:rPr>
                    <w:t>溶解性总固体</w:t>
                  </w:r>
                  <w:r>
                    <w:rPr>
                      <w:spacing w:val="-1"/>
                      <w:sz w:val="21"/>
                      <w:szCs w:val="21"/>
                      <w:lang w:eastAsia="zh-CN"/>
                    </w:rPr>
                    <w:t>/(mg/L)≤</w:t>
                  </w:r>
                </w:p>
              </w:tc>
              <w:tc>
                <w:tcPr>
                  <w:tcW w:w="2400" w:type="pct"/>
                  <w:noWrap w:val="0"/>
                  <w:vAlign w:val="top"/>
                </w:tcPr>
                <w:p w14:paraId="30FE9F60">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1000(2000)a</w:t>
                  </w:r>
                </w:p>
              </w:tc>
            </w:tr>
            <w:tr w14:paraId="7C925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 w:hRule="atLeast"/>
              </w:trPr>
              <w:tc>
                <w:tcPr>
                  <w:tcW w:w="527" w:type="pct"/>
                  <w:noWrap w:val="0"/>
                  <w:vAlign w:val="top"/>
                </w:tcPr>
                <w:p w14:paraId="346C3972">
                  <w:pPr>
                    <w:pStyle w:val="43"/>
                    <w:spacing w:line="240" w:lineRule="auto"/>
                    <w:ind w:firstLine="0" w:firstLineChars="0"/>
                    <w:jc w:val="center"/>
                    <w:rPr>
                      <w:sz w:val="21"/>
                      <w:szCs w:val="21"/>
                    </w:rPr>
                  </w:pPr>
                  <w:r>
                    <w:rPr>
                      <w:spacing w:val="-5"/>
                      <w:position w:val="-2"/>
                      <w:sz w:val="21"/>
                      <w:szCs w:val="21"/>
                    </w:rPr>
                    <w:t>11</w:t>
                  </w:r>
                </w:p>
              </w:tc>
              <w:tc>
                <w:tcPr>
                  <w:tcW w:w="2072" w:type="pct"/>
                  <w:noWrap w:val="0"/>
                  <w:vAlign w:val="top"/>
                </w:tcPr>
                <w:p w14:paraId="05435E15">
                  <w:pPr>
                    <w:pStyle w:val="43"/>
                    <w:spacing w:line="240" w:lineRule="auto"/>
                    <w:ind w:firstLine="0" w:firstLineChars="0"/>
                    <w:jc w:val="center"/>
                    <w:rPr>
                      <w:sz w:val="21"/>
                      <w:szCs w:val="21"/>
                    </w:rPr>
                  </w:pPr>
                  <w:r>
                    <w:rPr>
                      <w:spacing w:val="-1"/>
                      <w:sz w:val="21"/>
                      <w:szCs w:val="21"/>
                    </w:rPr>
                    <w:t>溶解氧/(mg/L)≥</w:t>
                  </w:r>
                </w:p>
              </w:tc>
              <w:tc>
                <w:tcPr>
                  <w:tcW w:w="2400" w:type="pct"/>
                  <w:noWrap w:val="0"/>
                  <w:vAlign w:val="top"/>
                </w:tcPr>
                <w:p w14:paraId="71A928EB">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pacing w:val="-2"/>
                      <w:position w:val="-2"/>
                      <w:sz w:val="21"/>
                      <w:szCs w:val="21"/>
                    </w:rPr>
                    <w:t>2.0</w:t>
                  </w:r>
                </w:p>
              </w:tc>
            </w:tr>
            <w:tr w14:paraId="72EBC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527" w:type="pct"/>
                  <w:noWrap w:val="0"/>
                  <w:vAlign w:val="top"/>
                </w:tcPr>
                <w:p w14:paraId="3C010027">
                  <w:pPr>
                    <w:pStyle w:val="43"/>
                    <w:spacing w:line="240" w:lineRule="auto"/>
                    <w:ind w:firstLine="0" w:firstLineChars="0"/>
                    <w:jc w:val="center"/>
                    <w:rPr>
                      <w:sz w:val="21"/>
                      <w:szCs w:val="21"/>
                    </w:rPr>
                  </w:pPr>
                  <w:r>
                    <w:rPr>
                      <w:spacing w:val="-5"/>
                      <w:sz w:val="21"/>
                      <w:szCs w:val="21"/>
                    </w:rPr>
                    <w:t>12</w:t>
                  </w:r>
                </w:p>
              </w:tc>
              <w:tc>
                <w:tcPr>
                  <w:tcW w:w="2072" w:type="pct"/>
                  <w:noWrap w:val="0"/>
                  <w:vAlign w:val="top"/>
                </w:tcPr>
                <w:p w14:paraId="1E0F3345">
                  <w:pPr>
                    <w:pStyle w:val="43"/>
                    <w:spacing w:line="240" w:lineRule="auto"/>
                    <w:ind w:firstLine="0" w:firstLineChars="0"/>
                    <w:jc w:val="center"/>
                    <w:rPr>
                      <w:sz w:val="21"/>
                      <w:szCs w:val="21"/>
                    </w:rPr>
                  </w:pPr>
                  <w:r>
                    <w:rPr>
                      <w:spacing w:val="2"/>
                      <w:sz w:val="21"/>
                      <w:szCs w:val="21"/>
                    </w:rPr>
                    <w:t>总氯/(</w:t>
                  </w:r>
                  <w:r>
                    <w:rPr>
                      <w:sz w:val="21"/>
                      <w:szCs w:val="21"/>
                    </w:rPr>
                    <w:t>mg</w:t>
                  </w:r>
                  <w:r>
                    <w:rPr>
                      <w:spacing w:val="2"/>
                      <w:sz w:val="21"/>
                      <w:szCs w:val="21"/>
                    </w:rPr>
                    <w:t>/L)≤</w:t>
                  </w:r>
                </w:p>
              </w:tc>
              <w:tc>
                <w:tcPr>
                  <w:tcW w:w="2400" w:type="pct"/>
                  <w:noWrap w:val="0"/>
                  <w:vAlign w:val="top"/>
                </w:tcPr>
                <w:p w14:paraId="02B57B66">
                  <w:pPr>
                    <w:pStyle w:val="43"/>
                    <w:spacing w:line="240" w:lineRule="auto"/>
                    <w:ind w:right="91" w:firstLine="0" w:firstLineChars="0"/>
                    <w:jc w:val="center"/>
                    <w:rPr>
                      <w:rFonts w:ascii="Times New Roman" w:hAnsi="Times New Roman" w:cs="Times New Roman"/>
                      <w:sz w:val="21"/>
                      <w:szCs w:val="21"/>
                    </w:rPr>
                  </w:pPr>
                  <w:r>
                    <w:rPr>
                      <w:rFonts w:ascii="Times New Roman" w:hAnsi="Times New Roman" w:cs="Times New Roman"/>
                      <w:spacing w:val="2"/>
                      <w:sz w:val="21"/>
                      <w:szCs w:val="21"/>
                    </w:rPr>
                    <w:t>1.0(出厂),0.2(管网末端)</w:t>
                  </w:r>
                  <w:r>
                    <w:rPr>
                      <w:rFonts w:ascii="Times New Roman" w:hAnsi="Times New Roman" w:cs="Times New Roman"/>
                      <w:sz w:val="21"/>
                      <w:szCs w:val="21"/>
                    </w:rPr>
                    <w:t>b</w:t>
                  </w:r>
                </w:p>
              </w:tc>
            </w:tr>
            <w:tr w14:paraId="75B34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527" w:type="pct"/>
                  <w:noWrap w:val="0"/>
                  <w:vAlign w:val="top"/>
                </w:tcPr>
                <w:p w14:paraId="02962F2F">
                  <w:pPr>
                    <w:pStyle w:val="43"/>
                    <w:spacing w:line="240" w:lineRule="auto"/>
                    <w:ind w:firstLine="0" w:firstLineChars="0"/>
                    <w:jc w:val="center"/>
                    <w:rPr>
                      <w:sz w:val="21"/>
                      <w:szCs w:val="21"/>
                    </w:rPr>
                  </w:pPr>
                  <w:r>
                    <w:rPr>
                      <w:spacing w:val="-5"/>
                      <w:sz w:val="21"/>
                      <w:szCs w:val="21"/>
                    </w:rPr>
                    <w:t>13</w:t>
                  </w:r>
                </w:p>
              </w:tc>
              <w:tc>
                <w:tcPr>
                  <w:tcW w:w="2072" w:type="pct"/>
                  <w:noWrap w:val="0"/>
                  <w:vAlign w:val="top"/>
                </w:tcPr>
                <w:p w14:paraId="7F2D5BD6">
                  <w:pPr>
                    <w:pStyle w:val="43"/>
                    <w:spacing w:line="240" w:lineRule="auto"/>
                    <w:ind w:right="258" w:firstLine="0" w:firstLineChars="0"/>
                    <w:jc w:val="center"/>
                    <w:rPr>
                      <w:sz w:val="21"/>
                      <w:szCs w:val="21"/>
                    </w:rPr>
                  </w:pPr>
                  <w:r>
                    <w:rPr>
                      <w:spacing w:val="-2"/>
                      <w:sz w:val="21"/>
                      <w:szCs w:val="21"/>
                    </w:rPr>
                    <w:t>大肠埃希氏菌/</w:t>
                  </w:r>
                  <w:r>
                    <w:rPr>
                      <w:spacing w:val="-3"/>
                      <w:sz w:val="21"/>
                      <w:szCs w:val="21"/>
                    </w:rPr>
                    <w:t>(MPN/100ml)≤</w:t>
                  </w:r>
                </w:p>
              </w:tc>
              <w:tc>
                <w:tcPr>
                  <w:tcW w:w="2400" w:type="pct"/>
                  <w:noWrap w:val="0"/>
                  <w:vAlign w:val="top"/>
                </w:tcPr>
                <w:p w14:paraId="184DB3E9">
                  <w:pPr>
                    <w:pStyle w:val="43"/>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无</w:t>
                  </w:r>
                </w:p>
              </w:tc>
            </w:tr>
            <w:tr w14:paraId="63DA6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5000" w:type="pct"/>
                  <w:gridSpan w:val="3"/>
                  <w:noWrap w:val="0"/>
                  <w:vAlign w:val="top"/>
                </w:tcPr>
                <w:p w14:paraId="6AE2C828">
                  <w:pPr>
                    <w:spacing w:line="240" w:lineRule="auto"/>
                    <w:ind w:firstLine="0" w:firstLineChars="0"/>
                    <w:jc w:val="left"/>
                    <w:rPr>
                      <w:rFonts w:hint="eastAsia"/>
                    </w:rPr>
                  </w:pPr>
                  <w:r>
                    <w:rPr>
                      <w:rFonts w:hint="eastAsia"/>
                    </w:rPr>
                    <w:t>a.括号内指标值为沿海及本地水源中溶解性固体含量较高的区域的指标。</w:t>
                  </w:r>
                </w:p>
                <w:p w14:paraId="02CA2E2F">
                  <w:pPr>
                    <w:spacing w:line="240" w:lineRule="auto"/>
                    <w:ind w:firstLine="0" w:firstLineChars="0"/>
                    <w:jc w:val="left"/>
                    <w:rPr>
                      <w:rFonts w:hint="eastAsia"/>
                    </w:rPr>
                  </w:pPr>
                  <w:r>
                    <w:rPr>
                      <w:rFonts w:hint="eastAsia"/>
                    </w:rPr>
                    <w:t>b.用于城市绿化时，不应超过2.5mg/L</w:t>
                  </w:r>
                </w:p>
                <w:p w14:paraId="06063872">
                  <w:pPr>
                    <w:spacing w:line="240" w:lineRule="auto"/>
                    <w:ind w:firstLine="0" w:firstLineChars="0"/>
                    <w:jc w:val="left"/>
                    <w:rPr>
                      <w:szCs w:val="21"/>
                    </w:rPr>
                  </w:pPr>
                  <w:r>
                    <w:rPr>
                      <w:rFonts w:hint="eastAsia"/>
                    </w:rPr>
                    <w:t>C.大肠埃希氏菌不应检出。</w:t>
                  </w:r>
                </w:p>
              </w:tc>
            </w:tr>
          </w:tbl>
          <w:p w14:paraId="7052AE77">
            <w:pPr>
              <w:pStyle w:val="4"/>
              <w:numPr>
                <w:ilvl w:val="1"/>
                <w:numId w:val="0"/>
              </w:numPr>
              <w:outlineLvl w:val="2"/>
            </w:pPr>
            <w:r>
              <w:rPr>
                <w:rFonts w:hint="default" w:ascii="宋体" w:hAnsi="宋体" w:eastAsia="宋体" w:cs="宋体"/>
                <w:b/>
                <w:kern w:val="2"/>
                <w:sz w:val="24"/>
                <w:szCs w:val="24"/>
                <w:lang w:val="en-US" w:eastAsia="zh-CN" w:bidi="ar-SA"/>
              </w:rPr>
              <w:t>2.3.</w:t>
            </w:r>
            <w:r>
              <w:rPr>
                <w:rFonts w:hint="eastAsia"/>
              </w:rPr>
              <w:t>噪声</w:t>
            </w:r>
          </w:p>
          <w:p w14:paraId="050128C2">
            <w:pPr>
              <w:ind w:firstLine="480"/>
            </w:pPr>
            <w:r>
              <w:rPr>
                <w:rFonts w:hint="eastAsia"/>
                <w:lang w:eastAsia="zh-CN"/>
              </w:rPr>
              <w:t>（</w:t>
            </w:r>
            <w:r>
              <w:rPr>
                <w:rFonts w:hint="eastAsia"/>
                <w:lang w:val="en-US" w:eastAsia="zh-CN"/>
              </w:rPr>
              <w:t>1</w:t>
            </w:r>
            <w:r>
              <w:rPr>
                <w:rFonts w:hint="eastAsia"/>
                <w:lang w:eastAsia="zh-CN"/>
              </w:rPr>
              <w:t>）</w:t>
            </w:r>
            <w:r>
              <w:rPr>
                <w:rFonts w:hint="eastAsia"/>
              </w:rPr>
              <w:t>施工期噪声执行《建筑施工场界环境噪声排放标准》（GB12523-2011）中标准限值，具体标准见下表：</w:t>
            </w:r>
          </w:p>
          <w:p w14:paraId="583CF4F3">
            <w:pPr>
              <w:spacing w:afterLines="50" w:line="240" w:lineRule="auto"/>
              <w:ind w:firstLine="482"/>
              <w:jc w:val="center"/>
              <w:rPr>
                <w:b/>
              </w:rPr>
            </w:pPr>
            <w:r>
              <w:rPr>
                <w:rFonts w:hint="eastAsia"/>
                <w:b/>
              </w:rPr>
              <w:t>表3-</w:t>
            </w:r>
            <w:r>
              <w:rPr>
                <w:rFonts w:hint="eastAsia"/>
                <w:b/>
                <w:lang w:val="en-US" w:eastAsia="zh-CN"/>
              </w:rPr>
              <w:t>10</w:t>
            </w:r>
            <w:r>
              <w:rPr>
                <w:rFonts w:hint="eastAsia"/>
                <w:b/>
              </w:rPr>
              <w:t xml:space="preserve"> 噪声排放标准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5303"/>
              <w:gridCol w:w="715"/>
              <w:gridCol w:w="976"/>
            </w:tblGrid>
            <w:tr w14:paraId="6E14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9" w:type="pct"/>
                  <w:noWrap/>
                  <w:vAlign w:val="center"/>
                </w:tcPr>
                <w:p w14:paraId="5DC9CA34">
                  <w:pPr>
                    <w:pStyle w:val="25"/>
                  </w:pPr>
                  <w:r>
                    <w:rPr>
                      <w:rFonts w:hint="eastAsia"/>
                    </w:rPr>
                    <w:t>时间段</w:t>
                  </w:r>
                </w:p>
              </w:tc>
              <w:tc>
                <w:tcPr>
                  <w:tcW w:w="2306" w:type="pct"/>
                  <w:noWrap/>
                  <w:vAlign w:val="center"/>
                </w:tcPr>
                <w:p w14:paraId="57872CEF">
                  <w:pPr>
                    <w:pStyle w:val="25"/>
                  </w:pPr>
                  <w:r>
                    <w:rPr>
                      <w:rFonts w:hint="eastAsia"/>
                    </w:rPr>
                    <w:t>标准类别</w:t>
                  </w:r>
                </w:p>
              </w:tc>
              <w:tc>
                <w:tcPr>
                  <w:tcW w:w="1003" w:type="pct"/>
                  <w:noWrap/>
                  <w:vAlign w:val="center"/>
                </w:tcPr>
                <w:p w14:paraId="3413ED7D">
                  <w:pPr>
                    <w:pStyle w:val="25"/>
                  </w:pPr>
                  <w:r>
                    <w:rPr>
                      <w:rFonts w:hint="eastAsia"/>
                    </w:rPr>
                    <w:t>昼间</w:t>
                  </w:r>
                </w:p>
              </w:tc>
              <w:tc>
                <w:tcPr>
                  <w:tcW w:w="979" w:type="pct"/>
                  <w:noWrap/>
                  <w:vAlign w:val="center"/>
                </w:tcPr>
                <w:p w14:paraId="2C08E21D">
                  <w:pPr>
                    <w:pStyle w:val="25"/>
                  </w:pPr>
                  <w:r>
                    <w:rPr>
                      <w:rFonts w:hint="eastAsia"/>
                    </w:rPr>
                    <w:t>夜间</w:t>
                  </w:r>
                </w:p>
              </w:tc>
            </w:tr>
            <w:tr w14:paraId="347B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09" w:type="pct"/>
                  <w:noWrap/>
                  <w:vAlign w:val="center"/>
                </w:tcPr>
                <w:p w14:paraId="1E080F66">
                  <w:pPr>
                    <w:pStyle w:val="25"/>
                    <w:rPr>
                      <w:b w:val="0"/>
                      <w:bCs/>
                    </w:rPr>
                  </w:pPr>
                  <w:r>
                    <w:rPr>
                      <w:rFonts w:hint="eastAsia"/>
                      <w:b w:val="0"/>
                      <w:bCs/>
                    </w:rPr>
                    <w:t>施工期</w:t>
                  </w:r>
                </w:p>
              </w:tc>
              <w:tc>
                <w:tcPr>
                  <w:tcW w:w="2306" w:type="pct"/>
                  <w:noWrap/>
                  <w:vAlign w:val="center"/>
                </w:tcPr>
                <w:p w14:paraId="22856B39">
                  <w:pPr>
                    <w:pStyle w:val="25"/>
                    <w:rPr>
                      <w:b w:val="0"/>
                      <w:bCs/>
                    </w:rPr>
                  </w:pPr>
                  <w:r>
                    <w:rPr>
                      <w:rFonts w:hint="eastAsia"/>
                      <w:b w:val="0"/>
                      <w:bCs/>
                    </w:rPr>
                    <w:t>《建筑施工场界环境噪声排放标准》（GB12523-2011）</w:t>
                  </w:r>
                </w:p>
              </w:tc>
              <w:tc>
                <w:tcPr>
                  <w:tcW w:w="1003" w:type="pct"/>
                  <w:noWrap/>
                  <w:vAlign w:val="center"/>
                </w:tcPr>
                <w:p w14:paraId="1DD5BDDD">
                  <w:pPr>
                    <w:pStyle w:val="25"/>
                    <w:rPr>
                      <w:b w:val="0"/>
                      <w:bCs/>
                    </w:rPr>
                  </w:pPr>
                  <w:r>
                    <w:rPr>
                      <w:rFonts w:hint="eastAsia"/>
                      <w:b w:val="0"/>
                      <w:bCs/>
                    </w:rPr>
                    <w:t>70</w:t>
                  </w:r>
                </w:p>
              </w:tc>
              <w:tc>
                <w:tcPr>
                  <w:tcW w:w="979" w:type="pct"/>
                  <w:noWrap/>
                  <w:vAlign w:val="center"/>
                </w:tcPr>
                <w:p w14:paraId="743B1475">
                  <w:pPr>
                    <w:pStyle w:val="25"/>
                    <w:rPr>
                      <w:b w:val="0"/>
                      <w:bCs/>
                    </w:rPr>
                  </w:pPr>
                  <w:r>
                    <w:rPr>
                      <w:rFonts w:hint="eastAsia"/>
                      <w:b w:val="0"/>
                      <w:bCs/>
                    </w:rPr>
                    <w:t>55</w:t>
                  </w:r>
                </w:p>
              </w:tc>
            </w:tr>
          </w:tbl>
          <w:p w14:paraId="6D13E2AD">
            <w:pPr>
              <w:ind w:firstLine="480"/>
              <w:rPr>
                <w:rFonts w:cs="Times New Roman"/>
                <w:b/>
              </w:rPr>
            </w:pPr>
            <w:r>
              <w:rPr>
                <w:rFonts w:hint="eastAsia"/>
                <w:lang w:eastAsia="zh-CN"/>
              </w:rPr>
              <w:t>（</w:t>
            </w:r>
            <w:r>
              <w:rPr>
                <w:rFonts w:hint="eastAsia"/>
                <w:lang w:val="en-US" w:eastAsia="zh-CN"/>
              </w:rPr>
              <w:t>2</w:t>
            </w:r>
            <w:r>
              <w:rPr>
                <w:rFonts w:hint="eastAsia"/>
                <w:lang w:eastAsia="zh-CN"/>
              </w:rPr>
              <w:t>）</w:t>
            </w:r>
            <w:r>
              <w:t>本项目运营期厂界噪声排放执行《工业企业厂界环境噪声排放标准》（GB12348-2008）</w:t>
            </w:r>
            <w:r>
              <w:rPr>
                <w:rFonts w:hint="eastAsia"/>
                <w:lang w:val="en-US" w:eastAsia="zh-CN"/>
              </w:rPr>
              <w:t>2</w:t>
            </w:r>
            <w:r>
              <w:t>类标准限值</w:t>
            </w:r>
            <w:r>
              <w:rPr>
                <w:rFonts w:hint="eastAsia"/>
              </w:rPr>
              <w:t>。</w:t>
            </w:r>
          </w:p>
          <w:p w14:paraId="2120B7C0">
            <w:pPr>
              <w:bidi w:val="0"/>
              <w:jc w:val="center"/>
              <w:rPr>
                <w:rFonts w:hint="default"/>
                <w:b/>
                <w:bCs/>
              </w:rPr>
            </w:pPr>
            <w:r>
              <w:rPr>
                <w:b/>
                <w:bCs/>
                <w:lang w:val="en-US"/>
              </w:rPr>
              <w:t>表3-</w:t>
            </w:r>
            <w:r>
              <w:rPr>
                <w:rFonts w:hint="eastAsia"/>
                <w:b/>
                <w:bCs/>
                <w:lang w:val="en-US" w:eastAsia="zh-CN"/>
              </w:rPr>
              <w:t>11</w:t>
            </w:r>
            <w:r>
              <w:rPr>
                <w:b/>
                <w:bCs/>
                <w:lang w:val="en-US"/>
              </w:rPr>
              <w:t xml:space="preserve">  工业企业厂界环境噪声排放标准</w:t>
            </w:r>
          </w:p>
          <w:tbl>
            <w:tblPr>
              <w:tblStyle w:val="21"/>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3089"/>
              <w:gridCol w:w="3090"/>
            </w:tblGrid>
            <w:tr w14:paraId="402D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vMerge w:val="restart"/>
                  <w:tcBorders>
                    <w:right w:val="single" w:color="auto" w:sz="4" w:space="0"/>
                  </w:tcBorders>
                  <w:noWrap/>
                  <w:vAlign w:val="center"/>
                </w:tcPr>
                <w:p w14:paraId="2A86A82E">
                  <w:pPr>
                    <w:pStyle w:val="25"/>
                  </w:pPr>
                  <w:r>
                    <w:t>项目</w:t>
                  </w:r>
                </w:p>
              </w:tc>
              <w:tc>
                <w:tcPr>
                  <w:tcW w:w="6343" w:type="dxa"/>
                  <w:gridSpan w:val="2"/>
                  <w:tcBorders>
                    <w:left w:val="single" w:color="auto" w:sz="4" w:space="0"/>
                    <w:bottom w:val="single" w:color="auto" w:sz="4" w:space="0"/>
                  </w:tcBorders>
                  <w:noWrap/>
                  <w:vAlign w:val="center"/>
                </w:tcPr>
                <w:p w14:paraId="7000B089">
                  <w:pPr>
                    <w:pStyle w:val="25"/>
                  </w:pPr>
                  <w:r>
                    <w:t>执行标准</w:t>
                  </w:r>
                </w:p>
              </w:tc>
            </w:tr>
            <w:tr w14:paraId="32342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vMerge w:val="continue"/>
                  <w:tcBorders>
                    <w:bottom w:val="single" w:color="auto" w:sz="4" w:space="0"/>
                    <w:right w:val="single" w:color="auto" w:sz="4" w:space="0"/>
                  </w:tcBorders>
                  <w:noWrap/>
                  <w:vAlign w:val="center"/>
                </w:tcPr>
                <w:p w14:paraId="2134C8A8">
                  <w:pPr>
                    <w:pStyle w:val="25"/>
                  </w:pPr>
                </w:p>
              </w:tc>
              <w:tc>
                <w:tcPr>
                  <w:tcW w:w="3171" w:type="dxa"/>
                  <w:tcBorders>
                    <w:top w:val="single" w:color="auto" w:sz="4" w:space="0"/>
                    <w:left w:val="single" w:color="auto" w:sz="4" w:space="0"/>
                    <w:bottom w:val="single" w:color="auto" w:sz="4" w:space="0"/>
                    <w:right w:val="single" w:color="auto" w:sz="4" w:space="0"/>
                  </w:tcBorders>
                  <w:noWrap/>
                  <w:vAlign w:val="center"/>
                </w:tcPr>
                <w:p w14:paraId="423679C6">
                  <w:pPr>
                    <w:pStyle w:val="25"/>
                  </w:pPr>
                  <w:r>
                    <w:t>昼间Leq[dB(A)]</w:t>
                  </w:r>
                </w:p>
              </w:tc>
              <w:tc>
                <w:tcPr>
                  <w:tcW w:w="3172" w:type="dxa"/>
                  <w:tcBorders>
                    <w:top w:val="single" w:color="auto" w:sz="4" w:space="0"/>
                    <w:left w:val="single" w:color="auto" w:sz="4" w:space="0"/>
                    <w:bottom w:val="single" w:color="auto" w:sz="4" w:space="0"/>
                  </w:tcBorders>
                  <w:noWrap/>
                  <w:vAlign w:val="center"/>
                </w:tcPr>
                <w:p w14:paraId="35966075">
                  <w:pPr>
                    <w:pStyle w:val="25"/>
                  </w:pPr>
                  <w:r>
                    <w:t>夜间Leq[dB(A)]</w:t>
                  </w:r>
                </w:p>
              </w:tc>
            </w:tr>
            <w:tr w14:paraId="6E6D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08" w:type="dxa"/>
                  <w:tcBorders>
                    <w:top w:val="single" w:color="auto" w:sz="4" w:space="0"/>
                    <w:right w:val="single" w:color="auto" w:sz="4" w:space="0"/>
                  </w:tcBorders>
                  <w:noWrap/>
                  <w:vAlign w:val="center"/>
                </w:tcPr>
                <w:p w14:paraId="60173AF7">
                  <w:pPr>
                    <w:pStyle w:val="25"/>
                    <w:rPr>
                      <w:b w:val="0"/>
                      <w:bCs/>
                    </w:rPr>
                  </w:pPr>
                  <w:r>
                    <w:rPr>
                      <w:rFonts w:hint="eastAsia"/>
                      <w:b w:val="0"/>
                      <w:bCs/>
                      <w:lang w:val="en-US" w:eastAsia="zh-CN"/>
                    </w:rPr>
                    <w:t>2</w:t>
                  </w:r>
                  <w:r>
                    <w:rPr>
                      <w:b w:val="0"/>
                      <w:bCs/>
                    </w:rPr>
                    <w:t>类标准值</w:t>
                  </w:r>
                </w:p>
              </w:tc>
              <w:tc>
                <w:tcPr>
                  <w:tcW w:w="3171" w:type="dxa"/>
                  <w:tcBorders>
                    <w:top w:val="single" w:color="auto" w:sz="4" w:space="0"/>
                    <w:left w:val="single" w:color="auto" w:sz="4" w:space="0"/>
                    <w:right w:val="single" w:color="auto" w:sz="4" w:space="0"/>
                  </w:tcBorders>
                  <w:noWrap/>
                  <w:vAlign w:val="center"/>
                </w:tcPr>
                <w:p w14:paraId="7249A6CE">
                  <w:pPr>
                    <w:pStyle w:val="25"/>
                    <w:rPr>
                      <w:rFonts w:hint="eastAsia" w:eastAsia="宋体"/>
                      <w:b w:val="0"/>
                      <w:bCs/>
                      <w:lang w:val="en-US" w:eastAsia="zh-CN"/>
                    </w:rPr>
                  </w:pPr>
                  <w:r>
                    <w:rPr>
                      <w:b w:val="0"/>
                      <w:bCs/>
                    </w:rPr>
                    <w:t>6</w:t>
                  </w:r>
                  <w:r>
                    <w:rPr>
                      <w:rFonts w:hint="eastAsia"/>
                      <w:b w:val="0"/>
                      <w:bCs/>
                      <w:lang w:val="en-US" w:eastAsia="zh-CN"/>
                    </w:rPr>
                    <w:t>0</w:t>
                  </w:r>
                </w:p>
              </w:tc>
              <w:tc>
                <w:tcPr>
                  <w:tcW w:w="3172" w:type="dxa"/>
                  <w:tcBorders>
                    <w:top w:val="single" w:color="auto" w:sz="4" w:space="0"/>
                    <w:left w:val="single" w:color="auto" w:sz="4" w:space="0"/>
                  </w:tcBorders>
                  <w:noWrap/>
                  <w:vAlign w:val="center"/>
                </w:tcPr>
                <w:p w14:paraId="15FABED8">
                  <w:pPr>
                    <w:pStyle w:val="25"/>
                    <w:rPr>
                      <w:rFonts w:hint="eastAsia" w:eastAsia="宋体"/>
                      <w:b w:val="0"/>
                      <w:bCs/>
                      <w:lang w:val="en-US" w:eastAsia="zh-CN"/>
                    </w:rPr>
                  </w:pPr>
                  <w:r>
                    <w:rPr>
                      <w:b w:val="0"/>
                      <w:bCs/>
                    </w:rPr>
                    <w:t>5</w:t>
                  </w:r>
                  <w:r>
                    <w:rPr>
                      <w:rFonts w:hint="eastAsia"/>
                      <w:b w:val="0"/>
                      <w:bCs/>
                      <w:lang w:val="en-US" w:eastAsia="zh-CN"/>
                    </w:rPr>
                    <w:t>0</w:t>
                  </w:r>
                </w:p>
              </w:tc>
            </w:tr>
          </w:tbl>
          <w:p w14:paraId="0109AB53">
            <w:pPr>
              <w:pStyle w:val="4"/>
              <w:numPr>
                <w:ilvl w:val="1"/>
                <w:numId w:val="0"/>
              </w:numPr>
              <w:outlineLvl w:val="2"/>
            </w:pPr>
            <w:r>
              <w:rPr>
                <w:rFonts w:hint="default" w:ascii="宋体" w:hAnsi="宋体" w:eastAsia="宋体" w:cs="宋体"/>
                <w:b/>
                <w:kern w:val="2"/>
                <w:sz w:val="24"/>
                <w:szCs w:val="24"/>
                <w:lang w:val="en-US" w:eastAsia="zh-CN" w:bidi="ar-SA"/>
              </w:rPr>
              <w:t>2.4.</w:t>
            </w:r>
            <w:r>
              <w:rPr>
                <w:rFonts w:hint="eastAsia"/>
              </w:rPr>
              <w:t>固体废物</w:t>
            </w:r>
          </w:p>
          <w:p w14:paraId="226BA344">
            <w:pPr>
              <w:ind w:firstLine="480"/>
            </w:pPr>
            <w:r>
              <w:t>固体废物处置执行《一般工业固体废物贮存和填埋污染控制标准》(GB18599-2020)；危险废物执行《危险废物贮存污染控制标准》(GB18597-20</w:t>
            </w:r>
            <w:r>
              <w:rPr>
                <w:rFonts w:hint="eastAsia"/>
              </w:rPr>
              <w:t>23</w:t>
            </w:r>
            <w:r>
              <w:t>)。</w:t>
            </w:r>
          </w:p>
        </w:tc>
      </w:tr>
      <w:tr w14:paraId="546FB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754" w:type="dxa"/>
            <w:vAlign w:val="center"/>
          </w:tcPr>
          <w:p w14:paraId="36A3F36C">
            <w:pPr>
              <w:pStyle w:val="28"/>
              <w:rPr>
                <w:rFonts w:hint="default"/>
              </w:rPr>
            </w:pPr>
            <w:r>
              <w:t>其他</w:t>
            </w:r>
          </w:p>
        </w:tc>
        <w:tc>
          <w:tcPr>
            <w:tcW w:w="7763" w:type="dxa"/>
            <w:vAlign w:val="center"/>
          </w:tcPr>
          <w:p w14:paraId="45E1D003">
            <w:pPr>
              <w:ind w:left="0" w:leftChars="0" w:firstLine="0" w:firstLineChars="0"/>
              <w:jc w:val="center"/>
            </w:pPr>
            <w:r>
              <w:rPr>
                <w:rFonts w:hint="eastAsia"/>
              </w:rPr>
              <w:t>无</w:t>
            </w:r>
          </w:p>
        </w:tc>
      </w:tr>
    </w:tbl>
    <w:p w14:paraId="20DD702E">
      <w:pPr>
        <w:ind w:firstLine="480"/>
      </w:pPr>
      <w:r>
        <w:rPr>
          <w:rFonts w:hint="eastAsia"/>
        </w:rPr>
        <w:br w:type="page"/>
      </w:r>
    </w:p>
    <w:p w14:paraId="7FB346BD">
      <w:pPr>
        <w:pStyle w:val="2"/>
        <w:numPr>
          <w:ilvl w:val="0"/>
          <w:numId w:val="0"/>
        </w:numPr>
        <w:jc w:val="center"/>
      </w:pPr>
      <w:r>
        <w:rPr>
          <w:rFonts w:hint="eastAsia" w:ascii="Times New Roman" w:hAnsi="Times New Roman" w:eastAsia="宋体" w:cstheme="minorBidi"/>
          <w:b/>
          <w:kern w:val="44"/>
          <w:sz w:val="30"/>
          <w:szCs w:val="24"/>
          <w:lang w:val="en-US" w:eastAsia="zh-CN" w:bidi="ar-SA"/>
        </w:rPr>
        <w:t>四、</w:t>
      </w:r>
      <w:r>
        <w:rPr>
          <w:rFonts w:hint="eastAsia"/>
        </w:rPr>
        <w:t>生态环境影响分析</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984"/>
      </w:tblGrid>
      <w:tr w14:paraId="4244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 w:hRule="atLeast"/>
        </w:trPr>
        <w:tc>
          <w:tcPr>
            <w:tcW w:w="535" w:type="dxa"/>
            <w:vAlign w:val="center"/>
          </w:tcPr>
          <w:p w14:paraId="5FFA4625">
            <w:pPr>
              <w:pStyle w:val="28"/>
              <w:rPr>
                <w:rFonts w:hint="default"/>
              </w:rPr>
            </w:pPr>
            <w:r>
              <w:t>施工期生态环境影响</w:t>
            </w:r>
          </w:p>
        </w:tc>
        <w:tc>
          <w:tcPr>
            <w:tcW w:w="7984" w:type="dxa"/>
            <w:vAlign w:val="center"/>
          </w:tcPr>
          <w:p w14:paraId="339CD430">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1.</w:t>
            </w:r>
            <w:r>
              <w:rPr>
                <w:b/>
                <w:color w:val="000000"/>
              </w:rPr>
              <w:t>生态环境的影响分析</w:t>
            </w:r>
          </w:p>
          <w:p w14:paraId="1931B71A">
            <w:pPr>
              <w:widowControl/>
              <w:adjustRightInd w:val="0"/>
              <w:snapToGrid w:val="0"/>
              <w:spacing w:line="360" w:lineRule="auto"/>
              <w:ind w:firstLine="456" w:firstLineChars="200"/>
              <w:rPr>
                <w:rFonts w:hAnsi="Times New Roman"/>
                <w:b/>
                <w:snapToGrid w:val="0"/>
                <w:color w:val="auto"/>
                <w:sz w:val="24"/>
                <w:szCs w:val="24"/>
                <w:highlight w:val="none"/>
                <w:lang w:val="en-US"/>
              </w:rPr>
            </w:pPr>
            <w:r>
              <w:rPr>
                <w:color w:val="000000"/>
                <w:spacing w:val="-6"/>
              </w:rPr>
              <w:t>工程在建设过程中等活动，将扰动原地貌，破坏地表植被以及由此引起的局部水土流失，同时项目施工将会影响区域内的动植物数量。</w:t>
            </w:r>
          </w:p>
          <w:p w14:paraId="28802221">
            <w:pPr>
              <w:widowControl/>
              <w:adjustRightInd w:val="0"/>
              <w:snapToGrid w:val="0"/>
              <w:spacing w:line="360" w:lineRule="auto"/>
              <w:ind w:firstLine="458" w:firstLineChars="200"/>
              <w:rPr>
                <w:rFonts w:hint="eastAsia"/>
                <w:b/>
                <w:bCs/>
                <w:color w:val="000000"/>
                <w:spacing w:val="-6"/>
                <w:lang w:val="en-US" w:eastAsia="zh-CN"/>
              </w:rPr>
            </w:pPr>
            <w:r>
              <w:rPr>
                <w:rFonts w:hint="eastAsia"/>
                <w:b/>
                <w:bCs/>
                <w:color w:val="000000"/>
                <w:spacing w:val="-6"/>
                <w:lang w:val="en-US" w:eastAsia="zh-CN"/>
              </w:rPr>
              <w:t>1.1占用土地影响</w:t>
            </w:r>
          </w:p>
          <w:p w14:paraId="24C877C1">
            <w:pPr>
              <w:widowControl/>
              <w:adjustRightInd w:val="0"/>
              <w:snapToGrid w:val="0"/>
              <w:spacing w:line="360" w:lineRule="auto"/>
              <w:ind w:firstLine="456" w:firstLineChars="200"/>
              <w:rPr>
                <w:rFonts w:hint="default"/>
                <w:color w:val="000000"/>
                <w:spacing w:val="-6"/>
                <w:lang w:val="en-US" w:eastAsia="zh-CN"/>
              </w:rPr>
            </w:pPr>
            <w:r>
              <w:rPr>
                <w:rFonts w:hint="default"/>
                <w:color w:val="000000"/>
                <w:spacing w:val="-6"/>
                <w:lang w:val="en-US" w:eastAsia="zh-CN"/>
              </w:rPr>
              <w:t>拟建项目建筑物占用土地主要为临时占地，临时占地主要为施工时施工材料堆放占地及简易砂石道路占地，施工结束后用于项目区植被恢复，施工期占地对生态破坏和影响较小。</w:t>
            </w:r>
          </w:p>
          <w:p w14:paraId="0F34EC7A">
            <w:pPr>
              <w:widowControl/>
              <w:adjustRightInd w:val="0"/>
              <w:snapToGrid w:val="0"/>
              <w:spacing w:line="360" w:lineRule="auto"/>
              <w:ind w:firstLine="458" w:firstLineChars="200"/>
              <w:rPr>
                <w:rFonts w:hint="eastAsia"/>
                <w:b/>
                <w:bCs/>
                <w:color w:val="000000"/>
                <w:spacing w:val="-6"/>
                <w:lang w:val="en-US" w:eastAsia="zh-CN"/>
              </w:rPr>
            </w:pPr>
            <w:r>
              <w:rPr>
                <w:rFonts w:hint="eastAsia"/>
                <w:b/>
                <w:bCs/>
                <w:color w:val="000000"/>
                <w:spacing w:val="-6"/>
                <w:lang w:val="en-US" w:eastAsia="zh-CN"/>
              </w:rPr>
              <w:t>1.2对植被影响</w:t>
            </w:r>
          </w:p>
          <w:p w14:paraId="2D0E10A3">
            <w:pPr>
              <w:widowControl/>
              <w:adjustRightInd w:val="0"/>
              <w:snapToGrid w:val="0"/>
              <w:spacing w:line="360" w:lineRule="auto"/>
              <w:ind w:firstLine="456" w:firstLineChars="200"/>
              <w:rPr>
                <w:rFonts w:hint="default" w:eastAsia="宋体"/>
                <w:color w:val="000000"/>
                <w:spacing w:val="-6"/>
                <w:lang w:val="en-US" w:eastAsia="zh-CN"/>
              </w:rPr>
            </w:pPr>
            <w:r>
              <w:rPr>
                <w:rFonts w:hint="eastAsia"/>
                <w:color w:val="000000"/>
                <w:spacing w:val="-6"/>
                <w:lang w:val="en-US" w:eastAsia="zh-CN"/>
              </w:rPr>
              <w:t>拟建项目对植被的影响主要体现在占地带来的地表植被破坏、生物量损失、地表扰动、水土流失等方面。包括施工人建筑材料堆放、表土堆放、简易砂石道路等。施工过程中的基础开挖和覆土回填等工程都会扰动地表、破坏微地形，清除地表植物，剥离种植表土，造成土壤结构的破坏和肥力的下降，同时造成一定面积的地表裸露，严重时可导致水土流失；施工人员、机械对植被的践踏和碾压，损伤和碾死植物，过往车辆产生的扬尘会影响附近的植被，尘埃使植被叶的光合作用和呼吸作用能力降低，影响植物的生长。本项目在施工过程中对施工区域洒水抑尘，对堆放的物料采取苫布遮盖措施，可以有效降低施工期扬尘影响的范围和程度。</w:t>
            </w:r>
          </w:p>
          <w:p w14:paraId="68BB7552">
            <w:pPr>
              <w:widowControl/>
              <w:numPr>
                <w:ilvl w:val="0"/>
                <w:numId w:val="0"/>
              </w:numPr>
              <w:adjustRightInd w:val="0"/>
              <w:snapToGrid w:val="0"/>
              <w:spacing w:line="360" w:lineRule="auto"/>
              <w:ind w:firstLine="458" w:firstLineChars="200"/>
              <w:rPr>
                <w:rFonts w:hint="eastAsia"/>
                <w:b/>
                <w:bCs/>
                <w:color w:val="000000"/>
                <w:spacing w:val="-6"/>
              </w:rPr>
            </w:pPr>
            <w:r>
              <w:rPr>
                <w:rFonts w:hint="eastAsia" w:cstheme="minorBidi"/>
                <w:b/>
                <w:bCs/>
                <w:color w:val="000000"/>
                <w:spacing w:val="-6"/>
                <w:kern w:val="2"/>
                <w:sz w:val="24"/>
                <w:szCs w:val="24"/>
                <w:lang w:val="en-US" w:eastAsia="zh-CN" w:bidi="ar-SA"/>
              </w:rPr>
              <w:t>1.3</w:t>
            </w:r>
            <w:r>
              <w:rPr>
                <w:rFonts w:hint="eastAsia"/>
                <w:b/>
                <w:bCs/>
                <w:color w:val="000000"/>
                <w:spacing w:val="-6"/>
              </w:rPr>
              <w:t>对野生动物的影响</w:t>
            </w:r>
          </w:p>
          <w:p w14:paraId="3A9EF06C">
            <w:pPr>
              <w:widowControl/>
              <w:numPr>
                <w:ilvl w:val="0"/>
                <w:numId w:val="0"/>
              </w:numPr>
              <w:adjustRightInd w:val="0"/>
              <w:snapToGrid w:val="0"/>
              <w:spacing w:line="360" w:lineRule="auto"/>
              <w:ind w:firstLine="456" w:firstLineChars="200"/>
              <w:rPr>
                <w:rFonts w:hint="eastAsia"/>
                <w:color w:val="000000"/>
                <w:spacing w:val="-6"/>
              </w:rPr>
            </w:pPr>
            <w:r>
              <w:rPr>
                <w:rFonts w:hint="eastAsia"/>
                <w:color w:val="000000"/>
                <w:spacing w:val="-6"/>
              </w:rPr>
              <w:t>施工机械噪声和人员活动噪声是对野生动物的主要影响因素。施工期间，人类活动、交通运输工具与施工机械产生的噪声、灯光等可能对在施工区及邻近地区栖息和觅食的野生动物产生一定的影响。由于项目区野生动物极少，对周围环境野生动物影响不大。</w:t>
            </w:r>
          </w:p>
          <w:p w14:paraId="51F605D5">
            <w:pPr>
              <w:widowControl/>
              <w:numPr>
                <w:ilvl w:val="0"/>
                <w:numId w:val="0"/>
              </w:numPr>
              <w:adjustRightInd w:val="0"/>
              <w:snapToGrid w:val="0"/>
              <w:spacing w:line="360" w:lineRule="auto"/>
              <w:ind w:firstLine="458" w:firstLineChars="200"/>
              <w:rPr>
                <w:rFonts w:hint="eastAsia"/>
                <w:b/>
                <w:bCs/>
                <w:color w:val="000000"/>
                <w:spacing w:val="-6"/>
              </w:rPr>
            </w:pPr>
            <w:r>
              <w:rPr>
                <w:rFonts w:hint="eastAsia"/>
                <w:b/>
                <w:bCs/>
                <w:color w:val="000000"/>
                <w:spacing w:val="-6"/>
                <w:lang w:val="en-US" w:eastAsia="zh-CN"/>
              </w:rPr>
              <w:t>1.4</w:t>
            </w:r>
            <w:r>
              <w:rPr>
                <w:rFonts w:hint="eastAsia"/>
                <w:b/>
                <w:bCs/>
                <w:color w:val="000000"/>
                <w:spacing w:val="-6"/>
              </w:rPr>
              <w:t>对土壤影响</w:t>
            </w:r>
          </w:p>
          <w:p w14:paraId="42AAC446">
            <w:pPr>
              <w:widowControl/>
              <w:numPr>
                <w:ilvl w:val="0"/>
                <w:numId w:val="0"/>
              </w:numPr>
              <w:adjustRightInd w:val="0"/>
              <w:snapToGrid w:val="0"/>
              <w:spacing w:line="360" w:lineRule="auto"/>
              <w:ind w:firstLine="456" w:firstLineChars="200"/>
              <w:rPr>
                <w:color w:val="000000"/>
                <w:spacing w:val="-6"/>
              </w:rPr>
            </w:pPr>
            <w:r>
              <w:rPr>
                <w:rFonts w:hint="eastAsia"/>
                <w:color w:val="000000"/>
                <w:spacing w:val="-6"/>
              </w:rPr>
              <w:t>施工过程中对土壤的影响主要表现在以下几个方面：①施工人员的践踏和施工机械的碾压，将改变土壤的坚实度、通透性，对土壤的机械物理性质有所影响。②施工人员产生的污水，生活垃圾不合理的处理排放，也会污染土壤。</w:t>
            </w:r>
          </w:p>
          <w:p w14:paraId="1C8E957D">
            <w:pPr>
              <w:widowControl/>
              <w:numPr>
                <w:ilvl w:val="0"/>
                <w:numId w:val="0"/>
              </w:numPr>
              <w:adjustRightInd w:val="0"/>
              <w:snapToGrid w:val="0"/>
              <w:spacing w:line="360" w:lineRule="auto"/>
              <w:ind w:firstLine="458" w:firstLineChars="200"/>
              <w:rPr>
                <w:rFonts w:hint="eastAsia"/>
                <w:b/>
                <w:bCs/>
                <w:color w:val="000000"/>
                <w:spacing w:val="-6"/>
              </w:rPr>
            </w:pPr>
            <w:r>
              <w:rPr>
                <w:rFonts w:hint="eastAsia"/>
                <w:b/>
                <w:bCs/>
                <w:color w:val="000000"/>
                <w:spacing w:val="-6"/>
                <w:lang w:val="en-US" w:eastAsia="zh-CN"/>
              </w:rPr>
              <w:t>1.5</w:t>
            </w:r>
            <w:r>
              <w:rPr>
                <w:rFonts w:hint="eastAsia"/>
                <w:b/>
                <w:bCs/>
                <w:color w:val="000000"/>
                <w:spacing w:val="-6"/>
              </w:rPr>
              <w:t>对施工沿线的影响</w:t>
            </w:r>
          </w:p>
          <w:p w14:paraId="16CFE495">
            <w:pPr>
              <w:widowControl/>
              <w:numPr>
                <w:ilvl w:val="0"/>
                <w:numId w:val="0"/>
              </w:numPr>
              <w:adjustRightInd w:val="0"/>
              <w:snapToGrid w:val="0"/>
              <w:spacing w:line="360" w:lineRule="auto"/>
              <w:ind w:firstLine="456" w:firstLineChars="200"/>
              <w:rPr>
                <w:color w:val="000000"/>
                <w:spacing w:val="-6"/>
              </w:rPr>
            </w:pPr>
            <w:r>
              <w:rPr>
                <w:rFonts w:hint="eastAsia"/>
                <w:color w:val="000000"/>
                <w:spacing w:val="-6"/>
              </w:rPr>
              <w:t>施工期对施工沿线的影响主要来源于运输车辆，车辆在运输过程中，白天对沿线道路的居民会产生一定影响。因此，在运输车辆经过居民区时禁止鸣笛，并减速慢行后，施工期车辆运输对施工沿线的影响较小。</w:t>
            </w:r>
          </w:p>
          <w:p w14:paraId="14CCFC7C">
            <w:pPr>
              <w:widowControl/>
              <w:adjustRightInd w:val="0"/>
              <w:snapToGrid w:val="0"/>
              <w:spacing w:line="360" w:lineRule="auto"/>
              <w:ind w:firstLine="458" w:firstLineChars="200"/>
              <w:rPr>
                <w:rFonts w:hint="default" w:eastAsia="宋体"/>
                <w:b/>
                <w:bCs/>
                <w:color w:val="000000"/>
                <w:spacing w:val="-6"/>
                <w:lang w:val="en-US" w:eastAsia="zh-CN"/>
              </w:rPr>
            </w:pPr>
            <w:r>
              <w:rPr>
                <w:rFonts w:hint="eastAsia"/>
                <w:b/>
                <w:bCs/>
                <w:color w:val="000000"/>
                <w:spacing w:val="-6"/>
                <w:lang w:val="en-US" w:eastAsia="zh-CN"/>
              </w:rPr>
              <w:t>1.6水土流失影响</w:t>
            </w:r>
          </w:p>
          <w:p w14:paraId="30BA319A">
            <w:pPr>
              <w:widowControl/>
              <w:adjustRightInd w:val="0"/>
              <w:snapToGrid w:val="0"/>
              <w:spacing w:line="360" w:lineRule="auto"/>
              <w:ind w:firstLine="456" w:firstLineChars="200"/>
              <w:rPr>
                <w:color w:val="000000"/>
                <w:spacing w:val="-6"/>
              </w:rPr>
            </w:pPr>
            <w:r>
              <w:rPr>
                <w:rFonts w:hint="eastAsia"/>
                <w:color w:val="000000"/>
                <w:spacing w:val="-6"/>
                <w:lang w:eastAsia="zh-CN"/>
              </w:rPr>
              <w:t>本项目</w:t>
            </w:r>
            <w:r>
              <w:rPr>
                <w:rFonts w:hint="eastAsia"/>
                <w:color w:val="000000"/>
                <w:spacing w:val="-6"/>
              </w:rPr>
              <w:t>可能造成的水土流失量分为两部：一是施工过程中损坏原地貌，降低土壤抗蚀性和边坡稳定性而增加间接水土流失量；二是土方开挖和堆放增加的直接水土流失量。项目施工过程中若不采取水土保持措施，将加剧项目区水土流失情况。本项目施工建设过程中，破坏了地表结构，不同程度的改变了原有地表水的循环途径。同时，建筑的建设增加了地表硬化面积，减少了雨水的入渗，从而降低了雨水的利用率。项目建设后过程，在施工场地周围建立围挡，修建排水沟；生活区建成后，对生活区进行绿化，不会产生较大规模的水土流失。</w:t>
            </w:r>
          </w:p>
          <w:p w14:paraId="2B865B06">
            <w:pPr>
              <w:pStyle w:val="3"/>
              <w:numPr>
                <w:ilvl w:val="0"/>
                <w:numId w:val="0"/>
              </w:numPr>
              <w:spacing w:before="156" w:after="156"/>
              <w:outlineLvl w:val="1"/>
            </w:pPr>
            <w:r>
              <w:rPr>
                <w:rFonts w:hint="eastAsia" w:ascii="宋体" w:hAnsi="宋体" w:cs="宋体"/>
                <w:b/>
                <w:kern w:val="2"/>
                <w:sz w:val="24"/>
                <w:szCs w:val="24"/>
                <w:lang w:val="en-US" w:eastAsia="zh-CN" w:bidi="ar-SA"/>
              </w:rPr>
              <w:t>2</w:t>
            </w:r>
            <w:r>
              <w:rPr>
                <w:rFonts w:hint="default" w:ascii="宋体" w:hAnsi="宋体" w:eastAsia="宋体" w:cs="宋体"/>
                <w:b/>
                <w:kern w:val="2"/>
                <w:sz w:val="24"/>
                <w:szCs w:val="24"/>
                <w:lang w:val="en-US" w:eastAsia="zh-CN" w:bidi="ar-SA"/>
              </w:rPr>
              <w:t>.</w:t>
            </w:r>
            <w:r>
              <w:rPr>
                <w:rFonts w:hint="eastAsia"/>
              </w:rPr>
              <w:t>施工期环境空气影响分析</w:t>
            </w:r>
          </w:p>
          <w:p w14:paraId="1F8341AA">
            <w:pPr>
              <w:ind w:firstLine="480"/>
            </w:pPr>
            <w:r>
              <w:t>根据各类施工活动的排污特点，本工程施工期对空气环境的影响主要来自施工活动和施工车辆行驶时产生的扬尘，施工燃油机械、运输车辆排放的废气。</w:t>
            </w:r>
          </w:p>
          <w:p w14:paraId="704A1262">
            <w:pPr>
              <w:numPr>
                <w:ilvl w:val="0"/>
                <w:numId w:val="0"/>
              </w:numPr>
              <w:rPr>
                <w:b/>
                <w:bCs/>
              </w:rPr>
            </w:pPr>
            <w:r>
              <w:rPr>
                <w:rFonts w:hint="eastAsia"/>
                <w:b/>
                <w:bCs/>
                <w:lang w:val="en-US" w:eastAsia="zh-CN"/>
              </w:rPr>
              <w:t>2.1</w:t>
            </w:r>
            <w:r>
              <w:rPr>
                <w:b/>
                <w:bCs/>
              </w:rPr>
              <w:t>施工扬尘</w:t>
            </w:r>
          </w:p>
          <w:p w14:paraId="5526FC5D">
            <w:pPr>
              <w:pStyle w:val="39"/>
              <w:adjustRightInd w:val="0"/>
              <w:snapToGrid w:val="0"/>
              <w:spacing w:line="360" w:lineRule="auto"/>
              <w:ind w:firstLine="480"/>
              <w:rPr>
                <w:rFonts w:hint="eastAsia"/>
                <w:lang w:eastAsia="zh-CN"/>
              </w:rPr>
            </w:pPr>
            <w:r>
              <w:rPr>
                <w:rFonts w:hint="eastAsia"/>
              </w:rPr>
              <w:t>工程施工期场地清理，土方开挖和回填，物料装卸、运输和堆放等均会产</w:t>
            </w:r>
            <w:r>
              <w:t>生大量扬尘，车辆运输过程中也会产生粉尘散落以及道路二次扬尘，使得工区工程施工期场地清理，土方开挖和回填，物料装卸、运输和堆放等均会产及周围环境空气中总悬浮颗粒TSP浓度明显增加。</w:t>
            </w:r>
            <w:r>
              <w:rPr>
                <w:rFonts w:hint="eastAsia"/>
                <w:lang w:eastAsia="zh-CN"/>
              </w:rPr>
              <w:t>取决于</w:t>
            </w:r>
            <w:r>
              <w:t>设备、作业文明程度、场地条件等因素。因施工尘土的含水量比较低，颗粒较施工起尘量的多少取决于风力大小，物料干湿程度、施工工艺、施工机械</w:t>
            </w:r>
            <w:r>
              <w:rPr>
                <w:rFonts w:hint="eastAsia"/>
              </w:rPr>
              <w:t>较</w:t>
            </w:r>
            <w:r>
              <w:t>小，在风速大于3m/s时，施工过程会有扬尘产生。本项目施工期产生的大气污染物均属无组织排放，在时间及空间上均</w:t>
            </w:r>
            <w:r>
              <w:rPr>
                <w:rFonts w:hint="eastAsia"/>
              </w:rPr>
              <w:t>较为</w:t>
            </w:r>
            <w:r>
              <w:t>零散</w:t>
            </w:r>
            <w:r>
              <w:rPr>
                <w:rFonts w:hint="eastAsia"/>
                <w:lang w:eastAsia="zh-CN"/>
              </w:rPr>
              <w:t>。</w:t>
            </w:r>
          </w:p>
          <w:p w14:paraId="0264C893">
            <w:pPr>
              <w:pStyle w:val="39"/>
              <w:adjustRightInd w:val="0"/>
              <w:snapToGrid w:val="0"/>
              <w:spacing w:line="360" w:lineRule="auto"/>
              <w:ind w:firstLine="480"/>
              <w:rPr>
                <w:szCs w:val="24"/>
              </w:rPr>
            </w:pPr>
            <w:r>
              <w:rPr>
                <w:szCs w:val="24"/>
              </w:rPr>
              <w:t>尘粒在空气中的传播扩散情况与风速等气象条件有关也与尘粒本身的沉降速度有关。以沙尘土为例，不同粒径的尘粒的沉降速度见表4-1。</w:t>
            </w:r>
          </w:p>
          <w:p w14:paraId="78377C38">
            <w:pPr>
              <w:pStyle w:val="42"/>
              <w:adjustRightInd w:val="0"/>
              <w:snapToGrid w:val="0"/>
              <w:spacing w:line="240" w:lineRule="auto"/>
              <w:rPr>
                <w:szCs w:val="24"/>
              </w:rPr>
            </w:pPr>
            <w:r>
              <w:rPr>
                <w:szCs w:val="24"/>
              </w:rPr>
              <w:t>表4-1  不同粒径尘粒的沉降速度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828"/>
              <w:gridCol w:w="828"/>
              <w:gridCol w:w="827"/>
              <w:gridCol w:w="827"/>
              <w:gridCol w:w="828"/>
              <w:gridCol w:w="827"/>
              <w:gridCol w:w="827"/>
            </w:tblGrid>
            <w:tr w14:paraId="3294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jc w:val="center"/>
              </w:trPr>
              <w:tc>
                <w:tcPr>
                  <w:tcW w:w="1804" w:type="dxa"/>
                  <w:vAlign w:val="center"/>
                </w:tcPr>
                <w:p w14:paraId="06D69E06">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21371FD2">
                  <w:pPr>
                    <w:pStyle w:val="41"/>
                  </w:pPr>
                  <w:r>
                    <w:t>10</w:t>
                  </w:r>
                </w:p>
              </w:tc>
              <w:tc>
                <w:tcPr>
                  <w:tcW w:w="828" w:type="dxa"/>
                  <w:vAlign w:val="center"/>
                </w:tcPr>
                <w:p w14:paraId="4CF75040">
                  <w:pPr>
                    <w:pStyle w:val="41"/>
                  </w:pPr>
                  <w:r>
                    <w:t>20</w:t>
                  </w:r>
                </w:p>
              </w:tc>
              <w:tc>
                <w:tcPr>
                  <w:tcW w:w="827" w:type="dxa"/>
                  <w:vAlign w:val="center"/>
                </w:tcPr>
                <w:p w14:paraId="2C5DE2FD">
                  <w:pPr>
                    <w:pStyle w:val="41"/>
                  </w:pPr>
                  <w:r>
                    <w:t>30</w:t>
                  </w:r>
                </w:p>
              </w:tc>
              <w:tc>
                <w:tcPr>
                  <w:tcW w:w="827" w:type="dxa"/>
                  <w:vAlign w:val="center"/>
                </w:tcPr>
                <w:p w14:paraId="4FBBAD8A">
                  <w:pPr>
                    <w:pStyle w:val="41"/>
                  </w:pPr>
                  <w:r>
                    <w:t>40</w:t>
                  </w:r>
                </w:p>
              </w:tc>
              <w:tc>
                <w:tcPr>
                  <w:tcW w:w="828" w:type="dxa"/>
                  <w:vAlign w:val="center"/>
                </w:tcPr>
                <w:p w14:paraId="3D92B319">
                  <w:pPr>
                    <w:pStyle w:val="41"/>
                  </w:pPr>
                  <w:r>
                    <w:t>50</w:t>
                  </w:r>
                </w:p>
              </w:tc>
              <w:tc>
                <w:tcPr>
                  <w:tcW w:w="827" w:type="dxa"/>
                  <w:vAlign w:val="center"/>
                </w:tcPr>
                <w:p w14:paraId="62CC47AC">
                  <w:pPr>
                    <w:pStyle w:val="41"/>
                  </w:pPr>
                  <w:r>
                    <w:t>60</w:t>
                  </w:r>
                </w:p>
              </w:tc>
              <w:tc>
                <w:tcPr>
                  <w:tcW w:w="827" w:type="dxa"/>
                  <w:vAlign w:val="center"/>
                </w:tcPr>
                <w:p w14:paraId="2FD931EB">
                  <w:pPr>
                    <w:pStyle w:val="41"/>
                  </w:pPr>
                  <w:r>
                    <w:t>70</w:t>
                  </w:r>
                </w:p>
              </w:tc>
            </w:tr>
            <w:tr w14:paraId="7A19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804" w:type="dxa"/>
                  <w:vAlign w:val="center"/>
                </w:tcPr>
                <w:p w14:paraId="513CA577">
                  <w:pPr>
                    <w:pStyle w:val="41"/>
                  </w:pPr>
                  <w:r>
                    <w:t>沉降速度</w:t>
                  </w:r>
                  <w:r>
                    <w:rPr>
                      <w:rFonts w:hint="eastAsia"/>
                      <w:lang w:eastAsia="zh-CN"/>
                    </w:rPr>
                    <w:t>（</w:t>
                  </w:r>
                  <w:r>
                    <w:t>m/s</w:t>
                  </w:r>
                  <w:r>
                    <w:rPr>
                      <w:rFonts w:hint="eastAsia"/>
                      <w:lang w:eastAsia="zh-CN"/>
                    </w:rPr>
                    <w:t>）</w:t>
                  </w:r>
                </w:p>
              </w:tc>
              <w:tc>
                <w:tcPr>
                  <w:tcW w:w="828" w:type="dxa"/>
                  <w:vAlign w:val="center"/>
                </w:tcPr>
                <w:p w14:paraId="234F5EF1">
                  <w:pPr>
                    <w:pStyle w:val="41"/>
                  </w:pPr>
                  <w:r>
                    <w:t>3</w:t>
                  </w:r>
                </w:p>
              </w:tc>
              <w:tc>
                <w:tcPr>
                  <w:tcW w:w="828" w:type="dxa"/>
                  <w:vAlign w:val="center"/>
                </w:tcPr>
                <w:p w14:paraId="5DF7590E">
                  <w:pPr>
                    <w:pStyle w:val="41"/>
                  </w:pPr>
                  <w:r>
                    <w:t>0.012</w:t>
                  </w:r>
                </w:p>
              </w:tc>
              <w:tc>
                <w:tcPr>
                  <w:tcW w:w="827" w:type="dxa"/>
                  <w:vAlign w:val="center"/>
                </w:tcPr>
                <w:p w14:paraId="51125DE6">
                  <w:pPr>
                    <w:pStyle w:val="41"/>
                  </w:pPr>
                  <w:r>
                    <w:t>0.027</w:t>
                  </w:r>
                </w:p>
              </w:tc>
              <w:tc>
                <w:tcPr>
                  <w:tcW w:w="827" w:type="dxa"/>
                  <w:vAlign w:val="center"/>
                </w:tcPr>
                <w:p w14:paraId="740C7EDD">
                  <w:pPr>
                    <w:pStyle w:val="41"/>
                  </w:pPr>
                  <w:r>
                    <w:t>0.048</w:t>
                  </w:r>
                </w:p>
              </w:tc>
              <w:tc>
                <w:tcPr>
                  <w:tcW w:w="828" w:type="dxa"/>
                  <w:vAlign w:val="center"/>
                </w:tcPr>
                <w:p w14:paraId="4EF41F26">
                  <w:pPr>
                    <w:pStyle w:val="41"/>
                  </w:pPr>
                  <w:r>
                    <w:t>0.075</w:t>
                  </w:r>
                </w:p>
              </w:tc>
              <w:tc>
                <w:tcPr>
                  <w:tcW w:w="827" w:type="dxa"/>
                  <w:vAlign w:val="center"/>
                </w:tcPr>
                <w:p w14:paraId="21DA23BF">
                  <w:pPr>
                    <w:pStyle w:val="41"/>
                  </w:pPr>
                  <w:r>
                    <w:t>0.108</w:t>
                  </w:r>
                </w:p>
              </w:tc>
              <w:tc>
                <w:tcPr>
                  <w:tcW w:w="827" w:type="dxa"/>
                  <w:vAlign w:val="center"/>
                </w:tcPr>
                <w:p w14:paraId="14B62651">
                  <w:pPr>
                    <w:pStyle w:val="41"/>
                  </w:pPr>
                  <w:r>
                    <w:t>0.147</w:t>
                  </w:r>
                </w:p>
              </w:tc>
            </w:tr>
            <w:tr w14:paraId="179E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02732C25">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67A87A12">
                  <w:pPr>
                    <w:pStyle w:val="41"/>
                  </w:pPr>
                  <w:r>
                    <w:t>80</w:t>
                  </w:r>
                </w:p>
              </w:tc>
              <w:tc>
                <w:tcPr>
                  <w:tcW w:w="828" w:type="dxa"/>
                  <w:vAlign w:val="center"/>
                </w:tcPr>
                <w:p w14:paraId="4E7387D9">
                  <w:pPr>
                    <w:pStyle w:val="41"/>
                  </w:pPr>
                  <w:r>
                    <w:t>90</w:t>
                  </w:r>
                </w:p>
              </w:tc>
              <w:tc>
                <w:tcPr>
                  <w:tcW w:w="827" w:type="dxa"/>
                  <w:vAlign w:val="center"/>
                </w:tcPr>
                <w:p w14:paraId="6BF9208E">
                  <w:pPr>
                    <w:pStyle w:val="41"/>
                  </w:pPr>
                  <w:r>
                    <w:t>100</w:t>
                  </w:r>
                </w:p>
              </w:tc>
              <w:tc>
                <w:tcPr>
                  <w:tcW w:w="827" w:type="dxa"/>
                  <w:vAlign w:val="center"/>
                </w:tcPr>
                <w:p w14:paraId="79E80D9B">
                  <w:pPr>
                    <w:pStyle w:val="41"/>
                  </w:pPr>
                  <w:r>
                    <w:t>150</w:t>
                  </w:r>
                </w:p>
              </w:tc>
              <w:tc>
                <w:tcPr>
                  <w:tcW w:w="828" w:type="dxa"/>
                  <w:vAlign w:val="center"/>
                </w:tcPr>
                <w:p w14:paraId="35F4AFD5">
                  <w:pPr>
                    <w:pStyle w:val="41"/>
                  </w:pPr>
                  <w:r>
                    <w:t>200</w:t>
                  </w:r>
                </w:p>
              </w:tc>
              <w:tc>
                <w:tcPr>
                  <w:tcW w:w="827" w:type="dxa"/>
                  <w:vAlign w:val="center"/>
                </w:tcPr>
                <w:p w14:paraId="2981F1F2">
                  <w:pPr>
                    <w:pStyle w:val="41"/>
                  </w:pPr>
                  <w:r>
                    <w:t>250</w:t>
                  </w:r>
                </w:p>
              </w:tc>
              <w:tc>
                <w:tcPr>
                  <w:tcW w:w="827" w:type="dxa"/>
                  <w:vAlign w:val="center"/>
                </w:tcPr>
                <w:p w14:paraId="41143BB8">
                  <w:pPr>
                    <w:pStyle w:val="41"/>
                  </w:pPr>
                  <w:r>
                    <w:t>350</w:t>
                  </w:r>
                </w:p>
              </w:tc>
            </w:tr>
            <w:tr w14:paraId="4EBD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804" w:type="dxa"/>
                  <w:vAlign w:val="center"/>
                </w:tcPr>
                <w:p w14:paraId="7CBCABDB">
                  <w:pPr>
                    <w:pStyle w:val="41"/>
                  </w:pPr>
                  <w:r>
                    <w:t>沉降速度</w:t>
                  </w:r>
                  <w:r>
                    <w:rPr>
                      <w:rFonts w:hint="eastAsia"/>
                      <w:lang w:eastAsia="zh-CN"/>
                    </w:rPr>
                    <w:t>（</w:t>
                  </w:r>
                  <w:r>
                    <w:t>m/s</w:t>
                  </w:r>
                  <w:r>
                    <w:rPr>
                      <w:rFonts w:hint="eastAsia"/>
                      <w:lang w:eastAsia="zh-CN"/>
                    </w:rPr>
                    <w:t>）</w:t>
                  </w:r>
                </w:p>
              </w:tc>
              <w:tc>
                <w:tcPr>
                  <w:tcW w:w="828" w:type="dxa"/>
                  <w:vAlign w:val="center"/>
                </w:tcPr>
                <w:p w14:paraId="1D04AEE4">
                  <w:pPr>
                    <w:pStyle w:val="41"/>
                  </w:pPr>
                  <w:r>
                    <w:t>0.158</w:t>
                  </w:r>
                </w:p>
              </w:tc>
              <w:tc>
                <w:tcPr>
                  <w:tcW w:w="828" w:type="dxa"/>
                  <w:vAlign w:val="center"/>
                </w:tcPr>
                <w:p w14:paraId="62FBDB6F">
                  <w:pPr>
                    <w:pStyle w:val="41"/>
                  </w:pPr>
                  <w:r>
                    <w:t>0.170</w:t>
                  </w:r>
                </w:p>
              </w:tc>
              <w:tc>
                <w:tcPr>
                  <w:tcW w:w="827" w:type="dxa"/>
                  <w:vAlign w:val="center"/>
                </w:tcPr>
                <w:p w14:paraId="56B2DB33">
                  <w:pPr>
                    <w:pStyle w:val="41"/>
                  </w:pPr>
                  <w:r>
                    <w:t>0.182</w:t>
                  </w:r>
                </w:p>
              </w:tc>
              <w:tc>
                <w:tcPr>
                  <w:tcW w:w="827" w:type="dxa"/>
                  <w:vAlign w:val="center"/>
                </w:tcPr>
                <w:p w14:paraId="17765B3C">
                  <w:pPr>
                    <w:pStyle w:val="41"/>
                  </w:pPr>
                  <w:r>
                    <w:t>0.239</w:t>
                  </w:r>
                </w:p>
              </w:tc>
              <w:tc>
                <w:tcPr>
                  <w:tcW w:w="828" w:type="dxa"/>
                  <w:vAlign w:val="center"/>
                </w:tcPr>
                <w:p w14:paraId="4CE8FA62">
                  <w:pPr>
                    <w:pStyle w:val="41"/>
                  </w:pPr>
                  <w:r>
                    <w:t>0.804</w:t>
                  </w:r>
                </w:p>
              </w:tc>
              <w:tc>
                <w:tcPr>
                  <w:tcW w:w="827" w:type="dxa"/>
                  <w:vAlign w:val="center"/>
                </w:tcPr>
                <w:p w14:paraId="47A67A0F">
                  <w:pPr>
                    <w:pStyle w:val="41"/>
                  </w:pPr>
                  <w:r>
                    <w:t>1.005</w:t>
                  </w:r>
                </w:p>
              </w:tc>
              <w:tc>
                <w:tcPr>
                  <w:tcW w:w="827" w:type="dxa"/>
                  <w:vAlign w:val="center"/>
                </w:tcPr>
                <w:p w14:paraId="791CBEB0">
                  <w:pPr>
                    <w:pStyle w:val="41"/>
                  </w:pPr>
                  <w:r>
                    <w:t>1.829</w:t>
                  </w:r>
                </w:p>
              </w:tc>
            </w:tr>
            <w:tr w14:paraId="5B7D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29F46880">
                  <w:pPr>
                    <w:pStyle w:val="41"/>
                  </w:pPr>
                  <w:r>
                    <w:t>粒径</w:t>
                  </w:r>
                  <w:r>
                    <w:rPr>
                      <w:rFonts w:hint="eastAsia"/>
                      <w:lang w:eastAsia="zh-CN"/>
                    </w:rPr>
                    <w:t>（</w:t>
                  </w:r>
                  <w:r>
                    <w:rPr/>
                    <w:sym w:font="Symbol" w:char="F06D"/>
                  </w:r>
                  <w:r>
                    <w:t>m</w:t>
                  </w:r>
                  <w:r>
                    <w:rPr>
                      <w:rFonts w:hint="eastAsia"/>
                      <w:lang w:eastAsia="zh-CN"/>
                    </w:rPr>
                    <w:t>）</w:t>
                  </w:r>
                </w:p>
              </w:tc>
              <w:tc>
                <w:tcPr>
                  <w:tcW w:w="828" w:type="dxa"/>
                  <w:vAlign w:val="center"/>
                </w:tcPr>
                <w:p w14:paraId="70367812">
                  <w:pPr>
                    <w:pStyle w:val="41"/>
                  </w:pPr>
                  <w:r>
                    <w:t>450</w:t>
                  </w:r>
                </w:p>
              </w:tc>
              <w:tc>
                <w:tcPr>
                  <w:tcW w:w="828" w:type="dxa"/>
                  <w:vAlign w:val="center"/>
                </w:tcPr>
                <w:p w14:paraId="5C2D120D">
                  <w:pPr>
                    <w:pStyle w:val="41"/>
                  </w:pPr>
                  <w:r>
                    <w:t>550</w:t>
                  </w:r>
                </w:p>
              </w:tc>
              <w:tc>
                <w:tcPr>
                  <w:tcW w:w="827" w:type="dxa"/>
                  <w:vAlign w:val="center"/>
                </w:tcPr>
                <w:p w14:paraId="55DFFB7B">
                  <w:pPr>
                    <w:pStyle w:val="41"/>
                  </w:pPr>
                  <w:r>
                    <w:t>650</w:t>
                  </w:r>
                </w:p>
              </w:tc>
              <w:tc>
                <w:tcPr>
                  <w:tcW w:w="827" w:type="dxa"/>
                  <w:vAlign w:val="center"/>
                </w:tcPr>
                <w:p w14:paraId="18064BC9">
                  <w:pPr>
                    <w:pStyle w:val="41"/>
                  </w:pPr>
                  <w:r>
                    <w:t>750</w:t>
                  </w:r>
                </w:p>
              </w:tc>
              <w:tc>
                <w:tcPr>
                  <w:tcW w:w="828" w:type="dxa"/>
                  <w:vAlign w:val="center"/>
                </w:tcPr>
                <w:p w14:paraId="3213B71A">
                  <w:pPr>
                    <w:pStyle w:val="41"/>
                  </w:pPr>
                  <w:r>
                    <w:t>850</w:t>
                  </w:r>
                </w:p>
              </w:tc>
              <w:tc>
                <w:tcPr>
                  <w:tcW w:w="827" w:type="dxa"/>
                  <w:vAlign w:val="center"/>
                </w:tcPr>
                <w:p w14:paraId="38F9725D">
                  <w:pPr>
                    <w:pStyle w:val="41"/>
                  </w:pPr>
                  <w:r>
                    <w:t>950</w:t>
                  </w:r>
                </w:p>
              </w:tc>
              <w:tc>
                <w:tcPr>
                  <w:tcW w:w="827" w:type="dxa"/>
                  <w:vAlign w:val="center"/>
                </w:tcPr>
                <w:p w14:paraId="475DE874">
                  <w:pPr>
                    <w:pStyle w:val="41"/>
                  </w:pPr>
                  <w:r>
                    <w:t>1050</w:t>
                  </w:r>
                </w:p>
              </w:tc>
            </w:tr>
            <w:tr w14:paraId="4E86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04" w:type="dxa"/>
                  <w:vAlign w:val="center"/>
                </w:tcPr>
                <w:p w14:paraId="66CC8BBF">
                  <w:pPr>
                    <w:pStyle w:val="41"/>
                  </w:pPr>
                  <w:r>
                    <w:t>沉降速度</w:t>
                  </w:r>
                  <w:r>
                    <w:rPr>
                      <w:rFonts w:hint="eastAsia"/>
                      <w:lang w:eastAsia="zh-CN"/>
                    </w:rPr>
                    <w:t>（</w:t>
                  </w:r>
                  <w:r>
                    <w:t>m/s</w:t>
                  </w:r>
                  <w:r>
                    <w:rPr>
                      <w:rFonts w:hint="eastAsia"/>
                      <w:lang w:eastAsia="zh-CN"/>
                    </w:rPr>
                    <w:t>）</w:t>
                  </w:r>
                </w:p>
              </w:tc>
              <w:tc>
                <w:tcPr>
                  <w:tcW w:w="828" w:type="dxa"/>
                  <w:vAlign w:val="center"/>
                </w:tcPr>
                <w:p w14:paraId="74A73452">
                  <w:pPr>
                    <w:pStyle w:val="41"/>
                  </w:pPr>
                  <w:r>
                    <w:t>2.211</w:t>
                  </w:r>
                </w:p>
              </w:tc>
              <w:tc>
                <w:tcPr>
                  <w:tcW w:w="828" w:type="dxa"/>
                  <w:vAlign w:val="center"/>
                </w:tcPr>
                <w:p w14:paraId="2311DE83">
                  <w:pPr>
                    <w:pStyle w:val="41"/>
                  </w:pPr>
                  <w:r>
                    <w:t>2.614</w:t>
                  </w:r>
                </w:p>
              </w:tc>
              <w:tc>
                <w:tcPr>
                  <w:tcW w:w="827" w:type="dxa"/>
                  <w:vAlign w:val="center"/>
                </w:tcPr>
                <w:p w14:paraId="30E67052">
                  <w:pPr>
                    <w:pStyle w:val="41"/>
                  </w:pPr>
                  <w:r>
                    <w:t>3.016</w:t>
                  </w:r>
                </w:p>
              </w:tc>
              <w:tc>
                <w:tcPr>
                  <w:tcW w:w="827" w:type="dxa"/>
                  <w:vAlign w:val="center"/>
                </w:tcPr>
                <w:p w14:paraId="1CF54A24">
                  <w:pPr>
                    <w:pStyle w:val="41"/>
                  </w:pPr>
                  <w:r>
                    <w:t>3.418</w:t>
                  </w:r>
                </w:p>
              </w:tc>
              <w:tc>
                <w:tcPr>
                  <w:tcW w:w="828" w:type="dxa"/>
                  <w:vAlign w:val="center"/>
                </w:tcPr>
                <w:p w14:paraId="540DBA81">
                  <w:pPr>
                    <w:pStyle w:val="41"/>
                  </w:pPr>
                  <w:r>
                    <w:t>3.820</w:t>
                  </w:r>
                </w:p>
              </w:tc>
              <w:tc>
                <w:tcPr>
                  <w:tcW w:w="827" w:type="dxa"/>
                  <w:vAlign w:val="center"/>
                </w:tcPr>
                <w:p w14:paraId="650B0B35">
                  <w:pPr>
                    <w:pStyle w:val="41"/>
                  </w:pPr>
                  <w:r>
                    <w:t>4.222</w:t>
                  </w:r>
                </w:p>
              </w:tc>
              <w:tc>
                <w:tcPr>
                  <w:tcW w:w="827" w:type="dxa"/>
                  <w:vAlign w:val="center"/>
                </w:tcPr>
                <w:p w14:paraId="66E98B51">
                  <w:pPr>
                    <w:pStyle w:val="41"/>
                  </w:pPr>
                  <w:r>
                    <w:t>4.624</w:t>
                  </w:r>
                </w:p>
              </w:tc>
            </w:tr>
          </w:tbl>
          <w:p w14:paraId="675F310B">
            <w:pPr>
              <w:pStyle w:val="39"/>
              <w:autoSpaceDE w:val="0"/>
              <w:autoSpaceDN w:val="0"/>
              <w:adjustRightInd w:val="0"/>
              <w:snapToGrid w:val="0"/>
              <w:spacing w:line="360" w:lineRule="auto"/>
              <w:ind w:firstLine="480"/>
              <w:rPr>
                <w:szCs w:val="24"/>
              </w:rPr>
            </w:pPr>
            <w:r>
              <w:t>由表</w:t>
            </w:r>
            <w:r>
              <w:rPr>
                <w:rFonts w:hint="eastAsia"/>
              </w:rPr>
              <w:t>4-1</w:t>
            </w:r>
            <w:r>
              <w:t>可知，</w:t>
            </w:r>
            <w:r>
              <w:rPr>
                <w:szCs w:val="24"/>
              </w:rPr>
              <w:t>尘粒的沉降速度随粒径的增大而迅速增大。当粒径为250</w:t>
            </w:r>
            <w:r>
              <w:rPr>
                <w:szCs w:val="24"/>
              </w:rPr>
              <w:sym w:font="Symbol" w:char="F06D"/>
            </w:r>
            <w:r>
              <w:rPr>
                <w:szCs w:val="24"/>
              </w:rPr>
              <w:t>m时，沉降速度为1.005m/s，因此可以认为当尘粒大于250</w:t>
            </w:r>
            <w:r>
              <w:rPr>
                <w:szCs w:val="24"/>
              </w:rPr>
              <w:sym w:font="Symbol" w:char="F06D"/>
            </w:r>
            <w:r>
              <w:rPr>
                <w:szCs w:val="24"/>
              </w:rPr>
              <w:t>m时，主要影响范围在扬尘点下风向近距离范围内，而对外环境产生影响的是一些微小尘粒。根据现场的气候条件不同，其影响范围也有所不同。施工期间，施工扬尘势必会对该区域的环境产生一定的影响。</w:t>
            </w:r>
            <w:r>
              <w:rPr>
                <w:rFonts w:hint="eastAsia"/>
                <w:szCs w:val="24"/>
              </w:rPr>
              <w:t>为减少大气污染物对周边外环境的影响，项目施工时采取以下大气污染防治措施：</w:t>
            </w:r>
          </w:p>
          <w:p w14:paraId="773A29C5">
            <w:pPr>
              <w:pStyle w:val="39"/>
              <w:autoSpaceDE w:val="0"/>
              <w:autoSpaceDN w:val="0"/>
              <w:adjustRightInd w:val="0"/>
              <w:snapToGrid w:val="0"/>
              <w:spacing w:line="360" w:lineRule="auto"/>
              <w:ind w:firstLine="480"/>
              <w:rPr>
                <w:szCs w:val="24"/>
              </w:rPr>
            </w:pPr>
            <w:r>
              <w:rPr>
                <w:rFonts w:hint="eastAsia"/>
                <w:szCs w:val="24"/>
              </w:rPr>
              <w:t>①土、砂、石料运输禁止超载，装高不得超过车厢板，并盖篷布，严禁沿途撒落；</w:t>
            </w:r>
          </w:p>
          <w:p w14:paraId="4FE64811">
            <w:pPr>
              <w:pStyle w:val="39"/>
              <w:autoSpaceDE w:val="0"/>
              <w:autoSpaceDN w:val="0"/>
              <w:adjustRightInd w:val="0"/>
              <w:snapToGrid w:val="0"/>
              <w:spacing w:line="360" w:lineRule="auto"/>
              <w:ind w:firstLine="480"/>
              <w:rPr>
                <w:szCs w:val="24"/>
              </w:rPr>
            </w:pPr>
            <w:r>
              <w:rPr>
                <w:rFonts w:hint="eastAsia"/>
                <w:szCs w:val="24"/>
              </w:rPr>
              <w:t>②运输沙、石、土方等易产尘物质的车辆必须封盖严密，严禁洒漏；</w:t>
            </w:r>
          </w:p>
          <w:p w14:paraId="3907E0CC">
            <w:pPr>
              <w:pStyle w:val="39"/>
              <w:autoSpaceDE w:val="0"/>
              <w:autoSpaceDN w:val="0"/>
              <w:adjustRightInd w:val="0"/>
              <w:snapToGrid w:val="0"/>
              <w:spacing w:line="360" w:lineRule="auto"/>
              <w:ind w:firstLine="480"/>
            </w:pPr>
            <w:r>
              <w:rPr>
                <w:rFonts w:hint="eastAsia"/>
                <w:szCs w:val="24"/>
              </w:rPr>
              <w:t>③合理安排运输路线，尽量避开人群聚集地；合理控制运输车辆的车速。</w:t>
            </w:r>
          </w:p>
          <w:p w14:paraId="27FA5022">
            <w:pPr>
              <w:pStyle w:val="39"/>
              <w:autoSpaceDE w:val="0"/>
              <w:autoSpaceDN w:val="0"/>
              <w:adjustRightInd w:val="0"/>
              <w:snapToGrid w:val="0"/>
              <w:spacing w:line="360" w:lineRule="auto"/>
              <w:ind w:firstLine="480"/>
              <w:rPr>
                <w:szCs w:val="24"/>
              </w:rPr>
            </w:pPr>
            <w:r>
              <w:rPr>
                <w:rFonts w:hint="eastAsia"/>
                <w:szCs w:val="24"/>
                <w:lang w:val="en-US" w:eastAsia="zh-CN"/>
              </w:rPr>
              <w:t>④</w:t>
            </w:r>
            <w:r>
              <w:rPr>
                <w:rFonts w:hint="eastAsia"/>
                <w:szCs w:val="24"/>
              </w:rPr>
              <w:t>材料堆放场应距敏感点≥100m，并设在当地主导风向下风向处；</w:t>
            </w:r>
          </w:p>
          <w:p w14:paraId="465E2DB4">
            <w:pPr>
              <w:pStyle w:val="39"/>
              <w:autoSpaceDE w:val="0"/>
              <w:autoSpaceDN w:val="0"/>
              <w:adjustRightInd w:val="0"/>
              <w:snapToGrid w:val="0"/>
              <w:spacing w:line="360" w:lineRule="auto"/>
              <w:ind w:firstLine="480"/>
              <w:rPr>
                <w:szCs w:val="24"/>
              </w:rPr>
            </w:pPr>
            <w:r>
              <w:rPr>
                <w:rFonts w:hint="eastAsia"/>
                <w:szCs w:val="24"/>
                <w:lang w:val="en-US" w:eastAsia="zh-CN"/>
              </w:rPr>
              <w:t>⑤</w:t>
            </w:r>
            <w:r>
              <w:rPr>
                <w:rFonts w:hint="eastAsia"/>
                <w:szCs w:val="24"/>
              </w:rPr>
              <w:t>风速四级以上易产生扬尘时，施工单位应暂停土方开挖，采取覆盖堆料、湿润等措施，有效减少扬尘污染；</w:t>
            </w:r>
          </w:p>
          <w:p w14:paraId="5F1D573F">
            <w:pPr>
              <w:pStyle w:val="39"/>
              <w:autoSpaceDE w:val="0"/>
              <w:autoSpaceDN w:val="0"/>
              <w:adjustRightInd w:val="0"/>
              <w:snapToGrid w:val="0"/>
              <w:spacing w:line="360" w:lineRule="auto"/>
              <w:ind w:firstLine="480"/>
              <w:rPr>
                <w:szCs w:val="24"/>
              </w:rPr>
            </w:pPr>
            <w:r>
              <w:rPr>
                <w:rFonts w:hint="eastAsia"/>
                <w:szCs w:val="24"/>
                <w:lang w:val="en-US" w:eastAsia="zh-CN"/>
              </w:rPr>
              <w:t>⑥</w:t>
            </w:r>
            <w:r>
              <w:rPr>
                <w:rFonts w:hint="eastAsia"/>
                <w:szCs w:val="24"/>
              </w:rPr>
              <w:t>及时清运施工废弃物，暂时不能清运的应采取覆盖等措施；</w:t>
            </w:r>
          </w:p>
          <w:p w14:paraId="00295E33">
            <w:pPr>
              <w:pStyle w:val="39"/>
              <w:autoSpaceDE w:val="0"/>
              <w:autoSpaceDN w:val="0"/>
              <w:adjustRightInd w:val="0"/>
              <w:snapToGrid w:val="0"/>
              <w:spacing w:line="360" w:lineRule="auto"/>
              <w:ind w:firstLine="480"/>
              <w:rPr>
                <w:rFonts w:hint="eastAsia" w:eastAsia="宋体"/>
                <w:szCs w:val="24"/>
                <w:lang w:eastAsia="zh-CN"/>
              </w:rPr>
            </w:pPr>
            <w:r>
              <w:rPr>
                <w:rFonts w:hint="eastAsia"/>
                <w:szCs w:val="24"/>
                <w:lang w:val="en-US" w:eastAsia="zh-CN"/>
              </w:rPr>
              <w:t>⑦</w:t>
            </w:r>
            <w:r>
              <w:rPr>
                <w:rFonts w:hint="eastAsia"/>
                <w:szCs w:val="24"/>
              </w:rPr>
              <w:t>工程完毕后及时清理施工场地</w:t>
            </w:r>
            <w:r>
              <w:rPr>
                <w:rFonts w:hint="eastAsia"/>
                <w:szCs w:val="24"/>
                <w:lang w:eastAsia="zh-CN"/>
              </w:rPr>
              <w:t>；</w:t>
            </w:r>
          </w:p>
          <w:p w14:paraId="05916BB0">
            <w:pPr>
              <w:pStyle w:val="39"/>
              <w:autoSpaceDE w:val="0"/>
              <w:autoSpaceDN w:val="0"/>
              <w:adjustRightInd w:val="0"/>
              <w:snapToGrid w:val="0"/>
              <w:spacing w:line="360" w:lineRule="auto"/>
              <w:ind w:firstLine="480"/>
              <w:rPr>
                <w:rFonts w:hint="eastAsia"/>
                <w:szCs w:val="24"/>
              </w:rPr>
            </w:pPr>
            <w:r>
              <w:rPr>
                <w:rFonts w:hint="eastAsia"/>
                <w:szCs w:val="24"/>
                <w:lang w:val="en-US" w:eastAsia="zh-CN"/>
              </w:rPr>
              <w:t>⑧施工</w:t>
            </w:r>
            <w:r>
              <w:rPr>
                <w:rFonts w:hint="eastAsia"/>
                <w:szCs w:val="24"/>
              </w:rPr>
              <w:t>期间</w:t>
            </w:r>
            <w:r>
              <w:rPr>
                <w:rFonts w:hint="eastAsia"/>
                <w:szCs w:val="24"/>
                <w:lang w:val="en-US" w:eastAsia="zh-CN"/>
              </w:rPr>
              <w:t>在暂不施工区域</w:t>
            </w:r>
            <w:r>
              <w:rPr>
                <w:rFonts w:hint="eastAsia"/>
                <w:szCs w:val="24"/>
              </w:rPr>
              <w:t>采取临时苫盖、定期洒水降尘。</w:t>
            </w:r>
          </w:p>
          <w:p w14:paraId="4CFF0153">
            <w:pPr>
              <w:pStyle w:val="39"/>
              <w:autoSpaceDE w:val="0"/>
              <w:autoSpaceDN w:val="0"/>
              <w:adjustRightInd w:val="0"/>
              <w:snapToGrid w:val="0"/>
              <w:spacing w:line="360" w:lineRule="auto"/>
              <w:ind w:firstLine="480"/>
            </w:pPr>
            <w:r>
              <w:rPr>
                <w:rFonts w:hint="eastAsia"/>
                <w:szCs w:val="24"/>
              </w:rPr>
              <w:t>综上，</w:t>
            </w:r>
            <w:r>
              <w:rPr>
                <w:szCs w:val="24"/>
              </w:rPr>
              <w:t>本工程施工期在采取</w:t>
            </w:r>
            <w:r>
              <w:rPr>
                <w:rFonts w:hint="eastAsia"/>
                <w:szCs w:val="24"/>
              </w:rPr>
              <w:t>以上大气污染</w:t>
            </w:r>
            <w:r>
              <w:rPr>
                <w:szCs w:val="24"/>
              </w:rPr>
              <w:t>防治措施后，</w:t>
            </w:r>
            <w:r>
              <w:rPr>
                <w:rFonts w:hint="eastAsia"/>
                <w:szCs w:val="24"/>
              </w:rPr>
              <w:t>运输道路</w:t>
            </w:r>
            <w:r>
              <w:rPr>
                <w:szCs w:val="24"/>
              </w:rPr>
              <w:t>扬尘对周围</w:t>
            </w:r>
            <w:r>
              <w:rPr>
                <w:rFonts w:hint="eastAsia"/>
                <w:szCs w:val="24"/>
              </w:rPr>
              <w:t>敏感点和</w:t>
            </w:r>
            <w:r>
              <w:rPr>
                <w:szCs w:val="24"/>
              </w:rPr>
              <w:t>环境的影响很小。</w:t>
            </w:r>
          </w:p>
          <w:p w14:paraId="2F58DAA8">
            <w:pPr>
              <w:pStyle w:val="18"/>
              <w:widowControl/>
              <w:spacing w:beforeAutospacing="0" w:afterAutospacing="0" w:line="360" w:lineRule="auto"/>
              <w:ind w:left="0" w:leftChars="0" w:firstLine="0" w:firstLineChars="0"/>
              <w:rPr>
                <w:b/>
                <w:bCs/>
              </w:rPr>
            </w:pPr>
            <w:r>
              <w:rPr>
                <w:rFonts w:hint="eastAsia"/>
                <w:b/>
                <w:bCs/>
                <w:lang w:val="en-US" w:eastAsia="zh-CN"/>
              </w:rPr>
              <w:t>2.2</w:t>
            </w:r>
            <w:r>
              <w:rPr>
                <w:b/>
                <w:bCs/>
              </w:rPr>
              <w:t>施工机械及车辆废气</w:t>
            </w:r>
          </w:p>
          <w:p w14:paraId="58A8B1A4">
            <w:pPr>
              <w:pStyle w:val="39"/>
              <w:autoSpaceDE w:val="0"/>
              <w:autoSpaceDN w:val="0"/>
              <w:adjustRightInd w:val="0"/>
              <w:snapToGrid w:val="0"/>
              <w:spacing w:line="360" w:lineRule="auto"/>
              <w:ind w:firstLine="480"/>
            </w:pPr>
            <w:r>
              <w:t>施工期间以燃油为动力的施工机械、施工车辆在施工场地附近排放一定量的CO、NO</w:t>
            </w:r>
            <w:r>
              <w:rPr>
                <w:vertAlign w:val="subscript"/>
              </w:rPr>
              <w:t>x</w:t>
            </w:r>
            <w:r>
              <w:t>、SO</w:t>
            </w:r>
            <w:r>
              <w:rPr>
                <w:vertAlign w:val="subscript"/>
              </w:rPr>
              <w:t>2</w:t>
            </w:r>
            <w:r>
              <w:t>等废气，由于本工程施工作业具有流动性和间歇性的特点，施工机械及车辆在施工区域废气排放量在总量</w:t>
            </w:r>
            <w:r>
              <w:rPr>
                <w:rFonts w:hint="eastAsia"/>
                <w:lang w:val="en-US" w:eastAsia="zh-CN"/>
              </w:rPr>
              <w:t>较小</w:t>
            </w:r>
            <w:r>
              <w:t>。另外，本工程施工区域地形开阔，空气流动条件较好，有利于污染物的扩散。因此，在加强设备及车辆的养护基础上</w:t>
            </w:r>
            <w:r>
              <w:rPr>
                <w:rFonts w:hint="eastAsia"/>
              </w:rPr>
              <w:t>，</w:t>
            </w:r>
            <w:r>
              <w:t>其对周围空气环境不会有明显的影响。</w:t>
            </w:r>
            <w:r>
              <w:rPr>
                <w:szCs w:val="24"/>
              </w:rPr>
              <w:t>另外，施工运输车辆一般为非连续行驶状态，污染物排放时间及排放量相对较少，故运输车辆尾气对大气环境影响较小。</w:t>
            </w:r>
          </w:p>
          <w:p w14:paraId="00D599ED">
            <w:pPr>
              <w:ind w:firstLine="480"/>
            </w:pPr>
            <w:r>
              <w:t>综上，由于本工程施工作业具有流动性和间歇性的特点，且本工程涉及场地不大，扬尘产生有限。通过洒水降尘、合理规划运输路线等措施，工程的实施对周边空气环境不会有明显的影响。</w:t>
            </w:r>
          </w:p>
          <w:p w14:paraId="53192FBE">
            <w:pPr>
              <w:pStyle w:val="3"/>
              <w:numPr>
                <w:ilvl w:val="0"/>
                <w:numId w:val="0"/>
              </w:numPr>
              <w:spacing w:before="156" w:after="156"/>
              <w:outlineLvl w:val="1"/>
            </w:pPr>
            <w:r>
              <w:rPr>
                <w:rFonts w:hint="eastAsia" w:ascii="宋体" w:hAnsi="宋体" w:cs="宋体"/>
                <w:b/>
                <w:kern w:val="2"/>
                <w:sz w:val="24"/>
                <w:szCs w:val="24"/>
                <w:lang w:val="en-US" w:eastAsia="zh-CN" w:bidi="ar-SA"/>
              </w:rPr>
              <w:t>3</w:t>
            </w:r>
            <w:r>
              <w:rPr>
                <w:rFonts w:hint="default" w:ascii="宋体" w:hAnsi="宋体" w:eastAsia="宋体" w:cs="宋体"/>
                <w:b/>
                <w:kern w:val="2"/>
                <w:sz w:val="24"/>
                <w:szCs w:val="24"/>
                <w:lang w:val="en-US" w:eastAsia="zh-CN" w:bidi="ar-SA"/>
              </w:rPr>
              <w:t>.</w:t>
            </w:r>
            <w:r>
              <w:rPr>
                <w:rFonts w:hint="eastAsia"/>
              </w:rPr>
              <w:t>施工期水环境影响分析</w:t>
            </w:r>
          </w:p>
          <w:p w14:paraId="0A017979">
            <w:pPr>
              <w:ind w:firstLine="480"/>
            </w:pPr>
            <w:r>
              <w:rPr>
                <w:rFonts w:hint="eastAsia"/>
              </w:rPr>
              <w:t>施工期</w:t>
            </w:r>
            <w:r>
              <w:t>废水主要为施工生产废水和施工人员生活污水。</w:t>
            </w:r>
          </w:p>
          <w:p w14:paraId="7316FECB">
            <w:pPr>
              <w:ind w:left="0" w:leftChars="0" w:firstLine="0" w:firstLineChars="0"/>
              <w:rPr>
                <w:rFonts w:hint="default" w:eastAsia="宋体"/>
                <w:b/>
                <w:bCs/>
                <w:lang w:val="en-US" w:eastAsia="zh-CN"/>
              </w:rPr>
            </w:pPr>
            <w:r>
              <w:rPr>
                <w:rFonts w:hint="eastAsia"/>
                <w:b/>
                <w:bCs/>
                <w:lang w:val="en-US" w:eastAsia="zh-CN"/>
              </w:rPr>
              <w:t>3.1施工废水环境影响</w:t>
            </w:r>
          </w:p>
          <w:p w14:paraId="2858BFB4">
            <w:pPr>
              <w:ind w:firstLine="480"/>
            </w:pPr>
            <w:r>
              <w:t>施工生产废水主要为施工机械和车辆</w:t>
            </w:r>
            <w:r>
              <w:rPr>
                <w:rFonts w:hint="eastAsia"/>
                <w:lang w:eastAsia="zh-CN"/>
              </w:rPr>
              <w:t>清洗</w:t>
            </w:r>
            <w:r>
              <w:t>过程中产生的清洗废水。在施工机械、车辆维修和冲洗场所周边设排水沟，收集污水进入</w:t>
            </w:r>
            <w:r>
              <w:rPr>
                <w:highlight w:val="none"/>
              </w:rPr>
              <w:t>沉淀池</w:t>
            </w:r>
            <w:r>
              <w:rPr>
                <w:rFonts w:hint="eastAsia"/>
                <w:highlight w:val="none"/>
                <w:lang w:eastAsia="zh-CN"/>
              </w:rPr>
              <w:t>（</w:t>
            </w:r>
            <w:r>
              <w:rPr>
                <w:rFonts w:hint="eastAsia"/>
                <w:highlight w:val="none"/>
                <w:lang w:val="en-US" w:eastAsia="zh-CN"/>
              </w:rPr>
              <w:t>2m×2m×1m</w:t>
            </w:r>
            <w:r>
              <w:rPr>
                <w:rFonts w:hint="eastAsia"/>
                <w:highlight w:val="none"/>
                <w:lang w:eastAsia="zh-CN"/>
              </w:rPr>
              <w:t>）</w:t>
            </w:r>
            <w:r>
              <w:t>，</w:t>
            </w:r>
            <w:r>
              <w:rPr>
                <w:rFonts w:hint="eastAsia"/>
                <w:lang w:eastAsia="zh-CN"/>
              </w:rPr>
              <w:t>沉淀后</w:t>
            </w:r>
            <w:r>
              <w:t>去除悬浮物，回用于道路洒水和车辆冲洗，不外排，对周边水环境影响较小。</w:t>
            </w:r>
          </w:p>
          <w:p w14:paraId="54549DEB">
            <w:pPr>
              <w:ind w:left="0" w:leftChars="0" w:firstLine="0" w:firstLineChars="0"/>
              <w:rPr>
                <w:rFonts w:hint="default" w:eastAsia="宋体"/>
                <w:b/>
                <w:bCs/>
                <w:lang w:val="en-US" w:eastAsia="zh-CN"/>
              </w:rPr>
            </w:pPr>
            <w:r>
              <w:rPr>
                <w:rFonts w:hint="eastAsia"/>
                <w:b/>
                <w:bCs/>
                <w:lang w:val="en-US" w:eastAsia="zh-CN"/>
              </w:rPr>
              <w:t>3.2生活污水环境影响</w:t>
            </w:r>
          </w:p>
          <w:p w14:paraId="14BF08D2">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lang w:val="en-US" w:eastAsia="zh-CN" w:bidi="ar-SA"/>
              </w:rPr>
            </w:pPr>
            <w:r>
              <w:rPr>
                <w:rFonts w:ascii="Times New Roman" w:hAnsi="Times New Roman" w:eastAsia="宋体" w:cstheme="minorBidi"/>
                <w:b w:val="0"/>
                <w:kern w:val="2"/>
                <w:sz w:val="24"/>
                <w:szCs w:val="24"/>
                <w:lang w:val="en-US" w:eastAsia="zh-CN" w:bidi="ar-SA"/>
              </w:rPr>
              <w:t>生活污水影响分析本项目施工期高峰施工人数约</w:t>
            </w:r>
            <w:r>
              <w:rPr>
                <w:rFonts w:hint="eastAsia" w:ascii="Times New Roman" w:hAnsi="Times New Roman" w:eastAsia="宋体" w:cstheme="minorBidi"/>
                <w:b w:val="0"/>
                <w:kern w:val="2"/>
                <w:sz w:val="24"/>
                <w:szCs w:val="24"/>
                <w:lang w:val="en-US" w:eastAsia="zh-CN" w:bidi="ar-SA"/>
              </w:rPr>
              <w:t>20</w:t>
            </w:r>
            <w:r>
              <w:rPr>
                <w:rFonts w:ascii="Times New Roman" w:hAnsi="Times New Roman" w:eastAsia="宋体" w:cstheme="minorBidi"/>
                <w:b w:val="0"/>
                <w:kern w:val="2"/>
                <w:sz w:val="24"/>
                <w:szCs w:val="24"/>
                <w:lang w:val="en-US" w:eastAsia="zh-CN" w:bidi="ar-SA"/>
              </w:rPr>
              <w:t>人，</w:t>
            </w:r>
            <w:r>
              <w:rPr>
                <w:rFonts w:hint="eastAsia" w:ascii="Times New Roman" w:hAnsi="Times New Roman" w:eastAsia="宋体" w:cstheme="minorBidi"/>
                <w:b w:val="0"/>
                <w:kern w:val="2"/>
                <w:sz w:val="24"/>
                <w:szCs w:val="24"/>
                <w:lang w:val="en-US" w:eastAsia="zh-CN" w:bidi="ar-SA"/>
              </w:rPr>
              <w:t>生活污水产生量为0.64m</w:t>
            </w:r>
            <w:r>
              <w:rPr>
                <w:rFonts w:hint="eastAsia" w:ascii="Times New Roman" w:hAnsi="Times New Roman" w:eastAsia="宋体" w:cstheme="minorBidi"/>
                <w:b w:val="0"/>
                <w:kern w:val="2"/>
                <w:sz w:val="24"/>
                <w:szCs w:val="24"/>
                <w:vertAlign w:val="superscript"/>
                <w:lang w:val="en-US" w:eastAsia="zh-CN" w:bidi="ar-SA"/>
              </w:rPr>
              <w:t>3</w:t>
            </w:r>
            <w:r>
              <w:rPr>
                <w:rFonts w:hint="eastAsia" w:ascii="Times New Roman" w:hAnsi="Times New Roman" w:eastAsia="宋体" w:cstheme="minorBidi"/>
                <w:b w:val="0"/>
                <w:kern w:val="2"/>
                <w:sz w:val="24"/>
                <w:szCs w:val="24"/>
                <w:lang w:val="en-US" w:eastAsia="zh-CN" w:bidi="ar-SA"/>
              </w:rPr>
              <w:t>/d，其主要污染物为COD、BOD</w:t>
            </w:r>
            <w:r>
              <w:rPr>
                <w:rFonts w:hint="eastAsia" w:ascii="Times New Roman" w:hAnsi="Times New Roman" w:eastAsia="宋体" w:cstheme="minorBidi"/>
                <w:b w:val="0"/>
                <w:kern w:val="2"/>
                <w:sz w:val="24"/>
                <w:szCs w:val="24"/>
                <w:vertAlign w:val="subscript"/>
                <w:lang w:val="en-US" w:eastAsia="zh-CN" w:bidi="ar-SA"/>
              </w:rPr>
              <w:t>5</w:t>
            </w:r>
            <w:r>
              <w:rPr>
                <w:rFonts w:hint="eastAsia" w:ascii="Times New Roman" w:hAnsi="Times New Roman" w:eastAsia="宋体" w:cstheme="minorBidi"/>
                <w:b w:val="0"/>
                <w:kern w:val="2"/>
                <w:sz w:val="24"/>
                <w:szCs w:val="24"/>
                <w:lang w:val="en-US" w:eastAsia="zh-CN" w:bidi="ar-SA"/>
              </w:rPr>
              <w:t>、SS、NH</w:t>
            </w:r>
            <w:r>
              <w:rPr>
                <w:rFonts w:hint="eastAsia" w:ascii="Times New Roman" w:hAnsi="Times New Roman" w:eastAsia="宋体" w:cstheme="minorBidi"/>
                <w:b w:val="0"/>
                <w:kern w:val="2"/>
                <w:sz w:val="24"/>
                <w:szCs w:val="24"/>
                <w:vertAlign w:val="subscript"/>
                <w:lang w:val="en-US" w:eastAsia="zh-CN" w:bidi="ar-SA"/>
              </w:rPr>
              <w:t>3</w:t>
            </w:r>
            <w:r>
              <w:rPr>
                <w:rFonts w:hint="eastAsia" w:ascii="Times New Roman" w:hAnsi="Times New Roman" w:eastAsia="宋体" w:cstheme="minorBidi"/>
                <w:b w:val="0"/>
                <w:kern w:val="2"/>
                <w:sz w:val="24"/>
                <w:szCs w:val="24"/>
                <w:lang w:val="en-US" w:eastAsia="zh-CN" w:bidi="ar-SA"/>
              </w:rPr>
              <w:t>-N。</w:t>
            </w:r>
            <w:r>
              <w:rPr>
                <w:rFonts w:ascii="Times New Roman" w:hAnsi="Times New Roman" w:eastAsia="宋体" w:cstheme="minorBidi"/>
                <w:b w:val="0"/>
                <w:kern w:val="2"/>
                <w:sz w:val="24"/>
                <w:szCs w:val="24"/>
                <w:lang w:val="en-US" w:eastAsia="zh-CN" w:bidi="ar-SA"/>
              </w:rPr>
              <w:t>项目所在地食宿</w:t>
            </w:r>
            <w:r>
              <w:rPr>
                <w:rFonts w:hint="eastAsia" w:ascii="Times New Roman" w:hAnsi="Times New Roman" w:eastAsia="宋体" w:cstheme="minorBidi"/>
                <w:b w:val="0"/>
                <w:kern w:val="2"/>
                <w:sz w:val="24"/>
                <w:szCs w:val="24"/>
                <w:lang w:val="en-US" w:eastAsia="zh-CN" w:bidi="ar-SA"/>
              </w:rPr>
              <w:t>均依托已建设施</w:t>
            </w:r>
            <w:r>
              <w:rPr>
                <w:rFonts w:ascii="Times New Roman" w:hAnsi="Times New Roman" w:eastAsia="宋体" w:cstheme="minorBidi"/>
                <w:b w:val="0"/>
                <w:kern w:val="2"/>
                <w:sz w:val="24"/>
                <w:szCs w:val="24"/>
                <w:lang w:val="en-US" w:eastAsia="zh-CN" w:bidi="ar-SA"/>
              </w:rPr>
              <w:t>，施工人员生活污水</w:t>
            </w:r>
            <w:r>
              <w:rPr>
                <w:rFonts w:hint="eastAsia" w:ascii="Times New Roman" w:hAnsi="Times New Roman" w:eastAsia="宋体" w:cstheme="minorBidi"/>
                <w:b w:val="0"/>
                <w:kern w:val="2"/>
                <w:sz w:val="24"/>
                <w:szCs w:val="24"/>
                <w:lang w:val="en-US" w:eastAsia="zh-CN" w:bidi="ar-SA"/>
              </w:rPr>
              <w:t>通过厂区</w:t>
            </w:r>
            <w:r>
              <w:rPr>
                <w:rFonts w:ascii="Times New Roman" w:hAnsi="Times New Roman" w:eastAsia="宋体" w:cstheme="minorBidi"/>
                <w:b w:val="0"/>
                <w:kern w:val="2"/>
                <w:sz w:val="24"/>
                <w:szCs w:val="24"/>
                <w:lang w:val="en-US" w:eastAsia="zh-CN" w:bidi="ar-SA"/>
              </w:rPr>
              <w:t>在施工场地内</w:t>
            </w:r>
            <w:r>
              <w:rPr>
                <w:rFonts w:hint="eastAsia" w:ascii="Times New Roman" w:hAnsi="Times New Roman" w:eastAsia="宋体" w:cstheme="minorBidi"/>
                <w:b w:val="0"/>
                <w:kern w:val="2"/>
                <w:sz w:val="24"/>
                <w:szCs w:val="24"/>
                <w:lang w:val="en-US" w:eastAsia="zh-CN" w:bidi="ar-SA"/>
              </w:rPr>
              <w:t>通过现有化粪池，定期委托个人由吸污泵车拉运至吉木萨尔县污水处理厂处置。不会对项目周边水体水质造成不利影响。</w:t>
            </w:r>
          </w:p>
          <w:p w14:paraId="3D2255B6">
            <w:pPr>
              <w:adjustRightInd w:val="0"/>
              <w:snapToGrid w:val="0"/>
              <w:spacing w:line="360" w:lineRule="auto"/>
              <w:ind w:firstLine="480" w:firstLineChars="200"/>
              <w:jc w:val="both"/>
            </w:pPr>
            <w:r>
              <w:rPr>
                <w:color w:val="000000"/>
                <w:kern w:val="0"/>
              </w:rPr>
              <w:t>项目施工期生活污水和生产废水严禁直接排放，</w:t>
            </w:r>
            <w:r>
              <w:rPr>
                <w:color w:val="000000"/>
              </w:rPr>
              <w:t>所在区域评价范围内无集中式饮用水源保护区存在。在采取相应的环保措施后，施工期生产废水、生活污水</w:t>
            </w:r>
            <w:r>
              <w:rPr>
                <w:color w:val="000000"/>
                <w:kern w:val="0"/>
              </w:rPr>
              <w:t>不会对当地的水环境质量产生影响。</w:t>
            </w:r>
          </w:p>
          <w:p w14:paraId="471AE21C">
            <w:pPr>
              <w:ind w:firstLine="480"/>
            </w:pPr>
            <w:r>
              <w:t>因此，施工期废水经合理收集并处理后，不会对周边水环境产生不利影响</w:t>
            </w:r>
          </w:p>
          <w:p w14:paraId="6CC6B626">
            <w:pPr>
              <w:pStyle w:val="3"/>
              <w:numPr>
                <w:ilvl w:val="0"/>
                <w:numId w:val="0"/>
              </w:numPr>
              <w:spacing w:before="156" w:after="156"/>
              <w:outlineLvl w:val="1"/>
            </w:pPr>
            <w:r>
              <w:rPr>
                <w:rFonts w:hint="eastAsia" w:ascii="宋体" w:hAnsi="宋体" w:cs="宋体"/>
                <w:b/>
                <w:kern w:val="2"/>
                <w:sz w:val="24"/>
                <w:szCs w:val="24"/>
                <w:lang w:val="en-US" w:eastAsia="zh-CN" w:bidi="ar-SA"/>
              </w:rPr>
              <w:t>4</w:t>
            </w:r>
            <w:r>
              <w:rPr>
                <w:rFonts w:hint="default" w:ascii="宋体" w:hAnsi="宋体" w:eastAsia="宋体" w:cs="宋体"/>
                <w:b/>
                <w:kern w:val="2"/>
                <w:sz w:val="24"/>
                <w:szCs w:val="24"/>
                <w:lang w:val="en-US" w:eastAsia="zh-CN" w:bidi="ar-SA"/>
              </w:rPr>
              <w:t>.</w:t>
            </w:r>
            <w:r>
              <w:rPr>
                <w:rFonts w:hint="eastAsia"/>
              </w:rPr>
              <w:t>施工期声环境影响分析</w:t>
            </w:r>
          </w:p>
          <w:p w14:paraId="7ED8CD08">
            <w:pPr>
              <w:adjustRightInd w:val="0"/>
              <w:snapToGrid w:val="0"/>
              <w:spacing w:line="360" w:lineRule="auto"/>
              <w:ind w:firstLine="480" w:firstLineChars="200"/>
            </w:pPr>
            <w:r>
              <w:rPr>
                <w:color w:val="000000"/>
              </w:rPr>
              <w:t>施工期噪声源主要由两部分组成，一是各类交通运输车辆；二是施工区各类生产机械设备。交通运输噪声呈带状间歇影响</w:t>
            </w:r>
            <w:r>
              <w:rPr>
                <w:rFonts w:hint="eastAsia"/>
                <w:color w:val="000000"/>
              </w:rPr>
              <w:t>，</w:t>
            </w:r>
            <w:r>
              <w:rPr>
                <w:color w:val="000000"/>
              </w:rPr>
              <w:t>施工机械噪声较为集中和连续</w:t>
            </w:r>
            <w:r>
              <w:rPr>
                <w:rFonts w:hint="eastAsia"/>
                <w:color w:val="000000"/>
              </w:rPr>
              <w:t>，</w:t>
            </w:r>
            <w:r>
              <w:rPr>
                <w:color w:val="000000"/>
              </w:rPr>
              <w:t>噪声影响的主要对象为施工区周围及运输道路沿线的居民。</w:t>
            </w:r>
          </w:p>
          <w:p w14:paraId="09854044">
            <w:pPr>
              <w:pStyle w:val="18"/>
              <w:widowControl/>
              <w:spacing w:beforeAutospacing="0" w:afterAutospacing="0"/>
              <w:ind w:firstLine="480"/>
            </w:pPr>
            <w:r>
              <w:t>（1）噪声源强分析</w:t>
            </w:r>
          </w:p>
          <w:p w14:paraId="7642A853">
            <w:pPr>
              <w:pStyle w:val="18"/>
              <w:widowControl/>
              <w:spacing w:beforeAutospacing="0" w:afterAutospacing="0"/>
              <w:ind w:firstLine="480"/>
            </w:pPr>
            <w:r>
              <w:t>施工噪声主要</w:t>
            </w:r>
            <w:r>
              <w:rPr>
                <w:rFonts w:hint="eastAsia"/>
              </w:rPr>
              <w:t>来自</w:t>
            </w:r>
            <w:r>
              <w:t>挖掘机、轮式装载机、推土机、重型运输车等机械施工活动，施工机械噪声源主要位于工程现场和施工基地，属于点声源。</w:t>
            </w:r>
          </w:p>
          <w:p w14:paraId="18658DD3">
            <w:pPr>
              <w:spacing w:afterLines="50" w:line="240" w:lineRule="auto"/>
              <w:ind w:firstLine="482"/>
              <w:jc w:val="center"/>
              <w:rPr>
                <w:rFonts w:hint="eastAsia"/>
                <w:b/>
              </w:rPr>
            </w:pPr>
            <w:r>
              <w:rPr>
                <w:rFonts w:hint="eastAsia"/>
                <w:b/>
              </w:rPr>
              <w:t>表4-2 各类机械产生噪声影响值 单位：dB（A）</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2529"/>
              <w:gridCol w:w="2031"/>
              <w:gridCol w:w="2032"/>
            </w:tblGrid>
            <w:tr w14:paraId="7296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2F5B570F">
                  <w:pPr>
                    <w:pStyle w:val="25"/>
                  </w:pPr>
                  <w:r>
                    <w:rPr>
                      <w:rFonts w:hint="eastAsia"/>
                    </w:rPr>
                    <w:t>序号</w:t>
                  </w:r>
                </w:p>
              </w:tc>
              <w:tc>
                <w:tcPr>
                  <w:tcW w:w="1630" w:type="pct"/>
                  <w:vAlign w:val="center"/>
                </w:tcPr>
                <w:p w14:paraId="715DBB23">
                  <w:pPr>
                    <w:pStyle w:val="25"/>
                  </w:pPr>
                  <w:r>
                    <w:rPr>
                      <w:rFonts w:hint="eastAsia"/>
                    </w:rPr>
                    <w:t>设备噪声</w:t>
                  </w:r>
                </w:p>
              </w:tc>
              <w:tc>
                <w:tcPr>
                  <w:tcW w:w="1309" w:type="pct"/>
                  <w:vAlign w:val="center"/>
                </w:tcPr>
                <w:p w14:paraId="5E9FCB71">
                  <w:pPr>
                    <w:pStyle w:val="25"/>
                  </w:pPr>
                  <w:r>
                    <w:rPr>
                      <w:rFonts w:hint="eastAsia"/>
                    </w:rPr>
                    <w:t>源强</w:t>
                  </w:r>
                </w:p>
              </w:tc>
              <w:tc>
                <w:tcPr>
                  <w:tcW w:w="1309" w:type="pct"/>
                  <w:vAlign w:val="center"/>
                </w:tcPr>
                <w:p w14:paraId="406EC6C5">
                  <w:pPr>
                    <w:pStyle w:val="25"/>
                  </w:pPr>
                  <w:r>
                    <w:rPr>
                      <w:rFonts w:hint="eastAsia"/>
                    </w:rPr>
                    <w:t>削减后</w:t>
                  </w:r>
                </w:p>
              </w:tc>
            </w:tr>
            <w:tr w14:paraId="3E8B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7AB7EEF4">
                  <w:pPr>
                    <w:pStyle w:val="25"/>
                    <w:rPr>
                      <w:b w:val="0"/>
                      <w:bCs/>
                    </w:rPr>
                  </w:pPr>
                  <w:r>
                    <w:rPr>
                      <w:rFonts w:hint="eastAsia"/>
                      <w:b w:val="0"/>
                      <w:bCs/>
                    </w:rPr>
                    <w:t>1</w:t>
                  </w:r>
                </w:p>
              </w:tc>
              <w:tc>
                <w:tcPr>
                  <w:tcW w:w="1630" w:type="pct"/>
                  <w:vAlign w:val="center"/>
                </w:tcPr>
                <w:p w14:paraId="3EA93804">
                  <w:pPr>
                    <w:pStyle w:val="25"/>
                    <w:rPr>
                      <w:b w:val="0"/>
                      <w:bCs/>
                    </w:rPr>
                  </w:pPr>
                  <w:r>
                    <w:rPr>
                      <w:rFonts w:hint="eastAsia"/>
                      <w:b w:val="0"/>
                      <w:bCs/>
                    </w:rPr>
                    <w:t>挖掘机</w:t>
                  </w:r>
                </w:p>
              </w:tc>
              <w:tc>
                <w:tcPr>
                  <w:tcW w:w="1309" w:type="pct"/>
                  <w:vAlign w:val="center"/>
                </w:tcPr>
                <w:p w14:paraId="5E2A7846">
                  <w:pPr>
                    <w:pStyle w:val="25"/>
                    <w:rPr>
                      <w:b w:val="0"/>
                      <w:bCs/>
                    </w:rPr>
                  </w:pPr>
                  <w:r>
                    <w:rPr>
                      <w:rFonts w:hint="eastAsia"/>
                      <w:b w:val="0"/>
                      <w:bCs/>
                    </w:rPr>
                    <w:t>80-86</w:t>
                  </w:r>
                </w:p>
              </w:tc>
              <w:tc>
                <w:tcPr>
                  <w:tcW w:w="1309" w:type="pct"/>
                  <w:vAlign w:val="center"/>
                </w:tcPr>
                <w:p w14:paraId="6C57CCC6">
                  <w:pPr>
                    <w:pStyle w:val="25"/>
                    <w:rPr>
                      <w:b w:val="0"/>
                      <w:bCs/>
                    </w:rPr>
                  </w:pPr>
                  <w:r>
                    <w:rPr>
                      <w:rFonts w:hint="eastAsia"/>
                      <w:b w:val="0"/>
                      <w:bCs/>
                    </w:rPr>
                    <w:t>60-66</w:t>
                  </w:r>
                </w:p>
              </w:tc>
            </w:tr>
            <w:tr w14:paraId="78CD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5A4FE71B">
                  <w:pPr>
                    <w:pStyle w:val="25"/>
                    <w:rPr>
                      <w:b w:val="0"/>
                      <w:bCs/>
                    </w:rPr>
                  </w:pPr>
                  <w:r>
                    <w:rPr>
                      <w:rFonts w:hint="eastAsia"/>
                      <w:b w:val="0"/>
                      <w:bCs/>
                    </w:rPr>
                    <w:t>2</w:t>
                  </w:r>
                </w:p>
              </w:tc>
              <w:tc>
                <w:tcPr>
                  <w:tcW w:w="1630" w:type="pct"/>
                  <w:vAlign w:val="center"/>
                </w:tcPr>
                <w:p w14:paraId="4D6E0EA7">
                  <w:pPr>
                    <w:pStyle w:val="25"/>
                    <w:rPr>
                      <w:rFonts w:hint="eastAsia" w:eastAsia="宋体"/>
                      <w:b w:val="0"/>
                      <w:bCs/>
                      <w:lang w:eastAsia="zh-CN"/>
                    </w:rPr>
                  </w:pPr>
                  <w:r>
                    <w:rPr>
                      <w:rFonts w:hint="eastAsia"/>
                      <w:b w:val="0"/>
                      <w:bCs/>
                      <w:lang w:val="en-US" w:eastAsia="zh-CN"/>
                    </w:rPr>
                    <w:t>搅拌机</w:t>
                  </w:r>
                </w:p>
              </w:tc>
              <w:tc>
                <w:tcPr>
                  <w:tcW w:w="1309" w:type="pct"/>
                  <w:vAlign w:val="center"/>
                </w:tcPr>
                <w:p w14:paraId="49F511E5">
                  <w:pPr>
                    <w:pStyle w:val="25"/>
                    <w:rPr>
                      <w:rFonts w:hint="default" w:eastAsia="宋体"/>
                      <w:b w:val="0"/>
                      <w:bCs/>
                      <w:lang w:val="en-US" w:eastAsia="zh-CN"/>
                    </w:rPr>
                  </w:pPr>
                  <w:r>
                    <w:rPr>
                      <w:rFonts w:hint="eastAsia"/>
                      <w:b w:val="0"/>
                      <w:bCs/>
                      <w:lang w:val="en-US" w:eastAsia="zh-CN"/>
                    </w:rPr>
                    <w:t>85-75</w:t>
                  </w:r>
                </w:p>
              </w:tc>
              <w:tc>
                <w:tcPr>
                  <w:tcW w:w="1309" w:type="pct"/>
                  <w:vAlign w:val="center"/>
                </w:tcPr>
                <w:p w14:paraId="5A93855F">
                  <w:pPr>
                    <w:pStyle w:val="25"/>
                    <w:rPr>
                      <w:rFonts w:hint="default" w:eastAsia="宋体"/>
                      <w:b w:val="0"/>
                      <w:bCs/>
                      <w:lang w:val="en-US" w:eastAsia="zh-CN"/>
                    </w:rPr>
                  </w:pPr>
                  <w:r>
                    <w:rPr>
                      <w:rFonts w:hint="eastAsia"/>
                      <w:b w:val="0"/>
                      <w:bCs/>
                      <w:lang w:val="en-US" w:eastAsia="zh-CN"/>
                    </w:rPr>
                    <w:t>65</w:t>
                  </w:r>
                  <w:r>
                    <w:rPr>
                      <w:rFonts w:hint="eastAsia"/>
                      <w:b w:val="0"/>
                      <w:bCs/>
                    </w:rPr>
                    <w:t>-</w:t>
                  </w:r>
                  <w:r>
                    <w:rPr>
                      <w:rFonts w:hint="eastAsia"/>
                      <w:b w:val="0"/>
                      <w:bCs/>
                      <w:lang w:val="en-US" w:eastAsia="zh-CN"/>
                    </w:rPr>
                    <w:t>55</w:t>
                  </w:r>
                </w:p>
              </w:tc>
            </w:tr>
            <w:tr w14:paraId="6CF1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Align w:val="center"/>
                </w:tcPr>
                <w:p w14:paraId="402000CA">
                  <w:pPr>
                    <w:pStyle w:val="25"/>
                    <w:rPr>
                      <w:rFonts w:hint="eastAsia" w:eastAsia="宋体"/>
                      <w:b w:val="0"/>
                      <w:bCs/>
                      <w:lang w:val="en-US" w:eastAsia="zh-CN"/>
                    </w:rPr>
                  </w:pPr>
                  <w:r>
                    <w:rPr>
                      <w:rFonts w:hint="eastAsia"/>
                      <w:b w:val="0"/>
                      <w:bCs/>
                      <w:lang w:val="en-US" w:eastAsia="zh-CN"/>
                    </w:rPr>
                    <w:t>3</w:t>
                  </w:r>
                </w:p>
              </w:tc>
              <w:tc>
                <w:tcPr>
                  <w:tcW w:w="1630" w:type="pct"/>
                  <w:vAlign w:val="center"/>
                </w:tcPr>
                <w:p w14:paraId="0B7CC4AF">
                  <w:pPr>
                    <w:pStyle w:val="25"/>
                    <w:rPr>
                      <w:b w:val="0"/>
                      <w:bCs/>
                    </w:rPr>
                  </w:pPr>
                  <w:r>
                    <w:rPr>
                      <w:rFonts w:hint="eastAsia"/>
                      <w:b w:val="0"/>
                      <w:bCs/>
                    </w:rPr>
                    <w:t>重型运输车</w:t>
                  </w:r>
                </w:p>
              </w:tc>
              <w:tc>
                <w:tcPr>
                  <w:tcW w:w="1309" w:type="pct"/>
                  <w:vAlign w:val="center"/>
                </w:tcPr>
                <w:p w14:paraId="24456E21">
                  <w:pPr>
                    <w:pStyle w:val="25"/>
                    <w:rPr>
                      <w:b w:val="0"/>
                      <w:bCs/>
                    </w:rPr>
                  </w:pPr>
                  <w:r>
                    <w:rPr>
                      <w:rFonts w:hint="eastAsia"/>
                      <w:b w:val="0"/>
                      <w:bCs/>
                    </w:rPr>
                    <w:t>82-90</w:t>
                  </w:r>
                </w:p>
              </w:tc>
              <w:tc>
                <w:tcPr>
                  <w:tcW w:w="1309" w:type="pct"/>
                  <w:vAlign w:val="center"/>
                </w:tcPr>
                <w:p w14:paraId="6DF0F6FA">
                  <w:pPr>
                    <w:pStyle w:val="25"/>
                    <w:rPr>
                      <w:b w:val="0"/>
                      <w:bCs/>
                    </w:rPr>
                  </w:pPr>
                  <w:r>
                    <w:rPr>
                      <w:rFonts w:hint="eastAsia"/>
                      <w:b w:val="0"/>
                      <w:bCs/>
                    </w:rPr>
                    <w:t>62-70</w:t>
                  </w:r>
                </w:p>
              </w:tc>
            </w:tr>
          </w:tbl>
          <w:p w14:paraId="686AD2DF">
            <w:pPr>
              <w:ind w:firstLine="480"/>
            </w:pPr>
            <w:r>
              <w:t>本工程仅在昼间进行施工，夜间不施工</w:t>
            </w:r>
            <w:r>
              <w:rPr>
                <w:rFonts w:hint="eastAsia"/>
                <w:lang w:eastAsia="zh-CN"/>
              </w:rPr>
              <w:t>。</w:t>
            </w:r>
            <w:r>
              <w:t>施工单位应严格按照《中华人民共和国环境噪声污染防治法》和《</w:t>
            </w:r>
            <w:r>
              <w:rPr>
                <w:rFonts w:hint="eastAsia"/>
              </w:rPr>
              <w:t>建筑施工场界环境噪声排放标准</w:t>
            </w:r>
            <w:r>
              <w:t>》（GB12523-2011），通过合理安排施工方式和时间；在施工过程中，选用低噪音、低振动的机械设备和运输车辆；施工现场将机械设施分散合理布置，高噪声设备尽量远离声环境敏感点；施工期间合理安排施工车辆行驶线路和时间，设立限速</w:t>
            </w:r>
            <w:r>
              <w:rPr>
                <w:rFonts w:hint="eastAsia"/>
              </w:rPr>
              <w:t>标志</w:t>
            </w:r>
            <w:r>
              <w:t>、禁止高音鸣号，行驶路线避开居民密集区及声环境敏感点；在施工场界处设置移动式隔声屏</w:t>
            </w:r>
            <w:r>
              <w:rPr>
                <w:rFonts w:hint="eastAsia"/>
                <w:lang w:val="en-US" w:eastAsia="zh-CN"/>
              </w:rPr>
              <w:t>障</w:t>
            </w:r>
            <w:r>
              <w:t>，可有效减小施工设备噪声的影响。</w:t>
            </w:r>
          </w:p>
          <w:p w14:paraId="21E78E92">
            <w:pPr>
              <w:ind w:firstLine="480"/>
            </w:pPr>
            <w:r>
              <w:t>总体来说，工程施工</w:t>
            </w:r>
            <w:r>
              <w:rPr>
                <w:rFonts w:hint="eastAsia"/>
                <w:lang w:val="en-US" w:eastAsia="zh-CN"/>
              </w:rPr>
              <w:t>在采取相应措施后</w:t>
            </w:r>
            <w:r>
              <w:t>，机械噪声和振动影响范围不大。施工单位结合施工布置，通过选用低噪音、低振动的机械设备和运输车辆，合理安排施工活动，在施工场界处设置移动式隔声屏等</w:t>
            </w:r>
            <w:r>
              <w:rPr>
                <w:rFonts w:hint="eastAsia"/>
              </w:rPr>
              <w:t>降噪</w:t>
            </w:r>
            <w:r>
              <w:t>措施，进一步减少了对周边声环境的影响。因此，本项目施工期间对周边声环境产生影响</w:t>
            </w:r>
            <w:r>
              <w:rPr>
                <w:rFonts w:hint="eastAsia"/>
                <w:lang w:val="en-US" w:eastAsia="zh-CN"/>
              </w:rPr>
              <w:t>较小</w:t>
            </w:r>
            <w:r>
              <w:t>。</w:t>
            </w:r>
          </w:p>
          <w:p w14:paraId="1D14E1F5">
            <w:pPr>
              <w:pStyle w:val="3"/>
              <w:numPr>
                <w:ilvl w:val="0"/>
                <w:numId w:val="0"/>
              </w:numPr>
              <w:spacing w:before="156" w:after="156"/>
              <w:outlineLvl w:val="1"/>
            </w:pPr>
            <w:r>
              <w:rPr>
                <w:rFonts w:hint="default" w:ascii="宋体" w:hAnsi="宋体" w:eastAsia="宋体" w:cs="宋体"/>
                <w:b/>
                <w:kern w:val="2"/>
                <w:sz w:val="24"/>
                <w:szCs w:val="24"/>
                <w:lang w:val="en-US" w:eastAsia="zh-CN" w:bidi="ar-SA"/>
              </w:rPr>
              <w:t>4.</w:t>
            </w:r>
            <w:r>
              <w:rPr>
                <w:rFonts w:hint="eastAsia"/>
              </w:rPr>
              <w:t>施工期固体废物影响分析</w:t>
            </w:r>
          </w:p>
          <w:p w14:paraId="538A8B15">
            <w:pPr>
              <w:ind w:firstLine="480"/>
            </w:pPr>
            <w:r>
              <w:t>本工程施工期固体废物主要为施工过程中产生的</w:t>
            </w:r>
            <w:r>
              <w:rPr>
                <w:rFonts w:hint="eastAsia"/>
                <w:lang w:val="en-US" w:eastAsia="zh-CN"/>
              </w:rPr>
              <w:t>施工</w:t>
            </w:r>
            <w:r>
              <w:t>垃圾、施工人员生活垃圾等。</w:t>
            </w:r>
          </w:p>
          <w:p w14:paraId="150C0626">
            <w:pPr>
              <w:numPr>
                <w:ilvl w:val="0"/>
                <w:numId w:val="0"/>
              </w:numPr>
              <w:spacing w:line="360" w:lineRule="auto"/>
              <w:ind w:firstLine="480" w:firstLineChars="200"/>
            </w:pPr>
            <w:r>
              <w:rPr>
                <w:rFonts w:ascii="Times New Roman" w:hAnsi="Times New Roman" w:eastAsia="宋体" w:cstheme="minorBidi"/>
                <w:kern w:val="2"/>
                <w:sz w:val="24"/>
                <w:szCs w:val="24"/>
                <w:lang w:val="en-US" w:eastAsia="zh-CN" w:bidi="ar-SA"/>
              </w:rPr>
              <w:t>（1）</w:t>
            </w:r>
            <w:r>
              <w:rPr>
                <w:rFonts w:hint="eastAsia" w:cstheme="minorBidi"/>
                <w:kern w:val="2"/>
                <w:sz w:val="24"/>
                <w:szCs w:val="24"/>
                <w:lang w:val="en-US" w:eastAsia="zh-CN" w:bidi="ar-SA"/>
              </w:rPr>
              <w:t>施工</w:t>
            </w:r>
            <w:r>
              <w:t>垃圾</w:t>
            </w:r>
          </w:p>
          <w:p w14:paraId="6187C9A4">
            <w:pPr>
              <w:adjustRightInd w:val="0"/>
              <w:snapToGrid w:val="0"/>
              <w:spacing w:line="360" w:lineRule="auto"/>
              <w:ind w:firstLine="480" w:firstLineChars="200"/>
              <w:rPr>
                <w:color w:val="000000"/>
              </w:rPr>
            </w:pPr>
            <w:r>
              <w:rPr>
                <w:color w:val="000000"/>
              </w:rPr>
              <w:t>项目施工产生的</w:t>
            </w:r>
            <w:r>
              <w:rPr>
                <w:rFonts w:hint="eastAsia"/>
                <w:color w:val="000000"/>
                <w:lang w:val="en-US" w:eastAsia="zh-CN"/>
              </w:rPr>
              <w:t>施工</w:t>
            </w:r>
            <w:r>
              <w:rPr>
                <w:color w:val="000000"/>
              </w:rPr>
              <w:t>垃圾约为</w:t>
            </w:r>
            <w:r>
              <w:rPr>
                <w:rFonts w:hint="eastAsia"/>
                <w:color w:val="000000"/>
                <w:lang w:val="en-US" w:eastAsia="zh-CN"/>
              </w:rPr>
              <w:t>1</w:t>
            </w:r>
            <w:r>
              <w:rPr>
                <w:color w:val="000000"/>
              </w:rPr>
              <w:t>t，</w:t>
            </w:r>
            <w:r>
              <w:rPr>
                <w:rFonts w:hint="eastAsia"/>
                <w:color w:val="000000"/>
                <w:lang w:val="en-US" w:eastAsia="zh-CN"/>
              </w:rPr>
              <w:t>施工</w:t>
            </w:r>
            <w:r>
              <w:rPr>
                <w:color w:val="000000"/>
              </w:rPr>
              <w:t>垃圾的成分有木板、钢筋、各种辅助工程的包装箱、包装袋等。建筑垃圾能够回收利用的进行回收利用，不能回收利用的规范收集后</w:t>
            </w:r>
            <w:r>
              <w:rPr>
                <w:rFonts w:hint="eastAsia"/>
                <w:color w:val="000000"/>
                <w:lang w:eastAsia="zh-CN"/>
              </w:rPr>
              <w:t>运往</w:t>
            </w:r>
            <w:r>
              <w:rPr>
                <w:color w:val="000000"/>
              </w:rPr>
              <w:t>一般固体废物处置场处置。</w:t>
            </w:r>
          </w:p>
          <w:p w14:paraId="2F25B602">
            <w:pPr>
              <w:numPr>
                <w:ilvl w:val="0"/>
                <w:numId w:val="0"/>
              </w:numPr>
              <w:ind w:firstLine="480" w:firstLineChars="200"/>
            </w:pPr>
            <w:r>
              <w:rPr>
                <w:rFonts w:ascii="Times New Roman" w:hAnsi="Times New Roman" w:eastAsia="宋体" w:cstheme="minorBidi"/>
                <w:kern w:val="2"/>
                <w:sz w:val="24"/>
                <w:szCs w:val="24"/>
                <w:lang w:val="en-US" w:eastAsia="zh-CN" w:bidi="ar-SA"/>
              </w:rPr>
              <w:t>（</w:t>
            </w:r>
            <w:r>
              <w:rPr>
                <w:rFonts w:hint="eastAsia" w:cstheme="minorBidi"/>
                <w:kern w:val="2"/>
                <w:sz w:val="24"/>
                <w:szCs w:val="24"/>
                <w:lang w:val="en-US" w:eastAsia="zh-CN" w:bidi="ar-SA"/>
              </w:rPr>
              <w:t>2</w:t>
            </w:r>
            <w:r>
              <w:rPr>
                <w:rFonts w:ascii="Times New Roman" w:hAnsi="Times New Roman" w:eastAsia="宋体" w:cstheme="minorBidi"/>
                <w:kern w:val="2"/>
                <w:sz w:val="24"/>
                <w:szCs w:val="24"/>
                <w:lang w:val="en-US" w:eastAsia="zh-CN" w:bidi="ar-SA"/>
              </w:rPr>
              <w:t>）</w:t>
            </w:r>
            <w:r>
              <w:t>生活垃圾</w:t>
            </w:r>
          </w:p>
          <w:p w14:paraId="154AAF7A">
            <w:pPr>
              <w:ind w:firstLine="480"/>
            </w:pPr>
            <w:r>
              <w:t>施工高峰期施工人员按</w:t>
            </w:r>
            <w:r>
              <w:rPr>
                <w:rFonts w:hint="eastAsia"/>
                <w:lang w:val="en-US" w:eastAsia="zh-CN"/>
              </w:rPr>
              <w:t>20</w:t>
            </w:r>
            <w:r>
              <w:t>人计，</w:t>
            </w:r>
            <w:r>
              <w:rPr>
                <w:color w:val="000000"/>
              </w:rPr>
              <w:t>项目施工人员生活垃圾以平均每人每天产生0.5kg计算，施工人员的平均生活垃圾产生量为</w:t>
            </w:r>
            <w:r>
              <w:rPr>
                <w:rFonts w:hint="eastAsia"/>
                <w:color w:val="000000"/>
                <w:lang w:val="en-US" w:eastAsia="zh-CN"/>
              </w:rPr>
              <w:t>10</w:t>
            </w:r>
            <w:r>
              <w:rPr>
                <w:color w:val="000000"/>
              </w:rPr>
              <w:t>kg/d。生活垃圾设置垃圾桶集中收集，然后运至附近生活垃圾收集点处置。</w:t>
            </w:r>
          </w:p>
          <w:p w14:paraId="7E1926FF">
            <w:pPr>
              <w:ind w:firstLine="480"/>
            </w:pPr>
            <w:r>
              <w:t>综上所述，经采取一定措施后，施工期产生的固体废物对工程及</w:t>
            </w:r>
            <w:r>
              <w:rPr>
                <w:rFonts w:hint="eastAsia"/>
              </w:rPr>
              <w:t>周边环境产生不利影响</w:t>
            </w:r>
            <w:r>
              <w:rPr>
                <w:rFonts w:hint="eastAsia"/>
                <w:lang w:val="en-US" w:eastAsia="zh-CN"/>
              </w:rPr>
              <w:t>较小</w:t>
            </w:r>
            <w:r>
              <w:rPr>
                <w:rFonts w:hint="eastAsia"/>
              </w:rPr>
              <w:t>。</w:t>
            </w:r>
          </w:p>
        </w:tc>
      </w:tr>
      <w:tr w14:paraId="53E8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4" w:hRule="atLeast"/>
        </w:trPr>
        <w:tc>
          <w:tcPr>
            <w:tcW w:w="535" w:type="dxa"/>
            <w:vAlign w:val="center"/>
          </w:tcPr>
          <w:p w14:paraId="3C6FFB6C">
            <w:pPr>
              <w:pStyle w:val="28"/>
              <w:rPr>
                <w:rFonts w:hint="default"/>
              </w:rPr>
            </w:pPr>
            <w:r>
              <w:t>运营期生态环境影响分析</w:t>
            </w:r>
          </w:p>
        </w:tc>
        <w:tc>
          <w:tcPr>
            <w:tcW w:w="7984" w:type="dxa"/>
            <w:vAlign w:val="center"/>
          </w:tcPr>
          <w:p w14:paraId="1607FD39">
            <w:pPr>
              <w:ind w:left="0" w:leftChars="0" w:firstLine="0" w:firstLineChars="0"/>
              <w:rPr>
                <w:rFonts w:hint="eastAsia"/>
                <w:b/>
                <w:bCs/>
                <w:szCs w:val="32"/>
                <w:lang w:eastAsia="zh-CN"/>
              </w:rPr>
            </w:pPr>
            <w:r>
              <w:rPr>
                <w:rFonts w:hint="eastAsia"/>
                <w:b/>
                <w:bCs/>
                <w:szCs w:val="32"/>
                <w:lang w:eastAsia="zh-CN"/>
              </w:rPr>
              <w:t>1、大气环境</w:t>
            </w:r>
          </w:p>
          <w:p w14:paraId="1D9935BC">
            <w:pPr>
              <w:ind w:left="0" w:leftChars="0" w:firstLine="0" w:firstLineChars="0"/>
              <w:rPr>
                <w:rFonts w:hint="eastAsia"/>
                <w:b/>
                <w:bCs/>
                <w:szCs w:val="32"/>
                <w:lang w:eastAsia="zh-CN"/>
              </w:rPr>
            </w:pPr>
            <w:r>
              <w:rPr>
                <w:rFonts w:hint="eastAsia"/>
                <w:b/>
                <w:bCs/>
                <w:szCs w:val="32"/>
                <w:lang w:eastAsia="zh-CN"/>
              </w:rPr>
              <w:t>1.1废气产排情况</w:t>
            </w:r>
          </w:p>
          <w:p w14:paraId="1375C90B">
            <w:pPr>
              <w:ind w:firstLine="480"/>
              <w:rPr>
                <w:rFonts w:hint="eastAsia"/>
                <w:szCs w:val="32"/>
                <w:lang w:val="en-US" w:eastAsia="zh-CN"/>
              </w:rPr>
            </w:pPr>
            <w:r>
              <w:rPr>
                <w:rFonts w:hint="eastAsia"/>
                <w:szCs w:val="32"/>
                <w:lang w:val="en-US" w:eastAsia="zh-CN"/>
              </w:rPr>
              <w:t>根据本项目生产工艺流程可知。主要大气污染因子为原料堆场产生的粉尘、投料粉尘、筛分粉尘、皮带输送粉尘及车辆运输扬尘及食堂油烟废气等。</w:t>
            </w:r>
          </w:p>
          <w:p w14:paraId="7C62E717">
            <w:pPr>
              <w:ind w:firstLine="480"/>
              <w:rPr>
                <w:rFonts w:hint="eastAsia"/>
                <w:b/>
                <w:bCs/>
                <w:szCs w:val="32"/>
                <w:lang w:eastAsia="zh-CN"/>
              </w:rPr>
            </w:pPr>
            <w:r>
              <w:rPr>
                <w:rFonts w:hint="eastAsia"/>
                <w:b/>
                <w:bCs/>
                <w:szCs w:val="32"/>
                <w:lang w:eastAsia="zh-CN"/>
              </w:rPr>
              <w:t>（1）原料堆场扬尘</w:t>
            </w:r>
          </w:p>
          <w:p w14:paraId="5C935473">
            <w:pPr>
              <w:ind w:firstLine="480"/>
              <w:rPr>
                <w:rFonts w:hint="eastAsia"/>
                <w:szCs w:val="32"/>
                <w:lang w:eastAsia="zh-CN"/>
              </w:rPr>
            </w:pPr>
            <w:r>
              <w:rPr>
                <w:rFonts w:hint="eastAsia"/>
                <w:szCs w:val="32"/>
                <w:lang w:eastAsia="zh-CN"/>
              </w:rPr>
              <w:t>原料砂石在大风天气时会产生扬尘，扬尘的主要污染物为颗粒物，参照干堆扬尘计算公式：</w:t>
            </w:r>
          </w:p>
          <w:p w14:paraId="741FE365">
            <w:pPr>
              <w:ind w:left="0" w:leftChars="0" w:firstLine="0" w:firstLineChars="0"/>
              <w:jc w:val="center"/>
              <w:rPr>
                <w:rFonts w:hint="eastAsia"/>
                <w:szCs w:val="32"/>
                <w:lang w:eastAsia="zh-CN"/>
              </w:rPr>
            </w:pPr>
            <w:r>
              <w:rPr>
                <w:rFonts w:hint="eastAsia"/>
                <w:szCs w:val="32"/>
                <w:lang w:eastAsia="zh-CN"/>
              </w:rPr>
              <w:t>Q=4.23×10</w:t>
            </w:r>
            <w:r>
              <w:rPr>
                <w:rFonts w:hint="eastAsia"/>
                <w:szCs w:val="32"/>
                <w:vertAlign w:val="superscript"/>
                <w:lang w:eastAsia="zh-CN"/>
              </w:rPr>
              <w:t>-4</w:t>
            </w:r>
            <w:r>
              <w:rPr>
                <w:rFonts w:hint="eastAsia"/>
                <w:szCs w:val="32"/>
                <w:lang w:eastAsia="zh-CN"/>
              </w:rPr>
              <w:t>×V4.9×S</w:t>
            </w:r>
          </w:p>
          <w:p w14:paraId="191C3506">
            <w:pPr>
              <w:ind w:left="0" w:leftChars="0" w:firstLine="0" w:firstLineChars="0"/>
              <w:jc w:val="center"/>
              <w:rPr>
                <w:rFonts w:hint="eastAsia"/>
                <w:szCs w:val="32"/>
                <w:lang w:eastAsia="zh-CN"/>
              </w:rPr>
            </w:pPr>
            <w:r>
              <w:rPr>
                <w:rFonts w:hint="eastAsia"/>
                <w:szCs w:val="32"/>
                <w:lang w:eastAsia="zh-CN"/>
              </w:rPr>
              <w:t>其中：Q—粉尘产生量，kg/d;</w:t>
            </w:r>
          </w:p>
          <w:p w14:paraId="1A3699B6">
            <w:pPr>
              <w:ind w:left="0" w:leftChars="0" w:firstLine="0" w:firstLineChars="0"/>
              <w:jc w:val="center"/>
              <w:rPr>
                <w:rFonts w:hint="eastAsia"/>
                <w:szCs w:val="32"/>
                <w:lang w:eastAsia="zh-CN"/>
              </w:rPr>
            </w:pPr>
            <w:r>
              <w:rPr>
                <w:rFonts w:hint="eastAsia"/>
                <w:szCs w:val="32"/>
                <w:lang w:eastAsia="zh-CN"/>
              </w:rPr>
              <w:t>S—堆场面积，</w:t>
            </w:r>
            <w:r>
              <w:rPr>
                <w:rFonts w:hint="eastAsia"/>
                <w:szCs w:val="32"/>
                <w:lang w:val="en-US" w:eastAsia="zh-CN"/>
              </w:rPr>
              <w:t>1</w:t>
            </w:r>
            <w:r>
              <w:rPr>
                <w:rFonts w:hint="eastAsia"/>
                <w:szCs w:val="32"/>
                <w:lang w:eastAsia="zh-CN"/>
              </w:rPr>
              <w:t>500m</w:t>
            </w:r>
            <w:r>
              <w:rPr>
                <w:rFonts w:hint="eastAsia"/>
                <w:szCs w:val="32"/>
                <w:vertAlign w:val="superscript"/>
                <w:lang w:eastAsia="zh-CN"/>
              </w:rPr>
              <w:t>2</w:t>
            </w:r>
            <w:r>
              <w:rPr>
                <w:rFonts w:hint="eastAsia"/>
                <w:szCs w:val="32"/>
                <w:lang w:eastAsia="zh-CN"/>
              </w:rPr>
              <w:t>;</w:t>
            </w:r>
          </w:p>
          <w:p w14:paraId="2C9F9D07">
            <w:pPr>
              <w:ind w:left="0" w:leftChars="0" w:firstLine="0" w:firstLineChars="0"/>
              <w:jc w:val="center"/>
              <w:rPr>
                <w:rFonts w:hint="eastAsia"/>
                <w:szCs w:val="32"/>
                <w:lang w:eastAsia="zh-CN"/>
              </w:rPr>
            </w:pPr>
            <w:r>
              <w:rPr>
                <w:rFonts w:hint="eastAsia"/>
                <w:szCs w:val="32"/>
                <w:lang w:eastAsia="zh-CN"/>
              </w:rPr>
              <w:t>V—地面平均风速，m/s，取1.5m/s;</w:t>
            </w:r>
          </w:p>
          <w:p w14:paraId="7F27FE17">
            <w:pPr>
              <w:ind w:firstLine="480"/>
              <w:rPr>
                <w:rFonts w:hint="eastAsia"/>
                <w:szCs w:val="32"/>
                <w:lang w:eastAsia="zh-CN"/>
              </w:rPr>
            </w:pPr>
            <w:r>
              <w:rPr>
                <w:rFonts w:hint="eastAsia"/>
                <w:szCs w:val="32"/>
                <w:lang w:eastAsia="zh-CN"/>
              </w:rPr>
              <w:t>由计算可知，项目原料堆场在存放时无组织粉尘产生速率为</w:t>
            </w:r>
            <w:r>
              <w:rPr>
                <w:rFonts w:hint="eastAsia"/>
                <w:szCs w:val="32"/>
                <w:lang w:val="en-US" w:eastAsia="zh-CN"/>
              </w:rPr>
              <w:t>21.9</w:t>
            </w:r>
            <w:r>
              <w:rPr>
                <w:rFonts w:hint="eastAsia"/>
                <w:szCs w:val="32"/>
                <w:lang w:eastAsia="zh-CN"/>
              </w:rPr>
              <w:t>kg/d，即</w:t>
            </w:r>
            <w:r>
              <w:rPr>
                <w:rFonts w:hint="eastAsia"/>
                <w:szCs w:val="32"/>
                <w:lang w:val="en-US" w:eastAsia="zh-CN"/>
              </w:rPr>
              <w:t>4.6</w:t>
            </w:r>
            <w:r>
              <w:rPr>
                <w:rFonts w:hint="eastAsia"/>
                <w:szCs w:val="32"/>
                <w:lang w:eastAsia="zh-CN"/>
              </w:rPr>
              <w:t>t/a。建设单位采取“</w:t>
            </w:r>
            <w:r>
              <w:rPr>
                <w:rFonts w:hint="eastAsia"/>
                <w:szCs w:val="32"/>
                <w:lang w:val="en-US" w:eastAsia="zh-CN"/>
              </w:rPr>
              <w:t>封闭式</w:t>
            </w:r>
            <w:r>
              <w:rPr>
                <w:rFonts w:hint="eastAsia"/>
                <w:szCs w:val="32"/>
                <w:lang w:eastAsia="zh-CN"/>
              </w:rPr>
              <w:t>”车间，</w:t>
            </w:r>
            <w:r>
              <w:rPr>
                <w:rFonts w:hint="eastAsia"/>
                <w:szCs w:val="32"/>
                <w:lang w:val="en-US" w:eastAsia="zh-CN"/>
              </w:rPr>
              <w:t>仅保留车间进出料口，其余进行封闭设置，同时</w:t>
            </w:r>
            <w:r>
              <w:rPr>
                <w:rFonts w:hint="eastAsia"/>
                <w:szCs w:val="32"/>
                <w:lang w:eastAsia="zh-CN"/>
              </w:rPr>
              <w:t>在</w:t>
            </w:r>
            <w:r>
              <w:rPr>
                <w:rFonts w:hint="eastAsia"/>
                <w:szCs w:val="32"/>
                <w:lang w:val="en-US" w:eastAsia="zh-CN"/>
              </w:rPr>
              <w:t>原料</w:t>
            </w:r>
            <w:r>
              <w:rPr>
                <w:rFonts w:hint="eastAsia"/>
                <w:szCs w:val="32"/>
                <w:lang w:eastAsia="zh-CN"/>
              </w:rPr>
              <w:t>车间内设置水雾除尘装置进行降尘，</w:t>
            </w:r>
            <w:r>
              <w:rPr>
                <w:rFonts w:hint="eastAsia"/>
                <w:szCs w:val="32"/>
                <w:lang w:val="en-US" w:eastAsia="zh-CN"/>
              </w:rPr>
              <w:t>每1m设置一个水雾除尘喷头，每排间距2m</w:t>
            </w:r>
            <w:r>
              <w:rPr>
                <w:rFonts w:hint="eastAsia"/>
                <w:szCs w:val="32"/>
                <w:lang w:eastAsia="zh-CN"/>
              </w:rPr>
              <w:t>，并定期在车间地面进行洒水降尘。在严格规范管理的情况下，粉尘排放量约能减少90%，则产品堆场扬尘排放量为0.</w:t>
            </w:r>
            <w:r>
              <w:rPr>
                <w:rFonts w:hint="eastAsia"/>
                <w:szCs w:val="32"/>
                <w:lang w:val="en-US" w:eastAsia="zh-CN"/>
              </w:rPr>
              <w:t>46</w:t>
            </w:r>
            <w:r>
              <w:rPr>
                <w:rFonts w:hint="eastAsia"/>
                <w:szCs w:val="32"/>
                <w:lang w:eastAsia="zh-CN"/>
              </w:rPr>
              <w:t>t/a，此措施可有效减少粉尘排放量，降低扬尘对空气的污染。</w:t>
            </w:r>
          </w:p>
          <w:p w14:paraId="771BE8BC">
            <w:pPr>
              <w:ind w:firstLine="480"/>
              <w:rPr>
                <w:rFonts w:hint="eastAsia"/>
                <w:b/>
                <w:bCs/>
                <w:szCs w:val="32"/>
                <w:lang w:eastAsia="zh-CN"/>
              </w:rPr>
            </w:pPr>
            <w:r>
              <w:rPr>
                <w:rFonts w:hint="eastAsia"/>
                <w:b/>
                <w:bCs/>
                <w:szCs w:val="32"/>
                <w:lang w:eastAsia="zh-CN"/>
              </w:rPr>
              <w:t>(2)投料粉尘</w:t>
            </w:r>
          </w:p>
          <w:p w14:paraId="60ACABA5">
            <w:pPr>
              <w:ind w:firstLine="480"/>
              <w:rPr>
                <w:rFonts w:hint="eastAsia"/>
                <w:szCs w:val="32"/>
                <w:lang w:eastAsia="zh-CN"/>
              </w:rPr>
            </w:pPr>
            <w:r>
              <w:rPr>
                <w:rFonts w:hint="eastAsia"/>
                <w:szCs w:val="32"/>
                <w:lang w:eastAsia="zh-CN"/>
              </w:rPr>
              <w:t>本项目投料过程会产生粉尘，</w:t>
            </w:r>
            <w:r>
              <w:rPr>
                <w:rFonts w:hint="eastAsia"/>
                <w:szCs w:val="32"/>
                <w:lang w:val="en-US" w:eastAsia="zh-CN"/>
              </w:rPr>
              <w:t>根据《逸散性工业粉尘控制技术》（中国科学出版社）</w:t>
            </w:r>
            <w:r>
              <w:rPr>
                <w:rFonts w:hint="eastAsia"/>
                <w:szCs w:val="32"/>
                <w:lang w:eastAsia="zh-CN"/>
              </w:rPr>
              <w:t>投料时产生的粉尘量按0.001kg/t产量计算，本项目年产砂石骨料1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w:t>
            </w:r>
            <w:r>
              <w:rPr>
                <w:rFonts w:hint="eastAsia"/>
                <w:szCs w:val="32"/>
                <w:lang w:val="en-US" w:eastAsia="zh-CN"/>
              </w:rPr>
              <w:t>24</w:t>
            </w:r>
            <w:r>
              <w:rPr>
                <w:rFonts w:hint="eastAsia"/>
                <w:szCs w:val="32"/>
                <w:lang w:eastAsia="zh-CN"/>
              </w:rPr>
              <w:t>万吨）则投料过程粉尘年产生量为0.</w:t>
            </w:r>
            <w:r>
              <w:rPr>
                <w:rFonts w:hint="eastAsia"/>
                <w:szCs w:val="32"/>
                <w:lang w:val="en-US" w:eastAsia="zh-CN"/>
              </w:rPr>
              <w:t>24</w:t>
            </w:r>
            <w:r>
              <w:rPr>
                <w:rFonts w:hint="eastAsia"/>
                <w:szCs w:val="32"/>
                <w:lang w:eastAsia="zh-CN"/>
              </w:rPr>
              <w:t>t/a，产生速率为0.1</w:t>
            </w:r>
            <w:r>
              <w:rPr>
                <w:rFonts w:hint="eastAsia"/>
                <w:szCs w:val="32"/>
                <w:lang w:val="en-US" w:eastAsia="zh-CN"/>
              </w:rPr>
              <w:t>6</w:t>
            </w:r>
            <w:r>
              <w:rPr>
                <w:rFonts w:hint="eastAsia"/>
                <w:szCs w:val="32"/>
                <w:lang w:eastAsia="zh-CN"/>
              </w:rPr>
              <w:t>kg/h。建设单位拟在投料工序安装高压喷头，喷淋水通过高压喷头在破碎机上方形成水雾，粉尘与水雾充分结合后快速沉降，抑尘效率为80%，投料过程粉尘排放量约0.</w:t>
            </w:r>
            <w:r>
              <w:rPr>
                <w:rFonts w:hint="eastAsia"/>
                <w:szCs w:val="32"/>
                <w:lang w:val="en-US" w:eastAsia="zh-CN"/>
              </w:rPr>
              <w:t>048</w:t>
            </w:r>
            <w:r>
              <w:rPr>
                <w:rFonts w:hint="eastAsia"/>
                <w:szCs w:val="32"/>
                <w:lang w:eastAsia="zh-CN"/>
              </w:rPr>
              <w:t>t/a，排放速率约0.0</w:t>
            </w:r>
            <w:r>
              <w:rPr>
                <w:rFonts w:hint="eastAsia"/>
                <w:szCs w:val="32"/>
                <w:lang w:val="en-US" w:eastAsia="zh-CN"/>
              </w:rPr>
              <w:t>33</w:t>
            </w:r>
            <w:r>
              <w:rPr>
                <w:rFonts w:hint="eastAsia"/>
                <w:szCs w:val="32"/>
                <w:lang w:eastAsia="zh-CN"/>
              </w:rPr>
              <w:t>kg/h。</w:t>
            </w:r>
          </w:p>
          <w:p w14:paraId="65B0CCAF">
            <w:pPr>
              <w:ind w:firstLine="480"/>
              <w:rPr>
                <w:rFonts w:hint="eastAsia"/>
                <w:b/>
                <w:bCs/>
                <w:szCs w:val="32"/>
                <w:lang w:eastAsia="zh-CN"/>
              </w:rPr>
            </w:pPr>
            <w:r>
              <w:rPr>
                <w:rFonts w:hint="eastAsia"/>
                <w:b/>
                <w:bCs/>
                <w:szCs w:val="32"/>
                <w:lang w:val="en-US" w:eastAsia="zh-CN"/>
              </w:rPr>
              <w:t>(3)</w:t>
            </w:r>
            <w:r>
              <w:rPr>
                <w:rFonts w:hint="eastAsia"/>
                <w:b/>
                <w:bCs/>
                <w:szCs w:val="32"/>
                <w:lang w:eastAsia="zh-CN"/>
              </w:rPr>
              <w:t>筛分粉尘</w:t>
            </w:r>
          </w:p>
          <w:p w14:paraId="11690FCB">
            <w:pPr>
              <w:ind w:firstLine="480"/>
              <w:rPr>
                <w:rFonts w:hint="eastAsia"/>
                <w:szCs w:val="32"/>
                <w:lang w:eastAsia="zh-CN"/>
              </w:rPr>
            </w:pPr>
            <w:r>
              <w:rPr>
                <w:rFonts w:hint="eastAsia"/>
                <w:szCs w:val="32"/>
                <w:lang w:eastAsia="zh-CN"/>
              </w:rPr>
              <w:t>本项目采用三级筛分，根据《</w:t>
            </w:r>
            <w:r>
              <w:rPr>
                <w:rFonts w:ascii="宋体" w:hAnsi="宋体" w:eastAsia="宋体" w:cs="宋体"/>
                <w:sz w:val="24"/>
                <w:szCs w:val="24"/>
              </w:rPr>
              <w:t>排放源统计调查产排污核算方法和系数手册</w:t>
            </w:r>
            <w:r>
              <w:rPr>
                <w:rFonts w:hint="eastAsia"/>
                <w:szCs w:val="32"/>
                <w:lang w:eastAsia="zh-CN"/>
              </w:rPr>
              <w:t>》中《1099其他未列明非金属矿采选行业系数手册》筛分工序的产污系数为</w:t>
            </w:r>
            <w:r>
              <w:rPr>
                <w:rFonts w:hint="eastAsia"/>
                <w:szCs w:val="32"/>
                <w:lang w:val="en-US" w:eastAsia="zh-CN"/>
              </w:rPr>
              <w:t>0.4</w:t>
            </w:r>
            <w:r>
              <w:rPr>
                <w:rFonts w:hint="eastAsia"/>
                <w:szCs w:val="32"/>
                <w:lang w:eastAsia="zh-CN"/>
              </w:rPr>
              <w:t>千克/吨－破碎料。项目年产量为1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w:t>
            </w:r>
            <w:r>
              <w:rPr>
                <w:rFonts w:hint="eastAsia"/>
                <w:szCs w:val="32"/>
                <w:lang w:val="en-US" w:eastAsia="zh-CN"/>
              </w:rPr>
              <w:t>24</w:t>
            </w:r>
            <w:r>
              <w:rPr>
                <w:rFonts w:hint="eastAsia"/>
                <w:szCs w:val="32"/>
                <w:lang w:eastAsia="zh-CN"/>
              </w:rPr>
              <w:t>万吨），所以筛分工序产生颗粒物：</w:t>
            </w:r>
            <w:r>
              <w:rPr>
                <w:rFonts w:hint="eastAsia"/>
                <w:szCs w:val="32"/>
                <w:lang w:val="en-US" w:eastAsia="zh-CN"/>
              </w:rPr>
              <w:t>24</w:t>
            </w:r>
            <w:r>
              <w:rPr>
                <w:rFonts w:hint="eastAsia"/>
                <w:szCs w:val="32"/>
                <w:lang w:eastAsia="zh-CN"/>
              </w:rPr>
              <w:t>万t/a×</w:t>
            </w:r>
            <w:r>
              <w:rPr>
                <w:rFonts w:hint="eastAsia"/>
                <w:szCs w:val="32"/>
                <w:lang w:val="en-US" w:eastAsia="zh-CN"/>
              </w:rPr>
              <w:t>0.4</w:t>
            </w:r>
            <w:r>
              <w:rPr>
                <w:rFonts w:hint="eastAsia"/>
                <w:szCs w:val="32"/>
                <w:lang w:eastAsia="zh-CN"/>
              </w:rPr>
              <w:t>kg/t=</w:t>
            </w:r>
            <w:r>
              <w:rPr>
                <w:rFonts w:hint="eastAsia"/>
                <w:szCs w:val="32"/>
                <w:lang w:val="en-US" w:eastAsia="zh-CN"/>
              </w:rPr>
              <w:t>96</w:t>
            </w:r>
            <w:r>
              <w:rPr>
                <w:rFonts w:hint="eastAsia"/>
                <w:szCs w:val="32"/>
                <w:lang w:eastAsia="zh-CN"/>
              </w:rPr>
              <w:t>t/a。</w:t>
            </w:r>
          </w:p>
          <w:p w14:paraId="14EEE360">
            <w:pPr>
              <w:ind w:firstLine="480"/>
              <w:rPr>
                <w:rFonts w:hint="eastAsia"/>
                <w:szCs w:val="32"/>
                <w:lang w:eastAsia="zh-CN"/>
              </w:rPr>
            </w:pPr>
            <w:r>
              <w:rPr>
                <w:rFonts w:hint="eastAsia"/>
                <w:szCs w:val="32"/>
                <w:lang w:eastAsia="zh-CN"/>
              </w:rPr>
              <w:t>筛分粉尘采取集气罩（</w:t>
            </w:r>
            <w:r>
              <w:rPr>
                <w:rFonts w:hint="eastAsia"/>
                <w:szCs w:val="32"/>
                <w:lang w:val="en-US" w:eastAsia="zh-CN"/>
              </w:rPr>
              <w:t>95</w:t>
            </w:r>
            <w:r>
              <w:rPr>
                <w:rFonts w:hint="eastAsia"/>
                <w:szCs w:val="32"/>
                <w:lang w:eastAsia="zh-CN"/>
              </w:rPr>
              <w:t>%）+风机（风量20000m</w:t>
            </w:r>
            <w:r>
              <w:rPr>
                <w:rFonts w:hint="eastAsia"/>
                <w:szCs w:val="32"/>
                <w:vertAlign w:val="superscript"/>
                <w:lang w:eastAsia="zh-CN"/>
              </w:rPr>
              <w:t>3</w:t>
            </w:r>
            <w:r>
              <w:rPr>
                <w:rFonts w:hint="eastAsia"/>
                <w:szCs w:val="32"/>
                <w:lang w:eastAsia="zh-CN"/>
              </w:rPr>
              <w:t>/h）+布袋除尘器（99%）+15m排气筒的措施进行有组织收集并处理，具体如下：在筛分机进料口</w:t>
            </w:r>
            <w:r>
              <w:rPr>
                <w:rFonts w:hint="eastAsia"/>
                <w:szCs w:val="32"/>
                <w:lang w:val="en-US" w:eastAsia="zh-CN"/>
              </w:rPr>
              <w:t>设计落地</w:t>
            </w:r>
            <w:r>
              <w:rPr>
                <w:rFonts w:hint="eastAsia"/>
                <w:szCs w:val="32"/>
                <w:lang w:eastAsia="zh-CN"/>
              </w:rPr>
              <w:t>集气罩</w:t>
            </w:r>
            <w:r>
              <w:rPr>
                <w:rFonts w:hint="eastAsia"/>
                <w:szCs w:val="32"/>
                <w:lang w:val="en-US" w:eastAsia="zh-CN"/>
              </w:rPr>
              <w:t>仅保留进出料口</w:t>
            </w:r>
            <w:r>
              <w:rPr>
                <w:rFonts w:hint="eastAsia"/>
                <w:szCs w:val="32"/>
                <w:lang w:eastAsia="zh-CN"/>
              </w:rPr>
              <w:t>，并设置独立厂房。采用风量不小于20000m</w:t>
            </w:r>
            <w:r>
              <w:rPr>
                <w:rFonts w:hint="eastAsia"/>
                <w:szCs w:val="32"/>
                <w:vertAlign w:val="superscript"/>
                <w:lang w:eastAsia="zh-CN"/>
              </w:rPr>
              <w:t>3</w:t>
            </w:r>
            <w:r>
              <w:rPr>
                <w:rFonts w:hint="eastAsia"/>
                <w:szCs w:val="32"/>
                <w:lang w:eastAsia="zh-CN"/>
              </w:rPr>
              <w:t>/h的风机对粉尘进行收集，集气收集效率按</w:t>
            </w:r>
            <w:r>
              <w:rPr>
                <w:rFonts w:hint="eastAsia"/>
                <w:szCs w:val="32"/>
                <w:lang w:val="en-US" w:eastAsia="zh-CN"/>
              </w:rPr>
              <w:t>95</w:t>
            </w:r>
            <w:r>
              <w:rPr>
                <w:rFonts w:hint="eastAsia"/>
                <w:szCs w:val="32"/>
                <w:lang w:eastAsia="zh-CN"/>
              </w:rPr>
              <w:t>%计（收集量</w:t>
            </w:r>
            <w:r>
              <w:rPr>
                <w:rFonts w:hint="eastAsia"/>
                <w:szCs w:val="32"/>
                <w:lang w:val="en-US" w:eastAsia="zh-CN"/>
              </w:rPr>
              <w:t>91</w:t>
            </w:r>
            <w:r>
              <w:rPr>
                <w:rFonts w:hint="eastAsia"/>
                <w:szCs w:val="32"/>
                <w:lang w:eastAsia="zh-CN"/>
              </w:rPr>
              <w:t>t/a），并设置1套处理效率不小于99%的布袋除尘器，将粉尘处理达标后经1根15m高的排气筒排放。</w:t>
            </w:r>
          </w:p>
          <w:p w14:paraId="7A4C37F7">
            <w:pPr>
              <w:ind w:firstLine="480"/>
              <w:rPr>
                <w:rFonts w:hint="eastAsia"/>
                <w:szCs w:val="32"/>
                <w:lang w:eastAsia="zh-CN"/>
              </w:rPr>
            </w:pPr>
            <w:r>
              <w:rPr>
                <w:rFonts w:hint="eastAsia"/>
                <w:szCs w:val="32"/>
                <w:lang w:eastAsia="zh-CN"/>
              </w:rPr>
              <w:t>经收集处理后，本项目筛分产生的有组织粉尘排放总量约为</w:t>
            </w:r>
            <w:r>
              <w:rPr>
                <w:rFonts w:hint="eastAsia"/>
                <w:szCs w:val="32"/>
                <w:lang w:val="en-US" w:eastAsia="zh-CN"/>
              </w:rPr>
              <w:t>1.8t</w:t>
            </w:r>
            <w:r>
              <w:rPr>
                <w:rFonts w:hint="eastAsia"/>
                <w:szCs w:val="32"/>
                <w:lang w:eastAsia="zh-CN"/>
              </w:rPr>
              <w:t>/a(</w:t>
            </w:r>
            <w:r>
              <w:rPr>
                <w:rFonts w:hint="eastAsia"/>
                <w:szCs w:val="32"/>
                <w:lang w:val="en-US" w:eastAsia="zh-CN"/>
              </w:rPr>
              <w:t>1.47</w:t>
            </w:r>
            <w:r>
              <w:rPr>
                <w:rFonts w:hint="eastAsia"/>
                <w:szCs w:val="32"/>
                <w:lang w:eastAsia="zh-CN"/>
              </w:rPr>
              <w:t>kg/h)，粉尘排放浓度约为</w:t>
            </w:r>
            <w:r>
              <w:rPr>
                <w:rFonts w:hint="eastAsia"/>
                <w:szCs w:val="32"/>
                <w:lang w:val="en-US" w:eastAsia="zh-CN"/>
              </w:rPr>
              <w:t>73.52</w:t>
            </w:r>
            <w:r>
              <w:rPr>
                <w:rFonts w:hint="eastAsia"/>
                <w:szCs w:val="32"/>
                <w:lang w:eastAsia="zh-CN"/>
              </w:rPr>
              <w:t>mg/m</w:t>
            </w:r>
            <w:r>
              <w:rPr>
                <w:rFonts w:hint="eastAsia"/>
                <w:szCs w:val="32"/>
                <w:vertAlign w:val="superscript"/>
                <w:lang w:eastAsia="zh-CN"/>
              </w:rPr>
              <w:t>3</w:t>
            </w:r>
            <w:r>
              <w:rPr>
                <w:rFonts w:hint="eastAsia"/>
                <w:szCs w:val="32"/>
                <w:lang w:eastAsia="zh-CN"/>
              </w:rPr>
              <w:t>，排放浓度满足《大气污染物综合排放标准》（GB16297-1996）表2中排放标准（120mg/m</w:t>
            </w:r>
            <w:r>
              <w:rPr>
                <w:rFonts w:hint="eastAsia"/>
                <w:szCs w:val="32"/>
                <w:vertAlign w:val="superscript"/>
                <w:lang w:eastAsia="zh-CN"/>
              </w:rPr>
              <w:t>3</w:t>
            </w:r>
            <w:r>
              <w:rPr>
                <w:rFonts w:hint="eastAsia"/>
                <w:szCs w:val="32"/>
                <w:lang w:eastAsia="zh-CN"/>
              </w:rPr>
              <w:t>）。</w:t>
            </w:r>
          </w:p>
          <w:p w14:paraId="672CD682">
            <w:pPr>
              <w:ind w:left="0" w:leftChars="0" w:firstLine="0" w:firstLineChars="0"/>
              <w:jc w:val="center"/>
              <w:rPr>
                <w:rFonts w:hint="eastAsia"/>
                <w:b/>
                <w:bCs/>
                <w:szCs w:val="32"/>
                <w:lang w:eastAsia="zh-CN"/>
              </w:rPr>
            </w:pPr>
            <w:r>
              <w:rPr>
                <w:rFonts w:hint="eastAsia"/>
                <w:b/>
                <w:bCs/>
                <w:szCs w:val="32"/>
                <w:lang w:eastAsia="zh-CN"/>
              </w:rPr>
              <w:t>表4-1筛分粉尘产生排放情况</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881"/>
              <w:gridCol w:w="844"/>
              <w:gridCol w:w="1179"/>
              <w:gridCol w:w="1215"/>
              <w:gridCol w:w="866"/>
              <w:gridCol w:w="861"/>
              <w:gridCol w:w="1128"/>
            </w:tblGrid>
            <w:tr w14:paraId="1276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4" w:type="pct"/>
                  <w:vMerge w:val="restart"/>
                  <w:vAlign w:val="center"/>
                </w:tcPr>
                <w:p w14:paraId="7C7EF0F3">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产污环节</w:t>
                  </w:r>
                </w:p>
              </w:tc>
              <w:tc>
                <w:tcPr>
                  <w:tcW w:w="1872" w:type="pct"/>
                  <w:gridSpan w:val="3"/>
                </w:tcPr>
                <w:p w14:paraId="1FE0DB19">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w:t>
                  </w:r>
                </w:p>
              </w:tc>
              <w:tc>
                <w:tcPr>
                  <w:tcW w:w="783" w:type="pct"/>
                  <w:vMerge w:val="restart"/>
                  <w:vAlign w:val="center"/>
                </w:tcPr>
                <w:p w14:paraId="5739CA55">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除尘措施</w:t>
                  </w:r>
                </w:p>
              </w:tc>
              <w:tc>
                <w:tcPr>
                  <w:tcW w:w="1840" w:type="pct"/>
                  <w:gridSpan w:val="3"/>
                  <w:vAlign w:val="center"/>
                </w:tcPr>
                <w:p w14:paraId="2B1890A9">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w:t>
                  </w:r>
                </w:p>
              </w:tc>
            </w:tr>
            <w:tr w14:paraId="63912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tcPr>
                <w:p w14:paraId="55F5127D">
                  <w:pPr>
                    <w:spacing w:line="240" w:lineRule="auto"/>
                    <w:ind w:firstLine="0" w:firstLineChars="0"/>
                    <w:jc w:val="center"/>
                    <w:rPr>
                      <w:rFonts w:hint="eastAsia" w:ascii="宋体" w:hAnsi="宋体" w:eastAsia="宋体" w:cs="宋体"/>
                      <w:b/>
                      <w:bCs/>
                      <w:sz w:val="21"/>
                      <w:szCs w:val="21"/>
                      <w:lang w:eastAsia="zh-CN"/>
                    </w:rPr>
                  </w:pPr>
                </w:p>
              </w:tc>
              <w:tc>
                <w:tcPr>
                  <w:tcW w:w="568" w:type="pct"/>
                </w:tcPr>
                <w:p w14:paraId="7DF2D956">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产生量</w:t>
                  </w:r>
                </w:p>
                <w:p w14:paraId="7757F75F">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44" w:type="pct"/>
                </w:tcPr>
                <w:p w14:paraId="15565DDD">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329A8739">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60" w:type="pct"/>
                </w:tcPr>
                <w:p w14:paraId="7462BD8B">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45B91F96">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c>
                <w:tcPr>
                  <w:tcW w:w="783" w:type="pct"/>
                  <w:vMerge w:val="continue"/>
                </w:tcPr>
                <w:p w14:paraId="623D344C">
                  <w:pPr>
                    <w:spacing w:line="240" w:lineRule="auto"/>
                    <w:ind w:firstLine="0" w:firstLineChars="0"/>
                    <w:jc w:val="center"/>
                    <w:rPr>
                      <w:rFonts w:hint="eastAsia" w:ascii="宋体" w:hAnsi="宋体" w:eastAsia="宋体" w:cs="宋体"/>
                      <w:b/>
                      <w:bCs/>
                      <w:sz w:val="21"/>
                      <w:szCs w:val="21"/>
                      <w:lang w:eastAsia="zh-CN"/>
                    </w:rPr>
                  </w:pPr>
                </w:p>
              </w:tc>
              <w:tc>
                <w:tcPr>
                  <w:tcW w:w="558" w:type="pct"/>
                </w:tcPr>
                <w:p w14:paraId="0273382D">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排放</w:t>
                  </w:r>
                  <w:r>
                    <w:rPr>
                      <w:rFonts w:hint="eastAsia" w:ascii="宋体" w:hAnsi="宋体" w:eastAsia="宋体" w:cs="宋体"/>
                      <w:b/>
                      <w:bCs/>
                      <w:sz w:val="21"/>
                      <w:szCs w:val="21"/>
                      <w:lang w:eastAsia="zh-CN"/>
                    </w:rPr>
                    <w:t>量</w:t>
                  </w:r>
                </w:p>
                <w:p w14:paraId="400C954B">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t/a</w:t>
                  </w:r>
                </w:p>
              </w:tc>
              <w:tc>
                <w:tcPr>
                  <w:tcW w:w="555" w:type="pct"/>
                </w:tcPr>
                <w:p w14:paraId="2A08359F">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浓度</w:t>
                  </w:r>
                </w:p>
                <w:p w14:paraId="26568CA2">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mg/m</w:t>
                  </w:r>
                  <w:r>
                    <w:rPr>
                      <w:rFonts w:hint="eastAsia" w:ascii="宋体" w:hAnsi="宋体" w:eastAsia="宋体" w:cs="宋体"/>
                      <w:b/>
                      <w:bCs/>
                      <w:sz w:val="21"/>
                      <w:szCs w:val="21"/>
                      <w:vertAlign w:val="superscript"/>
                      <w:lang w:eastAsia="zh-CN"/>
                    </w:rPr>
                    <w:t>3</w:t>
                  </w:r>
                </w:p>
              </w:tc>
              <w:tc>
                <w:tcPr>
                  <w:tcW w:w="725" w:type="pct"/>
                </w:tcPr>
                <w:p w14:paraId="7BD7681C">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排放速率</w:t>
                  </w:r>
                </w:p>
                <w:p w14:paraId="46C685FD">
                  <w:pPr>
                    <w:spacing w:line="240" w:lineRule="auto"/>
                    <w:ind w:firstLine="0" w:firstLineChars="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kg/h</w:t>
                  </w:r>
                </w:p>
              </w:tc>
            </w:tr>
            <w:tr w14:paraId="7915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Align w:val="center"/>
                </w:tcPr>
                <w:p w14:paraId="51F9E419">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筛分粉尘</w:t>
                  </w:r>
                </w:p>
              </w:tc>
              <w:tc>
                <w:tcPr>
                  <w:tcW w:w="568" w:type="pct"/>
                  <w:vAlign w:val="center"/>
                </w:tcPr>
                <w:p w14:paraId="0D576247">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91</w:t>
                  </w:r>
                </w:p>
              </w:tc>
              <w:tc>
                <w:tcPr>
                  <w:tcW w:w="544" w:type="pct"/>
                  <w:vAlign w:val="center"/>
                </w:tcPr>
                <w:p w14:paraId="07FB129A">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3095.2</w:t>
                  </w:r>
                </w:p>
              </w:tc>
              <w:tc>
                <w:tcPr>
                  <w:tcW w:w="760" w:type="pct"/>
                  <w:vAlign w:val="center"/>
                </w:tcPr>
                <w:p w14:paraId="345A11E9">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61.9</w:t>
                  </w:r>
                </w:p>
              </w:tc>
              <w:tc>
                <w:tcPr>
                  <w:tcW w:w="783" w:type="pct"/>
                </w:tcPr>
                <w:p w14:paraId="5749CCE3">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集气罩+风机+布袋除尘器+15m高排气口排放（除尘效率达99%）</w:t>
                  </w:r>
                </w:p>
              </w:tc>
              <w:tc>
                <w:tcPr>
                  <w:tcW w:w="558" w:type="pct"/>
                  <w:vAlign w:val="center"/>
                </w:tcPr>
                <w:p w14:paraId="49B4E3A3">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0.91</w:t>
                  </w:r>
                </w:p>
              </w:tc>
              <w:tc>
                <w:tcPr>
                  <w:tcW w:w="555" w:type="pct"/>
                  <w:vAlign w:val="center"/>
                </w:tcPr>
                <w:p w14:paraId="78B362AC">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30.95</w:t>
                  </w:r>
                </w:p>
              </w:tc>
              <w:tc>
                <w:tcPr>
                  <w:tcW w:w="725" w:type="pct"/>
                  <w:vAlign w:val="center"/>
                </w:tcPr>
                <w:p w14:paraId="4E19BE67">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w:t>
                  </w:r>
                </w:p>
              </w:tc>
            </w:tr>
          </w:tbl>
          <w:p w14:paraId="4FD7A9E7">
            <w:pPr>
              <w:ind w:firstLine="480"/>
              <w:rPr>
                <w:rFonts w:hint="eastAsia"/>
                <w:szCs w:val="32"/>
                <w:lang w:eastAsia="zh-CN"/>
              </w:rPr>
            </w:pPr>
            <w:r>
              <w:rPr>
                <w:rFonts w:hint="eastAsia"/>
                <w:szCs w:val="32"/>
                <w:lang w:eastAsia="zh-CN"/>
              </w:rPr>
              <w:t>未收集的</w:t>
            </w:r>
            <w:r>
              <w:rPr>
                <w:rFonts w:hint="eastAsia"/>
                <w:szCs w:val="32"/>
                <w:lang w:val="en-US" w:eastAsia="zh-CN"/>
              </w:rPr>
              <w:t>5</w:t>
            </w:r>
            <w:r>
              <w:rPr>
                <w:rFonts w:hint="eastAsia"/>
                <w:szCs w:val="32"/>
                <w:lang w:eastAsia="zh-CN"/>
              </w:rPr>
              <w:t>%的无组织逸散粉尘（</w:t>
            </w:r>
            <w:r>
              <w:rPr>
                <w:rFonts w:hint="eastAsia"/>
                <w:szCs w:val="32"/>
                <w:lang w:val="en-US" w:eastAsia="zh-CN"/>
              </w:rPr>
              <w:t>5</w:t>
            </w:r>
            <w:r>
              <w:rPr>
                <w:rFonts w:hint="eastAsia"/>
                <w:szCs w:val="32"/>
                <w:lang w:eastAsia="zh-CN"/>
              </w:rPr>
              <w:t>t/a）经喷淋装置进行喷淋抑尘，抑尘效率可达90%，再经车间阻隔和重力沉降作用可使粉尘排放量减少80%，则粉尘无组织排放量为</w:t>
            </w:r>
            <w:r>
              <w:rPr>
                <w:rFonts w:hint="eastAsia"/>
                <w:szCs w:val="32"/>
                <w:lang w:val="en-US" w:eastAsia="zh-CN"/>
              </w:rPr>
              <w:t>1.4t</w:t>
            </w:r>
            <w:r>
              <w:rPr>
                <w:rFonts w:hint="eastAsia"/>
                <w:szCs w:val="32"/>
                <w:lang w:eastAsia="zh-CN"/>
              </w:rPr>
              <w:t>/a，0.</w:t>
            </w:r>
            <w:r>
              <w:rPr>
                <w:rFonts w:hint="eastAsia"/>
                <w:szCs w:val="32"/>
                <w:lang w:val="en-US" w:eastAsia="zh-CN"/>
              </w:rPr>
              <w:t>95</w:t>
            </w:r>
            <w:r>
              <w:rPr>
                <w:rFonts w:hint="eastAsia"/>
                <w:szCs w:val="32"/>
                <w:lang w:eastAsia="zh-CN"/>
              </w:rPr>
              <w:t>kg/h。</w:t>
            </w:r>
          </w:p>
          <w:p w14:paraId="1515E122">
            <w:pPr>
              <w:ind w:firstLine="480"/>
              <w:rPr>
                <w:rFonts w:hint="eastAsia"/>
                <w:b/>
                <w:bCs/>
                <w:szCs w:val="32"/>
                <w:lang w:eastAsia="zh-CN"/>
              </w:rPr>
            </w:pPr>
            <w:r>
              <w:rPr>
                <w:rFonts w:hint="eastAsia"/>
                <w:b/>
                <w:bCs/>
                <w:szCs w:val="32"/>
                <w:lang w:eastAsia="zh-CN"/>
              </w:rPr>
              <w:t>（5）皮带输送粉尘</w:t>
            </w:r>
          </w:p>
          <w:p w14:paraId="25A186E6">
            <w:pPr>
              <w:ind w:firstLine="480"/>
              <w:rPr>
                <w:rFonts w:hint="eastAsia"/>
                <w:szCs w:val="32"/>
                <w:lang w:eastAsia="zh-CN"/>
              </w:rPr>
            </w:pPr>
            <w:r>
              <w:rPr>
                <w:rFonts w:hint="eastAsia"/>
                <w:szCs w:val="32"/>
                <w:lang w:eastAsia="zh-CN"/>
              </w:rPr>
              <w:t>皮带输送过程粉尘参照《逸散性工业粉尘控制技术》（中国环境科学出版社）粒料厂加工卸料产尘系数0.01kg/t产品，粉尘产生量0.01kg/t卸料×</w:t>
            </w:r>
            <w:r>
              <w:rPr>
                <w:rFonts w:hint="eastAsia"/>
                <w:szCs w:val="32"/>
                <w:lang w:val="en-US" w:eastAsia="zh-CN"/>
              </w:rPr>
              <w:t>24</w:t>
            </w:r>
            <w:r>
              <w:rPr>
                <w:rFonts w:hint="eastAsia"/>
                <w:szCs w:val="32"/>
                <w:lang w:eastAsia="zh-CN"/>
              </w:rPr>
              <w:t>万t产品=</w:t>
            </w:r>
            <w:r>
              <w:rPr>
                <w:rFonts w:hint="eastAsia"/>
                <w:szCs w:val="32"/>
                <w:lang w:val="en-US" w:eastAsia="zh-CN"/>
              </w:rPr>
              <w:t>2.4</w:t>
            </w:r>
            <w:r>
              <w:rPr>
                <w:rFonts w:hint="eastAsia"/>
                <w:szCs w:val="32"/>
                <w:lang w:eastAsia="zh-CN"/>
              </w:rPr>
              <w:t>t/a。采取的抑尘措施为：皮带输送带上部加盖，两侧密封，抑尘效率可达90%，则皮带输送过程中颗粒物无组织排放量为0.</w:t>
            </w:r>
            <w:r>
              <w:rPr>
                <w:rFonts w:hint="eastAsia"/>
                <w:szCs w:val="32"/>
                <w:lang w:val="en-US" w:eastAsia="zh-CN"/>
              </w:rPr>
              <w:t>24</w:t>
            </w:r>
            <w:r>
              <w:rPr>
                <w:rFonts w:hint="eastAsia"/>
                <w:szCs w:val="32"/>
                <w:lang w:eastAsia="zh-CN"/>
              </w:rPr>
              <w:t>t/a，0.1</w:t>
            </w:r>
            <w:r>
              <w:rPr>
                <w:rFonts w:hint="eastAsia"/>
                <w:szCs w:val="32"/>
                <w:lang w:val="en-US" w:eastAsia="zh-CN"/>
              </w:rPr>
              <w:t>63</w:t>
            </w:r>
            <w:r>
              <w:rPr>
                <w:rFonts w:hint="eastAsia"/>
                <w:szCs w:val="32"/>
                <w:lang w:eastAsia="zh-CN"/>
              </w:rPr>
              <w:t>kg/h。</w:t>
            </w:r>
          </w:p>
          <w:p w14:paraId="7E03A961">
            <w:pPr>
              <w:ind w:firstLine="480"/>
              <w:rPr>
                <w:rFonts w:hint="eastAsia"/>
                <w:b/>
                <w:bCs/>
                <w:szCs w:val="32"/>
                <w:lang w:eastAsia="zh-CN"/>
              </w:rPr>
            </w:pPr>
            <w:r>
              <w:rPr>
                <w:rFonts w:hint="eastAsia"/>
                <w:b/>
                <w:bCs/>
                <w:szCs w:val="32"/>
                <w:lang w:eastAsia="zh-CN"/>
              </w:rPr>
              <w:t>（6）车辆运输扬尘</w:t>
            </w:r>
          </w:p>
          <w:p w14:paraId="2B5F429C">
            <w:pPr>
              <w:ind w:firstLine="480"/>
              <w:rPr>
                <w:rFonts w:hint="eastAsia"/>
                <w:szCs w:val="32"/>
                <w:lang w:eastAsia="zh-CN"/>
              </w:rPr>
            </w:pPr>
            <w:r>
              <w:rPr>
                <w:rFonts w:hint="eastAsia"/>
                <w:szCs w:val="32"/>
                <w:lang w:eastAsia="zh-CN"/>
              </w:rPr>
              <w:t>汽车运输时由于碾压产生的扬尘对道路两侧一定范围内会造成污染。扬尘量的大小与车流量、道路状况、气候条件、汽车行驶速度等均有关系。根据汽车道路扬尘扩散规律，在大气干燥和地面风速低于4m/s条件下，汽车行驶时路面扬尘量与汽车速度、汽车质量、道路表面扬尘量成正比，项目汽车扬尘根据启程运输扬尘，可按下列经验公式计算：</w:t>
            </w:r>
          </w:p>
          <w:p w14:paraId="04775477">
            <w:pPr>
              <w:ind w:firstLine="1440" w:firstLineChars="600"/>
              <w:rPr>
                <w:rFonts w:hint="eastAsia"/>
                <w:szCs w:val="32"/>
                <w:lang w:eastAsia="zh-CN"/>
              </w:rPr>
            </w:pPr>
            <w:r>
              <w:rPr>
                <w:rFonts w:hint="eastAsia"/>
                <w:szCs w:val="32"/>
                <w:lang w:eastAsia="zh-CN"/>
              </w:rPr>
              <w:object>
                <v:shape id="_x0000_i1025" o:spt="75" type="#_x0000_t75" style="height:57pt;width:224.55pt;" o:ole="t" filled="f" o:preferrelative="t" stroked="f" coordsize="21600,21600">
                  <v:path/>
                  <v:fill on="f" focussize="0,0"/>
                  <v:stroke on="f" joinstyle="miter"/>
                  <v:imagedata r:id="rId31" o:title=""/>
                  <o:lock v:ext="edit" aspectratio="t"/>
                  <w10:wrap type="none"/>
                  <w10:anchorlock/>
                </v:shape>
                <o:OLEObject Type="Embed" ProgID="Equation.3" ShapeID="_x0000_i1025" DrawAspect="Content" ObjectID="_1468075725" r:id="rId30">
                  <o:LockedField>false</o:LockedField>
                </o:OLEObject>
              </w:object>
            </w:r>
          </w:p>
          <w:p w14:paraId="40D94D02">
            <w:pPr>
              <w:ind w:firstLine="480"/>
              <w:rPr>
                <w:rFonts w:hint="eastAsia"/>
                <w:szCs w:val="32"/>
                <w:lang w:eastAsia="zh-CN"/>
              </w:rPr>
            </w:pPr>
            <w:r>
              <w:rPr>
                <w:rFonts w:hint="eastAsia"/>
                <w:szCs w:val="32"/>
                <w:lang w:eastAsia="zh-CN"/>
              </w:rPr>
              <w:t>式中：QP——道路扬尘量（kg/km·辆）；</w:t>
            </w:r>
          </w:p>
          <w:p w14:paraId="7079FB6D">
            <w:pPr>
              <w:ind w:firstLine="480"/>
              <w:rPr>
                <w:rFonts w:hint="eastAsia"/>
                <w:szCs w:val="32"/>
                <w:lang w:eastAsia="zh-CN"/>
              </w:rPr>
            </w:pPr>
            <w:r>
              <w:rPr>
                <w:rFonts w:hint="eastAsia"/>
                <w:szCs w:val="32"/>
                <w:lang w:eastAsia="zh-CN"/>
              </w:rPr>
              <w:t>QP1——总扬尘量（kg/a）；</w:t>
            </w:r>
          </w:p>
          <w:p w14:paraId="4EDE96BA">
            <w:pPr>
              <w:ind w:firstLine="480"/>
              <w:rPr>
                <w:rFonts w:hint="eastAsia"/>
                <w:szCs w:val="32"/>
                <w:lang w:eastAsia="zh-CN"/>
              </w:rPr>
            </w:pPr>
            <w:r>
              <w:rPr>
                <w:rFonts w:hint="eastAsia"/>
                <w:szCs w:val="32"/>
                <w:lang w:eastAsia="zh-CN"/>
              </w:rPr>
              <w:t>V——车辆速度（km/h），本项目按5km/h计；</w:t>
            </w:r>
          </w:p>
          <w:p w14:paraId="5AFC7FE7">
            <w:pPr>
              <w:ind w:firstLine="480"/>
              <w:rPr>
                <w:rFonts w:hint="eastAsia"/>
                <w:szCs w:val="32"/>
                <w:lang w:eastAsia="zh-CN"/>
              </w:rPr>
            </w:pPr>
            <w:r>
              <w:rPr>
                <w:rFonts w:hint="eastAsia"/>
                <w:szCs w:val="32"/>
                <w:lang w:eastAsia="zh-CN"/>
              </w:rPr>
              <w:t>M——车辆载重（t/辆），本项目按30t计；</w:t>
            </w:r>
          </w:p>
          <w:p w14:paraId="44B23D04">
            <w:pPr>
              <w:ind w:firstLine="480"/>
              <w:rPr>
                <w:rFonts w:hint="eastAsia"/>
                <w:szCs w:val="32"/>
                <w:lang w:eastAsia="zh-CN"/>
              </w:rPr>
            </w:pPr>
            <w:r>
              <w:rPr>
                <w:rFonts w:hint="eastAsia"/>
                <w:szCs w:val="32"/>
                <w:lang w:eastAsia="zh-CN"/>
              </w:rPr>
              <w:t>P——道路灰尘覆盖量（kg/m2），本项目按0.1kg/m</w:t>
            </w:r>
            <w:r>
              <w:rPr>
                <w:rFonts w:hint="eastAsia"/>
                <w:szCs w:val="32"/>
                <w:vertAlign w:val="superscript"/>
                <w:lang w:eastAsia="zh-CN"/>
              </w:rPr>
              <w:t>2</w:t>
            </w:r>
            <w:r>
              <w:rPr>
                <w:rFonts w:hint="eastAsia"/>
                <w:szCs w:val="32"/>
                <w:lang w:eastAsia="zh-CN"/>
              </w:rPr>
              <w:t>计（水泥硬化）；</w:t>
            </w:r>
          </w:p>
          <w:p w14:paraId="6AE5AB5B">
            <w:pPr>
              <w:ind w:firstLine="480"/>
              <w:rPr>
                <w:rFonts w:hint="eastAsia"/>
                <w:szCs w:val="32"/>
                <w:lang w:eastAsia="zh-CN"/>
              </w:rPr>
            </w:pPr>
            <w:r>
              <w:rPr>
                <w:rFonts w:hint="eastAsia"/>
                <w:szCs w:val="32"/>
                <w:lang w:eastAsia="zh-CN"/>
              </w:rPr>
              <w:t>L——运输距离（km），本项目按0.1km计；</w:t>
            </w:r>
          </w:p>
          <w:p w14:paraId="4F3D44B6">
            <w:pPr>
              <w:ind w:firstLine="480"/>
              <w:rPr>
                <w:rFonts w:hint="eastAsia"/>
                <w:szCs w:val="32"/>
                <w:lang w:eastAsia="zh-CN"/>
              </w:rPr>
            </w:pPr>
            <w:r>
              <w:rPr>
                <w:rFonts w:hint="eastAsia"/>
                <w:szCs w:val="32"/>
                <w:lang w:eastAsia="zh-CN"/>
              </w:rPr>
              <w:t>Q——运输量（t/a）。</w:t>
            </w:r>
          </w:p>
          <w:p w14:paraId="51DE3B97">
            <w:pPr>
              <w:ind w:firstLine="480"/>
              <w:rPr>
                <w:rFonts w:hint="eastAsia"/>
                <w:szCs w:val="32"/>
                <w:lang w:eastAsia="zh-CN"/>
              </w:rPr>
            </w:pPr>
            <w:r>
              <w:rPr>
                <w:rFonts w:hint="eastAsia"/>
                <w:szCs w:val="32"/>
                <w:lang w:eastAsia="zh-CN"/>
              </w:rPr>
              <w:t>本项目开采量1</w:t>
            </w:r>
            <w:r>
              <w:rPr>
                <w:rFonts w:hint="eastAsia"/>
                <w:szCs w:val="32"/>
                <w:lang w:val="en-US" w:eastAsia="zh-CN"/>
              </w:rPr>
              <w:t>5</w:t>
            </w:r>
            <w:r>
              <w:rPr>
                <w:rFonts w:hint="eastAsia"/>
                <w:szCs w:val="32"/>
                <w:lang w:eastAsia="zh-CN"/>
              </w:rPr>
              <w:t>万m</w:t>
            </w:r>
            <w:r>
              <w:rPr>
                <w:rFonts w:hint="eastAsia"/>
                <w:szCs w:val="32"/>
                <w:vertAlign w:val="superscript"/>
                <w:lang w:eastAsia="zh-CN"/>
              </w:rPr>
              <w:t>3</w:t>
            </w:r>
            <w:r>
              <w:rPr>
                <w:rFonts w:hint="eastAsia"/>
                <w:szCs w:val="32"/>
                <w:lang w:eastAsia="zh-CN"/>
              </w:rPr>
              <w:t>/a(</w:t>
            </w:r>
            <w:r>
              <w:rPr>
                <w:rFonts w:hint="eastAsia"/>
                <w:szCs w:val="32"/>
                <w:lang w:val="en-US" w:eastAsia="zh-CN"/>
              </w:rPr>
              <w:t>24</w:t>
            </w:r>
            <w:r>
              <w:rPr>
                <w:rFonts w:hint="eastAsia"/>
                <w:szCs w:val="32"/>
                <w:lang w:eastAsia="zh-CN"/>
              </w:rPr>
              <w:t>万吨），按每辆车每次运输30t计，项目原材料、产品等物料共需运输</w:t>
            </w:r>
            <w:r>
              <w:rPr>
                <w:rFonts w:hint="eastAsia"/>
                <w:szCs w:val="32"/>
                <w:lang w:val="en-US" w:eastAsia="zh-CN"/>
              </w:rPr>
              <w:t>8</w:t>
            </w:r>
            <w:r>
              <w:rPr>
                <w:rFonts w:hint="eastAsia"/>
                <w:szCs w:val="32"/>
                <w:lang w:eastAsia="zh-CN"/>
              </w:rPr>
              <w:t>000次/a。项目厂内车辆运输距离按100m计。根据计算，车辆运输扬尘量按0.136kg/km辆计算，则厂区物料运输扬尘产生量为0.091t/a。</w:t>
            </w:r>
          </w:p>
          <w:p w14:paraId="2E93AC0C">
            <w:pPr>
              <w:ind w:firstLine="480"/>
              <w:rPr>
                <w:rFonts w:hint="eastAsia"/>
                <w:szCs w:val="32"/>
                <w:lang w:eastAsia="zh-CN"/>
              </w:rPr>
            </w:pPr>
            <w:r>
              <w:rPr>
                <w:rFonts w:hint="eastAsia"/>
                <w:szCs w:val="32"/>
                <w:lang w:eastAsia="zh-CN"/>
              </w:rPr>
              <w:t>车辆运输过程中采取严格限制超载，车辆加盖苫布，减速慢行，对场内进行洒水抑尘，同时在厂区车辆进出口设置车辆冲洗台，对进出车辆进行冲洗。采取环评要求的降尘措施后，扬尘量减少约90%，则运输扬尘排放量为0.0091t/a。</w:t>
            </w:r>
          </w:p>
          <w:p w14:paraId="130F5E18">
            <w:pPr>
              <w:numPr>
                <w:ilvl w:val="0"/>
                <w:numId w:val="0"/>
              </w:numPr>
              <w:ind w:firstLine="482" w:firstLineChars="200"/>
              <w:rPr>
                <w:rFonts w:hint="eastAsia"/>
                <w:b/>
                <w:bCs/>
                <w:szCs w:val="32"/>
                <w:lang w:eastAsia="zh-CN"/>
              </w:rPr>
            </w:pPr>
            <w:r>
              <w:rPr>
                <w:rFonts w:hint="eastAsia" w:ascii="Times New Roman" w:hAnsi="Times New Roman" w:eastAsia="宋体" w:cstheme="minorBidi"/>
                <w:b/>
                <w:bCs/>
                <w:kern w:val="2"/>
                <w:sz w:val="24"/>
                <w:szCs w:val="32"/>
                <w:lang w:val="en-US" w:eastAsia="zh-CN" w:bidi="ar-SA"/>
              </w:rPr>
              <w:t>（6）</w:t>
            </w:r>
            <w:r>
              <w:rPr>
                <w:rFonts w:hint="eastAsia"/>
                <w:b/>
                <w:bCs/>
                <w:szCs w:val="32"/>
                <w:lang w:eastAsia="zh-CN"/>
              </w:rPr>
              <w:t>物料转运及装卸扬尘</w:t>
            </w:r>
          </w:p>
          <w:p w14:paraId="14103CE5">
            <w:pPr>
              <w:ind w:firstLine="480"/>
              <w:rPr>
                <w:rFonts w:hint="eastAsia"/>
                <w:szCs w:val="32"/>
                <w:lang w:eastAsia="zh-CN"/>
              </w:rPr>
            </w:pPr>
            <w:r>
              <w:drawing>
                <wp:anchor distT="0" distB="0" distL="114300" distR="114300" simplePos="0" relativeHeight="251669504" behindDoc="0" locked="0" layoutInCell="1" allowOverlap="1">
                  <wp:simplePos x="0" y="0"/>
                  <wp:positionH relativeFrom="column">
                    <wp:posOffset>1246505</wp:posOffset>
                  </wp:positionH>
                  <wp:positionV relativeFrom="paragraph">
                    <wp:posOffset>597535</wp:posOffset>
                  </wp:positionV>
                  <wp:extent cx="2506980" cy="350520"/>
                  <wp:effectExtent l="0" t="0" r="7620" b="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2"/>
                          <a:stretch>
                            <a:fillRect/>
                          </a:stretch>
                        </pic:blipFill>
                        <pic:spPr>
                          <a:xfrm>
                            <a:off x="0" y="0"/>
                            <a:ext cx="2506980" cy="350520"/>
                          </a:xfrm>
                          <a:prstGeom prst="rect">
                            <a:avLst/>
                          </a:prstGeom>
                          <a:noFill/>
                          <a:ln>
                            <a:noFill/>
                          </a:ln>
                        </pic:spPr>
                      </pic:pic>
                    </a:graphicData>
                  </a:graphic>
                </wp:anchor>
              </w:drawing>
            </w:r>
            <w:r>
              <w:rPr>
                <w:rFonts w:hint="eastAsia"/>
                <w:szCs w:val="32"/>
                <w:lang w:eastAsia="zh-CN"/>
              </w:rPr>
              <w:t>本项目砂石料装卸过程会产生一定量的颗粒物，根据《工业源产排污核算方法和系数手册》，颗粒物产生量核算公式如下：</w:t>
            </w:r>
          </w:p>
          <w:p w14:paraId="718BD22B">
            <w:pPr>
              <w:ind w:firstLine="480"/>
              <w:rPr>
                <w:rFonts w:hint="eastAsia"/>
                <w:szCs w:val="32"/>
                <w:lang w:eastAsia="zh-CN"/>
              </w:rPr>
            </w:pPr>
            <w:r>
              <w:rPr>
                <w:rFonts w:hint="eastAsia"/>
                <w:szCs w:val="32"/>
                <w:lang w:eastAsia="zh-CN"/>
              </w:rPr>
              <w:t>P指颗粒物产生量（单位：吨）；</w:t>
            </w:r>
          </w:p>
          <w:p w14:paraId="519679B2">
            <w:pPr>
              <w:ind w:firstLine="480"/>
              <w:rPr>
                <w:rFonts w:hint="eastAsia"/>
                <w:szCs w:val="32"/>
                <w:lang w:eastAsia="zh-CN"/>
              </w:rPr>
            </w:pPr>
            <w:r>
              <w:rPr>
                <w:rFonts w:hint="eastAsia"/>
                <w:szCs w:val="32"/>
                <w:lang w:eastAsia="zh-CN"/>
              </w:rPr>
              <w:t>ZCy指装卸扬尘产生量（单位：吨）；</w:t>
            </w:r>
          </w:p>
          <w:p w14:paraId="23F3BD18">
            <w:pPr>
              <w:ind w:firstLine="480"/>
              <w:rPr>
                <w:rFonts w:hint="eastAsia"/>
                <w:szCs w:val="32"/>
                <w:lang w:eastAsia="zh-CN"/>
              </w:rPr>
            </w:pPr>
            <w:r>
              <w:rPr>
                <w:rFonts w:hint="eastAsia"/>
                <w:szCs w:val="32"/>
                <w:lang w:eastAsia="zh-CN"/>
              </w:rPr>
              <w:t>Nc指年物料运载车次，</w:t>
            </w:r>
            <w:r>
              <w:rPr>
                <w:rFonts w:hint="eastAsia"/>
                <w:szCs w:val="32"/>
                <w:lang w:val="en-US" w:eastAsia="zh-CN"/>
              </w:rPr>
              <w:t>8000</w:t>
            </w:r>
            <w:r>
              <w:rPr>
                <w:rFonts w:hint="eastAsia"/>
                <w:szCs w:val="32"/>
                <w:lang w:eastAsia="zh-CN"/>
              </w:rPr>
              <w:t>（单位：车）；</w:t>
            </w:r>
          </w:p>
          <w:p w14:paraId="780B3E37">
            <w:pPr>
              <w:ind w:firstLine="480"/>
              <w:rPr>
                <w:rFonts w:hint="eastAsia"/>
                <w:szCs w:val="32"/>
                <w:lang w:eastAsia="zh-CN"/>
              </w:rPr>
            </w:pPr>
            <w:r>
              <w:rPr>
                <w:rFonts w:hint="eastAsia"/>
                <w:szCs w:val="32"/>
                <w:lang w:eastAsia="zh-CN"/>
              </w:rPr>
              <w:t>D指单车平均运载量，</w:t>
            </w:r>
            <w:r>
              <w:rPr>
                <w:rFonts w:hint="eastAsia"/>
                <w:szCs w:val="32"/>
                <w:lang w:val="en-US" w:eastAsia="zh-CN"/>
              </w:rPr>
              <w:t>30</w:t>
            </w:r>
            <w:r>
              <w:rPr>
                <w:rFonts w:hint="eastAsia"/>
                <w:szCs w:val="32"/>
                <w:lang w:eastAsia="zh-CN"/>
              </w:rPr>
              <w:t>（单位：吨/车）</w:t>
            </w:r>
          </w:p>
          <w:p w14:paraId="5A9ED002">
            <w:pPr>
              <w:ind w:firstLine="480"/>
              <w:rPr>
                <w:rFonts w:hint="eastAsia"/>
                <w:szCs w:val="32"/>
                <w:lang w:eastAsia="zh-CN"/>
              </w:rPr>
            </w:pPr>
            <w:r>
              <w:rPr>
                <w:rFonts w:hint="eastAsia"/>
                <w:szCs w:val="32"/>
                <w:lang w:eastAsia="zh-CN"/>
              </w:rPr>
              <w:t>（a/b）指装卸扬尘概化系数（单位：千克/吨），a指风速概化系数，0.0011，b指物料含水率概化系数，0.0151。</w:t>
            </w:r>
          </w:p>
          <w:p w14:paraId="6BDAE466">
            <w:pPr>
              <w:ind w:firstLine="480"/>
              <w:rPr>
                <w:rFonts w:hint="eastAsia"/>
                <w:szCs w:val="32"/>
                <w:lang w:eastAsia="zh-CN"/>
              </w:rPr>
            </w:pPr>
            <w:r>
              <w:rPr>
                <w:rFonts w:hint="eastAsia"/>
                <w:szCs w:val="32"/>
                <w:lang w:eastAsia="zh-CN"/>
              </w:rPr>
              <w:t>经计算，颗粒物产生量为</w:t>
            </w:r>
            <w:r>
              <w:rPr>
                <w:rFonts w:hint="eastAsia"/>
                <w:szCs w:val="32"/>
                <w:lang w:val="en-US" w:eastAsia="zh-CN"/>
              </w:rPr>
              <w:t>17.48</w:t>
            </w:r>
            <w:r>
              <w:rPr>
                <w:rFonts w:hint="eastAsia"/>
                <w:szCs w:val="32"/>
                <w:lang w:eastAsia="zh-CN"/>
              </w:rPr>
              <w:t>t/a，由于砂石料经水洗后，能降低90%颗粒物产生，颗粒物排放量为</w:t>
            </w:r>
            <w:r>
              <w:rPr>
                <w:rFonts w:hint="eastAsia"/>
                <w:szCs w:val="32"/>
                <w:lang w:val="en-US" w:eastAsia="zh-CN"/>
              </w:rPr>
              <w:t>1.74</w:t>
            </w:r>
            <w:r>
              <w:rPr>
                <w:rFonts w:hint="eastAsia"/>
                <w:szCs w:val="32"/>
                <w:lang w:eastAsia="zh-CN"/>
              </w:rPr>
              <w:t>t/a。</w:t>
            </w:r>
          </w:p>
          <w:p w14:paraId="15CFB0BE">
            <w:pPr>
              <w:bidi w:val="0"/>
              <w:rPr>
                <w:rFonts w:hint="eastAsia" w:eastAsia="宋体"/>
                <w:lang w:val="en-US" w:eastAsia="zh-CN"/>
              </w:rPr>
            </w:pPr>
            <w:r>
              <w:rPr>
                <w:rFonts w:hint="eastAsia" w:ascii="Times New Roman"/>
                <w:b w:val="0"/>
                <w:bCs w:val="0"/>
                <w:sz w:val="24"/>
                <w:szCs w:val="24"/>
                <w:lang w:eastAsia="zh-CN"/>
              </w:rPr>
              <w:t>物料</w:t>
            </w:r>
            <w:r>
              <w:rPr>
                <w:rFonts w:hint="eastAsia" w:ascii="Times New Roman"/>
                <w:b w:val="0"/>
                <w:bCs w:val="0"/>
                <w:sz w:val="24"/>
                <w:szCs w:val="24"/>
              </w:rPr>
              <w:t>装卸时</w:t>
            </w:r>
            <w:r>
              <w:rPr>
                <w:rFonts w:hint="eastAsia"/>
                <w:b w:val="0"/>
                <w:bCs w:val="0"/>
                <w:sz w:val="24"/>
                <w:szCs w:val="24"/>
                <w:lang w:eastAsia="zh-CN"/>
              </w:rPr>
              <w:t>洒水降尘</w:t>
            </w:r>
            <w:r>
              <w:rPr>
                <w:rFonts w:hint="eastAsia" w:ascii="Times New Roman"/>
                <w:b w:val="0"/>
                <w:bCs w:val="0"/>
                <w:sz w:val="24"/>
                <w:szCs w:val="24"/>
              </w:rPr>
              <w:t>，湿法作业，可有效抑制扬尘产生，同时加强产品装卸操作管理，尽量降低原料落地高度，严禁高空卸料</w:t>
            </w:r>
            <w:r>
              <w:rPr>
                <w:rFonts w:hint="eastAsia" w:ascii="Times New Roman"/>
                <w:b w:val="0"/>
                <w:bCs w:val="0"/>
                <w:sz w:val="24"/>
                <w:szCs w:val="24"/>
                <w:lang w:eastAsia="zh-CN"/>
              </w:rPr>
              <w:t>。</w:t>
            </w:r>
          </w:p>
          <w:p w14:paraId="64086F4D">
            <w:pPr>
              <w:ind w:firstLine="480"/>
              <w:rPr>
                <w:rFonts w:hint="eastAsia"/>
                <w:b/>
                <w:bCs/>
                <w:szCs w:val="32"/>
                <w:lang w:eastAsia="zh-CN"/>
              </w:rPr>
            </w:pPr>
            <w:r>
              <w:rPr>
                <w:rFonts w:hint="eastAsia"/>
                <w:b/>
                <w:bCs/>
                <w:szCs w:val="32"/>
                <w:lang w:eastAsia="zh-CN"/>
              </w:rPr>
              <w:t>(</w:t>
            </w:r>
            <w:r>
              <w:rPr>
                <w:rFonts w:hint="eastAsia"/>
                <w:b/>
                <w:bCs/>
                <w:szCs w:val="32"/>
                <w:lang w:val="en-US" w:eastAsia="zh-CN"/>
              </w:rPr>
              <w:t>8</w:t>
            </w:r>
            <w:r>
              <w:rPr>
                <w:rFonts w:hint="eastAsia"/>
                <w:b/>
                <w:bCs/>
                <w:szCs w:val="32"/>
                <w:lang w:eastAsia="zh-CN"/>
              </w:rPr>
              <w:t>)车辆废气</w:t>
            </w:r>
          </w:p>
          <w:p w14:paraId="3DFE949F">
            <w:pPr>
              <w:ind w:firstLine="480"/>
              <w:rPr>
                <w:rFonts w:hint="eastAsia"/>
                <w:szCs w:val="32"/>
                <w:lang w:eastAsia="zh-CN"/>
              </w:rPr>
            </w:pPr>
            <w:r>
              <w:rPr>
                <w:rFonts w:hint="eastAsia"/>
                <w:szCs w:val="32"/>
                <w:lang w:eastAsia="zh-CN"/>
              </w:rPr>
              <w:t>项目施工期、运营期施工机械和运输车辆在作业时会产生汽车尾气，主要污染物是CO、NOX和THC，通过按时保养，使用合格机油，尾气产生量较小，不再进行定量分析。</w:t>
            </w:r>
          </w:p>
          <w:p w14:paraId="6BE0C91B">
            <w:pPr>
              <w:ind w:firstLine="480"/>
              <w:rPr>
                <w:rFonts w:hint="eastAsia"/>
                <w:b/>
                <w:bCs/>
                <w:szCs w:val="32"/>
                <w:lang w:eastAsia="zh-CN"/>
              </w:rPr>
            </w:pPr>
            <w:r>
              <w:rPr>
                <w:rFonts w:hint="eastAsia"/>
                <w:b/>
                <w:bCs/>
                <w:szCs w:val="32"/>
                <w:lang w:eastAsia="zh-CN"/>
              </w:rPr>
              <w:t>（</w:t>
            </w:r>
            <w:r>
              <w:rPr>
                <w:rFonts w:hint="eastAsia"/>
                <w:b/>
                <w:bCs/>
                <w:szCs w:val="32"/>
                <w:lang w:val="en-US" w:eastAsia="zh-CN"/>
              </w:rPr>
              <w:t>9</w:t>
            </w:r>
            <w:r>
              <w:rPr>
                <w:rFonts w:hint="eastAsia"/>
                <w:b/>
                <w:bCs/>
                <w:szCs w:val="32"/>
                <w:lang w:eastAsia="zh-CN"/>
              </w:rPr>
              <w:t>）油烟废气</w:t>
            </w:r>
          </w:p>
          <w:p w14:paraId="2790F890">
            <w:pPr>
              <w:spacing w:line="360" w:lineRule="auto"/>
              <w:ind w:firstLine="480"/>
              <w:rPr>
                <w:rFonts w:hint="eastAsia"/>
                <w:szCs w:val="32"/>
                <w:lang w:eastAsia="zh-CN"/>
              </w:rPr>
            </w:pPr>
            <w:r>
              <w:rPr>
                <w:rFonts w:hint="eastAsia"/>
                <w:szCs w:val="32"/>
                <w:lang w:eastAsia="zh-CN"/>
              </w:rPr>
              <w:t>项目厨房烹煮食物会产生油烟，本项目为小型食堂，根据居民炊事排污因子参考数据，食用油烹饪时产生油烟1.035kg/t，平衡膳食推荐食用油30g/人·d，项目厨房用餐人数为</w:t>
            </w:r>
            <w:r>
              <w:rPr>
                <w:rFonts w:hint="eastAsia"/>
                <w:szCs w:val="32"/>
                <w:lang w:val="en-US" w:eastAsia="zh-CN"/>
              </w:rPr>
              <w:t>18</w:t>
            </w:r>
            <w:r>
              <w:rPr>
                <w:rFonts w:hint="eastAsia"/>
                <w:szCs w:val="32"/>
                <w:lang w:eastAsia="zh-CN"/>
              </w:rPr>
              <w:t>人，所以食用油用量为0.1</w:t>
            </w:r>
            <w:r>
              <w:rPr>
                <w:rFonts w:hint="eastAsia"/>
                <w:szCs w:val="32"/>
                <w:lang w:val="en-US" w:eastAsia="zh-CN"/>
              </w:rPr>
              <w:t>134</w:t>
            </w:r>
            <w:r>
              <w:rPr>
                <w:rFonts w:hint="eastAsia"/>
                <w:szCs w:val="32"/>
                <w:lang w:eastAsia="zh-CN"/>
              </w:rPr>
              <w:t>t/a，则油烟产生量为0.1</w:t>
            </w:r>
            <w:r>
              <w:rPr>
                <w:rFonts w:hint="eastAsia"/>
                <w:szCs w:val="32"/>
                <w:lang w:val="en-US" w:eastAsia="zh-CN"/>
              </w:rPr>
              <w:t>17</w:t>
            </w:r>
            <w:r>
              <w:rPr>
                <w:rFonts w:hint="eastAsia"/>
                <w:szCs w:val="32"/>
                <w:lang w:eastAsia="zh-CN"/>
              </w:rPr>
              <w:t>kg/a，设置一套油烟净化系统，油烟净化效率为60%，时间按2h计算，厨房所排油烟的量为0.0</w:t>
            </w:r>
            <w:r>
              <w:rPr>
                <w:rFonts w:hint="eastAsia"/>
                <w:szCs w:val="32"/>
                <w:lang w:val="en-US" w:eastAsia="zh-CN"/>
              </w:rPr>
              <w:t>47</w:t>
            </w:r>
            <w:r>
              <w:rPr>
                <w:rFonts w:hint="eastAsia"/>
                <w:szCs w:val="32"/>
                <w:lang w:eastAsia="zh-CN"/>
              </w:rPr>
              <w:t>kg/a，0.000</w:t>
            </w:r>
            <w:r>
              <w:rPr>
                <w:rFonts w:hint="eastAsia"/>
                <w:szCs w:val="32"/>
                <w:lang w:val="en-US" w:eastAsia="zh-CN"/>
              </w:rPr>
              <w:t>1</w:t>
            </w:r>
            <w:r>
              <w:rPr>
                <w:rFonts w:hint="eastAsia"/>
                <w:szCs w:val="32"/>
                <w:lang w:eastAsia="zh-CN"/>
              </w:rPr>
              <w:t>kg/h，项目厨房设置的风机风量为</w:t>
            </w:r>
            <w:r>
              <w:rPr>
                <w:rFonts w:hint="eastAsia"/>
                <w:szCs w:val="32"/>
                <w:lang w:val="en-US" w:eastAsia="zh-CN"/>
              </w:rPr>
              <w:t>600</w:t>
            </w:r>
            <w:r>
              <w:rPr>
                <w:rFonts w:hint="eastAsia"/>
                <w:szCs w:val="32"/>
                <w:lang w:eastAsia="zh-CN"/>
              </w:rPr>
              <w:t>m</w:t>
            </w:r>
            <w:r>
              <w:rPr>
                <w:rFonts w:hint="eastAsia"/>
                <w:szCs w:val="32"/>
                <w:vertAlign w:val="superscript"/>
                <w:lang w:eastAsia="zh-CN"/>
              </w:rPr>
              <w:t>3</w:t>
            </w:r>
            <w:r>
              <w:rPr>
                <w:rFonts w:hint="eastAsia"/>
                <w:szCs w:val="32"/>
                <w:lang w:eastAsia="zh-CN"/>
              </w:rPr>
              <w:t>/h，项目厨房油烟产生浓度为0.13mg/m</w:t>
            </w:r>
            <w:r>
              <w:rPr>
                <w:rFonts w:hint="eastAsia"/>
                <w:szCs w:val="32"/>
                <w:vertAlign w:val="superscript"/>
                <w:lang w:eastAsia="zh-CN"/>
              </w:rPr>
              <w:t>3</w:t>
            </w:r>
            <w:r>
              <w:rPr>
                <w:rFonts w:hint="eastAsia"/>
                <w:szCs w:val="32"/>
                <w:lang w:eastAsia="zh-CN"/>
              </w:rPr>
              <w:t>，经抽油烟机收集净化后通过屋顶的排气口外排，对周边大气环境影响较小。</w:t>
            </w:r>
          </w:p>
          <w:p w14:paraId="71777268">
            <w:pPr>
              <w:pStyle w:val="4"/>
              <w:numPr>
                <w:ilvl w:val="1"/>
                <w:numId w:val="0"/>
              </w:numPr>
              <w:spacing w:line="360" w:lineRule="auto"/>
              <w:ind w:left="0" w:leftChars="0" w:firstLine="480" w:firstLineChars="200"/>
              <w:rPr>
                <w:b w:val="0"/>
                <w:bCs w:val="0"/>
                <w:sz w:val="24"/>
              </w:rPr>
            </w:pPr>
            <w:r>
              <w:rPr>
                <w:rFonts w:hint="eastAsia"/>
                <w:b w:val="0"/>
                <w:bCs w:val="0"/>
                <w:sz w:val="24"/>
              </w:rPr>
              <w:t>运营期间大气污染物产生量及排放量汇总如下表。</w:t>
            </w:r>
          </w:p>
          <w:p w14:paraId="48B3F3B6">
            <w:pPr>
              <w:spacing w:afterLines="50" w:line="240" w:lineRule="auto"/>
              <w:ind w:left="0" w:leftChars="0" w:firstLine="0" w:firstLineChars="0"/>
              <w:jc w:val="center"/>
              <w:rPr>
                <w:rFonts w:hint="eastAsia"/>
                <w:b/>
              </w:rPr>
            </w:pPr>
            <w:r>
              <w:rPr>
                <w:rFonts w:hint="eastAsia"/>
                <w:b/>
              </w:rPr>
              <w:t>表4-2 运营期大气污染物排放一览表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849"/>
              <w:gridCol w:w="1176"/>
              <w:gridCol w:w="2903"/>
              <w:gridCol w:w="1227"/>
            </w:tblGrid>
            <w:tr w14:paraId="1ADF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pct"/>
                  <w:tcBorders>
                    <w:tl2br w:val="nil"/>
                    <w:tr2bl w:val="nil"/>
                  </w:tcBorders>
                  <w:vAlign w:val="center"/>
                </w:tcPr>
                <w:p w14:paraId="01BB4D67">
                  <w:pPr>
                    <w:pStyle w:val="17"/>
                    <w:spacing w:after="0" w:line="240" w:lineRule="auto"/>
                    <w:ind w:firstLine="0" w:firstLineChars="0"/>
                    <w:jc w:val="center"/>
                    <w:rPr>
                      <w:sz w:val="21"/>
                      <w:szCs w:val="21"/>
                    </w:rPr>
                  </w:pPr>
                  <w:r>
                    <w:rPr>
                      <w:b/>
                      <w:bCs/>
                      <w:sz w:val="21"/>
                      <w:szCs w:val="21"/>
                    </w:rPr>
                    <w:t>产排污环节</w:t>
                  </w:r>
                </w:p>
              </w:tc>
              <w:tc>
                <w:tcPr>
                  <w:tcW w:w="547" w:type="pct"/>
                  <w:tcBorders>
                    <w:tl2br w:val="nil"/>
                    <w:tr2bl w:val="nil"/>
                  </w:tcBorders>
                  <w:vAlign w:val="center"/>
                </w:tcPr>
                <w:p w14:paraId="620EF54F">
                  <w:pPr>
                    <w:pStyle w:val="17"/>
                    <w:spacing w:after="0" w:line="240" w:lineRule="auto"/>
                    <w:ind w:firstLine="0" w:firstLineChars="0"/>
                    <w:jc w:val="center"/>
                    <w:rPr>
                      <w:b/>
                      <w:color w:val="000000"/>
                      <w:sz w:val="21"/>
                      <w:szCs w:val="21"/>
                    </w:rPr>
                  </w:pPr>
                  <w:r>
                    <w:rPr>
                      <w:b/>
                      <w:color w:val="000000"/>
                      <w:sz w:val="21"/>
                      <w:szCs w:val="21"/>
                    </w:rPr>
                    <w:t>污染物种类</w:t>
                  </w:r>
                </w:p>
              </w:tc>
              <w:tc>
                <w:tcPr>
                  <w:tcW w:w="758" w:type="pct"/>
                  <w:tcBorders>
                    <w:tl2br w:val="nil"/>
                    <w:tr2bl w:val="nil"/>
                  </w:tcBorders>
                  <w:vAlign w:val="center"/>
                </w:tcPr>
                <w:p w14:paraId="624B1032">
                  <w:pPr>
                    <w:pStyle w:val="17"/>
                    <w:spacing w:after="0" w:line="240" w:lineRule="auto"/>
                    <w:ind w:firstLine="0" w:firstLineChars="0"/>
                    <w:jc w:val="center"/>
                    <w:rPr>
                      <w:b/>
                      <w:color w:val="000000"/>
                      <w:sz w:val="21"/>
                      <w:szCs w:val="21"/>
                    </w:rPr>
                  </w:pPr>
                  <w:r>
                    <w:rPr>
                      <w:b/>
                      <w:color w:val="000000"/>
                      <w:sz w:val="21"/>
                      <w:szCs w:val="21"/>
                    </w:rPr>
                    <w:t>产生量</w:t>
                  </w:r>
                  <w:r>
                    <w:rPr>
                      <w:rFonts w:hint="eastAsia"/>
                      <w:b/>
                      <w:color w:val="000000"/>
                      <w:sz w:val="21"/>
                      <w:szCs w:val="21"/>
                    </w:rPr>
                    <w:t>（t/a）</w:t>
                  </w:r>
                </w:p>
              </w:tc>
              <w:tc>
                <w:tcPr>
                  <w:tcW w:w="1871" w:type="pct"/>
                  <w:tcBorders>
                    <w:tl2br w:val="nil"/>
                    <w:tr2bl w:val="nil"/>
                  </w:tcBorders>
                  <w:vAlign w:val="center"/>
                </w:tcPr>
                <w:p w14:paraId="214AB7F9">
                  <w:pPr>
                    <w:pStyle w:val="17"/>
                    <w:spacing w:after="0" w:line="240" w:lineRule="auto"/>
                    <w:ind w:firstLine="0" w:firstLineChars="0"/>
                    <w:jc w:val="center"/>
                    <w:rPr>
                      <w:b/>
                      <w:color w:val="000000"/>
                      <w:sz w:val="21"/>
                      <w:szCs w:val="21"/>
                    </w:rPr>
                  </w:pPr>
                  <w:r>
                    <w:rPr>
                      <w:b/>
                      <w:color w:val="000000"/>
                      <w:sz w:val="21"/>
                      <w:szCs w:val="21"/>
                    </w:rPr>
                    <w:t>治理措施</w:t>
                  </w:r>
                </w:p>
              </w:tc>
              <w:tc>
                <w:tcPr>
                  <w:tcW w:w="791" w:type="pct"/>
                  <w:tcBorders>
                    <w:tl2br w:val="nil"/>
                    <w:tr2bl w:val="nil"/>
                  </w:tcBorders>
                  <w:vAlign w:val="center"/>
                </w:tcPr>
                <w:p w14:paraId="681710B3">
                  <w:pPr>
                    <w:pStyle w:val="17"/>
                    <w:spacing w:after="0" w:line="240" w:lineRule="auto"/>
                    <w:ind w:firstLine="0" w:firstLineChars="0"/>
                    <w:jc w:val="center"/>
                    <w:rPr>
                      <w:b/>
                      <w:color w:val="000000"/>
                      <w:sz w:val="21"/>
                      <w:szCs w:val="21"/>
                    </w:rPr>
                  </w:pPr>
                  <w:r>
                    <w:rPr>
                      <w:b/>
                      <w:color w:val="000000"/>
                      <w:sz w:val="21"/>
                      <w:szCs w:val="21"/>
                    </w:rPr>
                    <w:t>排放量</w:t>
                  </w:r>
                  <w:r>
                    <w:rPr>
                      <w:rFonts w:hint="eastAsia"/>
                      <w:b/>
                      <w:color w:val="000000"/>
                      <w:sz w:val="21"/>
                      <w:szCs w:val="21"/>
                    </w:rPr>
                    <w:t>（t/a）</w:t>
                  </w:r>
                </w:p>
              </w:tc>
            </w:tr>
            <w:tr w14:paraId="46A9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31" w:type="pct"/>
                  <w:tcBorders>
                    <w:tl2br w:val="nil"/>
                    <w:tr2bl w:val="nil"/>
                  </w:tcBorders>
                  <w:vAlign w:val="center"/>
                </w:tcPr>
                <w:p w14:paraId="1CE5F393">
                  <w:pPr>
                    <w:pStyle w:val="17"/>
                    <w:spacing w:after="0" w:line="240" w:lineRule="auto"/>
                    <w:ind w:firstLine="0" w:firstLineChars="0"/>
                    <w:rPr>
                      <w:sz w:val="21"/>
                      <w:szCs w:val="21"/>
                    </w:rPr>
                  </w:pPr>
                  <w:r>
                    <w:rPr>
                      <w:rFonts w:hint="eastAsia"/>
                      <w:sz w:val="21"/>
                      <w:szCs w:val="21"/>
                    </w:rPr>
                    <w:t>原料堆场粉尘</w:t>
                  </w:r>
                </w:p>
              </w:tc>
              <w:tc>
                <w:tcPr>
                  <w:tcW w:w="547" w:type="pct"/>
                  <w:vMerge w:val="restart"/>
                  <w:tcBorders>
                    <w:tl2br w:val="nil"/>
                    <w:tr2bl w:val="nil"/>
                  </w:tcBorders>
                  <w:vAlign w:val="center"/>
                </w:tcPr>
                <w:p w14:paraId="7DFAA3A6">
                  <w:pPr>
                    <w:pStyle w:val="17"/>
                    <w:spacing w:after="0" w:line="240" w:lineRule="auto"/>
                    <w:ind w:left="0" w:leftChars="0" w:firstLine="0" w:firstLineChars="0"/>
                    <w:rPr>
                      <w:color w:val="000000"/>
                      <w:sz w:val="21"/>
                      <w:szCs w:val="21"/>
                    </w:rPr>
                  </w:pPr>
                  <w:r>
                    <w:rPr>
                      <w:color w:val="000000"/>
                      <w:sz w:val="21"/>
                      <w:szCs w:val="21"/>
                    </w:rPr>
                    <w:t>颗粒物</w:t>
                  </w:r>
                </w:p>
              </w:tc>
              <w:tc>
                <w:tcPr>
                  <w:tcW w:w="758" w:type="pct"/>
                  <w:tcBorders>
                    <w:tl2br w:val="nil"/>
                    <w:tr2bl w:val="nil"/>
                  </w:tcBorders>
                  <w:vAlign w:val="center"/>
                </w:tcPr>
                <w:p w14:paraId="4D131A89">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4.6</w:t>
                  </w:r>
                </w:p>
              </w:tc>
              <w:tc>
                <w:tcPr>
                  <w:tcW w:w="1871" w:type="pct"/>
                  <w:tcBorders>
                    <w:tl2br w:val="nil"/>
                    <w:tr2bl w:val="nil"/>
                  </w:tcBorders>
                  <w:vAlign w:val="center"/>
                </w:tcPr>
                <w:p w14:paraId="3B3280F5">
                  <w:pPr>
                    <w:widowControl/>
                    <w:spacing w:line="240" w:lineRule="auto"/>
                    <w:ind w:firstLine="0" w:firstLineChars="0"/>
                    <w:rPr>
                      <w:color w:val="000000"/>
                      <w:kern w:val="0"/>
                      <w:sz w:val="21"/>
                      <w:szCs w:val="21"/>
                    </w:rPr>
                  </w:pP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p>
              </w:tc>
              <w:tc>
                <w:tcPr>
                  <w:tcW w:w="791" w:type="pct"/>
                  <w:tcBorders>
                    <w:tl2br w:val="nil"/>
                    <w:tr2bl w:val="nil"/>
                  </w:tcBorders>
                  <w:vAlign w:val="center"/>
                </w:tcPr>
                <w:p w14:paraId="3A7612AC">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0.46</w:t>
                  </w:r>
                </w:p>
              </w:tc>
            </w:tr>
            <w:tr w14:paraId="6F31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031" w:type="pct"/>
                  <w:tcBorders>
                    <w:tl2br w:val="nil"/>
                    <w:tr2bl w:val="nil"/>
                  </w:tcBorders>
                  <w:vAlign w:val="center"/>
                </w:tcPr>
                <w:p w14:paraId="036B5D61">
                  <w:pPr>
                    <w:pStyle w:val="17"/>
                    <w:spacing w:after="0" w:line="240" w:lineRule="auto"/>
                    <w:ind w:firstLine="0" w:firstLineChars="0"/>
                    <w:rPr>
                      <w:color w:val="000000"/>
                      <w:sz w:val="21"/>
                      <w:szCs w:val="21"/>
                    </w:rPr>
                  </w:pPr>
                  <w:r>
                    <w:rPr>
                      <w:rFonts w:hint="eastAsia"/>
                      <w:sz w:val="21"/>
                      <w:szCs w:val="21"/>
                    </w:rPr>
                    <w:t>投料粉尘</w:t>
                  </w:r>
                </w:p>
              </w:tc>
              <w:tc>
                <w:tcPr>
                  <w:tcW w:w="547" w:type="pct"/>
                  <w:vMerge w:val="continue"/>
                  <w:tcBorders>
                    <w:tl2br w:val="nil"/>
                    <w:tr2bl w:val="nil"/>
                  </w:tcBorders>
                  <w:vAlign w:val="center"/>
                </w:tcPr>
                <w:p w14:paraId="19A508F2">
                  <w:pPr>
                    <w:pStyle w:val="17"/>
                    <w:spacing w:after="0" w:line="240" w:lineRule="auto"/>
                    <w:ind w:firstLine="0" w:firstLineChars="0"/>
                    <w:rPr>
                      <w:color w:val="000000"/>
                      <w:sz w:val="21"/>
                      <w:szCs w:val="21"/>
                    </w:rPr>
                  </w:pPr>
                </w:p>
              </w:tc>
              <w:tc>
                <w:tcPr>
                  <w:tcW w:w="758" w:type="pct"/>
                  <w:tcBorders>
                    <w:tl2br w:val="nil"/>
                    <w:tr2bl w:val="nil"/>
                  </w:tcBorders>
                  <w:vAlign w:val="center"/>
                </w:tcPr>
                <w:p w14:paraId="29D7FC29">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0.24</w:t>
                  </w:r>
                </w:p>
              </w:tc>
              <w:tc>
                <w:tcPr>
                  <w:tcW w:w="1871" w:type="pct"/>
                  <w:tcBorders>
                    <w:tl2br w:val="nil"/>
                    <w:tr2bl w:val="nil"/>
                  </w:tcBorders>
                  <w:vAlign w:val="center"/>
                </w:tcPr>
                <w:p w14:paraId="4CC9D4B4">
                  <w:pPr>
                    <w:widowControl/>
                    <w:spacing w:line="240" w:lineRule="auto"/>
                    <w:ind w:firstLine="0" w:firstLineChars="0"/>
                    <w:rPr>
                      <w:color w:val="000000"/>
                      <w:sz w:val="21"/>
                      <w:szCs w:val="21"/>
                    </w:rPr>
                  </w:pPr>
                  <w:r>
                    <w:rPr>
                      <w:rFonts w:hint="eastAsia"/>
                      <w:color w:val="000000"/>
                      <w:sz w:val="21"/>
                      <w:szCs w:val="21"/>
                    </w:rPr>
                    <w:t>安装高压喷头</w:t>
                  </w:r>
                </w:p>
              </w:tc>
              <w:tc>
                <w:tcPr>
                  <w:tcW w:w="791" w:type="pct"/>
                  <w:tcBorders>
                    <w:tl2br w:val="nil"/>
                    <w:tr2bl w:val="nil"/>
                  </w:tcBorders>
                  <w:vAlign w:val="center"/>
                </w:tcPr>
                <w:p w14:paraId="68EDF231">
                  <w:pPr>
                    <w:pStyle w:val="17"/>
                    <w:spacing w:after="0" w:line="240" w:lineRule="auto"/>
                    <w:ind w:firstLine="0" w:firstLineChars="0"/>
                    <w:jc w:val="center"/>
                    <w:rPr>
                      <w:rFonts w:hint="default" w:eastAsia="宋体"/>
                      <w:color w:val="000000"/>
                      <w:sz w:val="21"/>
                      <w:szCs w:val="21"/>
                      <w:lang w:val="en-US" w:eastAsia="zh-CN"/>
                    </w:rPr>
                  </w:pPr>
                  <w:r>
                    <w:rPr>
                      <w:color w:val="000000"/>
                      <w:sz w:val="21"/>
                      <w:szCs w:val="21"/>
                    </w:rPr>
                    <w:t>0.0</w:t>
                  </w:r>
                  <w:r>
                    <w:rPr>
                      <w:rFonts w:hint="eastAsia"/>
                      <w:color w:val="000000"/>
                      <w:sz w:val="21"/>
                      <w:szCs w:val="21"/>
                      <w:lang w:val="en-US" w:eastAsia="zh-CN"/>
                    </w:rPr>
                    <w:t>48</w:t>
                  </w:r>
                </w:p>
              </w:tc>
            </w:tr>
            <w:tr w14:paraId="5E20F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031" w:type="pct"/>
                  <w:tcBorders>
                    <w:tl2br w:val="nil"/>
                    <w:tr2bl w:val="nil"/>
                  </w:tcBorders>
                  <w:vAlign w:val="center"/>
                </w:tcPr>
                <w:p w14:paraId="0CFD5852">
                  <w:pPr>
                    <w:pStyle w:val="17"/>
                    <w:spacing w:after="0" w:line="240" w:lineRule="auto"/>
                    <w:ind w:firstLine="0" w:firstLineChars="0"/>
                    <w:rPr>
                      <w:color w:val="000000"/>
                      <w:sz w:val="21"/>
                      <w:szCs w:val="21"/>
                    </w:rPr>
                  </w:pPr>
                  <w:r>
                    <w:rPr>
                      <w:rFonts w:hint="eastAsia"/>
                      <w:color w:val="000000"/>
                      <w:sz w:val="21"/>
                      <w:szCs w:val="21"/>
                      <w:highlight w:val="none"/>
                    </w:rPr>
                    <w:t>破碎、筛分粉尘</w:t>
                  </w:r>
                </w:p>
              </w:tc>
              <w:tc>
                <w:tcPr>
                  <w:tcW w:w="547" w:type="pct"/>
                  <w:vMerge w:val="continue"/>
                  <w:tcBorders>
                    <w:tl2br w:val="nil"/>
                    <w:tr2bl w:val="nil"/>
                  </w:tcBorders>
                  <w:vAlign w:val="center"/>
                </w:tcPr>
                <w:p w14:paraId="5BFC5E94">
                  <w:pPr>
                    <w:pStyle w:val="17"/>
                    <w:spacing w:after="0" w:line="240" w:lineRule="auto"/>
                    <w:ind w:firstLine="0" w:firstLineChars="0"/>
                    <w:rPr>
                      <w:color w:val="000000"/>
                      <w:sz w:val="21"/>
                      <w:szCs w:val="21"/>
                    </w:rPr>
                  </w:pPr>
                </w:p>
              </w:tc>
              <w:tc>
                <w:tcPr>
                  <w:tcW w:w="758" w:type="pct"/>
                  <w:tcBorders>
                    <w:tl2br w:val="nil"/>
                    <w:tr2bl w:val="nil"/>
                  </w:tcBorders>
                  <w:vAlign w:val="center"/>
                </w:tcPr>
                <w:p w14:paraId="72ACFFE1">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91</w:t>
                  </w:r>
                </w:p>
              </w:tc>
              <w:tc>
                <w:tcPr>
                  <w:tcW w:w="1871" w:type="pct"/>
                  <w:tcBorders>
                    <w:tl2br w:val="nil"/>
                    <w:tr2bl w:val="nil"/>
                  </w:tcBorders>
                  <w:vAlign w:val="center"/>
                </w:tcPr>
                <w:p w14:paraId="57DD5CC6">
                  <w:pPr>
                    <w:pStyle w:val="17"/>
                    <w:spacing w:after="0" w:line="240" w:lineRule="auto"/>
                    <w:ind w:firstLine="0" w:firstLineChars="0"/>
                    <w:rPr>
                      <w:color w:val="000000"/>
                      <w:sz w:val="21"/>
                      <w:szCs w:val="21"/>
                    </w:rPr>
                  </w:pPr>
                  <w:r>
                    <w:rPr>
                      <w:color w:val="000000"/>
                      <w:sz w:val="21"/>
                      <w:szCs w:val="21"/>
                    </w:rPr>
                    <w:t>集气罩（</w:t>
                  </w:r>
                  <w:r>
                    <w:rPr>
                      <w:rFonts w:hint="eastAsia"/>
                      <w:color w:val="000000"/>
                      <w:sz w:val="21"/>
                      <w:szCs w:val="21"/>
                      <w:lang w:val="en-US" w:eastAsia="zh-CN"/>
                    </w:rPr>
                    <w:t>9</w:t>
                  </w:r>
                  <w:r>
                    <w:rPr>
                      <w:rFonts w:hint="eastAsia"/>
                      <w:color w:val="000000"/>
                      <w:sz w:val="21"/>
                      <w:szCs w:val="21"/>
                    </w:rPr>
                    <w:t>0</w:t>
                  </w:r>
                  <w:r>
                    <w:rPr>
                      <w:color w:val="000000"/>
                      <w:sz w:val="21"/>
                      <w:szCs w:val="21"/>
                    </w:rPr>
                    <w:t>%）+风机（风量20000m</w:t>
                  </w:r>
                  <w:r>
                    <w:rPr>
                      <w:color w:val="000000"/>
                      <w:sz w:val="21"/>
                      <w:szCs w:val="21"/>
                      <w:vertAlign w:val="superscript"/>
                    </w:rPr>
                    <w:t>3</w:t>
                  </w:r>
                  <w:r>
                    <w:rPr>
                      <w:color w:val="000000"/>
                      <w:sz w:val="21"/>
                      <w:szCs w:val="21"/>
                    </w:rPr>
                    <w:t>/h）+布袋除尘器（98%）+15m排气筒</w:t>
                  </w:r>
                </w:p>
              </w:tc>
              <w:tc>
                <w:tcPr>
                  <w:tcW w:w="791" w:type="pct"/>
                  <w:tcBorders>
                    <w:tl2br w:val="nil"/>
                    <w:tr2bl w:val="nil"/>
                  </w:tcBorders>
                  <w:vAlign w:val="center"/>
                </w:tcPr>
                <w:p w14:paraId="203B654D">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0.91</w:t>
                  </w:r>
                </w:p>
              </w:tc>
            </w:tr>
            <w:tr w14:paraId="0A0E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31" w:type="pct"/>
                  <w:tcBorders>
                    <w:tl2br w:val="nil"/>
                    <w:tr2bl w:val="nil"/>
                  </w:tcBorders>
                  <w:vAlign w:val="center"/>
                </w:tcPr>
                <w:p w14:paraId="15655F94">
                  <w:pPr>
                    <w:pStyle w:val="17"/>
                    <w:spacing w:after="0" w:line="240" w:lineRule="auto"/>
                    <w:ind w:firstLine="0" w:firstLineChars="0"/>
                    <w:rPr>
                      <w:color w:val="000000"/>
                      <w:sz w:val="21"/>
                      <w:szCs w:val="21"/>
                    </w:rPr>
                  </w:pPr>
                  <w:r>
                    <w:rPr>
                      <w:rFonts w:hint="eastAsia"/>
                      <w:color w:val="000000"/>
                      <w:sz w:val="21"/>
                      <w:szCs w:val="21"/>
                    </w:rPr>
                    <w:t>皮带输送粉尘</w:t>
                  </w:r>
                </w:p>
              </w:tc>
              <w:tc>
                <w:tcPr>
                  <w:tcW w:w="547" w:type="pct"/>
                  <w:vMerge w:val="continue"/>
                  <w:tcBorders>
                    <w:tl2br w:val="nil"/>
                    <w:tr2bl w:val="nil"/>
                  </w:tcBorders>
                  <w:vAlign w:val="center"/>
                </w:tcPr>
                <w:p w14:paraId="7E6DF6C0">
                  <w:pPr>
                    <w:pStyle w:val="17"/>
                    <w:spacing w:after="0" w:line="240" w:lineRule="auto"/>
                    <w:ind w:firstLine="0" w:firstLineChars="0"/>
                    <w:rPr>
                      <w:color w:val="000000"/>
                      <w:sz w:val="21"/>
                      <w:szCs w:val="21"/>
                    </w:rPr>
                  </w:pPr>
                </w:p>
              </w:tc>
              <w:tc>
                <w:tcPr>
                  <w:tcW w:w="758" w:type="pct"/>
                  <w:tcBorders>
                    <w:tl2br w:val="nil"/>
                    <w:tr2bl w:val="nil"/>
                  </w:tcBorders>
                  <w:vAlign w:val="center"/>
                </w:tcPr>
                <w:p w14:paraId="11B8E5F5">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2.4</w:t>
                  </w:r>
                </w:p>
              </w:tc>
              <w:tc>
                <w:tcPr>
                  <w:tcW w:w="1871" w:type="pct"/>
                  <w:tcBorders>
                    <w:tl2br w:val="nil"/>
                    <w:tr2bl w:val="nil"/>
                  </w:tcBorders>
                  <w:vAlign w:val="center"/>
                </w:tcPr>
                <w:p w14:paraId="20BC6ECB">
                  <w:pPr>
                    <w:widowControl/>
                    <w:spacing w:line="240" w:lineRule="auto"/>
                    <w:ind w:firstLine="0" w:firstLineChars="0"/>
                    <w:rPr>
                      <w:color w:val="000000"/>
                      <w:sz w:val="21"/>
                      <w:szCs w:val="21"/>
                    </w:rPr>
                  </w:pPr>
                  <w:r>
                    <w:rPr>
                      <w:rFonts w:hint="eastAsia"/>
                      <w:color w:val="000000"/>
                      <w:sz w:val="21"/>
                      <w:szCs w:val="21"/>
                    </w:rPr>
                    <w:t>皮带输送带上部加盖，两侧密封</w:t>
                  </w:r>
                </w:p>
              </w:tc>
              <w:tc>
                <w:tcPr>
                  <w:tcW w:w="791" w:type="pct"/>
                  <w:tcBorders>
                    <w:tl2br w:val="nil"/>
                    <w:tr2bl w:val="nil"/>
                  </w:tcBorders>
                  <w:vAlign w:val="center"/>
                </w:tcPr>
                <w:p w14:paraId="05801942">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rPr>
                    <w:t>0.</w:t>
                  </w:r>
                  <w:r>
                    <w:rPr>
                      <w:rFonts w:hint="eastAsia"/>
                      <w:color w:val="000000"/>
                      <w:sz w:val="21"/>
                      <w:szCs w:val="21"/>
                      <w:lang w:val="en-US" w:eastAsia="zh-CN"/>
                    </w:rPr>
                    <w:t>24</w:t>
                  </w:r>
                </w:p>
              </w:tc>
            </w:tr>
            <w:tr w14:paraId="5E82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031" w:type="pct"/>
                  <w:tcBorders>
                    <w:tl2br w:val="nil"/>
                    <w:tr2bl w:val="nil"/>
                  </w:tcBorders>
                  <w:vAlign w:val="center"/>
                </w:tcPr>
                <w:p w14:paraId="588CACAD">
                  <w:pPr>
                    <w:pStyle w:val="17"/>
                    <w:spacing w:after="0" w:line="240" w:lineRule="auto"/>
                    <w:ind w:firstLine="0" w:firstLineChars="0"/>
                    <w:rPr>
                      <w:rFonts w:hint="eastAsia"/>
                      <w:color w:val="000000"/>
                      <w:sz w:val="21"/>
                      <w:szCs w:val="21"/>
                    </w:rPr>
                  </w:pPr>
                  <w:r>
                    <w:rPr>
                      <w:rFonts w:hint="eastAsia"/>
                      <w:color w:val="000000"/>
                      <w:sz w:val="21"/>
                      <w:szCs w:val="21"/>
                    </w:rPr>
                    <w:t>物料转运及装卸扬尘</w:t>
                  </w:r>
                </w:p>
              </w:tc>
              <w:tc>
                <w:tcPr>
                  <w:tcW w:w="547" w:type="pct"/>
                  <w:vMerge w:val="continue"/>
                  <w:tcBorders>
                    <w:tl2br w:val="nil"/>
                    <w:tr2bl w:val="nil"/>
                  </w:tcBorders>
                  <w:vAlign w:val="center"/>
                </w:tcPr>
                <w:p w14:paraId="74D68A10">
                  <w:pPr>
                    <w:pStyle w:val="17"/>
                    <w:spacing w:after="0" w:line="240" w:lineRule="auto"/>
                    <w:ind w:firstLine="0" w:firstLineChars="0"/>
                    <w:rPr>
                      <w:color w:val="000000"/>
                      <w:sz w:val="21"/>
                      <w:szCs w:val="21"/>
                    </w:rPr>
                  </w:pPr>
                </w:p>
              </w:tc>
              <w:tc>
                <w:tcPr>
                  <w:tcW w:w="758" w:type="pct"/>
                  <w:tcBorders>
                    <w:tl2br w:val="nil"/>
                    <w:tr2bl w:val="nil"/>
                  </w:tcBorders>
                  <w:vAlign w:val="center"/>
                </w:tcPr>
                <w:p w14:paraId="741C6BF8">
                  <w:pPr>
                    <w:pStyle w:val="17"/>
                    <w:spacing w:after="0" w:line="240" w:lineRule="auto"/>
                    <w:ind w:firstLine="0" w:firstLineChars="0"/>
                    <w:jc w:val="center"/>
                    <w:rPr>
                      <w:rFonts w:hint="default"/>
                      <w:color w:val="000000"/>
                      <w:sz w:val="21"/>
                      <w:szCs w:val="21"/>
                      <w:lang w:val="en-US" w:eastAsia="zh-CN"/>
                    </w:rPr>
                  </w:pPr>
                  <w:r>
                    <w:rPr>
                      <w:rFonts w:hint="eastAsia"/>
                      <w:color w:val="000000"/>
                      <w:sz w:val="21"/>
                      <w:szCs w:val="21"/>
                      <w:lang w:val="en-US" w:eastAsia="zh-CN"/>
                    </w:rPr>
                    <w:t>17.48</w:t>
                  </w:r>
                </w:p>
              </w:tc>
              <w:tc>
                <w:tcPr>
                  <w:tcW w:w="1871" w:type="pct"/>
                  <w:tcBorders>
                    <w:tl2br w:val="nil"/>
                    <w:tr2bl w:val="nil"/>
                  </w:tcBorders>
                  <w:vAlign w:val="center"/>
                </w:tcPr>
                <w:p w14:paraId="1D56F5CB">
                  <w:pPr>
                    <w:widowControl/>
                    <w:spacing w:line="240" w:lineRule="auto"/>
                    <w:ind w:firstLine="0" w:firstLineChars="0"/>
                    <w:rPr>
                      <w:rFonts w:hint="eastAsia"/>
                      <w:color w:val="000000"/>
                      <w:sz w:val="21"/>
                      <w:szCs w:val="21"/>
                    </w:rPr>
                  </w:pPr>
                  <w:r>
                    <w:rPr>
                      <w:rFonts w:hint="eastAsia"/>
                      <w:color w:val="000000"/>
                      <w:sz w:val="21"/>
                      <w:szCs w:val="21"/>
                      <w:lang w:eastAsia="zh-CN"/>
                    </w:rPr>
                    <w:t>物料</w:t>
                  </w:r>
                  <w:r>
                    <w:rPr>
                      <w:rFonts w:hint="eastAsia"/>
                      <w:color w:val="000000"/>
                      <w:sz w:val="21"/>
                      <w:szCs w:val="21"/>
                    </w:rPr>
                    <w:t>装卸时</w:t>
                  </w:r>
                  <w:r>
                    <w:rPr>
                      <w:rFonts w:hint="eastAsia"/>
                      <w:color w:val="000000"/>
                      <w:sz w:val="21"/>
                      <w:szCs w:val="21"/>
                      <w:lang w:eastAsia="zh-CN"/>
                    </w:rPr>
                    <w:t>洒水降尘</w:t>
                  </w:r>
                  <w:r>
                    <w:rPr>
                      <w:rFonts w:hint="eastAsia"/>
                      <w:color w:val="000000"/>
                      <w:sz w:val="21"/>
                      <w:szCs w:val="21"/>
                    </w:rPr>
                    <w:t>，湿法作业，可有效抑制扬尘产生，同时加强产品装卸操作管理，尽量降低原料落地高度，严禁高空卸料</w:t>
                  </w:r>
                  <w:r>
                    <w:rPr>
                      <w:rFonts w:hint="eastAsia"/>
                      <w:color w:val="000000"/>
                      <w:sz w:val="21"/>
                      <w:szCs w:val="21"/>
                      <w:lang w:eastAsia="zh-CN"/>
                    </w:rPr>
                    <w:t>。</w:t>
                  </w:r>
                </w:p>
              </w:tc>
              <w:tc>
                <w:tcPr>
                  <w:tcW w:w="791" w:type="pct"/>
                  <w:tcBorders>
                    <w:tl2br w:val="nil"/>
                    <w:tr2bl w:val="nil"/>
                  </w:tcBorders>
                  <w:vAlign w:val="center"/>
                </w:tcPr>
                <w:p w14:paraId="1C80400F">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1.74</w:t>
                  </w:r>
                </w:p>
              </w:tc>
            </w:tr>
            <w:tr w14:paraId="7F0A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pct"/>
                  <w:tcBorders>
                    <w:tl2br w:val="nil"/>
                    <w:tr2bl w:val="nil"/>
                  </w:tcBorders>
                  <w:vAlign w:val="center"/>
                </w:tcPr>
                <w:p w14:paraId="3444408A">
                  <w:pPr>
                    <w:pStyle w:val="17"/>
                    <w:spacing w:after="0" w:line="240" w:lineRule="auto"/>
                    <w:ind w:firstLine="0" w:firstLineChars="0"/>
                    <w:rPr>
                      <w:color w:val="000000"/>
                      <w:sz w:val="21"/>
                      <w:szCs w:val="21"/>
                    </w:rPr>
                  </w:pPr>
                  <w:r>
                    <w:rPr>
                      <w:color w:val="000000"/>
                      <w:sz w:val="21"/>
                      <w:szCs w:val="21"/>
                    </w:rPr>
                    <w:t>车辆运输扬尘</w:t>
                  </w:r>
                </w:p>
              </w:tc>
              <w:tc>
                <w:tcPr>
                  <w:tcW w:w="547" w:type="pct"/>
                  <w:vMerge w:val="continue"/>
                  <w:tcBorders>
                    <w:tl2br w:val="nil"/>
                    <w:tr2bl w:val="nil"/>
                  </w:tcBorders>
                  <w:vAlign w:val="center"/>
                </w:tcPr>
                <w:p w14:paraId="01A076FA">
                  <w:pPr>
                    <w:pStyle w:val="17"/>
                    <w:spacing w:after="0" w:line="240" w:lineRule="auto"/>
                    <w:ind w:firstLine="0" w:firstLineChars="0"/>
                    <w:rPr>
                      <w:color w:val="000000"/>
                      <w:sz w:val="21"/>
                      <w:szCs w:val="21"/>
                    </w:rPr>
                  </w:pPr>
                </w:p>
              </w:tc>
              <w:tc>
                <w:tcPr>
                  <w:tcW w:w="758" w:type="pct"/>
                  <w:tcBorders>
                    <w:tl2br w:val="nil"/>
                    <w:tr2bl w:val="nil"/>
                  </w:tcBorders>
                  <w:vAlign w:val="center"/>
                </w:tcPr>
                <w:p w14:paraId="09FFFCD1">
                  <w:pPr>
                    <w:pStyle w:val="17"/>
                    <w:spacing w:after="0" w:line="240" w:lineRule="auto"/>
                    <w:ind w:firstLine="0" w:firstLineChars="0"/>
                    <w:jc w:val="center"/>
                    <w:rPr>
                      <w:color w:val="000000"/>
                      <w:sz w:val="21"/>
                      <w:szCs w:val="21"/>
                    </w:rPr>
                  </w:pPr>
                  <w:r>
                    <w:rPr>
                      <w:rFonts w:hint="eastAsia"/>
                      <w:color w:val="000000"/>
                      <w:sz w:val="21"/>
                      <w:szCs w:val="21"/>
                    </w:rPr>
                    <w:t>0.091</w:t>
                  </w:r>
                </w:p>
              </w:tc>
              <w:tc>
                <w:tcPr>
                  <w:tcW w:w="1871" w:type="pct"/>
                  <w:tcBorders>
                    <w:tl2br w:val="nil"/>
                    <w:tr2bl w:val="nil"/>
                  </w:tcBorders>
                  <w:vAlign w:val="center"/>
                </w:tcPr>
                <w:p w14:paraId="46A4742D">
                  <w:pPr>
                    <w:widowControl/>
                    <w:spacing w:line="240" w:lineRule="auto"/>
                    <w:ind w:firstLine="0" w:firstLineChars="0"/>
                    <w:rPr>
                      <w:color w:val="000000"/>
                      <w:sz w:val="21"/>
                      <w:szCs w:val="21"/>
                    </w:rPr>
                  </w:pPr>
                  <w:r>
                    <w:rPr>
                      <w:rFonts w:hint="eastAsia"/>
                      <w:color w:val="000000"/>
                      <w:sz w:val="21"/>
                      <w:szCs w:val="21"/>
                      <w:lang w:eastAsia="zh-CN"/>
                    </w:rPr>
                    <w:t>设洗车平台，对进出车辆进行冲洗，</w:t>
                  </w:r>
                  <w:r>
                    <w:rPr>
                      <w:rFonts w:hint="eastAsia"/>
                      <w:color w:val="000000"/>
                      <w:sz w:val="21"/>
                      <w:szCs w:val="21"/>
                    </w:rPr>
                    <w:t>限制超载，车辆加盖苫布，减速慢行，场内进行洒水抑尘。</w:t>
                  </w:r>
                </w:p>
              </w:tc>
              <w:tc>
                <w:tcPr>
                  <w:tcW w:w="791" w:type="pct"/>
                  <w:tcBorders>
                    <w:tl2br w:val="nil"/>
                    <w:tr2bl w:val="nil"/>
                  </w:tcBorders>
                  <w:vAlign w:val="center"/>
                </w:tcPr>
                <w:p w14:paraId="37FF258C">
                  <w:pPr>
                    <w:pStyle w:val="17"/>
                    <w:spacing w:after="0" w:line="240" w:lineRule="auto"/>
                    <w:ind w:firstLine="0" w:firstLineChars="0"/>
                    <w:jc w:val="center"/>
                    <w:rPr>
                      <w:color w:val="000000"/>
                      <w:sz w:val="21"/>
                      <w:szCs w:val="21"/>
                    </w:rPr>
                  </w:pPr>
                  <w:r>
                    <w:rPr>
                      <w:rFonts w:hint="eastAsia"/>
                      <w:color w:val="000000"/>
                      <w:sz w:val="21"/>
                      <w:szCs w:val="21"/>
                    </w:rPr>
                    <w:t>0.0091</w:t>
                  </w:r>
                </w:p>
              </w:tc>
            </w:tr>
            <w:tr w14:paraId="6F9A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31" w:type="pct"/>
                  <w:tcBorders>
                    <w:tl2br w:val="nil"/>
                    <w:tr2bl w:val="nil"/>
                  </w:tcBorders>
                  <w:vAlign w:val="center"/>
                </w:tcPr>
                <w:p w14:paraId="4367B786">
                  <w:pPr>
                    <w:pStyle w:val="17"/>
                    <w:spacing w:after="0" w:line="240" w:lineRule="auto"/>
                    <w:ind w:firstLine="0" w:firstLineChars="0"/>
                    <w:rPr>
                      <w:color w:val="000000"/>
                      <w:sz w:val="21"/>
                      <w:szCs w:val="21"/>
                    </w:rPr>
                  </w:pPr>
                  <w:r>
                    <w:rPr>
                      <w:rFonts w:hint="eastAsia"/>
                      <w:color w:val="000000"/>
                      <w:sz w:val="21"/>
                      <w:szCs w:val="21"/>
                    </w:rPr>
                    <w:t>合计</w:t>
                  </w:r>
                </w:p>
              </w:tc>
              <w:tc>
                <w:tcPr>
                  <w:tcW w:w="547" w:type="pct"/>
                  <w:tcBorders>
                    <w:tl2br w:val="nil"/>
                    <w:tr2bl w:val="nil"/>
                  </w:tcBorders>
                  <w:vAlign w:val="center"/>
                </w:tcPr>
                <w:p w14:paraId="7E975DAE">
                  <w:pPr>
                    <w:pStyle w:val="17"/>
                    <w:spacing w:after="0" w:line="240" w:lineRule="auto"/>
                    <w:ind w:firstLine="0" w:firstLineChars="0"/>
                    <w:jc w:val="center"/>
                  </w:pPr>
                  <w:r>
                    <w:rPr>
                      <w:rFonts w:hint="eastAsia"/>
                    </w:rPr>
                    <w:t>/</w:t>
                  </w:r>
                </w:p>
              </w:tc>
              <w:tc>
                <w:tcPr>
                  <w:tcW w:w="758" w:type="pct"/>
                  <w:tcBorders>
                    <w:tl2br w:val="nil"/>
                    <w:tr2bl w:val="nil"/>
                  </w:tcBorders>
                  <w:vAlign w:val="center"/>
                </w:tcPr>
                <w:p w14:paraId="437374C3">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115.811</w:t>
                  </w:r>
                </w:p>
              </w:tc>
              <w:tc>
                <w:tcPr>
                  <w:tcW w:w="1871" w:type="pct"/>
                  <w:tcBorders>
                    <w:tl2br w:val="nil"/>
                    <w:tr2bl w:val="nil"/>
                  </w:tcBorders>
                  <w:vAlign w:val="center"/>
                </w:tcPr>
                <w:p w14:paraId="5644CDAA">
                  <w:pPr>
                    <w:pStyle w:val="17"/>
                    <w:spacing w:after="0" w:line="240" w:lineRule="auto"/>
                    <w:ind w:firstLine="0" w:firstLineChars="0"/>
                    <w:jc w:val="center"/>
                    <w:rPr>
                      <w:color w:val="000000"/>
                      <w:sz w:val="21"/>
                      <w:szCs w:val="21"/>
                    </w:rPr>
                  </w:pPr>
                  <w:r>
                    <w:rPr>
                      <w:rFonts w:hint="eastAsia"/>
                      <w:color w:val="000000"/>
                      <w:sz w:val="21"/>
                      <w:szCs w:val="21"/>
                    </w:rPr>
                    <w:t>/</w:t>
                  </w:r>
                </w:p>
              </w:tc>
              <w:tc>
                <w:tcPr>
                  <w:tcW w:w="791" w:type="pct"/>
                  <w:tcBorders>
                    <w:tl2br w:val="nil"/>
                    <w:tr2bl w:val="nil"/>
                  </w:tcBorders>
                  <w:vAlign w:val="center"/>
                </w:tcPr>
                <w:p w14:paraId="5CE17F3E">
                  <w:pPr>
                    <w:pStyle w:val="17"/>
                    <w:spacing w:after="0"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3.40</w:t>
                  </w:r>
                </w:p>
              </w:tc>
            </w:tr>
          </w:tbl>
          <w:p w14:paraId="73137219">
            <w:pPr>
              <w:pStyle w:val="17"/>
              <w:spacing w:after="0" w:line="360" w:lineRule="auto"/>
              <w:ind w:firstLine="482"/>
              <w:rPr>
                <w:b/>
                <w:color w:val="000000"/>
              </w:rPr>
            </w:pPr>
            <w:r>
              <w:rPr>
                <w:rFonts w:hint="eastAsia"/>
                <w:b/>
                <w:color w:val="000000"/>
              </w:rPr>
              <w:t>1.2</w:t>
            </w:r>
            <w:r>
              <w:rPr>
                <w:b/>
                <w:color w:val="000000"/>
              </w:rPr>
              <w:t>废气处理措施</w:t>
            </w:r>
            <w:r>
              <w:rPr>
                <w:rFonts w:hint="eastAsia"/>
                <w:b/>
                <w:color w:val="000000"/>
              </w:rPr>
              <w:t>及</w:t>
            </w:r>
            <w:r>
              <w:rPr>
                <w:b/>
                <w:color w:val="000000"/>
              </w:rPr>
              <w:t>可行性分析：</w:t>
            </w:r>
          </w:p>
          <w:p w14:paraId="1304F888">
            <w:pPr>
              <w:ind w:firstLine="480"/>
              <w:rPr>
                <w:rFonts w:ascii="宋体" w:hAnsi="宋体" w:cs="宋体"/>
                <w:b/>
                <w:bCs/>
                <w:szCs w:val="28"/>
              </w:rPr>
            </w:pPr>
            <w:r>
              <w:rPr>
                <w:rFonts w:hint="eastAsia" w:ascii="宋体" w:hAnsi="宋体" w:cs="宋体"/>
                <w:b/>
                <w:bCs/>
                <w:szCs w:val="28"/>
              </w:rPr>
              <w:t>（1）有组织废气（粉尘）治理措施可行性分析；</w:t>
            </w:r>
          </w:p>
          <w:p w14:paraId="1D561FB1">
            <w:pPr>
              <w:ind w:firstLine="480"/>
              <w:rPr>
                <w:rFonts w:ascii="宋体" w:hAnsi="宋体" w:cs="宋体"/>
                <w:szCs w:val="28"/>
              </w:rPr>
            </w:pPr>
            <w:r>
              <w:rPr>
                <w:rFonts w:hint="eastAsia" w:ascii="宋体" w:hAnsi="宋体" w:cs="宋体"/>
                <w:szCs w:val="28"/>
              </w:rPr>
              <w:t>本项目设置布袋式除尘器，粉尘经布袋除尘器处理后排放，布袋式除尘器的</w:t>
            </w:r>
            <w:r>
              <w:rPr>
                <w:rFonts w:hint="eastAsia" w:ascii="宋体" w:hAnsi="宋体" w:cs="宋体"/>
                <w:kern w:val="0"/>
              </w:rPr>
              <w:t>除尘效率按</w:t>
            </w:r>
            <w:r>
              <w:rPr>
                <w:rFonts w:hint="eastAsia"/>
                <w:szCs w:val="32"/>
              </w:rPr>
              <w:t>99%</w:t>
            </w:r>
            <w:r>
              <w:rPr>
                <w:rFonts w:hint="eastAsia"/>
                <w:szCs w:val="32"/>
                <w:lang w:eastAsia="zh-CN"/>
              </w:rPr>
              <w:t>，</w:t>
            </w:r>
            <w:r>
              <w:rPr>
                <w:rFonts w:hint="eastAsia" w:ascii="宋体" w:hAnsi="宋体" w:cs="宋体"/>
                <w:szCs w:val="28"/>
                <w:lang w:eastAsia="zh-CN"/>
              </w:rPr>
              <w:t>为可行性技术。采取</w:t>
            </w:r>
            <w:r>
              <w:rPr>
                <w:rFonts w:hint="eastAsia" w:ascii="宋体" w:hAnsi="宋体" w:cs="宋体"/>
                <w:szCs w:val="28"/>
              </w:rPr>
              <w:t>上述措施后，粉尘排放能够满足</w:t>
            </w:r>
            <w:r>
              <w:rPr>
                <w:rFonts w:hint="eastAsia" w:ascii="宋体" w:hAnsi="宋体" w:cs="宋体"/>
              </w:rPr>
              <w:t>《大气污染物综合排放标准》（</w:t>
            </w:r>
            <w:r>
              <w:rPr>
                <w:rFonts w:hint="eastAsia"/>
                <w:szCs w:val="32"/>
              </w:rPr>
              <w:t>GB16297-1996</w:t>
            </w:r>
            <w:r>
              <w:rPr>
                <w:rFonts w:hint="eastAsia" w:ascii="宋体" w:hAnsi="宋体" w:cs="宋体"/>
              </w:rPr>
              <w:t>）表</w:t>
            </w:r>
            <w:r>
              <w:rPr>
                <w:rFonts w:hint="eastAsia"/>
                <w:szCs w:val="32"/>
              </w:rPr>
              <w:t>2</w:t>
            </w:r>
            <w:r>
              <w:rPr>
                <w:rFonts w:hint="eastAsia" w:ascii="宋体" w:hAnsi="宋体" w:cs="宋体"/>
              </w:rPr>
              <w:t>的相关要求；</w:t>
            </w:r>
            <w:r>
              <w:rPr>
                <w:rFonts w:hint="eastAsia" w:ascii="宋体" w:hAnsi="宋体" w:cs="宋体"/>
                <w:szCs w:val="28"/>
              </w:rPr>
              <w:t>对环境影响较小，治理措施可行。</w:t>
            </w:r>
          </w:p>
          <w:p w14:paraId="63851600">
            <w:pPr>
              <w:ind w:firstLine="480"/>
              <w:rPr>
                <w:rFonts w:ascii="宋体" w:hAnsi="宋体" w:cs="宋体"/>
                <w:b/>
                <w:bCs/>
                <w:szCs w:val="28"/>
              </w:rPr>
            </w:pPr>
            <w:r>
              <w:rPr>
                <w:rFonts w:hint="eastAsia" w:ascii="宋体" w:hAnsi="宋体" w:cs="宋体"/>
                <w:b/>
                <w:bCs/>
                <w:szCs w:val="28"/>
              </w:rPr>
              <w:t>（2）无组织废气（粉尘）治理措施可行性分析；</w:t>
            </w:r>
          </w:p>
          <w:p w14:paraId="793D1E68">
            <w:pPr>
              <w:pStyle w:val="17"/>
              <w:spacing w:after="0" w:line="360" w:lineRule="auto"/>
              <w:ind w:firstLine="480"/>
              <w:rPr>
                <w:rFonts w:ascii="宋体" w:hAnsi="宋体" w:cs="宋体"/>
                <w:szCs w:val="28"/>
              </w:rPr>
            </w:pPr>
            <w:r>
              <w:rPr>
                <w:rFonts w:hint="eastAsia" w:ascii="宋体" w:hAnsi="宋体" w:cs="宋体"/>
                <w:szCs w:val="28"/>
              </w:rPr>
              <w:t>本项目原料均存放在原料库，原料在卸料以及堆放过程中的风力的作用下易产生扬尘，在采取环保水喷淋洒水抑尘、堆棚及料仓均进行</w:t>
            </w:r>
            <w:r>
              <w:rPr>
                <w:rFonts w:hint="eastAsia" w:ascii="宋体" w:hAnsi="宋体" w:cs="宋体"/>
                <w:szCs w:val="28"/>
                <w:highlight w:val="none"/>
              </w:rPr>
              <w:t>全封闭</w:t>
            </w:r>
            <w:r>
              <w:rPr>
                <w:rFonts w:hint="eastAsia" w:ascii="宋体" w:hAnsi="宋体" w:cs="宋体"/>
                <w:szCs w:val="28"/>
              </w:rPr>
              <w:t>措施后，可有效防止扬尘，厂界外颗粒物浓度能够满足</w:t>
            </w:r>
            <w:r>
              <w:rPr>
                <w:rFonts w:hint="eastAsia" w:ascii="宋体" w:hAnsi="宋体" w:cs="宋体"/>
              </w:rPr>
              <w:t>《大气污染物综合排放标准》（</w:t>
            </w:r>
            <w:r>
              <w:rPr>
                <w:rFonts w:hint="eastAsia"/>
                <w:szCs w:val="32"/>
              </w:rPr>
              <w:t>GB16297-1996</w:t>
            </w:r>
            <w:r>
              <w:rPr>
                <w:rFonts w:hint="eastAsia" w:ascii="宋体" w:hAnsi="宋体" w:cs="宋体"/>
              </w:rPr>
              <w:t>）表</w:t>
            </w:r>
            <w:r>
              <w:rPr>
                <w:rFonts w:hint="eastAsia"/>
                <w:szCs w:val="32"/>
              </w:rPr>
              <w:t>2</w:t>
            </w:r>
            <w:r>
              <w:rPr>
                <w:rFonts w:hint="eastAsia" w:ascii="宋体" w:hAnsi="宋体" w:cs="宋体"/>
              </w:rPr>
              <w:t>的相关要求；</w:t>
            </w:r>
            <w:r>
              <w:rPr>
                <w:rFonts w:hint="eastAsia" w:ascii="宋体" w:hAnsi="宋体" w:cs="宋体"/>
                <w:szCs w:val="28"/>
              </w:rPr>
              <w:t>故项目无组织废气处理措施可行。</w:t>
            </w:r>
          </w:p>
          <w:p w14:paraId="130D7514">
            <w:pPr>
              <w:pStyle w:val="17"/>
              <w:spacing w:after="0" w:line="360" w:lineRule="auto"/>
              <w:ind w:firstLine="482"/>
              <w:rPr>
                <w:b/>
                <w:color w:val="000000"/>
              </w:rPr>
            </w:pPr>
            <w:r>
              <w:rPr>
                <w:rFonts w:hint="eastAsia"/>
                <w:b/>
                <w:color w:val="000000"/>
              </w:rPr>
              <w:t>1.3大气监测计划</w:t>
            </w:r>
          </w:p>
          <w:p w14:paraId="2B1A4A88">
            <w:pPr>
              <w:pStyle w:val="17"/>
              <w:spacing w:after="0" w:line="360" w:lineRule="auto"/>
              <w:ind w:firstLine="480"/>
              <w:rPr>
                <w:bCs/>
              </w:rPr>
            </w:pPr>
            <w:r>
              <w:rPr>
                <w:rFonts w:hint="eastAsia"/>
                <w:bCs/>
              </w:rPr>
              <w:t>根</w:t>
            </w:r>
            <w:r>
              <w:rPr>
                <w:rFonts w:hint="eastAsia"/>
                <w:bCs/>
                <w:highlight w:val="none"/>
              </w:rPr>
              <w:t>据《排污单位自行监测技术指南 总则》</w:t>
            </w:r>
            <w:r>
              <w:rPr>
                <w:rFonts w:hint="eastAsia"/>
                <w:bCs/>
                <w:highlight w:val="none"/>
                <w:lang w:eastAsia="zh-CN"/>
              </w:rPr>
              <w:t>（HJ 819-2017）</w:t>
            </w:r>
            <w:r>
              <w:rPr>
                <w:rFonts w:hint="eastAsia"/>
                <w:bCs/>
                <w:highlight w:val="none"/>
              </w:rPr>
              <w:t>要</w:t>
            </w:r>
            <w:r>
              <w:rPr>
                <w:rFonts w:hint="eastAsia"/>
                <w:bCs/>
              </w:rPr>
              <w:t>求，提出以下大气污染物监测计划，监测点位、监测项目、监测频次见表</w:t>
            </w:r>
            <w:r>
              <w:rPr>
                <w:rFonts w:hint="eastAsia"/>
                <w:szCs w:val="32"/>
              </w:rPr>
              <w:t>4-3</w:t>
            </w:r>
            <w:r>
              <w:rPr>
                <w:rFonts w:hint="eastAsia"/>
                <w:bCs/>
              </w:rPr>
              <w:t>。</w:t>
            </w:r>
          </w:p>
          <w:p w14:paraId="5017014A">
            <w:pPr>
              <w:pStyle w:val="17"/>
              <w:spacing w:after="0" w:line="240" w:lineRule="auto"/>
              <w:ind w:firstLine="0" w:firstLineChars="0"/>
              <w:jc w:val="center"/>
              <w:rPr>
                <w:b/>
                <w:color w:val="000000"/>
              </w:rPr>
            </w:pPr>
            <w:r>
              <w:rPr>
                <w:rFonts w:hint="eastAsia"/>
                <w:b/>
              </w:rPr>
              <w:t>表4-3 大气污染源监测一览表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001"/>
              <w:gridCol w:w="979"/>
              <w:gridCol w:w="1746"/>
              <w:gridCol w:w="1207"/>
              <w:gridCol w:w="1943"/>
            </w:tblGrid>
            <w:tr w14:paraId="0120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69" w:type="pct"/>
                  <w:vAlign w:val="center"/>
                </w:tcPr>
                <w:p w14:paraId="4C39A23B">
                  <w:pPr>
                    <w:pStyle w:val="17"/>
                    <w:spacing w:after="0" w:line="240" w:lineRule="auto"/>
                    <w:ind w:firstLine="0" w:firstLineChars="0"/>
                    <w:jc w:val="center"/>
                    <w:rPr>
                      <w:b/>
                      <w:bCs/>
                      <w:sz w:val="21"/>
                      <w:szCs w:val="21"/>
                    </w:rPr>
                  </w:pPr>
                  <w:r>
                    <w:rPr>
                      <w:rFonts w:hint="eastAsia"/>
                      <w:b/>
                      <w:bCs/>
                      <w:sz w:val="21"/>
                      <w:szCs w:val="21"/>
                    </w:rPr>
                    <w:t>污染源</w:t>
                  </w:r>
                </w:p>
              </w:tc>
              <w:tc>
                <w:tcPr>
                  <w:tcW w:w="1280" w:type="pct"/>
                  <w:gridSpan w:val="2"/>
                  <w:vAlign w:val="center"/>
                </w:tcPr>
                <w:p w14:paraId="7C986AB5">
                  <w:pPr>
                    <w:pStyle w:val="17"/>
                    <w:spacing w:after="0" w:line="240" w:lineRule="auto"/>
                    <w:ind w:firstLine="0" w:firstLineChars="0"/>
                    <w:jc w:val="center"/>
                    <w:rPr>
                      <w:b/>
                      <w:bCs/>
                      <w:sz w:val="21"/>
                      <w:szCs w:val="21"/>
                    </w:rPr>
                  </w:pPr>
                  <w:r>
                    <w:rPr>
                      <w:rFonts w:hint="eastAsia"/>
                      <w:b/>
                      <w:bCs/>
                      <w:sz w:val="21"/>
                      <w:szCs w:val="21"/>
                    </w:rPr>
                    <w:t>监测项目</w:t>
                  </w:r>
                </w:p>
              </w:tc>
              <w:tc>
                <w:tcPr>
                  <w:tcW w:w="1127" w:type="pct"/>
                  <w:vAlign w:val="center"/>
                </w:tcPr>
                <w:p w14:paraId="5CCA21F2">
                  <w:pPr>
                    <w:pStyle w:val="17"/>
                    <w:spacing w:after="0" w:line="240" w:lineRule="auto"/>
                    <w:ind w:firstLine="0" w:firstLineChars="0"/>
                    <w:jc w:val="center"/>
                    <w:rPr>
                      <w:b/>
                      <w:bCs/>
                      <w:sz w:val="21"/>
                      <w:szCs w:val="21"/>
                    </w:rPr>
                  </w:pPr>
                  <w:r>
                    <w:rPr>
                      <w:rFonts w:hint="eastAsia"/>
                      <w:b/>
                      <w:bCs/>
                      <w:sz w:val="21"/>
                      <w:szCs w:val="21"/>
                    </w:rPr>
                    <w:t>监测点位</w:t>
                  </w:r>
                </w:p>
              </w:tc>
              <w:tc>
                <w:tcPr>
                  <w:tcW w:w="780" w:type="pct"/>
                  <w:vAlign w:val="center"/>
                </w:tcPr>
                <w:p w14:paraId="3EBB47EB">
                  <w:pPr>
                    <w:pStyle w:val="17"/>
                    <w:spacing w:after="0" w:line="240" w:lineRule="auto"/>
                    <w:ind w:firstLine="0" w:firstLineChars="0"/>
                    <w:jc w:val="center"/>
                    <w:rPr>
                      <w:b/>
                      <w:bCs/>
                      <w:sz w:val="21"/>
                      <w:szCs w:val="21"/>
                    </w:rPr>
                  </w:pPr>
                  <w:r>
                    <w:rPr>
                      <w:rFonts w:hint="eastAsia"/>
                      <w:b/>
                      <w:bCs/>
                      <w:sz w:val="21"/>
                      <w:szCs w:val="21"/>
                    </w:rPr>
                    <w:t>检测频次</w:t>
                  </w:r>
                </w:p>
              </w:tc>
              <w:tc>
                <w:tcPr>
                  <w:tcW w:w="1242" w:type="pct"/>
                  <w:vAlign w:val="center"/>
                </w:tcPr>
                <w:p w14:paraId="3E821B8F">
                  <w:pPr>
                    <w:pStyle w:val="17"/>
                    <w:spacing w:after="0" w:line="240" w:lineRule="auto"/>
                    <w:ind w:firstLine="0" w:firstLineChars="0"/>
                    <w:jc w:val="center"/>
                    <w:rPr>
                      <w:b/>
                      <w:bCs/>
                      <w:sz w:val="21"/>
                      <w:szCs w:val="21"/>
                    </w:rPr>
                  </w:pPr>
                  <w:r>
                    <w:rPr>
                      <w:rFonts w:hint="eastAsia"/>
                      <w:b/>
                      <w:bCs/>
                      <w:sz w:val="21"/>
                      <w:szCs w:val="21"/>
                    </w:rPr>
                    <w:t>控制标准</w:t>
                  </w:r>
                </w:p>
              </w:tc>
            </w:tr>
            <w:tr w14:paraId="0397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9" w:type="pct"/>
                  <w:vMerge w:val="restart"/>
                  <w:vAlign w:val="center"/>
                </w:tcPr>
                <w:p w14:paraId="439A09DF">
                  <w:pPr>
                    <w:spacing w:line="240" w:lineRule="auto"/>
                    <w:ind w:firstLine="0" w:firstLineChars="0"/>
                    <w:rPr>
                      <w:sz w:val="21"/>
                      <w:szCs w:val="21"/>
                    </w:rPr>
                  </w:pPr>
                  <w:r>
                    <w:rPr>
                      <w:rFonts w:hint="eastAsia"/>
                      <w:sz w:val="21"/>
                      <w:szCs w:val="21"/>
                    </w:rPr>
                    <w:t>废气</w:t>
                  </w:r>
                </w:p>
              </w:tc>
              <w:tc>
                <w:tcPr>
                  <w:tcW w:w="647" w:type="pct"/>
                  <w:vAlign w:val="center"/>
                </w:tcPr>
                <w:p w14:paraId="7599F96A">
                  <w:pPr>
                    <w:spacing w:line="240" w:lineRule="auto"/>
                    <w:ind w:firstLine="0" w:firstLineChars="0"/>
                    <w:jc w:val="center"/>
                    <w:rPr>
                      <w:sz w:val="21"/>
                      <w:szCs w:val="21"/>
                    </w:rPr>
                  </w:pPr>
                  <w:r>
                    <w:rPr>
                      <w:rFonts w:hint="eastAsia"/>
                      <w:sz w:val="21"/>
                      <w:szCs w:val="21"/>
                    </w:rPr>
                    <w:t>有组织</w:t>
                  </w:r>
                </w:p>
              </w:tc>
              <w:tc>
                <w:tcPr>
                  <w:tcW w:w="632" w:type="pct"/>
                  <w:vAlign w:val="center"/>
                </w:tcPr>
                <w:p w14:paraId="3B511505">
                  <w:pPr>
                    <w:spacing w:line="240" w:lineRule="auto"/>
                    <w:ind w:firstLine="0" w:firstLineChars="0"/>
                    <w:jc w:val="center"/>
                    <w:rPr>
                      <w:sz w:val="21"/>
                      <w:szCs w:val="21"/>
                    </w:rPr>
                  </w:pPr>
                  <w:r>
                    <w:rPr>
                      <w:rFonts w:hint="eastAsia"/>
                      <w:sz w:val="21"/>
                      <w:szCs w:val="21"/>
                    </w:rPr>
                    <w:t>颗粒物</w:t>
                  </w:r>
                </w:p>
              </w:tc>
              <w:tc>
                <w:tcPr>
                  <w:tcW w:w="1127" w:type="pct"/>
                  <w:vAlign w:val="center"/>
                </w:tcPr>
                <w:p w14:paraId="6DC10932">
                  <w:pPr>
                    <w:spacing w:line="240" w:lineRule="auto"/>
                    <w:ind w:firstLine="0" w:firstLineChars="0"/>
                    <w:jc w:val="left"/>
                    <w:rPr>
                      <w:sz w:val="21"/>
                      <w:szCs w:val="21"/>
                      <w:highlight w:val="none"/>
                    </w:rPr>
                  </w:pPr>
                  <w:r>
                    <w:rPr>
                      <w:rFonts w:hint="eastAsia"/>
                      <w:sz w:val="21"/>
                      <w:szCs w:val="21"/>
                      <w:highlight w:val="none"/>
                      <w:lang w:eastAsia="zh-CN"/>
                    </w:rPr>
                    <w:t>排放筒（</w:t>
                  </w:r>
                  <w:r>
                    <w:rPr>
                      <w:rFonts w:hint="eastAsia"/>
                      <w:sz w:val="21"/>
                      <w:szCs w:val="21"/>
                      <w:highlight w:val="none"/>
                      <w:lang w:val="en-US" w:eastAsia="zh-CN"/>
                    </w:rPr>
                    <w:t>DA001</w:t>
                  </w:r>
                  <w:r>
                    <w:rPr>
                      <w:rFonts w:hint="eastAsia"/>
                      <w:sz w:val="21"/>
                      <w:szCs w:val="21"/>
                      <w:highlight w:val="none"/>
                      <w:lang w:eastAsia="zh-CN"/>
                    </w:rPr>
                    <w:t>）出口</w:t>
                  </w:r>
                </w:p>
              </w:tc>
              <w:tc>
                <w:tcPr>
                  <w:tcW w:w="780" w:type="pct"/>
                  <w:vMerge w:val="restart"/>
                  <w:vAlign w:val="center"/>
                </w:tcPr>
                <w:p w14:paraId="784D2C28">
                  <w:pPr>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r>
                    <w:rPr>
                      <w:rFonts w:hint="eastAsia"/>
                      <w:sz w:val="21"/>
                      <w:szCs w:val="21"/>
                    </w:rPr>
                    <w:t>次</w:t>
                  </w:r>
                  <w:r>
                    <w:rPr>
                      <w:rFonts w:hint="eastAsia"/>
                      <w:sz w:val="21"/>
                      <w:szCs w:val="21"/>
                      <w:lang w:val="en-US" w:eastAsia="zh-CN"/>
                    </w:rPr>
                    <w:t>/年</w:t>
                  </w:r>
                </w:p>
              </w:tc>
              <w:tc>
                <w:tcPr>
                  <w:tcW w:w="1242" w:type="pct"/>
                  <w:vMerge w:val="restart"/>
                  <w:vAlign w:val="center"/>
                </w:tcPr>
                <w:p w14:paraId="09E3498F">
                  <w:pPr>
                    <w:spacing w:line="240" w:lineRule="auto"/>
                    <w:ind w:firstLine="0" w:firstLineChars="0"/>
                    <w:jc w:val="left"/>
                    <w:rPr>
                      <w:sz w:val="21"/>
                      <w:szCs w:val="21"/>
                    </w:rPr>
                  </w:pPr>
                  <w:r>
                    <w:rPr>
                      <w:rFonts w:hint="eastAsia" w:ascii="宋体" w:hAnsi="宋体" w:cs="宋体"/>
                      <w:sz w:val="21"/>
                      <w:szCs w:val="21"/>
                    </w:rPr>
                    <w:t>《大气污染物综合排放标准》（</w:t>
                  </w:r>
                  <w:r>
                    <w:rPr>
                      <w:rFonts w:hint="default" w:ascii="Times New Roman" w:hAnsi="Times New Roman" w:cs="Times New Roman"/>
                      <w:sz w:val="21"/>
                      <w:szCs w:val="21"/>
                    </w:rPr>
                    <w:t>GB16297-1996</w:t>
                  </w:r>
                  <w:r>
                    <w:rPr>
                      <w:rFonts w:hint="eastAsia" w:ascii="宋体" w:hAnsi="宋体" w:cs="宋体"/>
                      <w:sz w:val="21"/>
                      <w:szCs w:val="21"/>
                    </w:rPr>
                    <w:t>）表</w:t>
                  </w:r>
                  <w:r>
                    <w:rPr>
                      <w:rFonts w:hint="eastAsia" w:ascii="Times New Roman" w:hAnsi="Times New Roman" w:cs="Times New Roman"/>
                      <w:sz w:val="21"/>
                      <w:szCs w:val="21"/>
                    </w:rPr>
                    <w:t>2</w:t>
                  </w:r>
                  <w:r>
                    <w:rPr>
                      <w:rFonts w:hint="eastAsia" w:ascii="宋体" w:hAnsi="宋体" w:cs="宋体"/>
                      <w:sz w:val="21"/>
                      <w:szCs w:val="21"/>
                    </w:rPr>
                    <w:t>的相关要求</w:t>
                  </w:r>
                </w:p>
              </w:tc>
            </w:tr>
            <w:tr w14:paraId="3068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569" w:type="pct"/>
                  <w:vMerge w:val="continue"/>
                  <w:vAlign w:val="center"/>
                </w:tcPr>
                <w:p w14:paraId="122FE099">
                  <w:pPr>
                    <w:spacing w:line="240" w:lineRule="auto"/>
                    <w:ind w:firstLine="0" w:firstLineChars="0"/>
                    <w:jc w:val="center"/>
                    <w:rPr>
                      <w:sz w:val="21"/>
                      <w:szCs w:val="21"/>
                      <w:highlight w:val="yellow"/>
                    </w:rPr>
                  </w:pPr>
                </w:p>
              </w:tc>
              <w:tc>
                <w:tcPr>
                  <w:tcW w:w="647" w:type="pct"/>
                  <w:vAlign w:val="center"/>
                </w:tcPr>
                <w:p w14:paraId="388CE477">
                  <w:pPr>
                    <w:spacing w:line="240" w:lineRule="auto"/>
                    <w:ind w:firstLine="0" w:firstLineChars="0"/>
                    <w:jc w:val="center"/>
                    <w:rPr>
                      <w:sz w:val="21"/>
                      <w:szCs w:val="21"/>
                      <w:highlight w:val="yellow"/>
                    </w:rPr>
                  </w:pPr>
                  <w:r>
                    <w:rPr>
                      <w:rFonts w:hint="eastAsia"/>
                      <w:sz w:val="21"/>
                      <w:szCs w:val="21"/>
                    </w:rPr>
                    <w:t>无组织</w:t>
                  </w:r>
                </w:p>
              </w:tc>
              <w:tc>
                <w:tcPr>
                  <w:tcW w:w="632" w:type="pct"/>
                  <w:vAlign w:val="center"/>
                </w:tcPr>
                <w:p w14:paraId="698D453D">
                  <w:pPr>
                    <w:spacing w:line="240" w:lineRule="auto"/>
                    <w:ind w:firstLine="0" w:firstLineChars="0"/>
                    <w:jc w:val="center"/>
                    <w:rPr>
                      <w:sz w:val="21"/>
                      <w:szCs w:val="21"/>
                      <w:highlight w:val="yellow"/>
                    </w:rPr>
                  </w:pPr>
                  <w:r>
                    <w:rPr>
                      <w:rFonts w:hint="eastAsia"/>
                      <w:sz w:val="21"/>
                      <w:szCs w:val="21"/>
                    </w:rPr>
                    <w:t>颗粒物</w:t>
                  </w:r>
                </w:p>
              </w:tc>
              <w:tc>
                <w:tcPr>
                  <w:tcW w:w="1127" w:type="pct"/>
                  <w:vAlign w:val="center"/>
                </w:tcPr>
                <w:p w14:paraId="0B087B3F">
                  <w:pPr>
                    <w:spacing w:line="240" w:lineRule="auto"/>
                    <w:ind w:firstLine="0" w:firstLineChars="0"/>
                    <w:jc w:val="left"/>
                    <w:rPr>
                      <w:rFonts w:hint="default" w:eastAsia="宋体"/>
                      <w:sz w:val="21"/>
                      <w:szCs w:val="21"/>
                      <w:highlight w:val="yellow"/>
                      <w:lang w:val="en-US" w:eastAsia="zh-CN"/>
                    </w:rPr>
                  </w:pPr>
                  <w:r>
                    <w:rPr>
                      <w:rFonts w:hint="eastAsia"/>
                      <w:sz w:val="21"/>
                      <w:szCs w:val="21"/>
                      <w:highlight w:val="none"/>
                      <w:lang w:eastAsia="zh-CN"/>
                    </w:rPr>
                    <w:t>上风向</w:t>
                  </w:r>
                  <w:r>
                    <w:rPr>
                      <w:rFonts w:hint="eastAsia"/>
                      <w:sz w:val="21"/>
                      <w:szCs w:val="21"/>
                      <w:highlight w:val="none"/>
                      <w:lang w:val="en-US" w:eastAsia="zh-CN"/>
                    </w:rPr>
                    <w:t>1个，下风向3个</w:t>
                  </w:r>
                </w:p>
              </w:tc>
              <w:tc>
                <w:tcPr>
                  <w:tcW w:w="780" w:type="pct"/>
                  <w:vMerge w:val="continue"/>
                  <w:vAlign w:val="center"/>
                </w:tcPr>
                <w:p w14:paraId="4240A311">
                  <w:pPr>
                    <w:spacing w:line="240" w:lineRule="auto"/>
                    <w:ind w:firstLine="0" w:firstLineChars="0"/>
                    <w:rPr>
                      <w:sz w:val="21"/>
                      <w:szCs w:val="21"/>
                      <w:highlight w:val="yellow"/>
                    </w:rPr>
                  </w:pPr>
                </w:p>
              </w:tc>
              <w:tc>
                <w:tcPr>
                  <w:tcW w:w="1242" w:type="pct"/>
                  <w:vMerge w:val="continue"/>
                  <w:vAlign w:val="center"/>
                </w:tcPr>
                <w:p w14:paraId="444D3230">
                  <w:pPr>
                    <w:spacing w:line="240" w:lineRule="auto"/>
                    <w:ind w:firstLine="0" w:firstLineChars="0"/>
                    <w:rPr>
                      <w:sz w:val="21"/>
                      <w:szCs w:val="21"/>
                      <w:highlight w:val="yellow"/>
                    </w:rPr>
                  </w:pPr>
                </w:p>
              </w:tc>
            </w:tr>
          </w:tbl>
          <w:p w14:paraId="70B0EC33">
            <w:pPr>
              <w:pStyle w:val="4"/>
              <w:numPr>
                <w:ilvl w:val="1"/>
                <w:numId w:val="0"/>
              </w:numPr>
              <w:spacing w:line="360" w:lineRule="auto"/>
              <w:ind w:left="0" w:leftChars="0" w:firstLine="0" w:firstLineChars="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2、水环境</w:t>
            </w:r>
          </w:p>
          <w:p w14:paraId="28E9557F">
            <w:pPr>
              <w:adjustRightInd w:val="0"/>
              <w:snapToGrid w:val="0"/>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p>
          <w:p w14:paraId="27571E8E">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2.1洗砂废水</w:t>
            </w:r>
          </w:p>
          <w:p w14:paraId="765332DB">
            <w:pPr>
              <w:spacing w:line="360" w:lineRule="auto"/>
              <w:ind w:firstLine="48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筛分后产出</w:t>
            </w:r>
            <w:r>
              <w:rPr>
                <w:rFonts w:hint="eastAsia" w:cstheme="minorBidi"/>
                <w:b w:val="0"/>
                <w:kern w:val="2"/>
                <w:sz w:val="24"/>
                <w:szCs w:val="24"/>
                <w:highlight w:val="none"/>
                <w:lang w:val="en-US" w:eastAsia="zh-CN" w:bidi="ar-SA"/>
              </w:rPr>
              <w:t>的</w:t>
            </w:r>
            <w:r>
              <w:rPr>
                <w:rFonts w:hint="default" w:ascii="Times New Roman" w:hAnsi="Times New Roman" w:cs="Times New Roman" w:eastAsiaTheme="minorEastAsia"/>
                <w:lang w:val="en-US" w:eastAsia="zh-CN"/>
              </w:rPr>
              <w:t>粒级＜5mm</w:t>
            </w:r>
            <w:r>
              <w:rPr>
                <w:rFonts w:hint="eastAsia" w:cstheme="minorBidi"/>
                <w:b w:val="0"/>
                <w:kern w:val="2"/>
                <w:sz w:val="24"/>
                <w:szCs w:val="24"/>
                <w:highlight w:val="none"/>
                <w:lang w:val="en-US" w:eastAsia="zh-CN" w:bidi="ar-SA"/>
              </w:rPr>
              <w:t>砂石（5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w:t>
            </w:r>
            <w:r>
              <w:rPr>
                <w:rFonts w:hint="eastAsia" w:cstheme="minorBidi"/>
                <w:b w:val="0"/>
                <w:kern w:val="2"/>
                <w:sz w:val="24"/>
                <w:szCs w:val="24"/>
                <w:highlight w:val="none"/>
                <w:lang w:val="en-US" w:eastAsia="zh-CN" w:bidi="ar-SA"/>
              </w:rPr>
              <w:t>）需要进行水洗</w:t>
            </w:r>
            <w:r>
              <w:rPr>
                <w:rFonts w:hint="eastAsia" w:ascii="Times New Roman" w:hAnsi="Times New Roman" w:eastAsia="宋体" w:cstheme="minorBidi"/>
                <w:b w:val="0"/>
                <w:kern w:val="2"/>
                <w:sz w:val="24"/>
                <w:szCs w:val="24"/>
                <w:highlight w:val="none"/>
                <w:lang w:val="en-US" w:eastAsia="zh-CN" w:bidi="ar-SA"/>
              </w:rPr>
              <w:t>，根据建设单位提供的资料，洗砂水比约为1：1.15，洗砂工序累计用水量为</w:t>
            </w:r>
            <w:r>
              <w:rPr>
                <w:rFonts w:hint="eastAsia" w:cstheme="minorBidi"/>
                <w:b w:val="0"/>
                <w:kern w:val="2"/>
                <w:sz w:val="24"/>
                <w:szCs w:val="24"/>
                <w:highlight w:val="none"/>
                <w:lang w:val="en-US" w:eastAsia="zh-CN" w:bidi="ar-SA"/>
              </w:rPr>
              <w:t>5.75</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/a，进入产品水量20%，则废水产生量为</w:t>
            </w:r>
            <w:r>
              <w:rPr>
                <w:rFonts w:hint="eastAsia" w:cstheme="minorBidi"/>
                <w:b w:val="0"/>
                <w:kern w:val="2"/>
                <w:sz w:val="24"/>
                <w:szCs w:val="24"/>
                <w:highlight w:val="none"/>
                <w:lang w:val="en-US" w:eastAsia="zh-CN" w:bidi="ar-SA"/>
              </w:rPr>
              <w:t>4.6</w:t>
            </w:r>
            <w:r>
              <w:rPr>
                <w:rFonts w:hint="eastAsia" w:ascii="Times New Roman" w:hAnsi="Times New Roman" w:eastAsia="宋体" w:cstheme="minorBidi"/>
                <w:b w:val="0"/>
                <w:kern w:val="2"/>
                <w:sz w:val="24"/>
                <w:szCs w:val="24"/>
                <w:highlight w:val="none"/>
                <w:lang w:val="en-US" w:eastAsia="zh-CN" w:bidi="ar-SA"/>
              </w:rPr>
              <w:t>万m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/a，排入三级沉淀池，总容积为180m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，洗砂废水经沉淀后回用于洗砂过程。项目产生的废水不外排，对周围水体环境造成的影响较小。</w:t>
            </w:r>
          </w:p>
          <w:p w14:paraId="7B7A5B76">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2.2运输车辆冲洗废水</w:t>
            </w:r>
          </w:p>
          <w:p w14:paraId="5F71CD83">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在进出口设置1处30m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的沉淀池，对场区进出口车辆轮胎进行清洗，洗车用水量为0.5m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105</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/a。排水量按清洗水量的80%计算，则废水产生量为0.4m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w:t>
            </w:r>
            <w:r>
              <w:rPr>
                <w:rFonts w:hint="eastAsia" w:cstheme="minorBidi"/>
                <w:b w:val="0"/>
                <w:kern w:val="2"/>
                <w:sz w:val="24"/>
                <w:szCs w:val="24"/>
                <w:highlight w:val="none"/>
                <w:lang w:val="en-US" w:eastAsia="zh-CN" w:bidi="ar-SA"/>
              </w:rPr>
              <w:t>84</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/a。清车废水在沉淀池沉淀后用于洒水抑尘。</w:t>
            </w:r>
          </w:p>
          <w:p w14:paraId="7A122623">
            <w:pPr>
              <w:pStyle w:val="4"/>
              <w:numPr>
                <w:ilvl w:val="1"/>
                <w:numId w:val="0"/>
              </w:numPr>
              <w:spacing w:line="360" w:lineRule="auto"/>
              <w:ind w:left="0" w:leftChars="0" w:firstLine="482" w:firstLineChars="200"/>
              <w:rPr>
                <w:rFonts w:hint="eastAsia" w:ascii="Times New Roman" w:hAnsi="Times New Roman" w:eastAsia="宋体" w:cstheme="minorBidi"/>
                <w:b/>
                <w:bCs/>
                <w:kern w:val="2"/>
                <w:sz w:val="24"/>
                <w:szCs w:val="24"/>
                <w:highlight w:val="none"/>
                <w:lang w:val="en-US" w:eastAsia="zh-CN" w:bidi="ar-SA"/>
              </w:rPr>
            </w:pPr>
            <w:r>
              <w:rPr>
                <w:rFonts w:hint="eastAsia" w:ascii="Times New Roman" w:hAnsi="Times New Roman" w:eastAsia="宋体" w:cstheme="minorBidi"/>
                <w:b/>
                <w:bCs/>
                <w:kern w:val="2"/>
                <w:sz w:val="24"/>
                <w:szCs w:val="24"/>
                <w:highlight w:val="none"/>
                <w:lang w:val="en-US" w:eastAsia="zh-CN" w:bidi="ar-SA"/>
              </w:rPr>
              <w:t>2.3生活污水</w:t>
            </w:r>
          </w:p>
          <w:p w14:paraId="0D689B02">
            <w:pPr>
              <w:pStyle w:val="4"/>
              <w:numPr>
                <w:ilvl w:val="1"/>
                <w:numId w:val="0"/>
              </w:numPr>
              <w:spacing w:line="360" w:lineRule="auto"/>
              <w:ind w:left="0" w:leftChars="0" w:firstLine="480" w:firstLineChars="200"/>
              <w:rPr>
                <w:rFonts w:hint="eastAsia"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运营期员工人数为</w:t>
            </w:r>
            <w:r>
              <w:rPr>
                <w:rFonts w:hint="eastAsia" w:cstheme="minorBidi"/>
                <w:b w:val="0"/>
                <w:kern w:val="2"/>
                <w:sz w:val="24"/>
                <w:szCs w:val="24"/>
                <w:highlight w:val="none"/>
                <w:lang w:val="en-US" w:eastAsia="zh-CN" w:bidi="ar-SA"/>
              </w:rPr>
              <w:t>18</w:t>
            </w:r>
            <w:r>
              <w:rPr>
                <w:rFonts w:hint="eastAsia" w:ascii="Times New Roman" w:hAnsi="Times New Roman" w:eastAsia="宋体" w:cstheme="minorBidi"/>
                <w:b w:val="0"/>
                <w:kern w:val="2"/>
                <w:sz w:val="24"/>
                <w:szCs w:val="24"/>
                <w:highlight w:val="none"/>
                <w:lang w:val="en-US" w:eastAsia="zh-CN" w:bidi="ar-SA"/>
              </w:rPr>
              <w:t>人，生活用水量按40L/（d•人）计算，产生量为</w:t>
            </w:r>
            <w:r>
              <w:rPr>
                <w:rFonts w:hint="eastAsia" w:cstheme="minorBidi"/>
                <w:b w:val="0"/>
                <w:kern w:val="2"/>
                <w:sz w:val="24"/>
                <w:szCs w:val="24"/>
                <w:highlight w:val="none"/>
                <w:lang w:val="en-US" w:eastAsia="zh-CN" w:bidi="ar-SA"/>
              </w:rPr>
              <w:t>0.72</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51.2</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/a），生活污水以用水量80%计，项目生活污水产生量为0.</w:t>
            </w:r>
            <w:r>
              <w:rPr>
                <w:rFonts w:hint="eastAsia" w:cstheme="minorBidi"/>
                <w:b w:val="0"/>
                <w:kern w:val="2"/>
                <w:sz w:val="24"/>
                <w:szCs w:val="24"/>
                <w:highlight w:val="none"/>
                <w:lang w:val="en-US" w:eastAsia="zh-CN" w:bidi="ar-SA"/>
              </w:rPr>
              <w:t>58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/d，1</w:t>
            </w:r>
            <w:r>
              <w:rPr>
                <w:rFonts w:hint="eastAsia" w:cstheme="minorBidi"/>
                <w:b w:val="0"/>
                <w:kern w:val="2"/>
                <w:sz w:val="24"/>
                <w:szCs w:val="24"/>
                <w:highlight w:val="none"/>
                <w:lang w:val="en-US" w:eastAsia="zh-CN" w:bidi="ar-SA"/>
              </w:rPr>
              <w:t>21.8</w:t>
            </w:r>
            <w:r>
              <w:rPr>
                <w:rFonts w:hint="eastAsia" w:ascii="Times New Roman" w:hAnsi="Times New Roman" w:eastAsia="宋体" w:cstheme="minorBidi"/>
                <w:b w:val="0"/>
                <w:kern w:val="2"/>
                <w:sz w:val="24"/>
                <w:szCs w:val="24"/>
                <w:highlight w:val="none"/>
                <w:lang w:val="en-US" w:eastAsia="zh-CN" w:bidi="ar-SA"/>
              </w:rPr>
              <w:t>m</w:t>
            </w:r>
            <w:r>
              <w:rPr>
                <w:rFonts w:hint="eastAsia" w:ascii="Times New Roman" w:hAnsi="Times New Roman" w:eastAsia="宋体" w:cstheme="minorBidi"/>
                <w:b w:val="0"/>
                <w:kern w:val="2"/>
                <w:sz w:val="24"/>
                <w:szCs w:val="24"/>
                <w:highlight w:val="none"/>
                <w:vertAlign w:val="superscript"/>
                <w:lang w:val="en-US" w:eastAsia="zh-CN" w:bidi="ar-SA"/>
              </w:rPr>
              <w:t>3</w:t>
            </w:r>
            <w:r>
              <w:rPr>
                <w:rFonts w:hint="eastAsia" w:ascii="Times New Roman" w:hAnsi="Times New Roman" w:eastAsia="宋体" w:cstheme="minorBidi"/>
                <w:b w:val="0"/>
                <w:kern w:val="2"/>
                <w:sz w:val="24"/>
                <w:szCs w:val="24"/>
                <w:highlight w:val="none"/>
                <w:lang w:val="en-US" w:eastAsia="zh-CN" w:bidi="ar-SA"/>
              </w:rPr>
              <w:t>/a。食堂废水经隔油处理后与其他生活污水经地埋式一体化污水处理设施处理后用于场地洒水抑尘。</w:t>
            </w:r>
          </w:p>
          <w:p w14:paraId="41ED84D8">
            <w:pPr>
              <w:ind w:firstLine="480"/>
              <w:rPr>
                <w:rFonts w:hint="default" w:ascii="Times New Roman" w:hAnsi="Times New Roman" w:eastAsia="宋体" w:cstheme="minorBidi"/>
                <w:b w:val="0"/>
                <w:kern w:val="2"/>
                <w:sz w:val="24"/>
                <w:szCs w:val="24"/>
                <w:highlight w:val="none"/>
                <w:lang w:val="en-US" w:eastAsia="zh-CN" w:bidi="ar-SA"/>
              </w:rPr>
            </w:pPr>
            <w:r>
              <w:rPr>
                <w:rFonts w:hint="eastAsia" w:ascii="Times New Roman" w:hAnsi="Times New Roman" w:eastAsia="宋体" w:cstheme="minorBidi"/>
                <w:b w:val="0"/>
                <w:kern w:val="2"/>
                <w:sz w:val="24"/>
                <w:szCs w:val="24"/>
                <w:highlight w:val="none"/>
                <w:lang w:val="en-US" w:eastAsia="zh-CN" w:bidi="ar-SA"/>
              </w:rPr>
              <w:t>主要污染因子COD、BOD</w:t>
            </w:r>
            <w:r>
              <w:rPr>
                <w:rFonts w:hint="eastAsia" w:ascii="Times New Roman" w:hAnsi="Times New Roman" w:eastAsia="宋体" w:cstheme="minorBidi"/>
                <w:b w:val="0"/>
                <w:kern w:val="2"/>
                <w:sz w:val="24"/>
                <w:szCs w:val="24"/>
                <w:highlight w:val="none"/>
                <w:vertAlign w:val="subscript"/>
                <w:lang w:val="en-US" w:eastAsia="zh-CN" w:bidi="ar-SA"/>
              </w:rPr>
              <w:t>5</w:t>
            </w:r>
            <w:r>
              <w:rPr>
                <w:rFonts w:hint="eastAsia" w:ascii="Times New Roman" w:hAnsi="Times New Roman" w:eastAsia="宋体" w:cstheme="minorBidi"/>
                <w:b w:val="0"/>
                <w:kern w:val="2"/>
                <w:sz w:val="24"/>
                <w:szCs w:val="24"/>
                <w:highlight w:val="none"/>
                <w:lang w:val="en-US" w:eastAsia="zh-CN" w:bidi="ar-SA"/>
              </w:rPr>
              <w:t>、SS、NH</w:t>
            </w:r>
            <w:r>
              <w:rPr>
                <w:rFonts w:hint="eastAsia" w:ascii="Times New Roman" w:hAnsi="Times New Roman" w:eastAsia="宋体" w:cstheme="minorBidi"/>
                <w:b w:val="0"/>
                <w:kern w:val="2"/>
                <w:sz w:val="24"/>
                <w:szCs w:val="24"/>
                <w:highlight w:val="none"/>
                <w:vertAlign w:val="subscript"/>
                <w:lang w:val="en-US" w:eastAsia="zh-CN" w:bidi="ar-SA"/>
              </w:rPr>
              <w:t>3</w:t>
            </w:r>
            <w:r>
              <w:rPr>
                <w:rFonts w:hint="eastAsia" w:ascii="Times New Roman" w:hAnsi="Times New Roman" w:eastAsia="宋体" w:cstheme="minorBidi"/>
                <w:b w:val="0"/>
                <w:kern w:val="2"/>
                <w:sz w:val="24"/>
                <w:szCs w:val="24"/>
                <w:highlight w:val="none"/>
                <w:lang w:val="en-US" w:eastAsia="zh-CN" w:bidi="ar-SA"/>
              </w:rPr>
              <w:t>-N、TP等，参考《生活污染源产排污系数手册》COD浓度为460mg/L、BOD</w:t>
            </w:r>
            <w:r>
              <w:rPr>
                <w:rFonts w:hint="eastAsia" w:ascii="Times New Roman" w:hAnsi="Times New Roman" w:eastAsia="宋体" w:cstheme="minorBidi"/>
                <w:b w:val="0"/>
                <w:kern w:val="2"/>
                <w:sz w:val="24"/>
                <w:szCs w:val="24"/>
                <w:highlight w:val="none"/>
                <w:vertAlign w:val="subscript"/>
                <w:lang w:val="en-US" w:eastAsia="zh-CN" w:bidi="ar-SA"/>
              </w:rPr>
              <w:t>5</w:t>
            </w:r>
            <w:r>
              <w:rPr>
                <w:rFonts w:hint="eastAsia" w:ascii="Times New Roman" w:hAnsi="Times New Roman" w:eastAsia="宋体" w:cstheme="minorBidi"/>
                <w:b w:val="0"/>
                <w:kern w:val="2"/>
                <w:sz w:val="24"/>
                <w:szCs w:val="24"/>
                <w:highlight w:val="none"/>
                <w:lang w:val="en-US" w:eastAsia="zh-CN" w:bidi="ar-SA"/>
              </w:rPr>
              <w:t>浓度为180mg/L、SS浓度为200mg/L、NH</w:t>
            </w:r>
            <w:r>
              <w:rPr>
                <w:rFonts w:hint="eastAsia" w:ascii="Times New Roman" w:hAnsi="Times New Roman" w:eastAsia="宋体" w:cstheme="minorBidi"/>
                <w:b w:val="0"/>
                <w:kern w:val="2"/>
                <w:sz w:val="24"/>
                <w:szCs w:val="24"/>
                <w:highlight w:val="none"/>
                <w:vertAlign w:val="subscript"/>
                <w:lang w:val="en-US" w:eastAsia="zh-CN" w:bidi="ar-SA"/>
              </w:rPr>
              <w:t>3</w:t>
            </w:r>
            <w:r>
              <w:rPr>
                <w:rFonts w:hint="eastAsia" w:ascii="Times New Roman" w:hAnsi="Times New Roman" w:eastAsia="宋体" w:cstheme="minorBidi"/>
                <w:b w:val="0"/>
                <w:kern w:val="2"/>
                <w:sz w:val="24"/>
                <w:szCs w:val="24"/>
                <w:highlight w:val="none"/>
                <w:lang w:val="en-US" w:eastAsia="zh-CN" w:bidi="ar-SA"/>
              </w:rPr>
              <w:t>-N浓度为52mg/L、总磷浓度为5mg/L。</w:t>
            </w:r>
          </w:p>
          <w:p w14:paraId="332F6481">
            <w:pPr>
              <w:pStyle w:val="4"/>
              <w:numPr>
                <w:ilvl w:val="1"/>
                <w:numId w:val="0"/>
              </w:numPr>
              <w:jc w:val="center"/>
            </w:pPr>
            <w:r>
              <w:rPr>
                <w:sz w:val="24"/>
                <w:szCs w:val="24"/>
              </w:rPr>
              <w:t>表4-</w:t>
            </w:r>
            <w:r>
              <w:rPr>
                <w:rFonts w:hint="eastAsia"/>
                <w:sz w:val="24"/>
                <w:szCs w:val="24"/>
                <w:lang w:val="en-US" w:eastAsia="zh-CN"/>
              </w:rPr>
              <w:t xml:space="preserve">4 </w:t>
            </w:r>
            <w:r>
              <w:rPr>
                <w:rFonts w:hint="eastAsia"/>
                <w:sz w:val="24"/>
                <w:szCs w:val="24"/>
              </w:rPr>
              <w:t>生活污</w:t>
            </w:r>
            <w:r>
              <w:rPr>
                <w:sz w:val="24"/>
                <w:szCs w:val="24"/>
              </w:rPr>
              <w:t>水</w:t>
            </w:r>
            <w:r>
              <w:rPr>
                <w:rFonts w:hint="eastAsia"/>
                <w:sz w:val="24"/>
                <w:szCs w:val="24"/>
                <w:lang w:val="en-US" w:eastAsia="zh-CN"/>
              </w:rPr>
              <w:t>产生</w:t>
            </w:r>
            <w:r>
              <w:rPr>
                <w:sz w:val="24"/>
                <w:szCs w:val="24"/>
              </w:rPr>
              <w:t>一览表</w:t>
            </w:r>
          </w:p>
          <w:tbl>
            <w:tblPr>
              <w:tblStyle w:val="21"/>
              <w:tblpPr w:leftFromText="180" w:rightFromText="180" w:vertAnchor="text" w:horzAnchor="page" w:tblpX="41" w:tblpY="3"/>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1309"/>
              <w:gridCol w:w="907"/>
              <w:gridCol w:w="1101"/>
              <w:gridCol w:w="1092"/>
              <w:gridCol w:w="1092"/>
            </w:tblGrid>
            <w:tr w14:paraId="589B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3BBC9301">
                  <w:pPr>
                    <w:pStyle w:val="17"/>
                    <w:spacing w:after="0" w:line="240" w:lineRule="auto"/>
                    <w:ind w:firstLine="0" w:firstLineChars="0"/>
                    <w:jc w:val="center"/>
                    <w:rPr>
                      <w:b/>
                      <w:bCs/>
                      <w:sz w:val="21"/>
                      <w:szCs w:val="21"/>
                    </w:rPr>
                  </w:pPr>
                  <w:r>
                    <w:rPr>
                      <w:rFonts w:hint="eastAsia"/>
                      <w:b/>
                      <w:bCs/>
                      <w:sz w:val="21"/>
                      <w:szCs w:val="21"/>
                    </w:rPr>
                    <w:t>主要污染物浓度</w:t>
                  </w:r>
                </w:p>
              </w:tc>
              <w:tc>
                <w:tcPr>
                  <w:tcW w:w="844" w:type="pct"/>
                  <w:tcBorders>
                    <w:top w:val="single" w:color="auto" w:sz="4" w:space="0"/>
                    <w:left w:val="single" w:color="auto" w:sz="4" w:space="0"/>
                    <w:bottom w:val="single" w:color="auto" w:sz="4" w:space="0"/>
                    <w:right w:val="single" w:color="auto" w:sz="4" w:space="0"/>
                  </w:tcBorders>
                  <w:noWrap/>
                  <w:vAlign w:val="center"/>
                </w:tcPr>
                <w:p w14:paraId="4925ADA5">
                  <w:pPr>
                    <w:pStyle w:val="17"/>
                    <w:spacing w:after="0" w:line="240" w:lineRule="auto"/>
                    <w:ind w:firstLine="0" w:firstLineChars="0"/>
                    <w:jc w:val="center"/>
                    <w:rPr>
                      <w:b/>
                      <w:bCs/>
                      <w:sz w:val="21"/>
                      <w:szCs w:val="21"/>
                    </w:rPr>
                  </w:pPr>
                  <w:r>
                    <w:rPr>
                      <w:b/>
                      <w:bCs/>
                      <w:sz w:val="21"/>
                      <w:szCs w:val="21"/>
                    </w:rPr>
                    <w:t>COD</w:t>
                  </w:r>
                </w:p>
              </w:tc>
              <w:tc>
                <w:tcPr>
                  <w:tcW w:w="585" w:type="pct"/>
                  <w:tcBorders>
                    <w:top w:val="single" w:color="auto" w:sz="4" w:space="0"/>
                    <w:left w:val="single" w:color="auto" w:sz="4" w:space="0"/>
                    <w:bottom w:val="single" w:color="auto" w:sz="4" w:space="0"/>
                    <w:right w:val="single" w:color="auto" w:sz="4" w:space="0"/>
                  </w:tcBorders>
                  <w:noWrap/>
                  <w:vAlign w:val="center"/>
                </w:tcPr>
                <w:p w14:paraId="724792AF">
                  <w:pPr>
                    <w:pStyle w:val="17"/>
                    <w:spacing w:after="0" w:line="240" w:lineRule="auto"/>
                    <w:ind w:firstLine="0" w:firstLineChars="0"/>
                    <w:jc w:val="center"/>
                    <w:rPr>
                      <w:b/>
                      <w:bCs/>
                      <w:sz w:val="21"/>
                      <w:szCs w:val="21"/>
                    </w:rPr>
                  </w:pPr>
                  <w:r>
                    <w:rPr>
                      <w:b/>
                      <w:bCs/>
                      <w:sz w:val="21"/>
                      <w:szCs w:val="21"/>
                    </w:rPr>
                    <w:t>SS</w:t>
                  </w:r>
                </w:p>
              </w:tc>
              <w:tc>
                <w:tcPr>
                  <w:tcW w:w="710" w:type="pct"/>
                  <w:tcBorders>
                    <w:top w:val="single" w:color="auto" w:sz="4" w:space="0"/>
                    <w:left w:val="single" w:color="auto" w:sz="4" w:space="0"/>
                    <w:bottom w:val="single" w:color="auto" w:sz="4" w:space="0"/>
                    <w:right w:val="single" w:color="auto" w:sz="4" w:space="0"/>
                  </w:tcBorders>
                  <w:noWrap/>
                  <w:vAlign w:val="center"/>
                </w:tcPr>
                <w:p w14:paraId="6BCAC298">
                  <w:pPr>
                    <w:pStyle w:val="17"/>
                    <w:spacing w:after="0" w:line="240" w:lineRule="auto"/>
                    <w:ind w:firstLine="0" w:firstLineChars="0"/>
                    <w:jc w:val="center"/>
                    <w:rPr>
                      <w:b/>
                      <w:bCs/>
                      <w:sz w:val="21"/>
                      <w:szCs w:val="21"/>
                    </w:rPr>
                  </w:pPr>
                  <w:r>
                    <w:rPr>
                      <w:b/>
                      <w:bCs/>
                      <w:sz w:val="21"/>
                      <w:szCs w:val="21"/>
                    </w:rPr>
                    <w:t>NH</w:t>
                  </w:r>
                  <w:r>
                    <w:rPr>
                      <w:b/>
                      <w:bCs/>
                      <w:sz w:val="21"/>
                      <w:szCs w:val="21"/>
                      <w:vertAlign w:val="subscript"/>
                    </w:rPr>
                    <w:t>3</w:t>
                  </w:r>
                  <w:r>
                    <w:rPr>
                      <w:b/>
                      <w:bCs/>
                      <w:sz w:val="21"/>
                      <w:szCs w:val="21"/>
                    </w:rPr>
                    <w:t>-N</w:t>
                  </w:r>
                </w:p>
              </w:tc>
              <w:tc>
                <w:tcPr>
                  <w:tcW w:w="704" w:type="pct"/>
                  <w:tcBorders>
                    <w:top w:val="single" w:color="auto" w:sz="4" w:space="0"/>
                    <w:left w:val="single" w:color="auto" w:sz="4" w:space="0"/>
                    <w:bottom w:val="single" w:color="auto" w:sz="4" w:space="0"/>
                    <w:right w:val="single" w:color="auto" w:sz="4" w:space="0"/>
                  </w:tcBorders>
                  <w:noWrap/>
                  <w:vAlign w:val="center"/>
                </w:tcPr>
                <w:p w14:paraId="071565E3">
                  <w:pPr>
                    <w:pStyle w:val="17"/>
                    <w:spacing w:after="0" w:line="240" w:lineRule="auto"/>
                    <w:ind w:firstLine="0" w:firstLineChars="0"/>
                    <w:jc w:val="center"/>
                    <w:rPr>
                      <w:b/>
                      <w:bCs/>
                      <w:sz w:val="21"/>
                      <w:szCs w:val="21"/>
                    </w:rPr>
                  </w:pPr>
                  <w:r>
                    <w:rPr>
                      <w:rFonts w:hint="eastAsia"/>
                      <w:b/>
                      <w:bCs/>
                      <w:sz w:val="21"/>
                      <w:szCs w:val="21"/>
                    </w:rPr>
                    <w:t>BOD</w:t>
                  </w:r>
                  <w:r>
                    <w:rPr>
                      <w:rFonts w:hint="eastAsia"/>
                      <w:b/>
                      <w:bCs/>
                      <w:sz w:val="21"/>
                      <w:szCs w:val="21"/>
                      <w:vertAlign w:val="subscript"/>
                    </w:rPr>
                    <w:t>5</w:t>
                  </w:r>
                </w:p>
              </w:tc>
              <w:tc>
                <w:tcPr>
                  <w:tcW w:w="704" w:type="pct"/>
                  <w:tcBorders>
                    <w:top w:val="single" w:color="auto" w:sz="4" w:space="0"/>
                    <w:left w:val="single" w:color="auto" w:sz="4" w:space="0"/>
                    <w:bottom w:val="single" w:color="auto" w:sz="4" w:space="0"/>
                    <w:right w:val="single" w:color="auto" w:sz="4" w:space="0"/>
                  </w:tcBorders>
                  <w:noWrap/>
                  <w:vAlign w:val="center"/>
                </w:tcPr>
                <w:p w14:paraId="25DD23B9">
                  <w:pPr>
                    <w:pStyle w:val="17"/>
                    <w:spacing w:after="0" w:line="240" w:lineRule="auto"/>
                    <w:ind w:firstLine="0" w:firstLineChars="0"/>
                    <w:jc w:val="center"/>
                    <w:rPr>
                      <w:b/>
                      <w:bCs/>
                      <w:sz w:val="21"/>
                      <w:szCs w:val="21"/>
                    </w:rPr>
                  </w:pPr>
                  <w:r>
                    <w:rPr>
                      <w:rFonts w:hint="eastAsia"/>
                      <w:b/>
                      <w:bCs/>
                      <w:sz w:val="21"/>
                      <w:szCs w:val="21"/>
                    </w:rPr>
                    <w:t>TP</w:t>
                  </w:r>
                </w:p>
              </w:tc>
            </w:tr>
            <w:tr w14:paraId="39ED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132E39E8">
                  <w:pPr>
                    <w:pStyle w:val="25"/>
                  </w:pPr>
                  <w:r>
                    <w:rPr>
                      <w:rFonts w:hint="eastAsia"/>
                    </w:rPr>
                    <w:t>浓度取值（</w:t>
                  </w:r>
                  <w:r>
                    <w:t>mg/L</w:t>
                  </w:r>
                  <w:r>
                    <w:rPr>
                      <w:rFonts w:hint="eastAsia"/>
                    </w:rPr>
                    <w:t>）</w:t>
                  </w:r>
                </w:p>
              </w:tc>
              <w:tc>
                <w:tcPr>
                  <w:tcW w:w="844" w:type="pct"/>
                  <w:tcBorders>
                    <w:top w:val="single" w:color="auto" w:sz="4" w:space="0"/>
                    <w:left w:val="single" w:color="auto" w:sz="4" w:space="0"/>
                    <w:bottom w:val="single" w:color="auto" w:sz="4" w:space="0"/>
                    <w:right w:val="single" w:color="auto" w:sz="4" w:space="0"/>
                  </w:tcBorders>
                  <w:noWrap/>
                  <w:vAlign w:val="center"/>
                </w:tcPr>
                <w:p w14:paraId="2DB6250F">
                  <w:pPr>
                    <w:pStyle w:val="25"/>
                    <w:rPr>
                      <w:b w:val="0"/>
                      <w:bCs/>
                    </w:rPr>
                  </w:pPr>
                  <w:r>
                    <w:rPr>
                      <w:rFonts w:hint="eastAsia"/>
                      <w:b w:val="0"/>
                      <w:bCs/>
                    </w:rPr>
                    <w:t>460</w:t>
                  </w:r>
                </w:p>
              </w:tc>
              <w:tc>
                <w:tcPr>
                  <w:tcW w:w="585" w:type="pct"/>
                  <w:tcBorders>
                    <w:top w:val="single" w:color="auto" w:sz="4" w:space="0"/>
                    <w:left w:val="single" w:color="auto" w:sz="4" w:space="0"/>
                    <w:bottom w:val="single" w:color="auto" w:sz="4" w:space="0"/>
                    <w:right w:val="single" w:color="auto" w:sz="4" w:space="0"/>
                  </w:tcBorders>
                  <w:noWrap/>
                  <w:vAlign w:val="center"/>
                </w:tcPr>
                <w:p w14:paraId="660ADEAB">
                  <w:pPr>
                    <w:pStyle w:val="25"/>
                    <w:rPr>
                      <w:b w:val="0"/>
                      <w:bCs/>
                    </w:rPr>
                  </w:pPr>
                  <w:r>
                    <w:rPr>
                      <w:rFonts w:hint="eastAsia"/>
                      <w:b w:val="0"/>
                      <w:bCs/>
                    </w:rPr>
                    <w:t>200</w:t>
                  </w:r>
                </w:p>
              </w:tc>
              <w:tc>
                <w:tcPr>
                  <w:tcW w:w="710" w:type="pct"/>
                  <w:tcBorders>
                    <w:top w:val="single" w:color="auto" w:sz="4" w:space="0"/>
                    <w:left w:val="single" w:color="auto" w:sz="4" w:space="0"/>
                    <w:bottom w:val="single" w:color="auto" w:sz="4" w:space="0"/>
                    <w:right w:val="single" w:color="auto" w:sz="4" w:space="0"/>
                  </w:tcBorders>
                  <w:noWrap/>
                  <w:vAlign w:val="center"/>
                </w:tcPr>
                <w:p w14:paraId="610E1DC0">
                  <w:pPr>
                    <w:pStyle w:val="25"/>
                    <w:rPr>
                      <w:b w:val="0"/>
                      <w:bCs/>
                    </w:rPr>
                  </w:pPr>
                  <w:r>
                    <w:rPr>
                      <w:rFonts w:hint="eastAsia"/>
                      <w:b w:val="0"/>
                      <w:bCs/>
                    </w:rPr>
                    <w:t>52</w:t>
                  </w:r>
                </w:p>
              </w:tc>
              <w:tc>
                <w:tcPr>
                  <w:tcW w:w="704" w:type="pct"/>
                  <w:tcBorders>
                    <w:top w:val="single" w:color="auto" w:sz="4" w:space="0"/>
                    <w:left w:val="single" w:color="auto" w:sz="4" w:space="0"/>
                    <w:bottom w:val="single" w:color="auto" w:sz="4" w:space="0"/>
                    <w:right w:val="single" w:color="auto" w:sz="4" w:space="0"/>
                  </w:tcBorders>
                  <w:noWrap/>
                  <w:vAlign w:val="center"/>
                </w:tcPr>
                <w:p w14:paraId="31E0479B">
                  <w:pPr>
                    <w:pStyle w:val="25"/>
                    <w:rPr>
                      <w:b w:val="0"/>
                      <w:bCs/>
                    </w:rPr>
                  </w:pPr>
                  <w:r>
                    <w:rPr>
                      <w:rFonts w:hint="eastAsia"/>
                      <w:b w:val="0"/>
                      <w:bCs/>
                    </w:rPr>
                    <w:t>180</w:t>
                  </w:r>
                </w:p>
              </w:tc>
              <w:tc>
                <w:tcPr>
                  <w:tcW w:w="704" w:type="pct"/>
                  <w:tcBorders>
                    <w:top w:val="single" w:color="auto" w:sz="4" w:space="0"/>
                    <w:left w:val="single" w:color="auto" w:sz="4" w:space="0"/>
                    <w:bottom w:val="single" w:color="auto" w:sz="4" w:space="0"/>
                    <w:right w:val="single" w:color="auto" w:sz="4" w:space="0"/>
                  </w:tcBorders>
                  <w:noWrap/>
                  <w:vAlign w:val="center"/>
                </w:tcPr>
                <w:p w14:paraId="69ED2671">
                  <w:pPr>
                    <w:pStyle w:val="25"/>
                    <w:rPr>
                      <w:b w:val="0"/>
                      <w:bCs/>
                    </w:rPr>
                  </w:pPr>
                  <w:r>
                    <w:rPr>
                      <w:rFonts w:hint="eastAsia"/>
                      <w:b w:val="0"/>
                      <w:bCs/>
                    </w:rPr>
                    <w:t>5</w:t>
                  </w:r>
                </w:p>
              </w:tc>
            </w:tr>
            <w:tr w14:paraId="245E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451" w:type="pct"/>
                  <w:tcBorders>
                    <w:top w:val="single" w:color="auto" w:sz="4" w:space="0"/>
                    <w:left w:val="single" w:color="auto" w:sz="4" w:space="0"/>
                    <w:bottom w:val="single" w:color="auto" w:sz="4" w:space="0"/>
                    <w:right w:val="single" w:color="auto" w:sz="4" w:space="0"/>
                  </w:tcBorders>
                  <w:noWrap/>
                  <w:vAlign w:val="center"/>
                </w:tcPr>
                <w:p w14:paraId="22943A5E">
                  <w:pPr>
                    <w:pStyle w:val="25"/>
                  </w:pPr>
                  <w:r>
                    <w:rPr>
                      <w:rFonts w:hint="eastAsia"/>
                    </w:rPr>
                    <w:t>产生量（</w:t>
                  </w:r>
                  <w:r>
                    <w:t>t/</w:t>
                  </w:r>
                  <w:r>
                    <w:rPr>
                      <w:rFonts w:hint="eastAsia"/>
                    </w:rPr>
                    <w:t>a）</w:t>
                  </w:r>
                </w:p>
              </w:tc>
              <w:tc>
                <w:tcPr>
                  <w:tcW w:w="844" w:type="pct"/>
                  <w:tcBorders>
                    <w:top w:val="single" w:color="auto" w:sz="4" w:space="0"/>
                    <w:left w:val="single" w:color="auto" w:sz="4" w:space="0"/>
                    <w:bottom w:val="single" w:color="auto" w:sz="4" w:space="0"/>
                    <w:right w:val="single" w:color="auto" w:sz="4" w:space="0"/>
                  </w:tcBorders>
                  <w:noWrap/>
                  <w:vAlign w:val="center"/>
                </w:tcPr>
                <w:p w14:paraId="4F6CFCF5">
                  <w:pPr>
                    <w:pStyle w:val="25"/>
                    <w:rPr>
                      <w:rFonts w:hint="default" w:eastAsia="宋体"/>
                      <w:b w:val="0"/>
                      <w:bCs/>
                      <w:highlight w:val="none"/>
                      <w:lang w:val="en-US" w:eastAsia="zh-CN"/>
                    </w:rPr>
                  </w:pPr>
                  <w:r>
                    <w:rPr>
                      <w:rFonts w:hint="eastAsia"/>
                      <w:b w:val="0"/>
                      <w:bCs/>
                      <w:highlight w:val="none"/>
                    </w:rPr>
                    <w:t>0.</w:t>
                  </w:r>
                  <w:r>
                    <w:rPr>
                      <w:rFonts w:hint="eastAsia"/>
                      <w:b w:val="0"/>
                      <w:bCs/>
                      <w:highlight w:val="none"/>
                      <w:lang w:val="en-US" w:eastAsia="zh-CN"/>
                    </w:rPr>
                    <w:t>056</w:t>
                  </w:r>
                </w:p>
              </w:tc>
              <w:tc>
                <w:tcPr>
                  <w:tcW w:w="585" w:type="pct"/>
                  <w:tcBorders>
                    <w:top w:val="single" w:color="auto" w:sz="4" w:space="0"/>
                    <w:left w:val="single" w:color="auto" w:sz="4" w:space="0"/>
                    <w:bottom w:val="single" w:color="auto" w:sz="4" w:space="0"/>
                    <w:right w:val="single" w:color="auto" w:sz="4" w:space="0"/>
                  </w:tcBorders>
                  <w:noWrap/>
                  <w:vAlign w:val="center"/>
                </w:tcPr>
                <w:p w14:paraId="03880479">
                  <w:pPr>
                    <w:pStyle w:val="25"/>
                    <w:rPr>
                      <w:rFonts w:hint="default" w:eastAsia="宋体"/>
                      <w:b w:val="0"/>
                      <w:bCs/>
                      <w:highlight w:val="none"/>
                      <w:lang w:val="en-US" w:eastAsia="zh-CN"/>
                    </w:rPr>
                  </w:pPr>
                  <w:r>
                    <w:rPr>
                      <w:rFonts w:hint="eastAsia"/>
                      <w:b w:val="0"/>
                      <w:bCs/>
                      <w:highlight w:val="none"/>
                      <w:lang w:val="en-US" w:eastAsia="zh-CN"/>
                    </w:rPr>
                    <w:t>0.024</w:t>
                  </w:r>
                </w:p>
              </w:tc>
              <w:tc>
                <w:tcPr>
                  <w:tcW w:w="710" w:type="pct"/>
                  <w:tcBorders>
                    <w:top w:val="single" w:color="auto" w:sz="4" w:space="0"/>
                    <w:left w:val="single" w:color="auto" w:sz="4" w:space="0"/>
                    <w:bottom w:val="single" w:color="auto" w:sz="4" w:space="0"/>
                    <w:right w:val="single" w:color="auto" w:sz="4" w:space="0"/>
                  </w:tcBorders>
                  <w:noWrap/>
                  <w:vAlign w:val="center"/>
                </w:tcPr>
                <w:p w14:paraId="2D3AACDE">
                  <w:pPr>
                    <w:pStyle w:val="25"/>
                    <w:rPr>
                      <w:rFonts w:hint="default" w:eastAsia="宋体"/>
                      <w:b w:val="0"/>
                      <w:bCs/>
                      <w:highlight w:val="none"/>
                      <w:lang w:val="en-US" w:eastAsia="zh-CN"/>
                    </w:rPr>
                  </w:pPr>
                  <w:r>
                    <w:rPr>
                      <w:rFonts w:hint="eastAsia"/>
                      <w:b w:val="0"/>
                      <w:bCs/>
                      <w:highlight w:val="none"/>
                      <w:lang w:val="en-US" w:eastAsia="zh-CN"/>
                    </w:rPr>
                    <w:t>0.006</w:t>
                  </w:r>
                </w:p>
              </w:tc>
              <w:tc>
                <w:tcPr>
                  <w:tcW w:w="704" w:type="pct"/>
                  <w:tcBorders>
                    <w:top w:val="single" w:color="auto" w:sz="4" w:space="0"/>
                    <w:left w:val="single" w:color="auto" w:sz="4" w:space="0"/>
                    <w:bottom w:val="single" w:color="auto" w:sz="4" w:space="0"/>
                    <w:right w:val="single" w:color="auto" w:sz="4" w:space="0"/>
                  </w:tcBorders>
                  <w:noWrap/>
                  <w:vAlign w:val="center"/>
                </w:tcPr>
                <w:p w14:paraId="3382B1C3">
                  <w:pPr>
                    <w:pStyle w:val="25"/>
                    <w:rPr>
                      <w:rFonts w:hint="default" w:eastAsia="宋体"/>
                      <w:b w:val="0"/>
                      <w:bCs/>
                      <w:highlight w:val="none"/>
                      <w:lang w:val="en-US" w:eastAsia="zh-CN"/>
                    </w:rPr>
                  </w:pPr>
                  <w:r>
                    <w:rPr>
                      <w:rFonts w:hint="eastAsia"/>
                      <w:b w:val="0"/>
                      <w:bCs/>
                      <w:highlight w:val="none"/>
                      <w:lang w:val="en-US" w:eastAsia="zh-CN"/>
                    </w:rPr>
                    <w:t>0.022</w:t>
                  </w:r>
                </w:p>
              </w:tc>
              <w:tc>
                <w:tcPr>
                  <w:tcW w:w="704" w:type="pct"/>
                  <w:tcBorders>
                    <w:top w:val="single" w:color="auto" w:sz="4" w:space="0"/>
                    <w:left w:val="single" w:color="auto" w:sz="4" w:space="0"/>
                    <w:bottom w:val="single" w:color="auto" w:sz="4" w:space="0"/>
                    <w:right w:val="single" w:color="auto" w:sz="4" w:space="0"/>
                  </w:tcBorders>
                  <w:noWrap/>
                  <w:vAlign w:val="center"/>
                </w:tcPr>
                <w:p w14:paraId="595C068E">
                  <w:pPr>
                    <w:pStyle w:val="25"/>
                    <w:rPr>
                      <w:rFonts w:hint="default" w:eastAsia="宋体"/>
                      <w:b w:val="0"/>
                      <w:bCs/>
                      <w:highlight w:val="none"/>
                      <w:lang w:val="en-US" w:eastAsia="zh-CN"/>
                    </w:rPr>
                  </w:pPr>
                  <w:r>
                    <w:rPr>
                      <w:rFonts w:hint="eastAsia"/>
                      <w:b w:val="0"/>
                      <w:bCs/>
                      <w:highlight w:val="none"/>
                      <w:lang w:val="en-US" w:eastAsia="zh-CN"/>
                    </w:rPr>
                    <w:t>0.0007</w:t>
                  </w:r>
                </w:p>
              </w:tc>
            </w:tr>
          </w:tbl>
          <w:p w14:paraId="336DF83C">
            <w:pPr>
              <w:pStyle w:val="4"/>
              <w:numPr>
                <w:ilvl w:val="1"/>
                <w:numId w:val="0"/>
              </w:numPr>
              <w:ind w:left="0" w:leftChars="0" w:firstLine="0" w:firstLineChars="0"/>
              <w:jc w:val="center"/>
              <w:rPr>
                <w:sz w:val="24"/>
                <w:szCs w:val="24"/>
              </w:rPr>
            </w:pPr>
            <w:r>
              <w:rPr>
                <w:sz w:val="24"/>
                <w:szCs w:val="24"/>
              </w:rPr>
              <w:t>表4-</w:t>
            </w:r>
            <w:r>
              <w:rPr>
                <w:rFonts w:hint="eastAsia"/>
                <w:sz w:val="24"/>
                <w:szCs w:val="24"/>
                <w:lang w:val="en-US" w:eastAsia="zh-CN"/>
              </w:rPr>
              <w:t xml:space="preserve">5 </w:t>
            </w:r>
            <w:r>
              <w:rPr>
                <w:sz w:val="24"/>
                <w:szCs w:val="24"/>
              </w:rPr>
              <w:t>废水排放一览表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995"/>
              <w:gridCol w:w="1519"/>
              <w:gridCol w:w="3626"/>
            </w:tblGrid>
            <w:tr w14:paraId="482C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Align w:val="center"/>
                </w:tcPr>
                <w:p w14:paraId="147FAAC6">
                  <w:pPr>
                    <w:pStyle w:val="17"/>
                    <w:spacing w:after="0" w:line="240" w:lineRule="auto"/>
                    <w:ind w:firstLine="0" w:firstLineChars="0"/>
                    <w:jc w:val="center"/>
                    <w:rPr>
                      <w:b/>
                      <w:bCs/>
                      <w:sz w:val="21"/>
                      <w:szCs w:val="21"/>
                    </w:rPr>
                  </w:pPr>
                  <w:r>
                    <w:rPr>
                      <w:rFonts w:hint="eastAsia"/>
                      <w:b/>
                      <w:bCs/>
                      <w:sz w:val="21"/>
                      <w:szCs w:val="21"/>
                    </w:rPr>
                    <w:t>序号</w:t>
                  </w:r>
                </w:p>
              </w:tc>
              <w:tc>
                <w:tcPr>
                  <w:tcW w:w="1286" w:type="pct"/>
                  <w:vAlign w:val="center"/>
                </w:tcPr>
                <w:p w14:paraId="5618AC10">
                  <w:pPr>
                    <w:pStyle w:val="17"/>
                    <w:spacing w:after="0" w:line="240" w:lineRule="auto"/>
                    <w:ind w:firstLine="0" w:firstLineChars="0"/>
                    <w:jc w:val="center"/>
                    <w:rPr>
                      <w:b/>
                      <w:bCs/>
                      <w:sz w:val="21"/>
                      <w:szCs w:val="21"/>
                    </w:rPr>
                  </w:pPr>
                  <w:r>
                    <w:rPr>
                      <w:rFonts w:hint="eastAsia"/>
                      <w:b/>
                      <w:bCs/>
                      <w:sz w:val="21"/>
                      <w:szCs w:val="21"/>
                    </w:rPr>
                    <w:t>废水产生项目</w:t>
                  </w:r>
                </w:p>
              </w:tc>
              <w:tc>
                <w:tcPr>
                  <w:tcW w:w="979" w:type="pct"/>
                  <w:vAlign w:val="center"/>
                </w:tcPr>
                <w:p w14:paraId="4B39E989">
                  <w:pPr>
                    <w:pStyle w:val="17"/>
                    <w:spacing w:after="0" w:line="240" w:lineRule="auto"/>
                    <w:ind w:firstLine="0" w:firstLineChars="0"/>
                    <w:jc w:val="center"/>
                    <w:rPr>
                      <w:b/>
                      <w:bCs/>
                      <w:sz w:val="21"/>
                      <w:szCs w:val="21"/>
                    </w:rPr>
                  </w:pPr>
                  <w:r>
                    <w:rPr>
                      <w:rFonts w:hint="eastAsia"/>
                      <w:b/>
                      <w:bCs/>
                      <w:sz w:val="21"/>
                      <w:szCs w:val="21"/>
                    </w:rPr>
                    <w:t>产生量（m</w:t>
                  </w:r>
                  <w:r>
                    <w:rPr>
                      <w:rFonts w:hint="eastAsia"/>
                      <w:b/>
                      <w:bCs/>
                      <w:sz w:val="21"/>
                      <w:szCs w:val="21"/>
                      <w:vertAlign w:val="superscript"/>
                    </w:rPr>
                    <w:t>3</w:t>
                  </w:r>
                  <w:r>
                    <w:rPr>
                      <w:rFonts w:hint="eastAsia"/>
                      <w:b/>
                      <w:bCs/>
                      <w:sz w:val="21"/>
                      <w:szCs w:val="21"/>
                    </w:rPr>
                    <w:t>/a）</w:t>
                  </w:r>
                </w:p>
              </w:tc>
              <w:tc>
                <w:tcPr>
                  <w:tcW w:w="2337" w:type="pct"/>
                  <w:vAlign w:val="center"/>
                </w:tcPr>
                <w:p w14:paraId="38D39C71">
                  <w:pPr>
                    <w:pStyle w:val="17"/>
                    <w:spacing w:after="0" w:line="240" w:lineRule="auto"/>
                    <w:ind w:firstLine="0" w:firstLineChars="0"/>
                    <w:jc w:val="center"/>
                    <w:rPr>
                      <w:b/>
                      <w:bCs/>
                      <w:sz w:val="21"/>
                      <w:szCs w:val="21"/>
                    </w:rPr>
                  </w:pPr>
                  <w:r>
                    <w:rPr>
                      <w:rFonts w:hint="eastAsia"/>
                      <w:b/>
                      <w:bCs/>
                      <w:sz w:val="21"/>
                      <w:szCs w:val="21"/>
                    </w:rPr>
                    <w:t>处置措施</w:t>
                  </w:r>
                </w:p>
              </w:tc>
            </w:tr>
            <w:tr w14:paraId="3DFA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97" w:type="pct"/>
                  <w:vAlign w:val="center"/>
                </w:tcPr>
                <w:p w14:paraId="3548134C">
                  <w:pPr>
                    <w:spacing w:line="240" w:lineRule="auto"/>
                    <w:ind w:firstLine="0" w:firstLineChars="0"/>
                    <w:jc w:val="center"/>
                    <w:rPr>
                      <w:sz w:val="21"/>
                      <w:szCs w:val="21"/>
                    </w:rPr>
                  </w:pPr>
                  <w:r>
                    <w:rPr>
                      <w:rFonts w:hint="eastAsia"/>
                      <w:sz w:val="21"/>
                      <w:szCs w:val="21"/>
                    </w:rPr>
                    <w:t>1</w:t>
                  </w:r>
                </w:p>
              </w:tc>
              <w:tc>
                <w:tcPr>
                  <w:tcW w:w="1286" w:type="pct"/>
                  <w:vAlign w:val="center"/>
                </w:tcPr>
                <w:p w14:paraId="6FE6D2B6">
                  <w:pPr>
                    <w:spacing w:line="240" w:lineRule="auto"/>
                    <w:ind w:firstLine="0" w:firstLineChars="0"/>
                    <w:jc w:val="center"/>
                    <w:rPr>
                      <w:sz w:val="21"/>
                      <w:szCs w:val="21"/>
                    </w:rPr>
                  </w:pPr>
                  <w:r>
                    <w:rPr>
                      <w:rFonts w:hint="eastAsia"/>
                      <w:sz w:val="21"/>
                      <w:szCs w:val="21"/>
                    </w:rPr>
                    <w:t>洗砂废水</w:t>
                  </w:r>
                </w:p>
              </w:tc>
              <w:tc>
                <w:tcPr>
                  <w:tcW w:w="979" w:type="pct"/>
                  <w:vAlign w:val="center"/>
                </w:tcPr>
                <w:p w14:paraId="4770E958">
                  <w:pPr>
                    <w:spacing w:line="240" w:lineRule="auto"/>
                    <w:ind w:firstLine="0" w:firstLineChars="0"/>
                    <w:jc w:val="center"/>
                    <w:rPr>
                      <w:sz w:val="21"/>
                      <w:szCs w:val="21"/>
                    </w:rPr>
                  </w:pPr>
                  <w:r>
                    <w:rPr>
                      <w:rFonts w:hint="eastAsia"/>
                      <w:sz w:val="21"/>
                      <w:szCs w:val="21"/>
                      <w:lang w:val="en-US" w:eastAsia="zh-CN"/>
                    </w:rPr>
                    <w:t>4.6</w:t>
                  </w:r>
                  <w:r>
                    <w:rPr>
                      <w:rFonts w:hint="eastAsia"/>
                      <w:sz w:val="21"/>
                      <w:szCs w:val="21"/>
                    </w:rPr>
                    <w:t>万</w:t>
                  </w:r>
                </w:p>
              </w:tc>
              <w:tc>
                <w:tcPr>
                  <w:tcW w:w="2337" w:type="pct"/>
                  <w:vAlign w:val="center"/>
                </w:tcPr>
                <w:p w14:paraId="1CDFDAF5">
                  <w:pPr>
                    <w:spacing w:line="240" w:lineRule="auto"/>
                    <w:ind w:firstLine="0" w:firstLineChars="0"/>
                    <w:jc w:val="left"/>
                    <w:rPr>
                      <w:sz w:val="21"/>
                      <w:szCs w:val="21"/>
                    </w:rPr>
                  </w:pPr>
                  <w:r>
                    <w:rPr>
                      <w:rFonts w:hint="eastAsia"/>
                      <w:sz w:val="21"/>
                      <w:szCs w:val="21"/>
                    </w:rPr>
                    <w:t>经三级沉淀池沉淀后</w:t>
                  </w:r>
                  <w:r>
                    <w:rPr>
                      <w:rFonts w:hint="eastAsia"/>
                      <w:sz w:val="21"/>
                      <w:szCs w:val="21"/>
                      <w:lang w:eastAsia="zh-CN"/>
                    </w:rPr>
                    <w:t>上清液进行</w:t>
                  </w:r>
                  <w:r>
                    <w:rPr>
                      <w:rFonts w:hint="eastAsia"/>
                      <w:sz w:val="21"/>
                      <w:szCs w:val="21"/>
                      <w:lang w:val="en-US" w:eastAsia="zh-CN"/>
                    </w:rPr>
                    <w:t>回用于生产</w:t>
                  </w:r>
                  <w:r>
                    <w:rPr>
                      <w:rFonts w:hint="eastAsia"/>
                      <w:sz w:val="21"/>
                      <w:szCs w:val="21"/>
                    </w:rPr>
                    <w:t>。</w:t>
                  </w:r>
                </w:p>
              </w:tc>
            </w:tr>
            <w:tr w14:paraId="2A11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97" w:type="pct"/>
                  <w:vAlign w:val="center"/>
                </w:tcPr>
                <w:p w14:paraId="1C6C4E31">
                  <w:pPr>
                    <w:spacing w:line="240" w:lineRule="auto"/>
                    <w:ind w:firstLine="0" w:firstLineChars="0"/>
                    <w:jc w:val="center"/>
                    <w:rPr>
                      <w:sz w:val="21"/>
                      <w:szCs w:val="21"/>
                    </w:rPr>
                  </w:pPr>
                  <w:r>
                    <w:rPr>
                      <w:sz w:val="21"/>
                      <w:szCs w:val="21"/>
                    </w:rPr>
                    <w:t>2</w:t>
                  </w:r>
                </w:p>
              </w:tc>
              <w:tc>
                <w:tcPr>
                  <w:tcW w:w="1286" w:type="pct"/>
                  <w:vAlign w:val="center"/>
                </w:tcPr>
                <w:p w14:paraId="28A6884A">
                  <w:pPr>
                    <w:spacing w:line="240" w:lineRule="auto"/>
                    <w:ind w:firstLine="0" w:firstLineChars="0"/>
                    <w:jc w:val="center"/>
                    <w:rPr>
                      <w:sz w:val="21"/>
                      <w:szCs w:val="21"/>
                    </w:rPr>
                  </w:pPr>
                  <w:r>
                    <w:rPr>
                      <w:sz w:val="21"/>
                      <w:szCs w:val="21"/>
                    </w:rPr>
                    <w:t>进出车辆清洗废水</w:t>
                  </w:r>
                </w:p>
              </w:tc>
              <w:tc>
                <w:tcPr>
                  <w:tcW w:w="979" w:type="pct"/>
                  <w:vAlign w:val="center"/>
                </w:tcPr>
                <w:p w14:paraId="38590DA1">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84</w:t>
                  </w:r>
                </w:p>
              </w:tc>
              <w:tc>
                <w:tcPr>
                  <w:tcW w:w="2337" w:type="pct"/>
                  <w:vAlign w:val="center"/>
                </w:tcPr>
                <w:p w14:paraId="39581D5D">
                  <w:pPr>
                    <w:spacing w:line="240" w:lineRule="auto"/>
                    <w:ind w:firstLine="0" w:firstLineChars="0"/>
                    <w:jc w:val="left"/>
                    <w:rPr>
                      <w:sz w:val="21"/>
                      <w:szCs w:val="21"/>
                    </w:rPr>
                  </w:pPr>
                  <w:r>
                    <w:rPr>
                      <w:sz w:val="21"/>
                      <w:szCs w:val="21"/>
                    </w:rPr>
                    <w:t>沉淀池收集沉淀后</w:t>
                  </w:r>
                  <w:r>
                    <w:rPr>
                      <w:rFonts w:hint="eastAsia"/>
                      <w:sz w:val="21"/>
                      <w:szCs w:val="21"/>
                    </w:rPr>
                    <w:t>用以洒水抑尘。</w:t>
                  </w:r>
                </w:p>
              </w:tc>
            </w:tr>
            <w:tr w14:paraId="2C0B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Align w:val="center"/>
                </w:tcPr>
                <w:p w14:paraId="5F1C23F7">
                  <w:pPr>
                    <w:spacing w:line="240" w:lineRule="auto"/>
                    <w:ind w:firstLine="0" w:firstLineChars="0"/>
                    <w:jc w:val="center"/>
                    <w:rPr>
                      <w:sz w:val="21"/>
                      <w:szCs w:val="21"/>
                    </w:rPr>
                  </w:pPr>
                  <w:r>
                    <w:rPr>
                      <w:sz w:val="21"/>
                      <w:szCs w:val="21"/>
                    </w:rPr>
                    <w:t>3</w:t>
                  </w:r>
                </w:p>
              </w:tc>
              <w:tc>
                <w:tcPr>
                  <w:tcW w:w="1286" w:type="pct"/>
                  <w:vAlign w:val="center"/>
                </w:tcPr>
                <w:p w14:paraId="471617ED">
                  <w:pPr>
                    <w:spacing w:line="240" w:lineRule="auto"/>
                    <w:ind w:firstLine="0" w:firstLineChars="0"/>
                    <w:jc w:val="center"/>
                    <w:rPr>
                      <w:sz w:val="21"/>
                      <w:szCs w:val="21"/>
                    </w:rPr>
                  </w:pPr>
                  <w:r>
                    <w:rPr>
                      <w:sz w:val="21"/>
                      <w:szCs w:val="21"/>
                    </w:rPr>
                    <w:t>职工生活污水</w:t>
                  </w:r>
                </w:p>
              </w:tc>
              <w:tc>
                <w:tcPr>
                  <w:tcW w:w="979" w:type="pct"/>
                  <w:vAlign w:val="center"/>
                </w:tcPr>
                <w:p w14:paraId="000B87A5">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121.8</w:t>
                  </w:r>
                </w:p>
              </w:tc>
              <w:tc>
                <w:tcPr>
                  <w:tcW w:w="2337" w:type="pct"/>
                  <w:vAlign w:val="center"/>
                </w:tcPr>
                <w:p w14:paraId="75B6E2B1">
                  <w:pPr>
                    <w:spacing w:line="240" w:lineRule="auto"/>
                    <w:ind w:firstLine="0" w:firstLineChars="0"/>
                    <w:jc w:val="left"/>
                    <w:rPr>
                      <w:rFonts w:hint="eastAsia" w:eastAsia="宋体"/>
                      <w:sz w:val="21"/>
                      <w:szCs w:val="21"/>
                      <w:lang w:eastAsia="zh-CN"/>
                    </w:rPr>
                  </w:pPr>
                  <w:r>
                    <w:rPr>
                      <w:rFonts w:hint="eastAsia" w:eastAsia="宋体"/>
                      <w:sz w:val="21"/>
                      <w:szCs w:val="21"/>
                      <w:lang w:eastAsia="zh-CN"/>
                    </w:rPr>
                    <w:t>食堂废水经隔油处理后与其他生活污水经地埋式一体化污水处理设施处理后用于场地洒水抑尘。</w:t>
                  </w:r>
                </w:p>
              </w:tc>
            </w:tr>
          </w:tbl>
          <w:p w14:paraId="294AE82F">
            <w:pPr>
              <w:bidi w:val="0"/>
              <w:rPr>
                <w:b/>
                <w:bCs/>
              </w:rPr>
            </w:pPr>
            <w:r>
              <w:rPr>
                <w:rFonts w:hint="eastAsia"/>
                <w:b/>
                <w:bCs/>
              </w:rPr>
              <w:t>2.4</w:t>
            </w:r>
            <w:r>
              <w:rPr>
                <w:b/>
                <w:bCs/>
              </w:rPr>
              <w:t>废</w:t>
            </w:r>
            <w:r>
              <w:rPr>
                <w:rFonts w:hint="eastAsia"/>
                <w:b/>
                <w:bCs/>
              </w:rPr>
              <w:t>水</w:t>
            </w:r>
            <w:r>
              <w:rPr>
                <w:b/>
                <w:bCs/>
              </w:rPr>
              <w:t>处理措施</w:t>
            </w:r>
            <w:r>
              <w:rPr>
                <w:rFonts w:hint="eastAsia"/>
                <w:b/>
                <w:bCs/>
              </w:rPr>
              <w:t>及</w:t>
            </w:r>
            <w:r>
              <w:rPr>
                <w:b/>
                <w:bCs/>
              </w:rPr>
              <w:t>可行性分析：</w:t>
            </w:r>
          </w:p>
          <w:p w14:paraId="34732743">
            <w:pPr>
              <w:bidi w:val="0"/>
            </w:pPr>
            <w:r>
              <w:rPr>
                <w:rFonts w:hint="eastAsia"/>
              </w:rPr>
              <w:t>（1）洗</w:t>
            </w:r>
            <w:r>
              <w:rPr>
                <w:rFonts w:hint="eastAsia"/>
                <w:lang w:eastAsia="zh-CN"/>
              </w:rPr>
              <w:t>砂</w:t>
            </w:r>
            <w:r>
              <w:rPr>
                <w:rFonts w:hint="eastAsia"/>
              </w:rPr>
              <w:t>废水处理方式可行性分析：</w:t>
            </w:r>
          </w:p>
          <w:p w14:paraId="19981E67">
            <w:pPr>
              <w:bidi w:val="0"/>
              <w:rPr>
                <w:rFonts w:hint="eastAsia"/>
              </w:rPr>
            </w:pPr>
            <w:r>
              <w:rPr>
                <w:rFonts w:hint="eastAsia"/>
              </w:rPr>
              <w:t>项目生产废水中主要污染物为泥沙等，入水悬浮物浓度在15g/L左右，在未添加絮凝剂的情况下1h后污泥实现了集中于底层1/3处，若按照</w:t>
            </w:r>
            <w:r>
              <w:rPr>
                <w:rFonts w:hint="eastAsia"/>
                <w:lang w:val="en-US" w:eastAsia="zh-CN"/>
              </w:rPr>
              <w:t>0</w:t>
            </w:r>
            <w:r>
              <w:rPr>
                <w:rFonts w:hint="eastAsia"/>
              </w:rPr>
              <w:t>.2%的量添加聚合氯化铝，15分钟污泥集中于底层约1/3，沉淀1h后沉淀池中实现完全沉淀。上清液进入清水池回用，</w:t>
            </w:r>
            <w:r>
              <w:rPr>
                <w:rFonts w:hint="eastAsia"/>
                <w:lang w:val="en-US" w:eastAsia="zh-CN"/>
              </w:rPr>
              <w:t>下层污泥经</w:t>
            </w:r>
            <w:r>
              <w:rPr>
                <w:rFonts w:hint="eastAsia"/>
              </w:rPr>
              <w:t>收集后</w:t>
            </w:r>
            <w:r>
              <w:rPr>
                <w:rFonts w:hint="eastAsia"/>
                <w:lang w:val="en-US" w:eastAsia="zh-CN"/>
              </w:rPr>
              <w:t>晾晒</w:t>
            </w:r>
            <w:r>
              <w:rPr>
                <w:rFonts w:hint="eastAsia"/>
              </w:rPr>
              <w:t>作为回填料进行出售。</w:t>
            </w:r>
          </w:p>
          <w:p w14:paraId="5697FDCF">
            <w:pPr>
              <w:bidi w:val="0"/>
              <w:rPr>
                <w:rFonts w:hint="eastAsia"/>
              </w:rPr>
            </w:pPr>
            <w:r>
              <w:rPr>
                <w:rFonts w:hint="eastAsia"/>
              </w:rPr>
              <w:t>沉淀池设计</w:t>
            </w:r>
          </w:p>
          <w:p w14:paraId="296A2E04">
            <w:pPr>
              <w:bidi w:val="0"/>
              <w:rPr>
                <w:rFonts w:hint="eastAsia"/>
              </w:rPr>
            </w:pPr>
            <w:r>
              <w:rPr>
                <w:rFonts w:hint="eastAsia"/>
              </w:rPr>
              <w:t>A</w:t>
            </w:r>
            <w:r>
              <w:rPr>
                <w:rFonts w:hint="eastAsia"/>
                <w:lang w:eastAsia="zh-CN"/>
              </w:rPr>
              <w:t>.</w:t>
            </w:r>
            <w:r>
              <w:rPr>
                <w:rFonts w:hint="eastAsia"/>
              </w:rPr>
              <w:t>设计参数</w:t>
            </w:r>
          </w:p>
          <w:p w14:paraId="67189AB6">
            <w:pPr>
              <w:bidi w:val="0"/>
              <w:rPr>
                <w:rFonts w:hint="eastAsia"/>
              </w:rPr>
            </w:pPr>
            <w:r>
              <w:rPr>
                <w:rFonts w:hint="eastAsia"/>
              </w:rPr>
              <w:t>废水产生时间为</w:t>
            </w:r>
            <w:r>
              <w:rPr>
                <w:rFonts w:hint="eastAsia"/>
                <w:lang w:val="en-US" w:eastAsia="zh-CN"/>
              </w:rPr>
              <w:t>7</w:t>
            </w:r>
            <w:r>
              <w:rPr>
                <w:rFonts w:hint="eastAsia"/>
              </w:rPr>
              <w:t>h，设计流量 Q=</w:t>
            </w:r>
            <w:r>
              <w:rPr>
                <w:rFonts w:hint="eastAsia"/>
                <w:lang w:val="en-US" w:eastAsia="zh-CN"/>
              </w:rPr>
              <w:t>50000</w:t>
            </w:r>
            <w:r>
              <w:rPr>
                <w:rFonts w:hint="eastAsia"/>
              </w:rPr>
              <w:t>m</w:t>
            </w:r>
            <w:r>
              <w:rPr>
                <w:rFonts w:hint="eastAsia"/>
                <w:vertAlign w:val="superscript"/>
              </w:rPr>
              <w:t>3</w:t>
            </w:r>
            <w:r>
              <w:rPr>
                <w:rFonts w:hint="eastAsia"/>
              </w:rPr>
              <w:t>/a=</w:t>
            </w:r>
            <w:r>
              <w:rPr>
                <w:rFonts w:hint="eastAsia"/>
                <w:lang w:val="en-US" w:eastAsia="zh-CN"/>
              </w:rPr>
              <w:t>238m</w:t>
            </w:r>
            <w:r>
              <w:rPr>
                <w:rFonts w:hint="eastAsia"/>
                <w:vertAlign w:val="superscript"/>
                <w:lang w:val="en-US" w:eastAsia="zh-CN"/>
              </w:rPr>
              <w:t>3</w:t>
            </w:r>
            <w:r>
              <w:rPr>
                <w:rFonts w:hint="eastAsia"/>
                <w:lang w:val="en-US" w:eastAsia="zh-CN"/>
              </w:rPr>
              <w:t>/d=34</w:t>
            </w:r>
            <w:r>
              <w:rPr>
                <w:rFonts w:hint="eastAsia"/>
              </w:rPr>
              <w:t>m</w:t>
            </w:r>
            <w:r>
              <w:rPr>
                <w:rFonts w:hint="eastAsia"/>
                <w:vertAlign w:val="superscript"/>
              </w:rPr>
              <w:t>3</w:t>
            </w:r>
            <w:r>
              <w:rPr>
                <w:rFonts w:hint="eastAsia"/>
              </w:rPr>
              <w:t>/h，</w:t>
            </w:r>
          </w:p>
          <w:p w14:paraId="768BFB19">
            <w:pPr>
              <w:bidi w:val="0"/>
              <w:rPr>
                <w:rFonts w:hint="eastAsia"/>
              </w:rPr>
            </w:pPr>
            <w:r>
              <w:rPr>
                <w:rFonts w:hint="eastAsia"/>
              </w:rPr>
              <w:t>B</w:t>
            </w:r>
            <w:r>
              <w:rPr>
                <w:rFonts w:hint="eastAsia"/>
                <w:lang w:eastAsia="zh-CN"/>
              </w:rPr>
              <w:t>.</w:t>
            </w:r>
            <w:r>
              <w:rPr>
                <w:rFonts w:hint="eastAsia"/>
              </w:rPr>
              <w:t>设计计算</w:t>
            </w:r>
          </w:p>
          <w:p w14:paraId="37DB642B">
            <w:pPr>
              <w:bidi w:val="0"/>
              <w:rPr>
                <w:rFonts w:hint="eastAsia"/>
              </w:rPr>
            </w:pPr>
            <w:r>
              <w:rPr>
                <w:rFonts w:hint="eastAsia"/>
              </w:rPr>
              <w:t>沉淀池有效容积 V=QT=</w:t>
            </w:r>
            <w:r>
              <w:rPr>
                <w:rFonts w:hint="eastAsia"/>
                <w:lang w:val="en-US" w:eastAsia="zh-CN"/>
              </w:rPr>
              <w:t>20</w:t>
            </w:r>
            <w:r>
              <w:rPr>
                <w:rFonts w:hint="eastAsia"/>
              </w:rPr>
              <w:t>×8=</w:t>
            </w:r>
            <w:r>
              <w:rPr>
                <w:rFonts w:hint="eastAsia"/>
                <w:lang w:val="en-US" w:eastAsia="zh-CN"/>
              </w:rPr>
              <w:t>256</w:t>
            </w:r>
            <w:r>
              <w:rPr>
                <w:rFonts w:hint="eastAsia"/>
              </w:rPr>
              <w:t>m</w:t>
            </w:r>
            <w:r>
              <w:rPr>
                <w:rFonts w:hint="eastAsia"/>
                <w:vertAlign w:val="superscript"/>
              </w:rPr>
              <w:t>3</w:t>
            </w:r>
          </w:p>
          <w:p w14:paraId="1FE5DB5B">
            <w:pPr>
              <w:bidi w:val="0"/>
              <w:rPr>
                <w:rFonts w:hint="eastAsia"/>
              </w:rPr>
            </w:pPr>
            <w:r>
              <w:rPr>
                <w:rFonts w:hint="eastAsia"/>
              </w:rPr>
              <w:t>沉淀池有效水深</w:t>
            </w:r>
          </w:p>
          <w:p w14:paraId="34F9B6A5">
            <w:pPr>
              <w:bidi w:val="0"/>
              <w:rPr>
                <w:rFonts w:hint="eastAsia"/>
              </w:rPr>
            </w:pPr>
            <w:r>
              <w:rPr>
                <w:rFonts w:hint="eastAsia"/>
              </w:rPr>
              <w:t>池子高度h=3.0m，其中超高0.1m，则有效水深2.9m</w:t>
            </w:r>
          </w:p>
          <w:p w14:paraId="3D9C3B61">
            <w:pPr>
              <w:bidi w:val="0"/>
            </w:pPr>
            <w:r>
              <w:rPr>
                <w:rFonts w:hint="eastAsia"/>
                <w:lang w:val="en-US" w:eastAsia="zh-CN"/>
              </w:rPr>
              <w:t>本项目沉淀池尺寸为5m×5m×3m，沉淀池水停留时间T=2h。Q=V/T=5m×5m×2.9/2=36m</w:t>
            </w:r>
            <w:r>
              <w:rPr>
                <w:rFonts w:hint="eastAsia"/>
                <w:vertAlign w:val="superscript"/>
                <w:lang w:val="en-US" w:eastAsia="zh-CN"/>
              </w:rPr>
              <w:t>3</w:t>
            </w:r>
            <w:r>
              <w:rPr>
                <w:rFonts w:hint="eastAsia"/>
                <w:lang w:val="en-US" w:eastAsia="zh-CN"/>
              </w:rPr>
              <w:t>/h＞34m</w:t>
            </w:r>
            <w:r>
              <w:rPr>
                <w:rFonts w:hint="eastAsia"/>
                <w:vertAlign w:val="superscript"/>
                <w:lang w:val="en-US" w:eastAsia="zh-CN"/>
              </w:rPr>
              <w:t>3</w:t>
            </w:r>
            <w:r>
              <w:rPr>
                <w:rFonts w:hint="eastAsia"/>
                <w:lang w:val="en-US" w:eastAsia="zh-CN"/>
              </w:rPr>
              <w:t>/h，符合设计要求。</w:t>
            </w:r>
          </w:p>
          <w:p w14:paraId="786F52E1">
            <w:pPr>
              <w:bidi w:val="0"/>
              <w:ind w:left="0" w:leftChars="0" w:firstLine="0" w:firstLineChars="0"/>
              <w:jc w:val="center"/>
              <w:rPr>
                <w:rFonts w:hint="eastAsia"/>
                <w:lang w:val="en-US" w:eastAsia="zh-CN"/>
              </w:rPr>
            </w:pPr>
            <w:r>
              <w:t>表4-</w:t>
            </w:r>
            <w:r>
              <w:rPr>
                <w:rFonts w:hint="eastAsia"/>
                <w:lang w:val="en-US" w:eastAsia="zh-CN"/>
              </w:rPr>
              <w:t>7 三级沉淀池规格</w:t>
            </w:r>
            <w:r>
              <w:t>一览表</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187"/>
              <w:gridCol w:w="1710"/>
              <w:gridCol w:w="1755"/>
              <w:gridCol w:w="1554"/>
            </w:tblGrid>
            <w:tr w14:paraId="1664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4AADE82C">
                  <w:pPr>
                    <w:bidi w:val="0"/>
                    <w:spacing w:line="240" w:lineRule="auto"/>
                    <w:ind w:firstLine="0" w:firstLineChars="0"/>
                    <w:jc w:val="center"/>
                    <w:rPr>
                      <w:rFonts w:hint="eastAsia"/>
                      <w:b/>
                      <w:bCs/>
                      <w:sz w:val="21"/>
                      <w:szCs w:val="21"/>
                      <w:lang w:eastAsia="zh-CN"/>
                    </w:rPr>
                  </w:pPr>
                  <w:r>
                    <w:rPr>
                      <w:rFonts w:hint="eastAsia"/>
                      <w:b/>
                      <w:bCs/>
                      <w:sz w:val="21"/>
                      <w:szCs w:val="21"/>
                      <w:lang w:eastAsia="zh-CN"/>
                    </w:rPr>
                    <w:t>名称</w:t>
                  </w:r>
                </w:p>
              </w:tc>
              <w:tc>
                <w:tcPr>
                  <w:tcW w:w="765" w:type="pct"/>
                  <w:vMerge w:val="restart"/>
                  <w:vAlign w:val="center"/>
                </w:tcPr>
                <w:p w14:paraId="3AD92520">
                  <w:pPr>
                    <w:bidi w:val="0"/>
                    <w:spacing w:line="240" w:lineRule="auto"/>
                    <w:ind w:firstLine="0" w:firstLineChars="0"/>
                    <w:jc w:val="center"/>
                    <w:rPr>
                      <w:rFonts w:hint="eastAsia"/>
                      <w:b/>
                      <w:bCs/>
                      <w:sz w:val="21"/>
                      <w:szCs w:val="21"/>
                      <w:lang w:eastAsia="zh-CN"/>
                    </w:rPr>
                  </w:pPr>
                  <w:r>
                    <w:rPr>
                      <w:rFonts w:hint="eastAsia"/>
                      <w:b/>
                      <w:bCs/>
                      <w:sz w:val="21"/>
                      <w:szCs w:val="21"/>
                      <w:lang w:eastAsia="zh-CN"/>
                    </w:rPr>
                    <w:t>总容积</w:t>
                  </w:r>
                </w:p>
              </w:tc>
              <w:tc>
                <w:tcPr>
                  <w:tcW w:w="3234" w:type="pct"/>
                  <w:gridSpan w:val="3"/>
                </w:tcPr>
                <w:p w14:paraId="17B6E794">
                  <w:pPr>
                    <w:bidi w:val="0"/>
                    <w:spacing w:line="240" w:lineRule="auto"/>
                    <w:ind w:firstLine="0" w:firstLineChars="0"/>
                    <w:jc w:val="center"/>
                    <w:rPr>
                      <w:rFonts w:hint="eastAsia"/>
                      <w:b/>
                      <w:bCs/>
                      <w:sz w:val="21"/>
                      <w:szCs w:val="21"/>
                    </w:rPr>
                  </w:pPr>
                  <w:r>
                    <w:rPr>
                      <w:rFonts w:hint="eastAsia"/>
                      <w:b/>
                      <w:bCs/>
                      <w:sz w:val="21"/>
                      <w:szCs w:val="21"/>
                      <w:lang w:eastAsia="zh-CN"/>
                    </w:rPr>
                    <w:t>其中</w:t>
                  </w:r>
                </w:p>
              </w:tc>
            </w:tr>
            <w:tr w14:paraId="69AB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8F5E320">
                  <w:pPr>
                    <w:bidi w:val="0"/>
                    <w:spacing w:line="240" w:lineRule="auto"/>
                    <w:ind w:firstLine="0" w:firstLineChars="0"/>
                    <w:jc w:val="center"/>
                    <w:rPr>
                      <w:rFonts w:hint="eastAsia"/>
                      <w:b/>
                      <w:bCs/>
                      <w:sz w:val="21"/>
                      <w:szCs w:val="21"/>
                    </w:rPr>
                  </w:pPr>
                </w:p>
              </w:tc>
              <w:tc>
                <w:tcPr>
                  <w:tcW w:w="765" w:type="pct"/>
                  <w:vMerge w:val="continue"/>
                </w:tcPr>
                <w:p w14:paraId="45676EE4">
                  <w:pPr>
                    <w:bidi w:val="0"/>
                    <w:spacing w:line="240" w:lineRule="auto"/>
                    <w:ind w:firstLine="0" w:firstLineChars="0"/>
                    <w:jc w:val="center"/>
                    <w:rPr>
                      <w:rFonts w:hint="eastAsia"/>
                      <w:b/>
                      <w:bCs/>
                      <w:sz w:val="21"/>
                      <w:szCs w:val="21"/>
                    </w:rPr>
                  </w:pPr>
                </w:p>
              </w:tc>
              <w:tc>
                <w:tcPr>
                  <w:tcW w:w="1102" w:type="pct"/>
                </w:tcPr>
                <w:p w14:paraId="45E4E578">
                  <w:pPr>
                    <w:bidi w:val="0"/>
                    <w:spacing w:line="240" w:lineRule="auto"/>
                    <w:ind w:firstLine="0" w:firstLineChars="0"/>
                    <w:jc w:val="center"/>
                    <w:rPr>
                      <w:rFonts w:hint="eastAsia"/>
                      <w:b/>
                      <w:bCs/>
                      <w:sz w:val="21"/>
                      <w:szCs w:val="21"/>
                      <w:lang w:eastAsia="zh-CN"/>
                    </w:rPr>
                  </w:pPr>
                  <w:r>
                    <w:rPr>
                      <w:rFonts w:hint="eastAsia"/>
                      <w:b/>
                      <w:bCs/>
                      <w:sz w:val="21"/>
                      <w:szCs w:val="21"/>
                      <w:lang w:eastAsia="zh-CN"/>
                    </w:rPr>
                    <w:t>沉淀池</w:t>
                  </w:r>
                </w:p>
              </w:tc>
              <w:tc>
                <w:tcPr>
                  <w:tcW w:w="1131" w:type="pct"/>
                </w:tcPr>
                <w:p w14:paraId="1105545F">
                  <w:pPr>
                    <w:bidi w:val="0"/>
                    <w:spacing w:line="240" w:lineRule="auto"/>
                    <w:ind w:firstLine="0" w:firstLineChars="0"/>
                    <w:jc w:val="center"/>
                    <w:rPr>
                      <w:rFonts w:hint="eastAsia"/>
                      <w:b/>
                      <w:bCs/>
                      <w:sz w:val="21"/>
                      <w:szCs w:val="21"/>
                      <w:lang w:eastAsia="zh-CN"/>
                    </w:rPr>
                  </w:pPr>
                  <w:r>
                    <w:rPr>
                      <w:rFonts w:hint="eastAsia"/>
                      <w:b/>
                      <w:bCs/>
                      <w:sz w:val="21"/>
                      <w:szCs w:val="21"/>
                      <w:lang w:eastAsia="zh-CN"/>
                    </w:rPr>
                    <w:t>中间池</w:t>
                  </w:r>
                </w:p>
              </w:tc>
              <w:tc>
                <w:tcPr>
                  <w:tcW w:w="1000" w:type="pct"/>
                </w:tcPr>
                <w:p w14:paraId="4896A36C">
                  <w:pPr>
                    <w:bidi w:val="0"/>
                    <w:spacing w:line="240" w:lineRule="auto"/>
                    <w:ind w:firstLine="0" w:firstLineChars="0"/>
                    <w:jc w:val="center"/>
                    <w:rPr>
                      <w:rFonts w:hint="eastAsia"/>
                      <w:b/>
                      <w:bCs/>
                      <w:sz w:val="21"/>
                      <w:szCs w:val="21"/>
                      <w:lang w:eastAsia="zh-CN"/>
                    </w:rPr>
                  </w:pPr>
                  <w:r>
                    <w:rPr>
                      <w:rFonts w:hint="eastAsia"/>
                      <w:b/>
                      <w:bCs/>
                      <w:sz w:val="21"/>
                      <w:szCs w:val="21"/>
                      <w:lang w:eastAsia="zh-CN"/>
                    </w:rPr>
                    <w:t>清水池</w:t>
                  </w:r>
                </w:p>
              </w:tc>
            </w:tr>
            <w:tr w14:paraId="78A6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F2B82E9">
                  <w:pPr>
                    <w:bidi w:val="0"/>
                    <w:spacing w:line="240" w:lineRule="auto"/>
                    <w:ind w:firstLine="0" w:firstLineChars="0"/>
                    <w:rPr>
                      <w:rFonts w:hint="eastAsia"/>
                      <w:sz w:val="21"/>
                      <w:szCs w:val="21"/>
                      <w:lang w:eastAsia="zh-CN"/>
                    </w:rPr>
                  </w:pPr>
                  <w:r>
                    <w:rPr>
                      <w:rFonts w:hint="eastAsia"/>
                      <w:sz w:val="21"/>
                      <w:szCs w:val="21"/>
                      <w:lang w:val="en-US" w:eastAsia="zh-CN"/>
                    </w:rPr>
                    <w:t>三级沉淀池</w:t>
                  </w:r>
                </w:p>
              </w:tc>
              <w:tc>
                <w:tcPr>
                  <w:tcW w:w="765" w:type="pct"/>
                  <w:vAlign w:val="center"/>
                </w:tcPr>
                <w:p w14:paraId="0AF75FB8">
                  <w:pPr>
                    <w:bidi w:val="0"/>
                    <w:spacing w:line="240" w:lineRule="auto"/>
                    <w:ind w:firstLine="0" w:firstLineChars="0"/>
                    <w:jc w:val="center"/>
                    <w:rPr>
                      <w:rFonts w:hint="default"/>
                      <w:sz w:val="21"/>
                      <w:szCs w:val="21"/>
                      <w:lang w:val="en-US" w:eastAsia="zh-CN"/>
                    </w:rPr>
                  </w:pPr>
                  <w:r>
                    <w:rPr>
                      <w:rFonts w:hint="eastAsia"/>
                      <w:sz w:val="21"/>
                      <w:szCs w:val="21"/>
                      <w:lang w:val="en-US" w:eastAsia="zh-CN"/>
                    </w:rPr>
                    <w:t>225m</w:t>
                  </w:r>
                  <w:r>
                    <w:rPr>
                      <w:rFonts w:hint="eastAsia"/>
                      <w:sz w:val="21"/>
                      <w:szCs w:val="21"/>
                      <w:vertAlign w:val="superscript"/>
                      <w:lang w:val="en-US" w:eastAsia="zh-CN"/>
                    </w:rPr>
                    <w:t>3</w:t>
                  </w:r>
                </w:p>
              </w:tc>
              <w:tc>
                <w:tcPr>
                  <w:tcW w:w="1102" w:type="pct"/>
                  <w:vAlign w:val="center"/>
                </w:tcPr>
                <w:p w14:paraId="6DBBF9B3">
                  <w:pPr>
                    <w:bidi w:val="0"/>
                    <w:spacing w:line="240" w:lineRule="auto"/>
                    <w:ind w:firstLine="0" w:firstLineChars="0"/>
                    <w:jc w:val="center"/>
                    <w:rPr>
                      <w:rFonts w:hint="eastAsia"/>
                      <w:sz w:val="21"/>
                      <w:szCs w:val="21"/>
                    </w:rPr>
                  </w:pPr>
                  <w:r>
                    <w:rPr>
                      <w:rFonts w:hint="eastAsia"/>
                      <w:sz w:val="21"/>
                      <w:szCs w:val="21"/>
                      <w:lang w:val="en-US" w:eastAsia="zh-CN"/>
                    </w:rPr>
                    <w:t>5</w:t>
                  </w:r>
                  <w:r>
                    <w:rPr>
                      <w:rFonts w:hint="eastAsia"/>
                      <w:sz w:val="21"/>
                      <w:szCs w:val="21"/>
                    </w:rPr>
                    <w:t>m×</w:t>
                  </w:r>
                  <w:r>
                    <w:rPr>
                      <w:rFonts w:hint="eastAsia"/>
                      <w:sz w:val="21"/>
                      <w:szCs w:val="21"/>
                      <w:lang w:val="en-US" w:eastAsia="zh-CN"/>
                    </w:rPr>
                    <w:t>5</w:t>
                  </w:r>
                  <w:r>
                    <w:rPr>
                      <w:rFonts w:hint="eastAsia"/>
                      <w:sz w:val="21"/>
                      <w:szCs w:val="21"/>
                    </w:rPr>
                    <w:t>m×3m</w:t>
                  </w:r>
                </w:p>
              </w:tc>
              <w:tc>
                <w:tcPr>
                  <w:tcW w:w="1131" w:type="pct"/>
                  <w:vAlign w:val="center"/>
                </w:tcPr>
                <w:p w14:paraId="4944F892">
                  <w:pPr>
                    <w:bidi w:val="0"/>
                    <w:spacing w:line="240" w:lineRule="auto"/>
                    <w:ind w:firstLine="0" w:firstLineChars="0"/>
                    <w:jc w:val="center"/>
                    <w:rPr>
                      <w:rFonts w:hint="eastAsia"/>
                      <w:sz w:val="21"/>
                      <w:szCs w:val="21"/>
                    </w:rPr>
                  </w:pPr>
                  <w:r>
                    <w:rPr>
                      <w:rFonts w:hint="eastAsia"/>
                      <w:sz w:val="21"/>
                      <w:szCs w:val="21"/>
                      <w:lang w:val="en-US" w:eastAsia="zh-CN"/>
                    </w:rPr>
                    <w:t>5</w:t>
                  </w:r>
                  <w:r>
                    <w:rPr>
                      <w:rFonts w:hint="eastAsia"/>
                      <w:sz w:val="21"/>
                      <w:szCs w:val="21"/>
                    </w:rPr>
                    <w:t>m×</w:t>
                  </w:r>
                  <w:r>
                    <w:rPr>
                      <w:rFonts w:hint="eastAsia"/>
                      <w:sz w:val="21"/>
                      <w:szCs w:val="21"/>
                      <w:lang w:val="en-US" w:eastAsia="zh-CN"/>
                    </w:rPr>
                    <w:t>5</w:t>
                  </w:r>
                  <w:r>
                    <w:rPr>
                      <w:rFonts w:hint="eastAsia"/>
                      <w:sz w:val="21"/>
                      <w:szCs w:val="21"/>
                    </w:rPr>
                    <w:t>m×3m</w:t>
                  </w:r>
                </w:p>
              </w:tc>
              <w:tc>
                <w:tcPr>
                  <w:tcW w:w="1000" w:type="pct"/>
                  <w:vAlign w:val="center"/>
                </w:tcPr>
                <w:p w14:paraId="186866C9">
                  <w:pPr>
                    <w:bidi w:val="0"/>
                    <w:spacing w:line="240" w:lineRule="auto"/>
                    <w:ind w:firstLine="0" w:firstLineChars="0"/>
                    <w:jc w:val="center"/>
                    <w:rPr>
                      <w:rFonts w:hint="eastAsia"/>
                      <w:sz w:val="21"/>
                      <w:szCs w:val="21"/>
                    </w:rPr>
                  </w:pPr>
                  <w:r>
                    <w:rPr>
                      <w:rFonts w:hint="eastAsia"/>
                      <w:sz w:val="21"/>
                      <w:szCs w:val="21"/>
                      <w:lang w:val="en-US" w:eastAsia="zh-CN"/>
                    </w:rPr>
                    <w:t>5</w:t>
                  </w:r>
                  <w:r>
                    <w:rPr>
                      <w:rFonts w:hint="eastAsia"/>
                      <w:sz w:val="21"/>
                      <w:szCs w:val="21"/>
                    </w:rPr>
                    <w:t>m×</w:t>
                  </w:r>
                  <w:r>
                    <w:rPr>
                      <w:rFonts w:hint="eastAsia"/>
                      <w:sz w:val="21"/>
                      <w:szCs w:val="21"/>
                      <w:lang w:val="en-US" w:eastAsia="zh-CN"/>
                    </w:rPr>
                    <w:t>5</w:t>
                  </w:r>
                  <w:r>
                    <w:rPr>
                      <w:rFonts w:hint="eastAsia"/>
                      <w:sz w:val="21"/>
                      <w:szCs w:val="21"/>
                    </w:rPr>
                    <w:t>m×3m</w:t>
                  </w:r>
                </w:p>
              </w:tc>
            </w:tr>
          </w:tbl>
          <w:p w14:paraId="6C06A8D9">
            <w:pPr>
              <w:bidi w:val="0"/>
              <w:rPr>
                <w:rFonts w:hint="eastAsia"/>
              </w:rPr>
            </w:pPr>
            <w:r>
              <w:rPr>
                <w:rFonts w:hint="eastAsia"/>
              </w:rPr>
              <w:t>项目废水</w:t>
            </w:r>
            <w:r>
              <w:rPr>
                <w:rFonts w:hint="eastAsia"/>
                <w:lang w:eastAsia="zh-CN"/>
              </w:rPr>
              <w:t>三级沉淀池</w:t>
            </w:r>
            <w:r>
              <w:rPr>
                <w:rFonts w:hint="eastAsia"/>
              </w:rPr>
              <w:t>设计流量为Q=</w:t>
            </w:r>
            <w:r>
              <w:rPr>
                <w:rFonts w:hint="eastAsia"/>
                <w:lang w:val="en-US" w:eastAsia="zh-CN"/>
              </w:rPr>
              <w:t>50000</w:t>
            </w:r>
            <w:r>
              <w:rPr>
                <w:rFonts w:hint="eastAsia"/>
              </w:rPr>
              <w:t>m</w:t>
            </w:r>
            <w:r>
              <w:rPr>
                <w:rFonts w:hint="eastAsia"/>
                <w:vertAlign w:val="superscript"/>
              </w:rPr>
              <w:t>3</w:t>
            </w:r>
            <w:r>
              <w:rPr>
                <w:rFonts w:hint="eastAsia"/>
              </w:rPr>
              <w:t>/a=</w:t>
            </w:r>
            <w:r>
              <w:rPr>
                <w:rFonts w:hint="eastAsia"/>
                <w:lang w:val="en-US" w:eastAsia="zh-CN"/>
              </w:rPr>
              <w:t>34</w:t>
            </w:r>
            <w:r>
              <w:rPr>
                <w:rFonts w:hint="eastAsia"/>
              </w:rPr>
              <w:t>m</w:t>
            </w:r>
            <w:r>
              <w:rPr>
                <w:rFonts w:hint="eastAsia"/>
                <w:vertAlign w:val="superscript"/>
              </w:rPr>
              <w:t>3</w:t>
            </w:r>
            <w:r>
              <w:rPr>
                <w:rFonts w:hint="eastAsia"/>
              </w:rPr>
              <w:t xml:space="preserve">/h，废水量为 </w:t>
            </w:r>
            <w:r>
              <w:rPr>
                <w:rFonts w:hint="eastAsia"/>
                <w:lang w:val="en-US" w:eastAsia="zh-CN"/>
              </w:rPr>
              <w:t>46000</w:t>
            </w:r>
            <w:r>
              <w:rPr>
                <w:rFonts w:hint="eastAsia"/>
              </w:rPr>
              <w:t>m</w:t>
            </w:r>
            <w:r>
              <w:rPr>
                <w:rFonts w:hint="eastAsia"/>
                <w:vertAlign w:val="superscript"/>
              </w:rPr>
              <w:t>3</w:t>
            </w:r>
            <w:r>
              <w:rPr>
                <w:rFonts w:hint="eastAsia"/>
              </w:rPr>
              <w:t>/a(约</w:t>
            </w:r>
            <w:r>
              <w:rPr>
                <w:rFonts w:hint="eastAsia"/>
                <w:lang w:val="en-US" w:eastAsia="zh-CN"/>
              </w:rPr>
              <w:t>32</w:t>
            </w:r>
            <w:r>
              <w:rPr>
                <w:rFonts w:hint="eastAsia"/>
              </w:rPr>
              <w:t>m</w:t>
            </w:r>
            <w:r>
              <w:rPr>
                <w:rFonts w:hint="eastAsia"/>
                <w:vertAlign w:val="superscript"/>
              </w:rPr>
              <w:t>3</w:t>
            </w:r>
            <w:r>
              <w:rPr>
                <w:rFonts w:hint="eastAsia"/>
              </w:rPr>
              <w:t>/h)，项目1套三级沉淀池总容积超过设计容积，满足生产负荷，经沉淀池沉淀后的上清水</w:t>
            </w:r>
            <w:r>
              <w:rPr>
                <w:rFonts w:hint="eastAsia"/>
                <w:lang w:eastAsia="zh-CN"/>
              </w:rPr>
              <w:t>，</w:t>
            </w:r>
            <w:r>
              <w:rPr>
                <w:rFonts w:hint="eastAsia"/>
              </w:rPr>
              <w:t>全部</w:t>
            </w:r>
            <w:r>
              <w:rPr>
                <w:rFonts w:hint="eastAsia"/>
                <w:lang w:eastAsia="zh-CN"/>
              </w:rPr>
              <w:t>用于</w:t>
            </w:r>
            <w:r>
              <w:rPr>
                <w:rFonts w:hint="eastAsia"/>
                <w:lang w:val="en-US" w:eastAsia="zh-CN"/>
              </w:rPr>
              <w:t>生产</w:t>
            </w:r>
            <w:r>
              <w:rPr>
                <w:rFonts w:hint="eastAsia"/>
                <w:lang w:eastAsia="zh-CN"/>
              </w:rPr>
              <w:t>用水</w:t>
            </w:r>
            <w:r>
              <w:rPr>
                <w:rFonts w:hint="eastAsia"/>
              </w:rPr>
              <w:t>，经处理后的废水能达到</w:t>
            </w:r>
            <w:r>
              <w:rPr>
                <w:rFonts w:hint="eastAsia"/>
                <w:lang w:eastAsia="zh-CN"/>
              </w:rPr>
              <w:t>本项目</w:t>
            </w:r>
            <w:r>
              <w:rPr>
                <w:rFonts w:hint="eastAsia"/>
              </w:rPr>
              <w:t>用水水质标准，且本项目回用水主要用水洗筛分、场地、设备和运输车辆冲洗等，对水质中含 SS 量要求不高，因此废水经处理后</w:t>
            </w:r>
            <w:r>
              <w:rPr>
                <w:rFonts w:hint="eastAsia"/>
                <w:lang w:eastAsia="zh-CN"/>
              </w:rPr>
              <w:t>用于</w:t>
            </w:r>
            <w:r>
              <w:rPr>
                <w:rFonts w:hint="eastAsia"/>
                <w:lang w:val="en-US" w:eastAsia="zh-CN"/>
              </w:rPr>
              <w:t>生产用</w:t>
            </w:r>
            <w:r>
              <w:rPr>
                <w:rFonts w:hint="eastAsia"/>
                <w:lang w:eastAsia="zh-CN"/>
              </w:rPr>
              <w:t>水</w:t>
            </w:r>
            <w:r>
              <w:rPr>
                <w:rFonts w:hint="eastAsia"/>
              </w:rPr>
              <w:t>可行，三级沉淀处理技术可行。</w:t>
            </w:r>
          </w:p>
          <w:p w14:paraId="48E47A59">
            <w:pPr>
              <w:bidi w:val="0"/>
              <w:ind w:left="0" w:leftChars="0" w:firstLine="0" w:firstLineChars="0"/>
              <w:rPr>
                <w:rFonts w:hint="default"/>
                <w:b/>
                <w:bCs/>
                <w:lang w:val="en-US" w:eastAsia="zh-CN"/>
              </w:rPr>
            </w:pPr>
            <w:r>
              <w:rPr>
                <w:rFonts w:hint="default"/>
                <w:b/>
                <w:bCs/>
                <w:lang w:val="en-US" w:eastAsia="zh-CN"/>
              </w:rPr>
              <w:t>3、声环境</w:t>
            </w:r>
          </w:p>
          <w:p w14:paraId="0232FA9B">
            <w:pPr>
              <w:bidi w:val="0"/>
              <w:ind w:left="0" w:leftChars="0" w:firstLine="482" w:firstLineChars="200"/>
              <w:rPr>
                <w:rFonts w:hint="default"/>
                <w:b/>
                <w:bCs/>
                <w:lang w:val="en-US" w:eastAsia="zh-CN"/>
              </w:rPr>
            </w:pPr>
            <w:r>
              <w:rPr>
                <w:rFonts w:hint="default"/>
                <w:b/>
                <w:bCs/>
                <w:lang w:val="en-US" w:eastAsia="zh-CN"/>
              </w:rPr>
              <w:t>3.1噪声源强</w:t>
            </w:r>
          </w:p>
          <w:p w14:paraId="5D650C89">
            <w:pPr>
              <w:bidi w:val="0"/>
              <w:rPr>
                <w:rFonts w:hint="default"/>
                <w:lang w:val="en-US" w:eastAsia="zh-CN"/>
              </w:rPr>
            </w:pPr>
            <w:r>
              <w:rPr>
                <w:rFonts w:hint="default"/>
                <w:lang w:val="en-US" w:eastAsia="zh-CN"/>
              </w:rPr>
              <w:t>本项目主要声源为颚式破碎机、锤式破碎机、皮带运输机、洗砂机、运输车辆等，噪声源强在65~90dB（A）之间，详见下表。</w:t>
            </w:r>
          </w:p>
          <w:p w14:paraId="3A607607">
            <w:pPr>
              <w:bidi w:val="0"/>
              <w:ind w:left="0" w:leftChars="0" w:firstLine="0" w:firstLineChars="0"/>
              <w:jc w:val="center"/>
              <w:rPr>
                <w:rFonts w:hint="default"/>
                <w:lang w:val="en-US" w:eastAsia="zh-CN"/>
              </w:rPr>
            </w:pPr>
            <w:r>
              <w:rPr>
                <w:rFonts w:hint="default"/>
                <w:lang w:val="en-US" w:eastAsia="zh-CN"/>
              </w:rPr>
              <w:t>表4-7 噪声源强一览表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159"/>
              <w:gridCol w:w="2260"/>
              <w:gridCol w:w="2260"/>
            </w:tblGrid>
            <w:tr w14:paraId="0D7A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53D1BD26">
                  <w:pPr>
                    <w:bidi w:val="0"/>
                    <w:spacing w:line="240" w:lineRule="auto"/>
                    <w:ind w:firstLine="0" w:firstLineChars="0"/>
                    <w:jc w:val="center"/>
                    <w:rPr>
                      <w:rFonts w:hint="default"/>
                      <w:sz w:val="21"/>
                      <w:szCs w:val="21"/>
                      <w:lang w:val="en-US" w:eastAsia="zh-CN"/>
                    </w:rPr>
                  </w:pPr>
                  <w:r>
                    <w:rPr>
                      <w:rFonts w:hint="default"/>
                      <w:sz w:val="21"/>
                      <w:szCs w:val="21"/>
                      <w:lang w:val="en-US" w:eastAsia="zh-CN"/>
                    </w:rPr>
                    <w:t>序号</w:t>
                  </w:r>
                </w:p>
              </w:tc>
              <w:tc>
                <w:tcPr>
                  <w:tcW w:w="1391" w:type="pct"/>
                  <w:vAlign w:val="center"/>
                </w:tcPr>
                <w:p w14:paraId="6CAE2F12">
                  <w:pPr>
                    <w:bidi w:val="0"/>
                    <w:spacing w:line="240" w:lineRule="auto"/>
                    <w:ind w:firstLine="0" w:firstLineChars="0"/>
                    <w:jc w:val="center"/>
                    <w:rPr>
                      <w:rFonts w:hint="default"/>
                      <w:sz w:val="21"/>
                      <w:szCs w:val="21"/>
                      <w:lang w:val="en-US" w:eastAsia="zh-CN"/>
                    </w:rPr>
                  </w:pPr>
                  <w:r>
                    <w:rPr>
                      <w:rFonts w:hint="default"/>
                      <w:sz w:val="21"/>
                      <w:szCs w:val="21"/>
                      <w:lang w:val="en-US" w:eastAsia="zh-CN"/>
                    </w:rPr>
                    <w:t>噪声源</w:t>
                  </w:r>
                </w:p>
              </w:tc>
              <w:tc>
                <w:tcPr>
                  <w:tcW w:w="1456" w:type="pct"/>
                  <w:vAlign w:val="center"/>
                </w:tcPr>
                <w:p w14:paraId="1B7CF52F">
                  <w:pPr>
                    <w:bidi w:val="0"/>
                    <w:spacing w:line="240" w:lineRule="auto"/>
                    <w:ind w:firstLine="0" w:firstLineChars="0"/>
                    <w:jc w:val="center"/>
                    <w:rPr>
                      <w:rFonts w:hint="default"/>
                      <w:sz w:val="21"/>
                      <w:szCs w:val="21"/>
                      <w:lang w:val="en-US" w:eastAsia="zh-CN"/>
                    </w:rPr>
                  </w:pPr>
                  <w:r>
                    <w:rPr>
                      <w:rFonts w:hint="default"/>
                      <w:sz w:val="21"/>
                      <w:szCs w:val="21"/>
                      <w:lang w:val="en-US" w:eastAsia="zh-CN"/>
                    </w:rPr>
                    <w:t>治理前声级dB（A）</w:t>
                  </w:r>
                </w:p>
              </w:tc>
              <w:tc>
                <w:tcPr>
                  <w:tcW w:w="1456" w:type="pct"/>
                  <w:vAlign w:val="center"/>
                </w:tcPr>
                <w:p w14:paraId="61F9D20E">
                  <w:pPr>
                    <w:bidi w:val="0"/>
                    <w:spacing w:line="240" w:lineRule="auto"/>
                    <w:ind w:firstLine="0" w:firstLineChars="0"/>
                    <w:jc w:val="center"/>
                    <w:rPr>
                      <w:rFonts w:hint="default"/>
                      <w:sz w:val="21"/>
                      <w:szCs w:val="21"/>
                      <w:lang w:val="en-US" w:eastAsia="zh-CN"/>
                    </w:rPr>
                  </w:pPr>
                  <w:r>
                    <w:rPr>
                      <w:rFonts w:hint="default"/>
                      <w:sz w:val="21"/>
                      <w:szCs w:val="21"/>
                      <w:lang w:val="en-US" w:eastAsia="zh-CN"/>
                    </w:rPr>
                    <w:t>治理后声级dB（A）</w:t>
                  </w:r>
                </w:p>
              </w:tc>
            </w:tr>
            <w:tr w14:paraId="7A11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694" w:type="pct"/>
                  <w:vAlign w:val="center"/>
                </w:tcPr>
                <w:p w14:paraId="19071BD6">
                  <w:pPr>
                    <w:bidi w:val="0"/>
                    <w:spacing w:line="240" w:lineRule="auto"/>
                    <w:ind w:firstLine="0" w:firstLineChars="0"/>
                    <w:jc w:val="center"/>
                    <w:rPr>
                      <w:rFonts w:hint="default"/>
                      <w:sz w:val="21"/>
                      <w:szCs w:val="21"/>
                      <w:lang w:val="en-US" w:eastAsia="zh-CN"/>
                    </w:rPr>
                  </w:pPr>
                  <w:r>
                    <w:rPr>
                      <w:rFonts w:hint="default"/>
                      <w:sz w:val="21"/>
                      <w:szCs w:val="21"/>
                      <w:lang w:val="en-US" w:eastAsia="zh-CN"/>
                    </w:rPr>
                    <w:t>1</w:t>
                  </w:r>
                </w:p>
              </w:tc>
              <w:tc>
                <w:tcPr>
                  <w:tcW w:w="1391" w:type="pct"/>
                  <w:vAlign w:val="center"/>
                </w:tcPr>
                <w:p w14:paraId="459B2F09">
                  <w:pPr>
                    <w:bidi w:val="0"/>
                    <w:spacing w:line="240" w:lineRule="auto"/>
                    <w:ind w:firstLine="0" w:firstLineChars="0"/>
                    <w:jc w:val="center"/>
                    <w:rPr>
                      <w:rFonts w:hint="default"/>
                      <w:sz w:val="21"/>
                      <w:szCs w:val="21"/>
                      <w:lang w:val="en-US" w:eastAsia="zh-CN"/>
                    </w:rPr>
                  </w:pPr>
                  <w:r>
                    <w:rPr>
                      <w:rFonts w:hint="eastAsia"/>
                      <w:sz w:val="21"/>
                      <w:szCs w:val="21"/>
                      <w:lang w:val="en-US" w:eastAsia="zh-CN"/>
                    </w:rPr>
                    <w:t>筛分机</w:t>
                  </w:r>
                </w:p>
              </w:tc>
              <w:tc>
                <w:tcPr>
                  <w:tcW w:w="1456" w:type="pct"/>
                  <w:vAlign w:val="center"/>
                </w:tcPr>
                <w:p w14:paraId="48223135">
                  <w:pPr>
                    <w:bidi w:val="0"/>
                    <w:spacing w:line="240" w:lineRule="auto"/>
                    <w:ind w:firstLine="0" w:firstLineChars="0"/>
                    <w:jc w:val="center"/>
                    <w:rPr>
                      <w:rFonts w:hint="default"/>
                      <w:sz w:val="21"/>
                      <w:szCs w:val="21"/>
                      <w:lang w:val="en-US" w:eastAsia="zh-CN"/>
                    </w:rPr>
                  </w:pPr>
                  <w:r>
                    <w:rPr>
                      <w:rFonts w:hint="default"/>
                      <w:sz w:val="21"/>
                      <w:szCs w:val="21"/>
                      <w:lang w:val="en-US" w:eastAsia="zh-CN"/>
                    </w:rPr>
                    <w:t>75～90</w:t>
                  </w:r>
                </w:p>
              </w:tc>
              <w:tc>
                <w:tcPr>
                  <w:tcW w:w="1456" w:type="pct"/>
                  <w:vAlign w:val="center"/>
                </w:tcPr>
                <w:p w14:paraId="5226864C">
                  <w:pPr>
                    <w:bidi w:val="0"/>
                    <w:spacing w:line="240" w:lineRule="auto"/>
                    <w:ind w:firstLine="0" w:firstLineChars="0"/>
                    <w:jc w:val="center"/>
                    <w:rPr>
                      <w:rFonts w:hint="default"/>
                      <w:sz w:val="21"/>
                      <w:szCs w:val="21"/>
                      <w:lang w:val="en-US" w:eastAsia="zh-CN"/>
                    </w:rPr>
                  </w:pPr>
                  <w:r>
                    <w:rPr>
                      <w:rFonts w:hint="default"/>
                      <w:sz w:val="21"/>
                      <w:szCs w:val="21"/>
                      <w:lang w:val="en-US" w:eastAsia="zh-CN"/>
                    </w:rPr>
                    <w:t>55～70</w:t>
                  </w:r>
                </w:p>
              </w:tc>
            </w:tr>
            <w:tr w14:paraId="3BA2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313B0CFC">
                  <w:pPr>
                    <w:bidi w:val="0"/>
                    <w:spacing w:line="240" w:lineRule="auto"/>
                    <w:ind w:firstLine="0" w:firstLineChars="0"/>
                    <w:jc w:val="center"/>
                    <w:rPr>
                      <w:rFonts w:hint="default"/>
                      <w:sz w:val="21"/>
                      <w:szCs w:val="21"/>
                      <w:lang w:val="en-US" w:eastAsia="zh-CN"/>
                    </w:rPr>
                  </w:pPr>
                  <w:r>
                    <w:rPr>
                      <w:rFonts w:hint="eastAsia"/>
                      <w:sz w:val="21"/>
                      <w:szCs w:val="21"/>
                      <w:lang w:val="en-US" w:eastAsia="zh-CN"/>
                    </w:rPr>
                    <w:t>2</w:t>
                  </w:r>
                </w:p>
              </w:tc>
              <w:tc>
                <w:tcPr>
                  <w:tcW w:w="1391" w:type="pct"/>
                  <w:vAlign w:val="center"/>
                </w:tcPr>
                <w:p w14:paraId="6DA32879">
                  <w:pPr>
                    <w:bidi w:val="0"/>
                    <w:spacing w:line="240" w:lineRule="auto"/>
                    <w:ind w:firstLine="0" w:firstLineChars="0"/>
                    <w:jc w:val="center"/>
                    <w:rPr>
                      <w:rFonts w:hint="default"/>
                      <w:sz w:val="21"/>
                      <w:szCs w:val="21"/>
                      <w:lang w:val="en-US" w:eastAsia="zh-CN"/>
                    </w:rPr>
                  </w:pPr>
                  <w:r>
                    <w:rPr>
                      <w:rFonts w:hint="default"/>
                      <w:sz w:val="21"/>
                      <w:szCs w:val="21"/>
                      <w:lang w:val="en-US" w:eastAsia="zh-CN"/>
                    </w:rPr>
                    <w:t>皮带输送机</w:t>
                  </w:r>
                </w:p>
              </w:tc>
              <w:tc>
                <w:tcPr>
                  <w:tcW w:w="1456" w:type="pct"/>
                  <w:vAlign w:val="center"/>
                </w:tcPr>
                <w:p w14:paraId="09381976">
                  <w:pPr>
                    <w:bidi w:val="0"/>
                    <w:spacing w:line="240" w:lineRule="auto"/>
                    <w:ind w:firstLine="0" w:firstLineChars="0"/>
                    <w:jc w:val="center"/>
                    <w:rPr>
                      <w:rFonts w:hint="default"/>
                      <w:sz w:val="21"/>
                      <w:szCs w:val="21"/>
                      <w:lang w:val="en-US" w:eastAsia="zh-CN"/>
                    </w:rPr>
                  </w:pPr>
                  <w:r>
                    <w:rPr>
                      <w:rFonts w:hint="default"/>
                      <w:sz w:val="21"/>
                      <w:szCs w:val="21"/>
                      <w:lang w:val="en-US" w:eastAsia="zh-CN"/>
                    </w:rPr>
                    <w:t>65～75</w:t>
                  </w:r>
                </w:p>
              </w:tc>
              <w:tc>
                <w:tcPr>
                  <w:tcW w:w="1456" w:type="pct"/>
                  <w:vAlign w:val="center"/>
                </w:tcPr>
                <w:p w14:paraId="2F5720EF">
                  <w:pPr>
                    <w:bidi w:val="0"/>
                    <w:spacing w:line="240" w:lineRule="auto"/>
                    <w:ind w:firstLine="0" w:firstLineChars="0"/>
                    <w:jc w:val="center"/>
                    <w:rPr>
                      <w:rFonts w:hint="default"/>
                      <w:sz w:val="21"/>
                      <w:szCs w:val="21"/>
                      <w:lang w:val="en-US" w:eastAsia="zh-CN"/>
                    </w:rPr>
                  </w:pPr>
                  <w:r>
                    <w:rPr>
                      <w:rFonts w:hint="default"/>
                      <w:sz w:val="21"/>
                      <w:szCs w:val="21"/>
                      <w:lang w:val="en-US" w:eastAsia="zh-CN"/>
                    </w:rPr>
                    <w:t>45～55</w:t>
                  </w:r>
                </w:p>
              </w:tc>
            </w:tr>
            <w:tr w14:paraId="0D50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5A0E596D">
                  <w:pPr>
                    <w:bidi w:val="0"/>
                    <w:spacing w:line="240" w:lineRule="auto"/>
                    <w:ind w:firstLine="0" w:firstLineChars="0"/>
                    <w:jc w:val="center"/>
                    <w:rPr>
                      <w:rFonts w:hint="default"/>
                      <w:sz w:val="21"/>
                      <w:szCs w:val="21"/>
                      <w:lang w:val="en-US" w:eastAsia="zh-CN"/>
                    </w:rPr>
                  </w:pPr>
                  <w:r>
                    <w:rPr>
                      <w:rFonts w:hint="eastAsia"/>
                      <w:sz w:val="21"/>
                      <w:szCs w:val="21"/>
                      <w:lang w:val="en-US" w:eastAsia="zh-CN"/>
                    </w:rPr>
                    <w:t>3</w:t>
                  </w:r>
                </w:p>
              </w:tc>
              <w:tc>
                <w:tcPr>
                  <w:tcW w:w="1391" w:type="pct"/>
                  <w:vAlign w:val="center"/>
                </w:tcPr>
                <w:p w14:paraId="23908F10">
                  <w:pPr>
                    <w:bidi w:val="0"/>
                    <w:spacing w:line="240" w:lineRule="auto"/>
                    <w:ind w:firstLine="0" w:firstLineChars="0"/>
                    <w:jc w:val="center"/>
                    <w:rPr>
                      <w:rFonts w:hint="default"/>
                      <w:sz w:val="21"/>
                      <w:szCs w:val="21"/>
                      <w:lang w:val="en-US" w:eastAsia="zh-CN"/>
                    </w:rPr>
                  </w:pPr>
                  <w:r>
                    <w:rPr>
                      <w:rFonts w:hint="default"/>
                      <w:sz w:val="21"/>
                      <w:szCs w:val="21"/>
                      <w:lang w:val="en-US" w:eastAsia="zh-CN"/>
                    </w:rPr>
                    <w:t>洗砂机</w:t>
                  </w:r>
                </w:p>
              </w:tc>
              <w:tc>
                <w:tcPr>
                  <w:tcW w:w="1456" w:type="pct"/>
                  <w:vAlign w:val="center"/>
                </w:tcPr>
                <w:p w14:paraId="0DF64EC4">
                  <w:pPr>
                    <w:bidi w:val="0"/>
                    <w:spacing w:line="240" w:lineRule="auto"/>
                    <w:ind w:firstLine="0" w:firstLineChars="0"/>
                    <w:jc w:val="center"/>
                    <w:rPr>
                      <w:rFonts w:hint="default"/>
                      <w:sz w:val="21"/>
                      <w:szCs w:val="21"/>
                      <w:lang w:val="en-US" w:eastAsia="zh-CN"/>
                    </w:rPr>
                  </w:pPr>
                  <w:r>
                    <w:rPr>
                      <w:rFonts w:hint="default"/>
                      <w:sz w:val="21"/>
                      <w:szCs w:val="21"/>
                      <w:lang w:val="en-US" w:eastAsia="zh-CN"/>
                    </w:rPr>
                    <w:t>75～90</w:t>
                  </w:r>
                </w:p>
              </w:tc>
              <w:tc>
                <w:tcPr>
                  <w:tcW w:w="1456" w:type="pct"/>
                  <w:vAlign w:val="center"/>
                </w:tcPr>
                <w:p w14:paraId="788BBCE0">
                  <w:pPr>
                    <w:bidi w:val="0"/>
                    <w:spacing w:line="240" w:lineRule="auto"/>
                    <w:ind w:firstLine="0" w:firstLineChars="0"/>
                    <w:jc w:val="center"/>
                    <w:rPr>
                      <w:rFonts w:hint="default"/>
                      <w:sz w:val="21"/>
                      <w:szCs w:val="21"/>
                      <w:lang w:val="en-US" w:eastAsia="zh-CN"/>
                    </w:rPr>
                  </w:pPr>
                  <w:r>
                    <w:rPr>
                      <w:rFonts w:hint="default"/>
                      <w:sz w:val="21"/>
                      <w:szCs w:val="21"/>
                      <w:lang w:val="en-US" w:eastAsia="zh-CN"/>
                    </w:rPr>
                    <w:t>55～70</w:t>
                  </w:r>
                </w:p>
              </w:tc>
            </w:tr>
            <w:tr w14:paraId="038B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4" w:type="pct"/>
                  <w:vAlign w:val="center"/>
                </w:tcPr>
                <w:p w14:paraId="3435214F">
                  <w:pPr>
                    <w:bidi w:val="0"/>
                    <w:spacing w:line="240" w:lineRule="auto"/>
                    <w:ind w:firstLine="0" w:firstLineChars="0"/>
                    <w:jc w:val="center"/>
                    <w:rPr>
                      <w:rFonts w:hint="default"/>
                      <w:sz w:val="21"/>
                      <w:szCs w:val="21"/>
                      <w:lang w:val="en-US" w:eastAsia="zh-CN"/>
                    </w:rPr>
                  </w:pPr>
                  <w:r>
                    <w:rPr>
                      <w:rFonts w:hint="eastAsia"/>
                      <w:sz w:val="21"/>
                      <w:szCs w:val="21"/>
                      <w:lang w:val="en-US" w:eastAsia="zh-CN"/>
                    </w:rPr>
                    <w:t>4</w:t>
                  </w:r>
                </w:p>
              </w:tc>
              <w:tc>
                <w:tcPr>
                  <w:tcW w:w="1391" w:type="pct"/>
                  <w:vAlign w:val="center"/>
                </w:tcPr>
                <w:p w14:paraId="117CBDF8">
                  <w:pPr>
                    <w:bidi w:val="0"/>
                    <w:spacing w:line="240" w:lineRule="auto"/>
                    <w:ind w:firstLine="0" w:firstLineChars="0"/>
                    <w:jc w:val="center"/>
                    <w:rPr>
                      <w:rFonts w:hint="default"/>
                      <w:sz w:val="21"/>
                      <w:szCs w:val="21"/>
                      <w:lang w:val="en-US" w:eastAsia="zh-CN"/>
                    </w:rPr>
                  </w:pPr>
                  <w:r>
                    <w:rPr>
                      <w:rFonts w:hint="default"/>
                      <w:sz w:val="21"/>
                      <w:szCs w:val="21"/>
                      <w:lang w:val="en-US" w:eastAsia="zh-CN"/>
                    </w:rPr>
                    <w:t>运输车辆</w:t>
                  </w:r>
                </w:p>
              </w:tc>
              <w:tc>
                <w:tcPr>
                  <w:tcW w:w="1456" w:type="pct"/>
                  <w:vAlign w:val="center"/>
                </w:tcPr>
                <w:p w14:paraId="63963F27">
                  <w:pPr>
                    <w:bidi w:val="0"/>
                    <w:spacing w:line="240" w:lineRule="auto"/>
                    <w:ind w:firstLine="0" w:firstLineChars="0"/>
                    <w:jc w:val="center"/>
                    <w:rPr>
                      <w:rFonts w:hint="default"/>
                      <w:sz w:val="21"/>
                      <w:szCs w:val="21"/>
                      <w:lang w:val="en-US" w:eastAsia="zh-CN"/>
                    </w:rPr>
                  </w:pPr>
                  <w:r>
                    <w:rPr>
                      <w:rFonts w:hint="default"/>
                      <w:sz w:val="21"/>
                      <w:szCs w:val="21"/>
                      <w:lang w:val="en-US" w:eastAsia="zh-CN"/>
                    </w:rPr>
                    <w:t>70～80</w:t>
                  </w:r>
                </w:p>
              </w:tc>
              <w:tc>
                <w:tcPr>
                  <w:tcW w:w="1456" w:type="pct"/>
                  <w:vAlign w:val="center"/>
                </w:tcPr>
                <w:p w14:paraId="3D706713">
                  <w:pPr>
                    <w:bidi w:val="0"/>
                    <w:spacing w:line="240" w:lineRule="auto"/>
                    <w:ind w:firstLine="0" w:firstLineChars="0"/>
                    <w:jc w:val="center"/>
                    <w:rPr>
                      <w:rFonts w:hint="default"/>
                      <w:sz w:val="21"/>
                      <w:szCs w:val="21"/>
                      <w:lang w:val="en-US" w:eastAsia="zh-CN"/>
                    </w:rPr>
                  </w:pPr>
                  <w:r>
                    <w:rPr>
                      <w:rFonts w:hint="default"/>
                      <w:sz w:val="21"/>
                      <w:szCs w:val="21"/>
                      <w:lang w:val="en-US" w:eastAsia="zh-CN"/>
                    </w:rPr>
                    <w:t>50～60</w:t>
                  </w:r>
                </w:p>
              </w:tc>
            </w:tr>
            <w:tr w14:paraId="183F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94" w:type="pct"/>
                  <w:vAlign w:val="center"/>
                </w:tcPr>
                <w:p w14:paraId="39510320">
                  <w:pPr>
                    <w:bidi w:val="0"/>
                    <w:spacing w:line="240" w:lineRule="auto"/>
                    <w:ind w:firstLine="0" w:firstLineChars="0"/>
                    <w:jc w:val="center"/>
                    <w:rPr>
                      <w:rFonts w:hint="default"/>
                      <w:sz w:val="21"/>
                      <w:szCs w:val="21"/>
                      <w:lang w:val="en-US" w:eastAsia="zh-CN"/>
                    </w:rPr>
                  </w:pPr>
                  <w:r>
                    <w:rPr>
                      <w:rFonts w:hint="eastAsia"/>
                      <w:sz w:val="21"/>
                      <w:szCs w:val="21"/>
                      <w:lang w:val="en-US" w:eastAsia="zh-CN"/>
                    </w:rPr>
                    <w:t>5</w:t>
                  </w:r>
                </w:p>
              </w:tc>
              <w:tc>
                <w:tcPr>
                  <w:tcW w:w="1391" w:type="pct"/>
                  <w:vAlign w:val="center"/>
                </w:tcPr>
                <w:p w14:paraId="39E61E3E">
                  <w:pPr>
                    <w:bidi w:val="0"/>
                    <w:spacing w:line="240" w:lineRule="auto"/>
                    <w:ind w:firstLine="0" w:firstLineChars="0"/>
                    <w:jc w:val="center"/>
                    <w:rPr>
                      <w:rFonts w:hint="default"/>
                      <w:sz w:val="21"/>
                      <w:szCs w:val="21"/>
                      <w:lang w:val="en-US" w:eastAsia="zh-CN"/>
                    </w:rPr>
                  </w:pPr>
                  <w:r>
                    <w:rPr>
                      <w:rFonts w:hint="default"/>
                      <w:sz w:val="21"/>
                      <w:szCs w:val="21"/>
                      <w:lang w:val="en-US" w:eastAsia="zh-CN"/>
                    </w:rPr>
                    <w:t>水泵</w:t>
                  </w:r>
                </w:p>
              </w:tc>
              <w:tc>
                <w:tcPr>
                  <w:tcW w:w="1456" w:type="pct"/>
                  <w:vAlign w:val="center"/>
                </w:tcPr>
                <w:p w14:paraId="0445A5F1">
                  <w:pPr>
                    <w:bidi w:val="0"/>
                    <w:spacing w:line="240" w:lineRule="auto"/>
                    <w:ind w:firstLine="0" w:firstLineChars="0"/>
                    <w:jc w:val="center"/>
                    <w:rPr>
                      <w:rFonts w:hint="default"/>
                      <w:sz w:val="21"/>
                      <w:szCs w:val="21"/>
                      <w:lang w:val="en-US" w:eastAsia="zh-CN"/>
                    </w:rPr>
                  </w:pPr>
                  <w:r>
                    <w:rPr>
                      <w:rFonts w:hint="default"/>
                      <w:sz w:val="21"/>
                      <w:szCs w:val="21"/>
                      <w:lang w:val="en-US" w:eastAsia="zh-CN"/>
                    </w:rPr>
                    <w:t>85~90</w:t>
                  </w:r>
                </w:p>
              </w:tc>
              <w:tc>
                <w:tcPr>
                  <w:tcW w:w="1456" w:type="pct"/>
                  <w:vAlign w:val="center"/>
                </w:tcPr>
                <w:p w14:paraId="11EC21A4">
                  <w:pPr>
                    <w:bidi w:val="0"/>
                    <w:spacing w:line="240" w:lineRule="auto"/>
                    <w:ind w:firstLine="0" w:firstLineChars="0"/>
                    <w:jc w:val="center"/>
                    <w:rPr>
                      <w:rFonts w:hint="default"/>
                      <w:sz w:val="21"/>
                      <w:szCs w:val="21"/>
                      <w:lang w:val="en-US" w:eastAsia="zh-CN"/>
                    </w:rPr>
                  </w:pPr>
                  <w:r>
                    <w:rPr>
                      <w:rFonts w:hint="default"/>
                      <w:sz w:val="21"/>
                      <w:szCs w:val="21"/>
                      <w:lang w:val="en-US" w:eastAsia="zh-CN"/>
                    </w:rPr>
                    <w:t>65～70</w:t>
                  </w:r>
                </w:p>
              </w:tc>
            </w:tr>
          </w:tbl>
          <w:p w14:paraId="4AB024B8">
            <w:pPr>
              <w:bidi w:val="0"/>
              <w:rPr>
                <w:rFonts w:hint="default"/>
                <w:b/>
                <w:bCs/>
                <w:lang w:val="en-US" w:eastAsia="zh-CN"/>
              </w:rPr>
            </w:pPr>
            <w:r>
              <w:rPr>
                <w:rFonts w:hint="default"/>
                <w:b/>
                <w:bCs/>
                <w:lang w:val="en-US" w:eastAsia="zh-CN"/>
              </w:rPr>
              <w:t>3.2噪声防治措施</w:t>
            </w:r>
          </w:p>
          <w:p w14:paraId="2A1A5A70">
            <w:pPr>
              <w:bidi w:val="0"/>
              <w:rPr>
                <w:rFonts w:hint="default"/>
                <w:lang w:val="en-US" w:eastAsia="zh-CN"/>
              </w:rPr>
            </w:pPr>
            <w:r>
              <w:rPr>
                <w:rFonts w:hint="default"/>
                <w:lang w:val="en-US" w:eastAsia="zh-CN"/>
              </w:rPr>
              <w:t>项目50m范围内无居民区等声环境敏感目标，为进一步降低噪声对周边环境影响，本环评提出以下治理措施：</w:t>
            </w:r>
          </w:p>
          <w:p w14:paraId="39326098">
            <w:pPr>
              <w:bidi w:val="0"/>
              <w:rPr>
                <w:rFonts w:hint="default"/>
                <w:lang w:val="en-US" w:eastAsia="zh-CN"/>
              </w:rPr>
            </w:pPr>
            <w:r>
              <w:rPr>
                <w:rFonts w:hint="default"/>
                <w:lang w:val="en-US" w:eastAsia="zh-CN"/>
              </w:rPr>
              <w:t>①在声源的布局上，将高噪声的破碎机、振动筛布置在车间中部，将料堆设置在车间周边，生产时关闭厂房门窗以减轻噪声对厂界的影响。</w:t>
            </w:r>
          </w:p>
          <w:p w14:paraId="40A9D0DC">
            <w:pPr>
              <w:bidi w:val="0"/>
              <w:rPr>
                <w:rFonts w:hint="default"/>
                <w:lang w:val="en-US" w:eastAsia="zh-CN"/>
              </w:rPr>
            </w:pPr>
            <w:r>
              <w:rPr>
                <w:rFonts w:hint="default"/>
                <w:lang w:val="en-US" w:eastAsia="zh-CN"/>
              </w:rPr>
              <w:t>②选用低噪声设备，加强设备的维护，确保设备处于良好的运转状态，杜绝因设备不正常运转时产生的高噪声现象。</w:t>
            </w:r>
          </w:p>
          <w:p w14:paraId="6FBD25F7">
            <w:pPr>
              <w:bidi w:val="0"/>
              <w:rPr>
                <w:rFonts w:hint="default"/>
                <w:lang w:val="en-US" w:eastAsia="zh-CN"/>
              </w:rPr>
            </w:pPr>
            <w:r>
              <w:rPr>
                <w:rFonts w:hint="default"/>
                <w:lang w:val="en-US" w:eastAsia="zh-CN"/>
              </w:rPr>
              <w:t>③采取防震减振措施降低噪声源强。破碎机、振动筛等高噪声设备安装 时采用减振垫。</w:t>
            </w:r>
          </w:p>
          <w:p w14:paraId="0BCA11B5">
            <w:pPr>
              <w:bidi w:val="0"/>
              <w:rPr>
                <w:rFonts w:hint="default"/>
                <w:lang w:val="en-US" w:eastAsia="zh-CN"/>
              </w:rPr>
            </w:pPr>
            <w:r>
              <w:rPr>
                <w:rFonts w:hint="default"/>
                <w:lang w:val="en-US" w:eastAsia="zh-CN"/>
              </w:rPr>
              <w:t>④加强生产管理，加强职工环保意识教育，提倡文明生产， 防止人为噪声。</w:t>
            </w:r>
          </w:p>
          <w:p w14:paraId="765157D4">
            <w:pPr>
              <w:bidi w:val="0"/>
              <w:rPr>
                <w:rFonts w:hint="default"/>
                <w:lang w:val="en-US" w:eastAsia="zh-CN"/>
              </w:rPr>
            </w:pPr>
            <w:r>
              <w:rPr>
                <w:rFonts w:hint="default"/>
                <w:lang w:val="en-US" w:eastAsia="zh-CN"/>
              </w:rPr>
              <w:t>⑤厂区进出车辆限速，在厂区运输道路及车辆进出口设置限速标志，要求车辆限速，减小车辆噪声，途经村庄限速行驶，按规定路线行驶。</w:t>
            </w:r>
          </w:p>
          <w:p w14:paraId="066F8988">
            <w:pPr>
              <w:bidi w:val="0"/>
              <w:rPr>
                <w:rFonts w:hint="default"/>
                <w:lang w:val="en-US" w:eastAsia="zh-CN"/>
              </w:rPr>
            </w:pPr>
            <w:r>
              <w:rPr>
                <w:rFonts w:hint="default"/>
                <w:lang w:val="en-US" w:eastAsia="zh-CN"/>
              </w:rPr>
              <w:t>在采取以上噪声防治措施后，项目厂界噪声排放符合《工业企业厂界环境噪声排放标准》（GB12348-2008）中2类标准。本项目夜间不生产，项目产生的噪声对周边环境影响较小，措施可行，能够满足环保要求。</w:t>
            </w:r>
          </w:p>
          <w:p w14:paraId="337A2867">
            <w:pPr>
              <w:bidi w:val="0"/>
              <w:rPr>
                <w:rFonts w:hint="default"/>
                <w:b/>
                <w:bCs/>
                <w:lang w:val="en-US" w:eastAsia="zh-CN"/>
              </w:rPr>
            </w:pPr>
            <w:r>
              <w:rPr>
                <w:rFonts w:hint="default"/>
                <w:b/>
                <w:bCs/>
                <w:lang w:val="en-US" w:eastAsia="zh-CN"/>
              </w:rPr>
              <w:t>3.3噪声源强预测</w:t>
            </w:r>
          </w:p>
          <w:p w14:paraId="3AAA0D5C">
            <w:pPr>
              <w:bidi w:val="0"/>
              <w:rPr>
                <w:rFonts w:hint="default"/>
                <w:lang w:val="en-US" w:eastAsia="zh-CN"/>
              </w:rPr>
            </w:pPr>
            <w:r>
              <w:rPr>
                <w:rFonts w:hint="default"/>
                <w:lang w:val="en-US" w:eastAsia="zh-CN"/>
              </w:rPr>
              <w:t>本项目主要声源为生产设备产生的噪声，噪声源强在65~90dB（A）之间，详见下表。</w:t>
            </w:r>
          </w:p>
          <w:p w14:paraId="7F10FAFA">
            <w:pPr>
              <w:bidi w:val="0"/>
              <w:rPr>
                <w:rFonts w:hint="default"/>
                <w:lang w:val="en-US" w:eastAsia="zh-CN"/>
              </w:rPr>
            </w:pPr>
            <w:r>
              <w:rPr>
                <w:rFonts w:hint="default"/>
                <w:lang w:val="en-US" w:eastAsia="zh-CN"/>
              </w:rPr>
              <w:t xml:space="preserve">根据《环境影响评价技术导则 声环境》（HJ 2.4-2021），噪声影响采用点声源模式进行预测。 </w:t>
            </w:r>
          </w:p>
          <w:p w14:paraId="0BCC9913">
            <w:pPr>
              <w:bidi w:val="0"/>
              <w:rPr>
                <w:rFonts w:hint="default"/>
                <w:lang w:val="en-US" w:eastAsia="zh-CN"/>
              </w:rPr>
            </w:pPr>
            <w:r>
              <w:rPr>
                <w:rFonts w:hint="default"/>
                <w:lang w:val="en-US" w:eastAsia="zh-CN"/>
              </w:rPr>
              <w:t xml:space="preserve">①预测模式： </w:t>
            </w:r>
          </w:p>
          <w:p w14:paraId="2765C5F4">
            <w:pPr>
              <w:bidi w:val="0"/>
              <w:jc w:val="center"/>
              <w:rPr>
                <w:rFonts w:hint="default"/>
                <w:lang w:val="en-US" w:eastAsia="zh-CN"/>
              </w:rPr>
            </w:pPr>
            <w:r>
              <w:rPr>
                <w:rFonts w:hint="default"/>
                <w:lang w:val="en-US" w:eastAsia="zh-CN"/>
              </w:rPr>
              <w:t>LA(r)=LA(ro)-20lg(r/ro)-△L</w:t>
            </w:r>
          </w:p>
          <w:p w14:paraId="681456AE">
            <w:pPr>
              <w:bidi w:val="0"/>
              <w:rPr>
                <w:rFonts w:hint="default"/>
                <w:lang w:val="en-US" w:eastAsia="zh-CN"/>
              </w:rPr>
            </w:pPr>
            <w:r>
              <w:rPr>
                <w:rFonts w:hint="default"/>
                <w:lang w:val="en-US" w:eastAsia="zh-CN"/>
              </w:rPr>
              <w:t xml:space="preserve">式中：LA(r)—点声源在预测点产生的 A 声级，dB； </w:t>
            </w:r>
          </w:p>
          <w:p w14:paraId="6616F5E8">
            <w:pPr>
              <w:bidi w:val="0"/>
              <w:rPr>
                <w:rFonts w:hint="default"/>
                <w:lang w:val="en-US" w:eastAsia="zh-CN"/>
              </w:rPr>
            </w:pPr>
            <w:r>
              <w:rPr>
                <w:rFonts w:hint="default"/>
                <w:lang w:val="en-US" w:eastAsia="zh-CN"/>
              </w:rPr>
              <w:t xml:space="preserve">LA(ro)—参考位置ro处的A声级，dB； </w:t>
            </w:r>
          </w:p>
          <w:p w14:paraId="59DA39CB">
            <w:pPr>
              <w:bidi w:val="0"/>
              <w:rPr>
                <w:rFonts w:hint="default"/>
                <w:lang w:val="en-US" w:eastAsia="zh-CN"/>
              </w:rPr>
            </w:pPr>
            <w:r>
              <w:rPr>
                <w:rFonts w:hint="default"/>
                <w:lang w:val="en-US" w:eastAsia="zh-CN"/>
              </w:rPr>
              <w:t xml:space="preserve">r—预测点距声源的距离，dB； </w:t>
            </w:r>
          </w:p>
          <w:p w14:paraId="0A549982">
            <w:pPr>
              <w:bidi w:val="0"/>
              <w:rPr>
                <w:rFonts w:hint="default"/>
                <w:lang w:val="en-US" w:eastAsia="zh-CN"/>
              </w:rPr>
            </w:pPr>
            <w:r>
              <w:rPr>
                <w:rFonts w:hint="default"/>
                <w:lang w:val="en-US" w:eastAsia="zh-CN"/>
              </w:rPr>
              <w:t xml:space="preserve">ro—参考基准点距声源的距离，1m； </w:t>
            </w:r>
          </w:p>
          <w:p w14:paraId="67534D88">
            <w:pPr>
              <w:bidi w:val="0"/>
              <w:rPr>
                <w:rFonts w:hint="default"/>
                <w:lang w:val="en-US" w:eastAsia="zh-CN"/>
              </w:rPr>
            </w:pPr>
            <w:r>
              <w:rPr>
                <w:rFonts w:hint="default"/>
                <w:lang w:val="en-US" w:eastAsia="zh-CN"/>
              </w:rPr>
              <w:t xml:space="preserve">△L—各种因素引起的衰减量（包括声屏障、遮挡物、地面效应引起的衰减量）。 </w:t>
            </w:r>
          </w:p>
          <w:p w14:paraId="1B82F0B7">
            <w:pPr>
              <w:bidi w:val="0"/>
              <w:rPr>
                <w:rFonts w:hint="default"/>
                <w:lang w:val="en-US" w:eastAsia="zh-CN"/>
              </w:rPr>
            </w:pPr>
            <w:r>
              <w:rPr>
                <w:rFonts w:hint="default"/>
                <w:lang w:val="en-US" w:eastAsia="zh-CN"/>
              </w:rPr>
              <w:t xml:space="preserve">②对多声源进行叠加，模式如下： </w:t>
            </w:r>
          </w:p>
          <w:p w14:paraId="376B65D9">
            <w:pPr>
              <w:bidi w:val="0"/>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752475</wp:posOffset>
                  </wp:positionH>
                  <wp:positionV relativeFrom="paragraph">
                    <wp:posOffset>9525</wp:posOffset>
                  </wp:positionV>
                  <wp:extent cx="3454400" cy="609600"/>
                  <wp:effectExtent l="0" t="0" r="508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3"/>
                          <a:stretch>
                            <a:fillRect/>
                          </a:stretch>
                        </pic:blipFill>
                        <pic:spPr>
                          <a:xfrm>
                            <a:off x="0" y="0"/>
                            <a:ext cx="3454400" cy="609600"/>
                          </a:xfrm>
                          <a:prstGeom prst="rect">
                            <a:avLst/>
                          </a:prstGeom>
                          <a:noFill/>
                          <a:ln>
                            <a:noFill/>
                          </a:ln>
                        </pic:spPr>
                      </pic:pic>
                    </a:graphicData>
                  </a:graphic>
                </wp:anchor>
              </w:drawing>
            </w:r>
            <w:r>
              <w:rPr>
                <w:rFonts w:hint="default"/>
                <w:lang w:val="en-US" w:eastAsia="zh-CN"/>
              </w:rPr>
              <w:t xml:space="preserve">式中：Leq—预测点等效声级，dB；Lpi—第i个点声源的声压级，dB；ti—第i个点声源的作用时间，S； </w:t>
            </w:r>
          </w:p>
          <w:p w14:paraId="1A379C26">
            <w:pPr>
              <w:bidi w:val="0"/>
              <w:rPr>
                <w:rFonts w:hint="default"/>
                <w:lang w:val="en-US" w:eastAsia="zh-CN"/>
              </w:rPr>
            </w:pPr>
            <w:r>
              <w:rPr>
                <w:rFonts w:hint="default"/>
                <w:lang w:val="en-US" w:eastAsia="zh-CN"/>
              </w:rPr>
              <w:t xml:space="preserve">L0—预测点处背景噪声，dB； </w:t>
            </w:r>
          </w:p>
          <w:p w14:paraId="75EE3024">
            <w:pPr>
              <w:bidi w:val="0"/>
              <w:rPr>
                <w:rFonts w:hint="default"/>
                <w:lang w:val="en-US" w:eastAsia="zh-CN"/>
              </w:rPr>
            </w:pPr>
            <w:r>
              <w:rPr>
                <w:rFonts w:hint="default"/>
                <w:lang w:val="en-US" w:eastAsia="zh-CN"/>
              </w:rPr>
              <w:t xml:space="preserve">T—昼间或夜间评价时间。 </w:t>
            </w:r>
          </w:p>
          <w:p w14:paraId="5E1A8375">
            <w:pPr>
              <w:bidi w:val="0"/>
              <w:rPr>
                <w:rFonts w:hint="default"/>
                <w:lang w:val="en-US" w:eastAsia="zh-CN"/>
              </w:rPr>
            </w:pPr>
            <w:r>
              <w:rPr>
                <w:rFonts w:hint="default"/>
                <w:lang w:val="en-US" w:eastAsia="zh-CN"/>
              </w:rPr>
              <w:t xml:space="preserve">③预测点的预测等效声级(Leq)计算公式 </w:t>
            </w:r>
          </w:p>
          <w:p w14:paraId="4DE406C7">
            <w:pPr>
              <w:bidi w:val="0"/>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1085850</wp:posOffset>
                  </wp:positionH>
                  <wp:positionV relativeFrom="paragraph">
                    <wp:posOffset>28575</wp:posOffset>
                  </wp:positionV>
                  <wp:extent cx="2178050" cy="514350"/>
                  <wp:effectExtent l="0" t="0" r="1270" b="3810"/>
                  <wp:wrapTopAndBottom/>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4"/>
                          <a:stretch>
                            <a:fillRect/>
                          </a:stretch>
                        </pic:blipFill>
                        <pic:spPr>
                          <a:xfrm>
                            <a:off x="0" y="0"/>
                            <a:ext cx="2178050" cy="514350"/>
                          </a:xfrm>
                          <a:prstGeom prst="rect">
                            <a:avLst/>
                          </a:prstGeom>
                          <a:noFill/>
                          <a:ln>
                            <a:noFill/>
                          </a:ln>
                        </pic:spPr>
                      </pic:pic>
                    </a:graphicData>
                  </a:graphic>
                </wp:anchor>
              </w:drawing>
            </w:r>
            <w:r>
              <w:rPr>
                <w:rFonts w:hint="default"/>
                <w:lang w:val="en-US" w:eastAsia="zh-CN"/>
              </w:rPr>
              <w:t xml:space="preserve">式中：Leqg—建设项目声源在预测点的等效声级贡献值，dB（A）； </w:t>
            </w:r>
          </w:p>
          <w:p w14:paraId="2C8D4EE6">
            <w:pPr>
              <w:bidi w:val="0"/>
              <w:rPr>
                <w:rFonts w:hint="default"/>
                <w:lang w:val="en-US" w:eastAsia="zh-CN"/>
              </w:rPr>
            </w:pPr>
            <w:r>
              <w:rPr>
                <w:rFonts w:hint="default"/>
                <w:lang w:val="en-US" w:eastAsia="zh-CN"/>
              </w:rPr>
              <w:t xml:space="preserve">Leqb—预测点的背景值，dB（A）。 </w:t>
            </w:r>
          </w:p>
          <w:p w14:paraId="41C2E6B5">
            <w:pPr>
              <w:bidi w:val="0"/>
              <w:rPr>
                <w:rFonts w:hint="default"/>
                <w:lang w:val="en-US" w:eastAsia="zh-CN"/>
              </w:rPr>
            </w:pPr>
            <w:r>
              <w:rPr>
                <w:rFonts w:hint="default"/>
                <w:lang w:val="en-US" w:eastAsia="zh-CN"/>
              </w:rPr>
              <w:t xml:space="preserve">（3）预测结果根据上述分析和计算公式，厂区内各类设备厂界噪声预测结果具体详见下表。 </w:t>
            </w:r>
          </w:p>
          <w:p w14:paraId="621C87C6">
            <w:pPr>
              <w:bidi w:val="0"/>
              <w:ind w:left="0" w:leftChars="0" w:firstLine="0" w:firstLineChars="0"/>
              <w:jc w:val="center"/>
              <w:rPr>
                <w:rFonts w:hint="default"/>
                <w:b/>
                <w:bCs/>
                <w:lang w:val="en-US" w:eastAsia="zh-CN"/>
              </w:rPr>
            </w:pPr>
            <w:r>
              <w:rPr>
                <w:rFonts w:hint="default"/>
                <w:b/>
                <w:bCs/>
                <w:lang w:val="en-US" w:eastAsia="zh-CN"/>
              </w:rPr>
              <w:t>表4-8 各类机械设备的噪声影响计算结果 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059"/>
              <w:gridCol w:w="1423"/>
              <w:gridCol w:w="1465"/>
              <w:gridCol w:w="1440"/>
              <w:gridCol w:w="1390"/>
            </w:tblGrid>
            <w:tr w14:paraId="2F3F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Merge w:val="restart"/>
                  <w:vAlign w:val="center"/>
                </w:tcPr>
                <w:p w14:paraId="4DC404AA">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预测点</w:t>
                  </w:r>
                </w:p>
              </w:tc>
              <w:tc>
                <w:tcPr>
                  <w:tcW w:w="682" w:type="pct"/>
                  <w:vMerge w:val="restart"/>
                  <w:vAlign w:val="center"/>
                </w:tcPr>
                <w:p w14:paraId="13B61EEF">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噪声叠加源强</w:t>
                  </w:r>
                </w:p>
              </w:tc>
              <w:tc>
                <w:tcPr>
                  <w:tcW w:w="917" w:type="pct"/>
                  <w:vMerge w:val="restart"/>
                  <w:vAlign w:val="center"/>
                </w:tcPr>
                <w:p w14:paraId="793646BD">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项目车间距厂界距离</w:t>
                  </w:r>
                </w:p>
              </w:tc>
              <w:tc>
                <w:tcPr>
                  <w:tcW w:w="944" w:type="pct"/>
                  <w:vMerge w:val="restart"/>
                  <w:vAlign w:val="center"/>
                </w:tcPr>
                <w:p w14:paraId="6B549F9A">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衰减后噪声源强</w:t>
                  </w:r>
                </w:p>
              </w:tc>
              <w:tc>
                <w:tcPr>
                  <w:tcW w:w="928" w:type="pct"/>
                  <w:vAlign w:val="center"/>
                </w:tcPr>
                <w:p w14:paraId="1852E13B">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噪声贡献值</w:t>
                  </w:r>
                </w:p>
              </w:tc>
              <w:tc>
                <w:tcPr>
                  <w:tcW w:w="895" w:type="pct"/>
                  <w:vAlign w:val="center"/>
                </w:tcPr>
                <w:p w14:paraId="5EA38F9D">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噪声预测值</w:t>
                  </w:r>
                </w:p>
              </w:tc>
            </w:tr>
            <w:tr w14:paraId="4DD4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Merge w:val="continue"/>
                  <w:vAlign w:val="center"/>
                </w:tcPr>
                <w:p w14:paraId="19F9909B">
                  <w:pPr>
                    <w:bidi w:val="0"/>
                    <w:spacing w:line="240" w:lineRule="auto"/>
                    <w:ind w:firstLine="0" w:firstLineChars="0"/>
                    <w:jc w:val="center"/>
                    <w:rPr>
                      <w:rFonts w:hint="default"/>
                      <w:b/>
                      <w:bCs/>
                      <w:sz w:val="21"/>
                      <w:szCs w:val="21"/>
                      <w:lang w:val="en-US" w:eastAsia="zh-CN"/>
                    </w:rPr>
                  </w:pPr>
                </w:p>
              </w:tc>
              <w:tc>
                <w:tcPr>
                  <w:tcW w:w="682" w:type="pct"/>
                  <w:vMerge w:val="continue"/>
                  <w:vAlign w:val="center"/>
                </w:tcPr>
                <w:p w14:paraId="3BDC892B">
                  <w:pPr>
                    <w:bidi w:val="0"/>
                    <w:spacing w:line="240" w:lineRule="auto"/>
                    <w:ind w:firstLine="0" w:firstLineChars="0"/>
                    <w:jc w:val="center"/>
                    <w:rPr>
                      <w:rFonts w:hint="default"/>
                      <w:b/>
                      <w:bCs/>
                      <w:sz w:val="21"/>
                      <w:szCs w:val="21"/>
                      <w:lang w:val="en-US" w:eastAsia="zh-CN"/>
                    </w:rPr>
                  </w:pPr>
                </w:p>
              </w:tc>
              <w:tc>
                <w:tcPr>
                  <w:tcW w:w="917" w:type="pct"/>
                  <w:vMerge w:val="continue"/>
                  <w:vAlign w:val="center"/>
                </w:tcPr>
                <w:p w14:paraId="50D81441">
                  <w:pPr>
                    <w:bidi w:val="0"/>
                    <w:spacing w:line="240" w:lineRule="auto"/>
                    <w:ind w:firstLine="0" w:firstLineChars="0"/>
                    <w:jc w:val="center"/>
                    <w:rPr>
                      <w:rFonts w:hint="default"/>
                      <w:b/>
                      <w:bCs/>
                      <w:sz w:val="21"/>
                      <w:szCs w:val="21"/>
                      <w:lang w:val="en-US" w:eastAsia="zh-CN"/>
                    </w:rPr>
                  </w:pPr>
                </w:p>
              </w:tc>
              <w:tc>
                <w:tcPr>
                  <w:tcW w:w="944" w:type="pct"/>
                  <w:vMerge w:val="continue"/>
                  <w:vAlign w:val="center"/>
                </w:tcPr>
                <w:p w14:paraId="2EEED608">
                  <w:pPr>
                    <w:bidi w:val="0"/>
                    <w:spacing w:line="240" w:lineRule="auto"/>
                    <w:ind w:firstLine="0" w:firstLineChars="0"/>
                    <w:jc w:val="center"/>
                    <w:rPr>
                      <w:rFonts w:hint="default"/>
                      <w:b/>
                      <w:bCs/>
                      <w:sz w:val="21"/>
                      <w:szCs w:val="21"/>
                      <w:lang w:val="en-US" w:eastAsia="zh-CN"/>
                    </w:rPr>
                  </w:pPr>
                </w:p>
              </w:tc>
              <w:tc>
                <w:tcPr>
                  <w:tcW w:w="928" w:type="pct"/>
                  <w:vAlign w:val="center"/>
                </w:tcPr>
                <w:p w14:paraId="4CDF18D5">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昼间</w:t>
                  </w:r>
                </w:p>
              </w:tc>
              <w:tc>
                <w:tcPr>
                  <w:tcW w:w="895" w:type="pct"/>
                  <w:vAlign w:val="center"/>
                </w:tcPr>
                <w:p w14:paraId="3709C846">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昼间</w:t>
                  </w:r>
                </w:p>
              </w:tc>
            </w:tr>
            <w:tr w14:paraId="3105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487141C8">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厂界东</w:t>
                  </w:r>
                </w:p>
              </w:tc>
              <w:tc>
                <w:tcPr>
                  <w:tcW w:w="682" w:type="pct"/>
                  <w:vMerge w:val="restart"/>
                  <w:vAlign w:val="center"/>
                </w:tcPr>
                <w:p w14:paraId="411FF39E">
                  <w:pPr>
                    <w:bidi w:val="0"/>
                    <w:spacing w:line="240" w:lineRule="auto"/>
                    <w:ind w:firstLine="0" w:firstLineChars="0"/>
                    <w:jc w:val="center"/>
                    <w:rPr>
                      <w:rFonts w:hint="default"/>
                      <w:sz w:val="21"/>
                      <w:szCs w:val="21"/>
                      <w:lang w:val="en-US" w:eastAsia="zh-CN"/>
                    </w:rPr>
                  </w:pPr>
                  <w:r>
                    <w:rPr>
                      <w:rFonts w:hint="default"/>
                      <w:sz w:val="21"/>
                      <w:szCs w:val="21"/>
                      <w:lang w:val="en-US" w:eastAsia="zh-CN"/>
                    </w:rPr>
                    <w:t>75.6</w:t>
                  </w:r>
                </w:p>
              </w:tc>
              <w:tc>
                <w:tcPr>
                  <w:tcW w:w="917" w:type="pct"/>
                  <w:vAlign w:val="center"/>
                </w:tcPr>
                <w:p w14:paraId="074F5E55">
                  <w:pPr>
                    <w:bidi w:val="0"/>
                    <w:spacing w:line="240" w:lineRule="auto"/>
                    <w:ind w:firstLine="0" w:firstLineChars="0"/>
                    <w:jc w:val="center"/>
                    <w:rPr>
                      <w:rFonts w:hint="default"/>
                      <w:sz w:val="21"/>
                      <w:szCs w:val="21"/>
                      <w:lang w:val="en-US" w:eastAsia="zh-CN"/>
                    </w:rPr>
                  </w:pPr>
                  <w:r>
                    <w:rPr>
                      <w:rFonts w:hint="default"/>
                      <w:sz w:val="21"/>
                      <w:szCs w:val="21"/>
                      <w:lang w:val="en-US" w:eastAsia="zh-CN"/>
                    </w:rPr>
                    <w:t>18</w:t>
                  </w:r>
                </w:p>
              </w:tc>
              <w:tc>
                <w:tcPr>
                  <w:tcW w:w="944" w:type="pct"/>
                  <w:vAlign w:val="center"/>
                </w:tcPr>
                <w:p w14:paraId="20FBE14A">
                  <w:pPr>
                    <w:bidi w:val="0"/>
                    <w:spacing w:line="240" w:lineRule="auto"/>
                    <w:ind w:firstLine="0" w:firstLineChars="0"/>
                    <w:jc w:val="center"/>
                    <w:rPr>
                      <w:rFonts w:hint="default"/>
                      <w:sz w:val="21"/>
                      <w:szCs w:val="21"/>
                      <w:lang w:val="en-US" w:eastAsia="zh-CN"/>
                    </w:rPr>
                  </w:pPr>
                  <w:r>
                    <w:rPr>
                      <w:rFonts w:hint="default"/>
                      <w:sz w:val="21"/>
                      <w:szCs w:val="21"/>
                      <w:lang w:val="en-US" w:eastAsia="zh-CN"/>
                    </w:rPr>
                    <w:t>39.6</w:t>
                  </w:r>
                </w:p>
              </w:tc>
              <w:tc>
                <w:tcPr>
                  <w:tcW w:w="928" w:type="pct"/>
                  <w:vAlign w:val="center"/>
                </w:tcPr>
                <w:p w14:paraId="7A02714D">
                  <w:pPr>
                    <w:bidi w:val="0"/>
                    <w:spacing w:line="240" w:lineRule="auto"/>
                    <w:ind w:firstLine="0" w:firstLineChars="0"/>
                    <w:jc w:val="center"/>
                    <w:rPr>
                      <w:rFonts w:hint="default"/>
                      <w:sz w:val="21"/>
                      <w:szCs w:val="21"/>
                      <w:lang w:val="en-US" w:eastAsia="zh-CN"/>
                    </w:rPr>
                  </w:pPr>
                  <w:r>
                    <w:rPr>
                      <w:rFonts w:hint="default"/>
                      <w:sz w:val="21"/>
                      <w:szCs w:val="21"/>
                      <w:lang w:val="en-US" w:eastAsia="zh-CN"/>
                    </w:rPr>
                    <w:t>52.0</w:t>
                  </w:r>
                </w:p>
              </w:tc>
              <w:tc>
                <w:tcPr>
                  <w:tcW w:w="895" w:type="pct"/>
                  <w:vAlign w:val="center"/>
                </w:tcPr>
                <w:p w14:paraId="4F30DA9C">
                  <w:pPr>
                    <w:bidi w:val="0"/>
                    <w:spacing w:line="240" w:lineRule="auto"/>
                    <w:ind w:firstLine="0" w:firstLineChars="0"/>
                    <w:jc w:val="center"/>
                    <w:rPr>
                      <w:rFonts w:hint="default"/>
                      <w:sz w:val="21"/>
                      <w:szCs w:val="21"/>
                      <w:lang w:val="en-US" w:eastAsia="zh-CN"/>
                    </w:rPr>
                  </w:pPr>
                  <w:r>
                    <w:rPr>
                      <w:rFonts w:hint="default"/>
                      <w:sz w:val="21"/>
                      <w:szCs w:val="21"/>
                      <w:lang w:val="en-US" w:eastAsia="zh-CN"/>
                    </w:rPr>
                    <w:t>53.3</w:t>
                  </w:r>
                </w:p>
              </w:tc>
            </w:tr>
            <w:tr w14:paraId="5C067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430D83EF">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厂界西</w:t>
                  </w:r>
                </w:p>
              </w:tc>
              <w:tc>
                <w:tcPr>
                  <w:tcW w:w="682" w:type="pct"/>
                  <w:vMerge w:val="continue"/>
                  <w:vAlign w:val="center"/>
                </w:tcPr>
                <w:p w14:paraId="5B2D7784">
                  <w:pPr>
                    <w:bidi w:val="0"/>
                    <w:spacing w:line="240" w:lineRule="auto"/>
                    <w:ind w:firstLine="0" w:firstLineChars="0"/>
                    <w:jc w:val="center"/>
                    <w:rPr>
                      <w:rFonts w:hint="default"/>
                      <w:sz w:val="21"/>
                      <w:szCs w:val="21"/>
                      <w:lang w:val="en-US" w:eastAsia="zh-CN"/>
                    </w:rPr>
                  </w:pPr>
                </w:p>
              </w:tc>
              <w:tc>
                <w:tcPr>
                  <w:tcW w:w="917" w:type="pct"/>
                  <w:vAlign w:val="center"/>
                </w:tcPr>
                <w:p w14:paraId="49159DB0">
                  <w:pPr>
                    <w:bidi w:val="0"/>
                    <w:spacing w:line="240" w:lineRule="auto"/>
                    <w:ind w:firstLine="0" w:firstLineChars="0"/>
                    <w:jc w:val="center"/>
                    <w:rPr>
                      <w:rFonts w:hint="default"/>
                      <w:sz w:val="21"/>
                      <w:szCs w:val="21"/>
                      <w:lang w:val="en-US" w:eastAsia="zh-CN"/>
                    </w:rPr>
                  </w:pPr>
                  <w:r>
                    <w:rPr>
                      <w:rFonts w:hint="default"/>
                      <w:sz w:val="21"/>
                      <w:szCs w:val="21"/>
                      <w:lang w:val="en-US" w:eastAsia="zh-CN"/>
                    </w:rPr>
                    <w:t>8</w:t>
                  </w:r>
                </w:p>
              </w:tc>
              <w:tc>
                <w:tcPr>
                  <w:tcW w:w="944" w:type="pct"/>
                  <w:vAlign w:val="center"/>
                </w:tcPr>
                <w:p w14:paraId="0FB47F32">
                  <w:pPr>
                    <w:bidi w:val="0"/>
                    <w:spacing w:line="240" w:lineRule="auto"/>
                    <w:ind w:firstLine="0" w:firstLineChars="0"/>
                    <w:jc w:val="center"/>
                    <w:rPr>
                      <w:rFonts w:hint="default"/>
                      <w:sz w:val="21"/>
                      <w:szCs w:val="21"/>
                      <w:lang w:val="en-US" w:eastAsia="zh-CN"/>
                    </w:rPr>
                  </w:pPr>
                  <w:r>
                    <w:rPr>
                      <w:rFonts w:hint="default"/>
                      <w:sz w:val="21"/>
                      <w:szCs w:val="21"/>
                      <w:lang w:val="en-US" w:eastAsia="zh-CN"/>
                    </w:rPr>
                    <w:t>46.1</w:t>
                  </w:r>
                </w:p>
              </w:tc>
              <w:tc>
                <w:tcPr>
                  <w:tcW w:w="928" w:type="pct"/>
                  <w:vAlign w:val="center"/>
                </w:tcPr>
                <w:p w14:paraId="025F590D">
                  <w:pPr>
                    <w:bidi w:val="0"/>
                    <w:spacing w:line="240" w:lineRule="auto"/>
                    <w:ind w:firstLine="0" w:firstLineChars="0"/>
                    <w:jc w:val="center"/>
                    <w:rPr>
                      <w:rFonts w:hint="default"/>
                      <w:sz w:val="21"/>
                      <w:szCs w:val="21"/>
                      <w:lang w:val="en-US" w:eastAsia="zh-CN"/>
                    </w:rPr>
                  </w:pPr>
                  <w:r>
                    <w:rPr>
                      <w:rFonts w:hint="default"/>
                      <w:sz w:val="21"/>
                      <w:szCs w:val="21"/>
                      <w:lang w:val="en-US" w:eastAsia="zh-CN"/>
                    </w:rPr>
                    <w:t>54.5</w:t>
                  </w:r>
                </w:p>
              </w:tc>
              <w:tc>
                <w:tcPr>
                  <w:tcW w:w="895" w:type="pct"/>
                  <w:vAlign w:val="center"/>
                </w:tcPr>
                <w:p w14:paraId="603A2EF1">
                  <w:pPr>
                    <w:bidi w:val="0"/>
                    <w:spacing w:line="240" w:lineRule="auto"/>
                    <w:ind w:firstLine="0" w:firstLineChars="0"/>
                    <w:jc w:val="center"/>
                    <w:rPr>
                      <w:rFonts w:hint="default"/>
                      <w:sz w:val="21"/>
                      <w:szCs w:val="21"/>
                      <w:lang w:val="en-US" w:eastAsia="zh-CN"/>
                    </w:rPr>
                  </w:pPr>
                  <w:r>
                    <w:rPr>
                      <w:rFonts w:hint="default"/>
                      <w:sz w:val="21"/>
                      <w:szCs w:val="21"/>
                      <w:lang w:val="en-US" w:eastAsia="zh-CN"/>
                    </w:rPr>
                    <w:t>56.8</w:t>
                  </w:r>
                </w:p>
              </w:tc>
            </w:tr>
            <w:tr w14:paraId="4377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30" w:type="pct"/>
                  <w:vAlign w:val="center"/>
                </w:tcPr>
                <w:p w14:paraId="34E346B0">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厂界南</w:t>
                  </w:r>
                </w:p>
              </w:tc>
              <w:tc>
                <w:tcPr>
                  <w:tcW w:w="682" w:type="pct"/>
                  <w:vMerge w:val="continue"/>
                  <w:vAlign w:val="center"/>
                </w:tcPr>
                <w:p w14:paraId="4376E9BE">
                  <w:pPr>
                    <w:bidi w:val="0"/>
                    <w:spacing w:line="240" w:lineRule="auto"/>
                    <w:ind w:firstLine="0" w:firstLineChars="0"/>
                    <w:jc w:val="center"/>
                    <w:rPr>
                      <w:rFonts w:hint="default"/>
                      <w:sz w:val="21"/>
                      <w:szCs w:val="21"/>
                      <w:lang w:val="en-US" w:eastAsia="zh-CN"/>
                    </w:rPr>
                  </w:pPr>
                </w:p>
              </w:tc>
              <w:tc>
                <w:tcPr>
                  <w:tcW w:w="917" w:type="pct"/>
                  <w:vAlign w:val="center"/>
                </w:tcPr>
                <w:p w14:paraId="63FE03ED">
                  <w:pPr>
                    <w:bidi w:val="0"/>
                    <w:spacing w:line="240" w:lineRule="auto"/>
                    <w:ind w:firstLine="0" w:firstLineChars="0"/>
                    <w:jc w:val="center"/>
                    <w:rPr>
                      <w:rFonts w:hint="default"/>
                      <w:sz w:val="21"/>
                      <w:szCs w:val="21"/>
                      <w:lang w:val="en-US" w:eastAsia="zh-CN"/>
                    </w:rPr>
                  </w:pPr>
                  <w:r>
                    <w:rPr>
                      <w:rFonts w:hint="default"/>
                      <w:sz w:val="21"/>
                      <w:szCs w:val="21"/>
                      <w:lang w:val="en-US" w:eastAsia="zh-CN"/>
                    </w:rPr>
                    <w:t>10</w:t>
                  </w:r>
                </w:p>
              </w:tc>
              <w:tc>
                <w:tcPr>
                  <w:tcW w:w="944" w:type="pct"/>
                  <w:vAlign w:val="center"/>
                </w:tcPr>
                <w:p w14:paraId="7F35D0C4">
                  <w:pPr>
                    <w:bidi w:val="0"/>
                    <w:spacing w:line="240" w:lineRule="auto"/>
                    <w:ind w:firstLine="0" w:firstLineChars="0"/>
                    <w:jc w:val="center"/>
                    <w:rPr>
                      <w:rFonts w:hint="default"/>
                      <w:sz w:val="21"/>
                      <w:szCs w:val="21"/>
                      <w:lang w:val="en-US" w:eastAsia="zh-CN"/>
                    </w:rPr>
                  </w:pPr>
                  <w:r>
                    <w:rPr>
                      <w:rFonts w:hint="default"/>
                      <w:sz w:val="21"/>
                      <w:szCs w:val="21"/>
                      <w:lang w:val="en-US" w:eastAsia="zh-CN"/>
                    </w:rPr>
                    <w:t>42.6</w:t>
                  </w:r>
                </w:p>
              </w:tc>
              <w:tc>
                <w:tcPr>
                  <w:tcW w:w="928" w:type="pct"/>
                  <w:vAlign w:val="center"/>
                </w:tcPr>
                <w:p w14:paraId="1EE5F1DC">
                  <w:pPr>
                    <w:bidi w:val="0"/>
                    <w:spacing w:line="240" w:lineRule="auto"/>
                    <w:ind w:firstLine="0" w:firstLineChars="0"/>
                    <w:jc w:val="center"/>
                    <w:rPr>
                      <w:rFonts w:hint="default"/>
                      <w:sz w:val="21"/>
                      <w:szCs w:val="21"/>
                      <w:lang w:val="en-US" w:eastAsia="zh-CN"/>
                    </w:rPr>
                  </w:pPr>
                  <w:r>
                    <w:rPr>
                      <w:rFonts w:hint="default"/>
                      <w:sz w:val="21"/>
                      <w:szCs w:val="21"/>
                      <w:lang w:val="en-US" w:eastAsia="zh-CN"/>
                    </w:rPr>
                    <w:t>51.8</w:t>
                  </w:r>
                </w:p>
              </w:tc>
              <w:tc>
                <w:tcPr>
                  <w:tcW w:w="895" w:type="pct"/>
                  <w:vAlign w:val="center"/>
                </w:tcPr>
                <w:p w14:paraId="34B9FB7E">
                  <w:pPr>
                    <w:bidi w:val="0"/>
                    <w:spacing w:line="240" w:lineRule="auto"/>
                    <w:ind w:firstLine="0" w:firstLineChars="0"/>
                    <w:jc w:val="center"/>
                    <w:rPr>
                      <w:rFonts w:hint="default"/>
                      <w:sz w:val="21"/>
                      <w:szCs w:val="21"/>
                      <w:lang w:val="en-US" w:eastAsia="zh-CN"/>
                    </w:rPr>
                  </w:pPr>
                  <w:r>
                    <w:rPr>
                      <w:rFonts w:hint="default"/>
                      <w:sz w:val="21"/>
                      <w:szCs w:val="21"/>
                      <w:lang w:val="en-US" w:eastAsia="zh-CN"/>
                    </w:rPr>
                    <w:t>52.7</w:t>
                  </w:r>
                </w:p>
              </w:tc>
            </w:tr>
            <w:tr w14:paraId="0F30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30" w:type="pct"/>
                  <w:vAlign w:val="center"/>
                </w:tcPr>
                <w:p w14:paraId="40DEFF12">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厂界北</w:t>
                  </w:r>
                </w:p>
              </w:tc>
              <w:tc>
                <w:tcPr>
                  <w:tcW w:w="682" w:type="pct"/>
                  <w:vMerge w:val="continue"/>
                  <w:vAlign w:val="center"/>
                </w:tcPr>
                <w:p w14:paraId="6EBB1A64">
                  <w:pPr>
                    <w:bidi w:val="0"/>
                    <w:spacing w:line="240" w:lineRule="auto"/>
                    <w:ind w:firstLine="0" w:firstLineChars="0"/>
                    <w:jc w:val="center"/>
                    <w:rPr>
                      <w:rFonts w:hint="default"/>
                      <w:sz w:val="21"/>
                      <w:szCs w:val="21"/>
                      <w:lang w:val="en-US" w:eastAsia="zh-CN"/>
                    </w:rPr>
                  </w:pPr>
                </w:p>
              </w:tc>
              <w:tc>
                <w:tcPr>
                  <w:tcW w:w="917" w:type="pct"/>
                  <w:vAlign w:val="center"/>
                </w:tcPr>
                <w:p w14:paraId="10BFA55E">
                  <w:pPr>
                    <w:bidi w:val="0"/>
                    <w:spacing w:line="240" w:lineRule="auto"/>
                    <w:ind w:firstLine="0" w:firstLineChars="0"/>
                    <w:jc w:val="center"/>
                    <w:rPr>
                      <w:rFonts w:hint="default"/>
                      <w:sz w:val="21"/>
                      <w:szCs w:val="21"/>
                      <w:lang w:val="en-US" w:eastAsia="zh-CN"/>
                    </w:rPr>
                  </w:pPr>
                  <w:r>
                    <w:rPr>
                      <w:rFonts w:hint="default"/>
                      <w:sz w:val="21"/>
                      <w:szCs w:val="21"/>
                      <w:lang w:val="en-US" w:eastAsia="zh-CN"/>
                    </w:rPr>
                    <w:t>15</w:t>
                  </w:r>
                </w:p>
              </w:tc>
              <w:tc>
                <w:tcPr>
                  <w:tcW w:w="944" w:type="pct"/>
                  <w:vAlign w:val="center"/>
                </w:tcPr>
                <w:p w14:paraId="13E9FDD8">
                  <w:pPr>
                    <w:bidi w:val="0"/>
                    <w:spacing w:line="240" w:lineRule="auto"/>
                    <w:ind w:firstLine="0" w:firstLineChars="0"/>
                    <w:jc w:val="center"/>
                    <w:rPr>
                      <w:rFonts w:hint="default"/>
                      <w:sz w:val="21"/>
                      <w:szCs w:val="21"/>
                      <w:lang w:val="en-US" w:eastAsia="zh-CN"/>
                    </w:rPr>
                  </w:pPr>
                  <w:r>
                    <w:rPr>
                      <w:rFonts w:hint="default"/>
                      <w:sz w:val="21"/>
                      <w:szCs w:val="21"/>
                      <w:lang w:val="en-US" w:eastAsia="zh-CN"/>
                    </w:rPr>
                    <w:t>36.6</w:t>
                  </w:r>
                </w:p>
              </w:tc>
              <w:tc>
                <w:tcPr>
                  <w:tcW w:w="928" w:type="pct"/>
                  <w:vAlign w:val="center"/>
                </w:tcPr>
                <w:p w14:paraId="4EED7DE3">
                  <w:pPr>
                    <w:bidi w:val="0"/>
                    <w:spacing w:line="240" w:lineRule="auto"/>
                    <w:ind w:firstLine="0" w:firstLineChars="0"/>
                    <w:jc w:val="center"/>
                    <w:rPr>
                      <w:rFonts w:hint="default"/>
                      <w:sz w:val="21"/>
                      <w:szCs w:val="21"/>
                      <w:lang w:val="en-US" w:eastAsia="zh-CN"/>
                    </w:rPr>
                  </w:pPr>
                  <w:r>
                    <w:rPr>
                      <w:rFonts w:hint="default"/>
                      <w:sz w:val="21"/>
                      <w:szCs w:val="21"/>
                      <w:lang w:val="en-US" w:eastAsia="zh-CN"/>
                    </w:rPr>
                    <w:t>52.0</w:t>
                  </w:r>
                </w:p>
              </w:tc>
              <w:tc>
                <w:tcPr>
                  <w:tcW w:w="895" w:type="pct"/>
                  <w:vAlign w:val="center"/>
                </w:tcPr>
                <w:p w14:paraId="36D764A6">
                  <w:pPr>
                    <w:bidi w:val="0"/>
                    <w:spacing w:line="240" w:lineRule="auto"/>
                    <w:ind w:firstLine="0" w:firstLineChars="0"/>
                    <w:jc w:val="center"/>
                    <w:rPr>
                      <w:rFonts w:hint="default"/>
                      <w:sz w:val="21"/>
                      <w:szCs w:val="21"/>
                      <w:lang w:val="en-US" w:eastAsia="zh-CN"/>
                    </w:rPr>
                  </w:pPr>
                  <w:r>
                    <w:rPr>
                      <w:rFonts w:hint="default"/>
                      <w:sz w:val="21"/>
                      <w:szCs w:val="21"/>
                      <w:lang w:val="en-US" w:eastAsia="zh-CN"/>
                    </w:rPr>
                    <w:t>53.3</w:t>
                  </w:r>
                </w:p>
              </w:tc>
            </w:tr>
          </w:tbl>
          <w:p w14:paraId="51E8BFA3">
            <w:pPr>
              <w:bidi w:val="0"/>
              <w:rPr>
                <w:rFonts w:hint="default"/>
                <w:lang w:val="en-US" w:eastAsia="zh-CN"/>
              </w:rPr>
            </w:pPr>
            <w:r>
              <w:rPr>
                <w:rFonts w:hint="default"/>
                <w:lang w:val="en-US" w:eastAsia="zh-CN"/>
              </w:rPr>
              <w:t>由以上预测结果可知，项目生产噪声在厂界四周处的昼间贡献值均未超出《工业企业厂界环境噪声排放标准》(GB12348-2008)的2类标准限值要求，即：昼间≤60dB(A)。项目夜间不生产。因此，评价认为本项目噪声对周围环境影响较小。</w:t>
            </w:r>
          </w:p>
          <w:p w14:paraId="458D091B">
            <w:pPr>
              <w:bidi w:val="0"/>
              <w:rPr>
                <w:rFonts w:hint="default"/>
                <w:b/>
                <w:bCs/>
                <w:lang w:val="en-US" w:eastAsia="zh-CN"/>
              </w:rPr>
            </w:pPr>
            <w:r>
              <w:rPr>
                <w:rFonts w:hint="default"/>
                <w:b/>
                <w:bCs/>
                <w:lang w:val="en-US" w:eastAsia="zh-CN"/>
              </w:rPr>
              <w:t>3.4噪声监测计划</w:t>
            </w:r>
          </w:p>
          <w:p w14:paraId="42384158">
            <w:pPr>
              <w:bidi w:val="0"/>
              <w:ind w:left="0" w:leftChars="0" w:firstLine="0" w:firstLineChars="0"/>
              <w:jc w:val="center"/>
              <w:rPr>
                <w:rFonts w:hint="default"/>
                <w:lang w:val="en-US" w:eastAsia="zh-CN"/>
              </w:rPr>
            </w:pPr>
            <w:r>
              <w:rPr>
                <w:rFonts w:hint="default"/>
                <w:b/>
                <w:bCs/>
                <w:lang w:val="en-US" w:eastAsia="zh-CN"/>
              </w:rPr>
              <w:t>表4-9 噪声污染源监测点位、因子、频次一览表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558"/>
              <w:gridCol w:w="1586"/>
              <w:gridCol w:w="1301"/>
              <w:gridCol w:w="2213"/>
            </w:tblGrid>
            <w:tr w14:paraId="0B6C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Pr>
                <w:p w14:paraId="2939F167">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污染源</w:t>
                  </w:r>
                </w:p>
              </w:tc>
              <w:tc>
                <w:tcPr>
                  <w:tcW w:w="1640" w:type="dxa"/>
                </w:tcPr>
                <w:p w14:paraId="4B8CD0D7">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监测项目</w:t>
                  </w:r>
                </w:p>
              </w:tc>
              <w:tc>
                <w:tcPr>
                  <w:tcW w:w="1694" w:type="dxa"/>
                </w:tcPr>
                <w:p w14:paraId="4FDCA414">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监测点位</w:t>
                  </w:r>
                </w:p>
              </w:tc>
              <w:tc>
                <w:tcPr>
                  <w:tcW w:w="1400" w:type="dxa"/>
                </w:tcPr>
                <w:p w14:paraId="688ED9C8">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监测频次</w:t>
                  </w:r>
                </w:p>
              </w:tc>
              <w:tc>
                <w:tcPr>
                  <w:tcW w:w="2244" w:type="dxa"/>
                </w:tcPr>
                <w:p w14:paraId="34CE03EF">
                  <w:pPr>
                    <w:bidi w:val="0"/>
                    <w:spacing w:line="240" w:lineRule="auto"/>
                    <w:ind w:firstLine="0" w:firstLineChars="0"/>
                    <w:jc w:val="center"/>
                    <w:rPr>
                      <w:rFonts w:hint="default"/>
                      <w:b/>
                      <w:bCs/>
                      <w:sz w:val="21"/>
                      <w:szCs w:val="21"/>
                      <w:lang w:val="en-US" w:eastAsia="zh-CN"/>
                    </w:rPr>
                  </w:pPr>
                  <w:r>
                    <w:rPr>
                      <w:rFonts w:hint="default"/>
                      <w:b/>
                      <w:bCs/>
                      <w:sz w:val="21"/>
                      <w:szCs w:val="21"/>
                      <w:lang w:val="en-US" w:eastAsia="zh-CN"/>
                    </w:rPr>
                    <w:t>控制标准</w:t>
                  </w:r>
                </w:p>
              </w:tc>
            </w:tr>
            <w:tr w14:paraId="439B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vAlign w:val="center"/>
                </w:tcPr>
                <w:p w14:paraId="0F328824">
                  <w:pPr>
                    <w:bidi w:val="0"/>
                    <w:spacing w:line="240" w:lineRule="auto"/>
                    <w:ind w:firstLine="0" w:firstLineChars="0"/>
                    <w:jc w:val="center"/>
                    <w:rPr>
                      <w:rFonts w:hint="default"/>
                      <w:sz w:val="21"/>
                      <w:szCs w:val="21"/>
                      <w:lang w:val="en-US" w:eastAsia="zh-CN"/>
                    </w:rPr>
                  </w:pPr>
                  <w:r>
                    <w:rPr>
                      <w:rFonts w:hint="default"/>
                      <w:sz w:val="21"/>
                      <w:szCs w:val="21"/>
                      <w:lang w:val="en-US" w:eastAsia="zh-CN"/>
                    </w:rPr>
                    <w:t>厂界噪声</w:t>
                  </w:r>
                </w:p>
              </w:tc>
              <w:tc>
                <w:tcPr>
                  <w:tcW w:w="1640" w:type="dxa"/>
                  <w:vAlign w:val="center"/>
                </w:tcPr>
                <w:p w14:paraId="22A2C307">
                  <w:pPr>
                    <w:bidi w:val="0"/>
                    <w:spacing w:line="240" w:lineRule="auto"/>
                    <w:ind w:firstLine="0" w:firstLineChars="0"/>
                    <w:jc w:val="center"/>
                    <w:rPr>
                      <w:rFonts w:hint="default"/>
                      <w:sz w:val="21"/>
                      <w:szCs w:val="21"/>
                      <w:lang w:val="en-US" w:eastAsia="zh-CN"/>
                    </w:rPr>
                  </w:pPr>
                  <w:r>
                    <w:rPr>
                      <w:rFonts w:hint="default"/>
                      <w:sz w:val="21"/>
                      <w:szCs w:val="21"/>
                      <w:lang w:val="en-US" w:eastAsia="zh-CN"/>
                    </w:rPr>
                    <w:t>Leq(A)</w:t>
                  </w:r>
                </w:p>
              </w:tc>
              <w:tc>
                <w:tcPr>
                  <w:tcW w:w="1694" w:type="dxa"/>
                  <w:vAlign w:val="center"/>
                </w:tcPr>
                <w:p w14:paraId="52843BE6">
                  <w:pPr>
                    <w:bidi w:val="0"/>
                    <w:spacing w:line="240" w:lineRule="auto"/>
                    <w:ind w:firstLine="0" w:firstLineChars="0"/>
                    <w:jc w:val="center"/>
                    <w:rPr>
                      <w:rFonts w:hint="default"/>
                      <w:sz w:val="21"/>
                      <w:szCs w:val="21"/>
                      <w:lang w:val="en-US" w:eastAsia="zh-CN"/>
                    </w:rPr>
                  </w:pPr>
                  <w:r>
                    <w:rPr>
                      <w:rFonts w:hint="default"/>
                      <w:sz w:val="21"/>
                      <w:szCs w:val="21"/>
                      <w:lang w:val="en-US" w:eastAsia="zh-CN"/>
                    </w:rPr>
                    <w:t>上风向布设1个监测点位，下风向扇形范围内布设3个监测点</w:t>
                  </w:r>
                </w:p>
              </w:tc>
              <w:tc>
                <w:tcPr>
                  <w:tcW w:w="1400" w:type="dxa"/>
                  <w:vAlign w:val="center"/>
                </w:tcPr>
                <w:p w14:paraId="1F212AE3">
                  <w:pPr>
                    <w:bidi w:val="0"/>
                    <w:spacing w:line="240" w:lineRule="auto"/>
                    <w:ind w:firstLine="0" w:firstLineChars="0"/>
                    <w:jc w:val="center"/>
                    <w:rPr>
                      <w:rFonts w:hint="default"/>
                      <w:sz w:val="21"/>
                      <w:szCs w:val="21"/>
                      <w:lang w:val="en-US" w:eastAsia="zh-CN"/>
                    </w:rPr>
                  </w:pPr>
                  <w:r>
                    <w:rPr>
                      <w:rFonts w:hint="default"/>
                      <w:sz w:val="21"/>
                      <w:szCs w:val="21"/>
                      <w:lang w:val="en-US" w:eastAsia="zh-CN"/>
                    </w:rPr>
                    <w:t>每季度一次</w:t>
                  </w:r>
                </w:p>
              </w:tc>
              <w:tc>
                <w:tcPr>
                  <w:tcW w:w="2244" w:type="dxa"/>
                </w:tcPr>
                <w:p w14:paraId="3DDB9ED4">
                  <w:pPr>
                    <w:bidi w:val="0"/>
                    <w:spacing w:line="240" w:lineRule="auto"/>
                    <w:ind w:firstLine="0" w:firstLineChars="0"/>
                    <w:jc w:val="center"/>
                    <w:rPr>
                      <w:rFonts w:hint="default"/>
                      <w:sz w:val="21"/>
                      <w:szCs w:val="21"/>
                      <w:lang w:val="en-US" w:eastAsia="zh-CN"/>
                    </w:rPr>
                  </w:pPr>
                  <w:r>
                    <w:rPr>
                      <w:rFonts w:hint="default"/>
                      <w:sz w:val="21"/>
                      <w:szCs w:val="21"/>
                      <w:lang w:val="en-US" w:eastAsia="zh-CN"/>
                    </w:rPr>
                    <w:t>《工业企业厂界环境噪声排放标准》（GB12348-2008）中2类标准</w:t>
                  </w:r>
                </w:p>
              </w:tc>
            </w:tr>
          </w:tbl>
          <w:p w14:paraId="33B33879">
            <w:pPr>
              <w:ind w:firstLine="0" w:firstLineChars="0"/>
              <w:rPr>
                <w:b/>
                <w:bCs/>
              </w:rPr>
            </w:pPr>
            <w:r>
              <w:rPr>
                <w:b/>
                <w:bCs/>
              </w:rPr>
              <w:t>4、固体废物</w:t>
            </w:r>
          </w:p>
          <w:p w14:paraId="27CF846C">
            <w:pPr>
              <w:ind w:firstLine="480"/>
            </w:pPr>
            <w:r>
              <w:t>固废主要来源于沉淀池</w:t>
            </w:r>
            <w:r>
              <w:rPr>
                <w:rFonts w:hint="eastAsia"/>
              </w:rPr>
              <w:t>底泥</w:t>
            </w:r>
            <w:r>
              <w:t>、职工生活垃圾和</w:t>
            </w:r>
            <w:r>
              <w:rPr>
                <w:rFonts w:hint="eastAsia"/>
              </w:rPr>
              <w:t>废机油</w:t>
            </w:r>
            <w:r>
              <w:t>。</w:t>
            </w:r>
          </w:p>
          <w:p w14:paraId="6D6DFFA2">
            <w:pPr>
              <w:pStyle w:val="14"/>
              <w:ind w:firstLine="480"/>
              <w:jc w:val="both"/>
              <w:rPr>
                <w:sz w:val="24"/>
                <w:highlight w:val="red"/>
              </w:rPr>
            </w:pPr>
            <w:r>
              <w:rPr>
                <w:sz w:val="24"/>
              </w:rPr>
              <w:t>（</w:t>
            </w:r>
            <w:r>
              <w:rPr>
                <w:rFonts w:hint="eastAsia"/>
                <w:sz w:val="24"/>
              </w:rPr>
              <w:t>1</w:t>
            </w:r>
            <w:r>
              <w:rPr>
                <w:sz w:val="24"/>
              </w:rPr>
              <w:t>）</w:t>
            </w:r>
            <w:r>
              <w:rPr>
                <w:rFonts w:hint="eastAsia"/>
                <w:sz w:val="24"/>
              </w:rPr>
              <w:t>生产固废</w:t>
            </w:r>
          </w:p>
          <w:p w14:paraId="3D598432">
            <w:pPr>
              <w:pStyle w:val="14"/>
              <w:ind w:firstLine="480"/>
              <w:jc w:val="both"/>
              <w:rPr>
                <w:sz w:val="24"/>
                <w:highlight w:val="none"/>
              </w:rPr>
            </w:pPr>
            <w:r>
              <w:rPr>
                <w:rFonts w:hint="eastAsia"/>
                <w:sz w:val="24"/>
                <w:highlight w:val="none"/>
                <w:lang w:val="en-US" w:eastAsia="zh-CN"/>
              </w:rPr>
              <w:t>①</w:t>
            </w:r>
            <w:r>
              <w:rPr>
                <w:rFonts w:hint="eastAsia"/>
                <w:sz w:val="24"/>
                <w:highlight w:val="none"/>
              </w:rPr>
              <w:t>洗砂池底泥：沉淀池底泥产生量约为10t/a，沉淀池底泥主要成份为砂石，沉淀池底泥定期清掏至废石堆场，晾晒后，用于采坑回填。</w:t>
            </w:r>
          </w:p>
          <w:p w14:paraId="4F8AC2C3">
            <w:pPr>
              <w:pStyle w:val="14"/>
              <w:ind w:firstLine="480"/>
              <w:jc w:val="both"/>
              <w:rPr>
                <w:rFonts w:hint="eastAsia"/>
                <w:sz w:val="24"/>
                <w:highlight w:val="none"/>
              </w:rPr>
            </w:pPr>
            <w:r>
              <w:rPr>
                <w:rFonts w:hint="eastAsia"/>
                <w:sz w:val="24"/>
                <w:lang w:val="en-US" w:eastAsia="zh-CN"/>
              </w:rPr>
              <w:t>②</w:t>
            </w:r>
            <w:r>
              <w:rPr>
                <w:rFonts w:hint="eastAsia"/>
                <w:sz w:val="24"/>
              </w:rPr>
              <w:t>清洗废水底泥：洗车平台清洗废水进入沉淀池，其中含有石子、砂子等。产生底泥1</w:t>
            </w:r>
            <w:r>
              <w:rPr>
                <w:sz w:val="24"/>
              </w:rPr>
              <w:t>t/a</w:t>
            </w:r>
            <w:r>
              <w:rPr>
                <w:rFonts w:hint="eastAsia"/>
                <w:sz w:val="24"/>
              </w:rPr>
              <w:t>。</w:t>
            </w:r>
            <w:r>
              <w:rPr>
                <w:rFonts w:hint="eastAsia"/>
                <w:sz w:val="24"/>
                <w:highlight w:val="none"/>
              </w:rPr>
              <w:t>定期清掏至废石堆场，晾晒后，用于采坑回填。</w:t>
            </w:r>
          </w:p>
          <w:p w14:paraId="0BD55E99">
            <w:pPr>
              <w:pStyle w:val="14"/>
              <w:ind w:firstLine="480"/>
              <w:jc w:val="both"/>
              <w:rPr>
                <w:sz w:val="24"/>
              </w:rPr>
            </w:pPr>
            <w:r>
              <w:rPr>
                <w:sz w:val="24"/>
              </w:rPr>
              <w:t>（</w:t>
            </w:r>
            <w:r>
              <w:rPr>
                <w:rFonts w:hint="eastAsia"/>
                <w:sz w:val="24"/>
              </w:rPr>
              <w:t>2</w:t>
            </w:r>
            <w:r>
              <w:rPr>
                <w:sz w:val="24"/>
              </w:rPr>
              <w:t>）职工生活垃圾</w:t>
            </w:r>
          </w:p>
          <w:p w14:paraId="1C3025BD">
            <w:pPr>
              <w:pStyle w:val="14"/>
              <w:ind w:firstLine="480"/>
              <w:jc w:val="both"/>
              <w:rPr>
                <w:sz w:val="24"/>
                <w:lang w:val="zh-CN"/>
              </w:rPr>
            </w:pPr>
            <w:r>
              <w:rPr>
                <w:sz w:val="24"/>
              </w:rPr>
              <w:t>职工生活垃圾以每人每天0.5kg计，项目员工人数</w:t>
            </w:r>
            <w:r>
              <w:rPr>
                <w:rFonts w:hint="eastAsia"/>
                <w:sz w:val="24"/>
                <w:lang w:val="en-US" w:eastAsia="zh-CN"/>
              </w:rPr>
              <w:t>18</w:t>
            </w:r>
            <w:r>
              <w:rPr>
                <w:sz w:val="24"/>
              </w:rPr>
              <w:t>人，</w:t>
            </w:r>
            <w:r>
              <w:rPr>
                <w:rFonts w:hint="eastAsia"/>
                <w:sz w:val="24"/>
                <w:lang w:eastAsia="zh-CN"/>
              </w:rPr>
              <w:t>年运行</w:t>
            </w:r>
            <w:r>
              <w:rPr>
                <w:rFonts w:hint="eastAsia"/>
                <w:sz w:val="24"/>
              </w:rPr>
              <w:t>为</w:t>
            </w:r>
            <w:r>
              <w:rPr>
                <w:rFonts w:hint="eastAsia"/>
                <w:sz w:val="24"/>
                <w:lang w:val="en-US" w:eastAsia="zh-CN"/>
              </w:rPr>
              <w:t>210</w:t>
            </w:r>
            <w:r>
              <w:rPr>
                <w:sz w:val="24"/>
              </w:rPr>
              <w:t>天，则生活垃圾产生量</w:t>
            </w:r>
            <w:r>
              <w:rPr>
                <w:rFonts w:hint="eastAsia"/>
                <w:sz w:val="24"/>
                <w:lang w:val="en-US" w:eastAsia="zh-CN"/>
              </w:rPr>
              <w:t>9</w:t>
            </w:r>
            <w:r>
              <w:rPr>
                <w:sz w:val="24"/>
              </w:rPr>
              <w:t>kg/d，</w:t>
            </w:r>
            <w:r>
              <w:rPr>
                <w:rFonts w:hint="eastAsia"/>
                <w:sz w:val="24"/>
                <w:lang w:val="en-US" w:eastAsia="zh-CN"/>
              </w:rPr>
              <w:t>1.9</w:t>
            </w:r>
            <w:r>
              <w:rPr>
                <w:sz w:val="24"/>
              </w:rPr>
              <w:t>t/</w:t>
            </w:r>
            <w:r>
              <w:rPr>
                <w:rFonts w:hint="eastAsia"/>
                <w:sz w:val="24"/>
              </w:rPr>
              <w:t>a</w:t>
            </w:r>
            <w:r>
              <w:rPr>
                <w:sz w:val="24"/>
              </w:rPr>
              <w:t>，</w:t>
            </w:r>
            <w:r>
              <w:rPr>
                <w:rFonts w:hint="eastAsia"/>
                <w:sz w:val="24"/>
              </w:rPr>
              <w:t>生活垃圾在</w:t>
            </w:r>
            <w:r>
              <w:rPr>
                <w:rFonts w:hint="eastAsia"/>
                <w:sz w:val="24"/>
                <w:lang w:val="zh-CN"/>
              </w:rPr>
              <w:t>厂内设置垃圾桶，集中分类收集后定期清运至当地乡镇垃圾中转站，由当地环卫部门统一清运处理。</w:t>
            </w:r>
          </w:p>
          <w:p w14:paraId="2D67389C">
            <w:pPr>
              <w:pStyle w:val="14"/>
              <w:ind w:firstLine="480"/>
              <w:jc w:val="both"/>
              <w:rPr>
                <w:rFonts w:hint="eastAsia" w:eastAsia="宋体"/>
                <w:sz w:val="24"/>
                <w:lang w:eastAsia="zh-CN"/>
              </w:rPr>
            </w:pPr>
            <w:r>
              <w:rPr>
                <w:sz w:val="24"/>
              </w:rPr>
              <w:t>（</w:t>
            </w:r>
            <w:r>
              <w:rPr>
                <w:rFonts w:hint="eastAsia"/>
                <w:sz w:val="24"/>
              </w:rPr>
              <w:t>3</w:t>
            </w:r>
            <w:r>
              <w:rPr>
                <w:sz w:val="24"/>
              </w:rPr>
              <w:t>）废机油</w:t>
            </w:r>
            <w:r>
              <w:rPr>
                <w:rFonts w:hint="eastAsia"/>
                <w:sz w:val="24"/>
                <w:lang w:eastAsia="zh-CN"/>
              </w:rPr>
              <w:t>、</w:t>
            </w:r>
            <w:r>
              <w:rPr>
                <w:rFonts w:hint="eastAsia"/>
                <w:sz w:val="24"/>
              </w:rPr>
              <w:t>润滑油</w:t>
            </w:r>
            <w:r>
              <w:rPr>
                <w:rFonts w:hint="eastAsia"/>
                <w:sz w:val="24"/>
                <w:lang w:eastAsia="zh-CN"/>
              </w:rPr>
              <w:t>及含油抹布、手套</w:t>
            </w:r>
          </w:p>
          <w:p w14:paraId="562B13CF">
            <w:pPr>
              <w:pStyle w:val="14"/>
              <w:ind w:firstLine="480"/>
              <w:jc w:val="both"/>
              <w:rPr>
                <w:b/>
                <w:bCs/>
                <w:kern w:val="2"/>
                <w:sz w:val="24"/>
                <w:szCs w:val="24"/>
              </w:rPr>
            </w:pPr>
            <w:r>
              <w:rPr>
                <w:sz w:val="24"/>
              </w:rPr>
              <w:t>运营期间</w:t>
            </w:r>
            <w:r>
              <w:rPr>
                <w:rFonts w:hint="eastAsia"/>
                <w:sz w:val="24"/>
              </w:rPr>
              <w:t>对机械、设备等进行维修、保养等会</w:t>
            </w:r>
            <w:r>
              <w:rPr>
                <w:sz w:val="24"/>
              </w:rPr>
              <w:t>产生废机油</w:t>
            </w:r>
            <w:r>
              <w:rPr>
                <w:rFonts w:hint="eastAsia"/>
                <w:sz w:val="24"/>
              </w:rPr>
              <w:t>及润滑油</w:t>
            </w:r>
            <w:r>
              <w:rPr>
                <w:sz w:val="24"/>
              </w:rPr>
              <w:t>（</w:t>
            </w:r>
            <w:r>
              <w:rPr>
                <w:rFonts w:hint="eastAsia"/>
                <w:sz w:val="24"/>
              </w:rPr>
              <w:t>年</w:t>
            </w:r>
            <w:r>
              <w:rPr>
                <w:sz w:val="24"/>
              </w:rPr>
              <w:t>产生量约</w:t>
            </w:r>
            <w:r>
              <w:rPr>
                <w:rFonts w:hint="eastAsia"/>
                <w:sz w:val="24"/>
              </w:rPr>
              <w:t>0.1</w:t>
            </w:r>
            <w:r>
              <w:rPr>
                <w:sz w:val="24"/>
              </w:rPr>
              <w:t>t），</w:t>
            </w:r>
            <w:r>
              <w:rPr>
                <w:rFonts w:hint="eastAsia"/>
                <w:sz w:val="24"/>
              </w:rPr>
              <w:t>废矿物油采用专用容器收集后暂存于危废间</w:t>
            </w:r>
            <w:r>
              <w:rPr>
                <w:rFonts w:hint="eastAsia"/>
                <w:sz w:val="24"/>
                <w:lang w:eastAsia="zh-CN"/>
              </w:rPr>
              <w:t>（</w:t>
            </w:r>
            <w:r>
              <w:rPr>
                <w:rFonts w:hint="eastAsia"/>
                <w:sz w:val="24"/>
                <w:lang w:val="en-US" w:eastAsia="zh-CN"/>
              </w:rPr>
              <w:t>10m</w:t>
            </w:r>
            <w:r>
              <w:rPr>
                <w:rFonts w:hint="eastAsia"/>
                <w:sz w:val="24"/>
                <w:vertAlign w:val="superscript"/>
                <w:lang w:val="en-US" w:eastAsia="zh-CN"/>
              </w:rPr>
              <w:t>2</w:t>
            </w:r>
            <w:r>
              <w:rPr>
                <w:rFonts w:hint="eastAsia"/>
                <w:sz w:val="24"/>
                <w:lang w:eastAsia="zh-CN"/>
              </w:rPr>
              <w:t>）</w:t>
            </w:r>
            <w:r>
              <w:rPr>
                <w:rFonts w:hint="eastAsia"/>
                <w:sz w:val="24"/>
              </w:rPr>
              <w:t>内，委托有资质单位清运处置。为保证固体废物暂存场内暂存的危险废物不对环境产生污染，项目危废暂存间严格按照《危险废物贮存污染控制标准》</w:t>
            </w:r>
            <w:r>
              <w:rPr>
                <w:rFonts w:hint="eastAsia"/>
                <w:sz w:val="24"/>
                <w:lang w:eastAsia="zh-CN"/>
              </w:rPr>
              <w:t>(</w:t>
            </w:r>
            <w:r>
              <w:rPr>
                <w:rFonts w:hint="eastAsia"/>
                <w:sz w:val="24"/>
              </w:rPr>
              <w:t>GB18</w:t>
            </w:r>
            <w:r>
              <w:rPr>
                <w:rFonts w:hint="eastAsia"/>
                <w:sz w:val="24"/>
                <w:lang w:val="en-US" w:eastAsia="zh-CN"/>
              </w:rPr>
              <w:t>5</w:t>
            </w:r>
            <w:r>
              <w:rPr>
                <w:rFonts w:hint="eastAsia"/>
                <w:sz w:val="24"/>
              </w:rPr>
              <w:t>97-20</w:t>
            </w:r>
            <w:r>
              <w:rPr>
                <w:sz w:val="24"/>
              </w:rPr>
              <w:t>23</w:t>
            </w:r>
            <w:r>
              <w:rPr>
                <w:rFonts w:hint="eastAsia"/>
                <w:sz w:val="24"/>
                <w:lang w:eastAsia="zh-CN"/>
              </w:rPr>
              <w:t>)</w:t>
            </w:r>
            <w:r>
              <w:rPr>
                <w:rFonts w:hint="eastAsia"/>
                <w:sz w:val="24"/>
              </w:rPr>
              <w:t>要求进行建设，并做好相关台账记录</w:t>
            </w:r>
            <w:r>
              <w:rPr>
                <w:sz w:val="24"/>
              </w:rPr>
              <w:t>。</w:t>
            </w:r>
          </w:p>
          <w:p w14:paraId="05A63193">
            <w:pPr>
              <w:pStyle w:val="17"/>
              <w:spacing w:after="0" w:line="240" w:lineRule="auto"/>
              <w:ind w:firstLine="0" w:firstLineChars="0"/>
              <w:jc w:val="center"/>
              <w:rPr>
                <w:b/>
                <w:color w:val="000000"/>
              </w:rPr>
            </w:pPr>
            <w:r>
              <w:rPr>
                <w:b/>
                <w:color w:val="000000"/>
              </w:rPr>
              <w:t>表4-</w:t>
            </w:r>
            <w:r>
              <w:rPr>
                <w:rFonts w:hint="eastAsia"/>
                <w:b/>
                <w:color w:val="000000"/>
                <w:lang w:val="en-US" w:eastAsia="zh-CN"/>
              </w:rPr>
              <w:t xml:space="preserve">9 </w:t>
            </w:r>
            <w:r>
              <w:rPr>
                <w:b/>
                <w:color w:val="000000"/>
              </w:rPr>
              <w:t>固体废物产量一览表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638"/>
              <w:gridCol w:w="2045"/>
              <w:gridCol w:w="1196"/>
              <w:gridCol w:w="931"/>
              <w:gridCol w:w="2443"/>
            </w:tblGrid>
            <w:tr w14:paraId="0D2E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vAlign w:val="center"/>
                </w:tcPr>
                <w:p w14:paraId="19EFEE1B">
                  <w:pPr>
                    <w:spacing w:line="240" w:lineRule="auto"/>
                    <w:ind w:firstLine="0" w:firstLineChars="0"/>
                    <w:jc w:val="center"/>
                    <w:rPr>
                      <w:b/>
                      <w:bCs/>
                      <w:sz w:val="21"/>
                      <w:szCs w:val="21"/>
                    </w:rPr>
                  </w:pPr>
                  <w:r>
                    <w:rPr>
                      <w:b/>
                      <w:bCs/>
                      <w:sz w:val="21"/>
                      <w:szCs w:val="21"/>
                    </w:rPr>
                    <w:t>序号</w:t>
                  </w:r>
                </w:p>
              </w:tc>
              <w:tc>
                <w:tcPr>
                  <w:tcW w:w="419" w:type="pct"/>
                  <w:vAlign w:val="center"/>
                </w:tcPr>
                <w:p w14:paraId="02DDB941">
                  <w:pPr>
                    <w:spacing w:line="240" w:lineRule="auto"/>
                    <w:ind w:firstLine="0" w:firstLineChars="0"/>
                    <w:jc w:val="center"/>
                    <w:rPr>
                      <w:b/>
                      <w:bCs/>
                      <w:sz w:val="21"/>
                      <w:szCs w:val="21"/>
                    </w:rPr>
                  </w:pPr>
                  <w:r>
                    <w:rPr>
                      <w:b/>
                      <w:bCs/>
                      <w:sz w:val="21"/>
                      <w:szCs w:val="21"/>
                    </w:rPr>
                    <w:t>性质</w:t>
                  </w:r>
                </w:p>
              </w:tc>
              <w:tc>
                <w:tcPr>
                  <w:tcW w:w="1326" w:type="pct"/>
                  <w:vAlign w:val="center"/>
                </w:tcPr>
                <w:p w14:paraId="78CA47CD">
                  <w:pPr>
                    <w:spacing w:line="240" w:lineRule="auto"/>
                    <w:ind w:firstLine="0" w:firstLineChars="0"/>
                    <w:jc w:val="center"/>
                    <w:rPr>
                      <w:b/>
                      <w:bCs/>
                      <w:sz w:val="21"/>
                      <w:szCs w:val="21"/>
                    </w:rPr>
                  </w:pPr>
                  <w:r>
                    <w:rPr>
                      <w:b/>
                      <w:bCs/>
                      <w:sz w:val="21"/>
                      <w:szCs w:val="21"/>
                    </w:rPr>
                    <w:t>污染源</w:t>
                  </w:r>
                </w:p>
              </w:tc>
              <w:tc>
                <w:tcPr>
                  <w:tcW w:w="733" w:type="pct"/>
                  <w:vAlign w:val="center"/>
                </w:tcPr>
                <w:p w14:paraId="092BC094">
                  <w:pPr>
                    <w:spacing w:line="240" w:lineRule="auto"/>
                    <w:ind w:firstLine="0" w:firstLineChars="0"/>
                    <w:jc w:val="center"/>
                    <w:rPr>
                      <w:b/>
                      <w:bCs/>
                      <w:sz w:val="21"/>
                      <w:szCs w:val="21"/>
                    </w:rPr>
                  </w:pPr>
                  <w:r>
                    <w:rPr>
                      <w:b/>
                      <w:bCs/>
                      <w:sz w:val="21"/>
                      <w:szCs w:val="21"/>
                    </w:rPr>
                    <w:t>危废代码</w:t>
                  </w:r>
                </w:p>
              </w:tc>
              <w:tc>
                <w:tcPr>
                  <w:tcW w:w="608" w:type="pct"/>
                  <w:vAlign w:val="center"/>
                </w:tcPr>
                <w:p w14:paraId="16F3FC2E">
                  <w:pPr>
                    <w:spacing w:line="240" w:lineRule="auto"/>
                    <w:ind w:firstLine="0" w:firstLineChars="0"/>
                    <w:jc w:val="center"/>
                    <w:rPr>
                      <w:b/>
                      <w:bCs/>
                      <w:sz w:val="21"/>
                      <w:szCs w:val="21"/>
                    </w:rPr>
                  </w:pPr>
                  <w:r>
                    <w:rPr>
                      <w:b/>
                      <w:bCs/>
                      <w:sz w:val="21"/>
                      <w:szCs w:val="21"/>
                    </w:rPr>
                    <w:t>产生量</w:t>
                  </w:r>
                  <w:r>
                    <w:rPr>
                      <w:rFonts w:hint="eastAsia"/>
                      <w:b/>
                      <w:bCs/>
                      <w:sz w:val="21"/>
                      <w:szCs w:val="21"/>
                    </w:rPr>
                    <w:t>t/a</w:t>
                  </w:r>
                </w:p>
              </w:tc>
              <w:tc>
                <w:tcPr>
                  <w:tcW w:w="1583" w:type="pct"/>
                  <w:vAlign w:val="center"/>
                </w:tcPr>
                <w:p w14:paraId="523F9C36">
                  <w:pPr>
                    <w:spacing w:line="240" w:lineRule="auto"/>
                    <w:ind w:firstLine="0" w:firstLineChars="0"/>
                    <w:jc w:val="center"/>
                    <w:rPr>
                      <w:b/>
                      <w:bCs/>
                      <w:sz w:val="21"/>
                      <w:szCs w:val="21"/>
                    </w:rPr>
                  </w:pPr>
                  <w:r>
                    <w:rPr>
                      <w:rFonts w:hint="eastAsia"/>
                      <w:b/>
                      <w:bCs/>
                      <w:sz w:val="21"/>
                      <w:szCs w:val="21"/>
                    </w:rPr>
                    <w:t>处置去向</w:t>
                  </w:r>
                </w:p>
              </w:tc>
            </w:tr>
            <w:tr w14:paraId="2017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28" w:type="pct"/>
                  <w:vAlign w:val="center"/>
                </w:tcPr>
                <w:p w14:paraId="33BD6D15">
                  <w:pPr>
                    <w:spacing w:line="240" w:lineRule="auto"/>
                    <w:ind w:firstLine="0" w:firstLineChars="0"/>
                    <w:jc w:val="center"/>
                    <w:rPr>
                      <w:sz w:val="21"/>
                      <w:szCs w:val="21"/>
                    </w:rPr>
                  </w:pPr>
                  <w:r>
                    <w:rPr>
                      <w:sz w:val="21"/>
                      <w:szCs w:val="21"/>
                    </w:rPr>
                    <w:t>1</w:t>
                  </w:r>
                </w:p>
              </w:tc>
              <w:tc>
                <w:tcPr>
                  <w:tcW w:w="419" w:type="pct"/>
                  <w:vAlign w:val="center"/>
                </w:tcPr>
                <w:p w14:paraId="57F80C2B">
                  <w:pPr>
                    <w:spacing w:line="240" w:lineRule="auto"/>
                    <w:ind w:firstLine="0" w:firstLineChars="0"/>
                    <w:jc w:val="center"/>
                    <w:rPr>
                      <w:sz w:val="21"/>
                      <w:szCs w:val="21"/>
                    </w:rPr>
                  </w:pPr>
                  <w:r>
                    <w:rPr>
                      <w:sz w:val="21"/>
                      <w:szCs w:val="21"/>
                    </w:rPr>
                    <w:t>一般工业固废</w:t>
                  </w:r>
                </w:p>
              </w:tc>
              <w:tc>
                <w:tcPr>
                  <w:tcW w:w="1326" w:type="pct"/>
                  <w:vAlign w:val="center"/>
                </w:tcPr>
                <w:p w14:paraId="4227712A">
                  <w:pPr>
                    <w:spacing w:line="240" w:lineRule="auto"/>
                    <w:ind w:firstLine="0" w:firstLineChars="0"/>
                    <w:jc w:val="center"/>
                    <w:rPr>
                      <w:sz w:val="21"/>
                      <w:szCs w:val="21"/>
                    </w:rPr>
                  </w:pPr>
                  <w:r>
                    <w:rPr>
                      <w:rFonts w:hint="eastAsia"/>
                      <w:sz w:val="21"/>
                      <w:szCs w:val="21"/>
                    </w:rPr>
                    <w:t>沉淀池底泥</w:t>
                  </w:r>
                </w:p>
              </w:tc>
              <w:tc>
                <w:tcPr>
                  <w:tcW w:w="733" w:type="pct"/>
                  <w:vAlign w:val="center"/>
                </w:tcPr>
                <w:p w14:paraId="401488DF">
                  <w:pPr>
                    <w:spacing w:line="240" w:lineRule="auto"/>
                    <w:ind w:firstLine="420"/>
                    <w:rPr>
                      <w:sz w:val="21"/>
                      <w:szCs w:val="21"/>
                    </w:rPr>
                  </w:pPr>
                  <w:r>
                    <w:rPr>
                      <w:rFonts w:hint="eastAsia"/>
                      <w:sz w:val="21"/>
                      <w:szCs w:val="21"/>
                    </w:rPr>
                    <w:t>/</w:t>
                  </w:r>
                </w:p>
              </w:tc>
              <w:tc>
                <w:tcPr>
                  <w:tcW w:w="608" w:type="pct"/>
                  <w:vAlign w:val="center"/>
                </w:tcPr>
                <w:p w14:paraId="0127617C">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11</w:t>
                  </w:r>
                </w:p>
              </w:tc>
              <w:tc>
                <w:tcPr>
                  <w:tcW w:w="1583" w:type="pct"/>
                  <w:vAlign w:val="center"/>
                </w:tcPr>
                <w:p w14:paraId="226660FF">
                  <w:pPr>
                    <w:spacing w:line="240" w:lineRule="auto"/>
                    <w:ind w:firstLine="0" w:firstLineChars="0"/>
                    <w:jc w:val="center"/>
                    <w:rPr>
                      <w:sz w:val="21"/>
                      <w:szCs w:val="21"/>
                    </w:rPr>
                  </w:pPr>
                  <w:r>
                    <w:rPr>
                      <w:rFonts w:hint="eastAsia"/>
                      <w:sz w:val="21"/>
                      <w:szCs w:val="21"/>
                    </w:rPr>
                    <w:t>定期清掏至废石堆场，晾晒后，用于采坑回填。</w:t>
                  </w:r>
                </w:p>
              </w:tc>
            </w:tr>
            <w:tr w14:paraId="60F3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28" w:type="pct"/>
                  <w:vAlign w:val="center"/>
                </w:tcPr>
                <w:p w14:paraId="69A8B4EC">
                  <w:pPr>
                    <w:spacing w:line="240" w:lineRule="auto"/>
                    <w:ind w:firstLine="0" w:firstLineChars="0"/>
                    <w:jc w:val="center"/>
                    <w:rPr>
                      <w:sz w:val="21"/>
                      <w:szCs w:val="21"/>
                    </w:rPr>
                  </w:pPr>
                  <w:r>
                    <w:rPr>
                      <w:rFonts w:hint="eastAsia"/>
                      <w:sz w:val="21"/>
                      <w:szCs w:val="21"/>
                    </w:rPr>
                    <w:t>2</w:t>
                  </w:r>
                </w:p>
              </w:tc>
              <w:tc>
                <w:tcPr>
                  <w:tcW w:w="419" w:type="pct"/>
                  <w:vAlign w:val="center"/>
                </w:tcPr>
                <w:p w14:paraId="21237794">
                  <w:pPr>
                    <w:spacing w:line="240" w:lineRule="auto"/>
                    <w:ind w:firstLine="0" w:firstLineChars="0"/>
                    <w:jc w:val="center"/>
                    <w:rPr>
                      <w:sz w:val="21"/>
                      <w:szCs w:val="21"/>
                    </w:rPr>
                  </w:pPr>
                  <w:r>
                    <w:rPr>
                      <w:sz w:val="21"/>
                      <w:szCs w:val="21"/>
                    </w:rPr>
                    <w:t>生活垃圾</w:t>
                  </w:r>
                </w:p>
              </w:tc>
              <w:tc>
                <w:tcPr>
                  <w:tcW w:w="1326" w:type="pct"/>
                  <w:vAlign w:val="center"/>
                </w:tcPr>
                <w:p w14:paraId="1A01DFD1">
                  <w:pPr>
                    <w:spacing w:line="240" w:lineRule="auto"/>
                    <w:ind w:firstLine="0" w:firstLineChars="0"/>
                    <w:jc w:val="center"/>
                    <w:rPr>
                      <w:sz w:val="21"/>
                      <w:szCs w:val="21"/>
                    </w:rPr>
                  </w:pPr>
                  <w:r>
                    <w:rPr>
                      <w:rFonts w:hint="eastAsia"/>
                      <w:sz w:val="21"/>
                      <w:szCs w:val="21"/>
                    </w:rPr>
                    <w:t>员工生活垃圾</w:t>
                  </w:r>
                </w:p>
              </w:tc>
              <w:tc>
                <w:tcPr>
                  <w:tcW w:w="733" w:type="pct"/>
                  <w:vAlign w:val="center"/>
                </w:tcPr>
                <w:p w14:paraId="5B9F49A0">
                  <w:pPr>
                    <w:spacing w:line="240" w:lineRule="auto"/>
                    <w:ind w:firstLine="420"/>
                    <w:rPr>
                      <w:sz w:val="21"/>
                      <w:szCs w:val="21"/>
                    </w:rPr>
                  </w:pPr>
                  <w:r>
                    <w:rPr>
                      <w:sz w:val="21"/>
                      <w:szCs w:val="21"/>
                    </w:rPr>
                    <w:t>/</w:t>
                  </w:r>
                </w:p>
              </w:tc>
              <w:tc>
                <w:tcPr>
                  <w:tcW w:w="608" w:type="pct"/>
                  <w:vAlign w:val="center"/>
                </w:tcPr>
                <w:p w14:paraId="022568B1">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1.9</w:t>
                  </w:r>
                </w:p>
              </w:tc>
              <w:tc>
                <w:tcPr>
                  <w:tcW w:w="1583" w:type="pct"/>
                  <w:vAlign w:val="center"/>
                </w:tcPr>
                <w:p w14:paraId="1795B1DC">
                  <w:pPr>
                    <w:spacing w:line="240" w:lineRule="auto"/>
                    <w:ind w:firstLine="0" w:firstLineChars="0"/>
                    <w:jc w:val="left"/>
                    <w:rPr>
                      <w:sz w:val="21"/>
                      <w:szCs w:val="21"/>
                    </w:rPr>
                  </w:pPr>
                  <w:r>
                    <w:rPr>
                      <w:rFonts w:hint="eastAsia"/>
                      <w:sz w:val="21"/>
                      <w:szCs w:val="21"/>
                    </w:rPr>
                    <w:t>集中分类收集后定期清运至当地乡镇垃圾中转站，由当地环卫部门统一清运处理。</w:t>
                  </w:r>
                </w:p>
              </w:tc>
            </w:tr>
            <w:tr w14:paraId="521A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28" w:type="pct"/>
                  <w:vAlign w:val="center"/>
                </w:tcPr>
                <w:p w14:paraId="2FDD6324">
                  <w:pPr>
                    <w:spacing w:line="240" w:lineRule="auto"/>
                    <w:ind w:firstLine="0" w:firstLineChars="0"/>
                    <w:jc w:val="center"/>
                    <w:rPr>
                      <w:sz w:val="21"/>
                      <w:szCs w:val="21"/>
                    </w:rPr>
                  </w:pPr>
                  <w:r>
                    <w:rPr>
                      <w:rFonts w:hint="eastAsia"/>
                      <w:sz w:val="21"/>
                      <w:szCs w:val="21"/>
                    </w:rPr>
                    <w:t>3</w:t>
                  </w:r>
                </w:p>
              </w:tc>
              <w:tc>
                <w:tcPr>
                  <w:tcW w:w="419" w:type="pct"/>
                  <w:vAlign w:val="center"/>
                </w:tcPr>
                <w:p w14:paraId="71583824">
                  <w:pPr>
                    <w:spacing w:line="240" w:lineRule="auto"/>
                    <w:ind w:firstLine="0" w:firstLineChars="0"/>
                    <w:jc w:val="center"/>
                    <w:rPr>
                      <w:sz w:val="21"/>
                      <w:szCs w:val="21"/>
                    </w:rPr>
                  </w:pPr>
                  <w:r>
                    <w:rPr>
                      <w:rFonts w:hint="eastAsia"/>
                      <w:sz w:val="21"/>
                      <w:szCs w:val="21"/>
                    </w:rPr>
                    <w:t>危险废物</w:t>
                  </w:r>
                </w:p>
              </w:tc>
              <w:tc>
                <w:tcPr>
                  <w:tcW w:w="1326" w:type="pct"/>
                  <w:vAlign w:val="center"/>
                </w:tcPr>
                <w:p w14:paraId="1EE30EDB">
                  <w:pPr>
                    <w:spacing w:line="240" w:lineRule="auto"/>
                    <w:ind w:firstLine="0" w:firstLineChars="0"/>
                    <w:jc w:val="center"/>
                    <w:rPr>
                      <w:sz w:val="21"/>
                      <w:szCs w:val="21"/>
                    </w:rPr>
                  </w:pPr>
                  <w:r>
                    <w:rPr>
                      <w:sz w:val="21"/>
                      <w:szCs w:val="21"/>
                    </w:rPr>
                    <w:t>废机油</w:t>
                  </w:r>
                  <w:r>
                    <w:rPr>
                      <w:rFonts w:hint="eastAsia"/>
                      <w:sz w:val="21"/>
                      <w:szCs w:val="21"/>
                      <w:lang w:eastAsia="zh-CN"/>
                    </w:rPr>
                    <w:t>、</w:t>
                  </w:r>
                  <w:r>
                    <w:rPr>
                      <w:rFonts w:hint="eastAsia"/>
                      <w:sz w:val="21"/>
                      <w:szCs w:val="21"/>
                    </w:rPr>
                    <w:t>润滑油</w:t>
                  </w:r>
                  <w:r>
                    <w:rPr>
                      <w:rFonts w:hint="eastAsia"/>
                      <w:sz w:val="21"/>
                      <w:szCs w:val="21"/>
                      <w:lang w:eastAsia="zh-CN"/>
                    </w:rPr>
                    <w:t>及含油抹布、手套</w:t>
                  </w:r>
                </w:p>
              </w:tc>
              <w:tc>
                <w:tcPr>
                  <w:tcW w:w="733" w:type="pct"/>
                  <w:vAlign w:val="center"/>
                </w:tcPr>
                <w:p w14:paraId="7BCE0891">
                  <w:pPr>
                    <w:spacing w:line="240" w:lineRule="auto"/>
                    <w:ind w:firstLine="0" w:firstLineChars="0"/>
                    <w:jc w:val="center"/>
                    <w:rPr>
                      <w:sz w:val="21"/>
                      <w:szCs w:val="21"/>
                    </w:rPr>
                  </w:pPr>
                  <w:r>
                    <w:rPr>
                      <w:sz w:val="21"/>
                      <w:szCs w:val="21"/>
                    </w:rPr>
                    <w:t>900-218-08</w:t>
                  </w:r>
                </w:p>
              </w:tc>
              <w:tc>
                <w:tcPr>
                  <w:tcW w:w="608" w:type="pct"/>
                  <w:vAlign w:val="center"/>
                </w:tcPr>
                <w:p w14:paraId="052FA4F5">
                  <w:pPr>
                    <w:spacing w:line="240" w:lineRule="auto"/>
                    <w:ind w:firstLine="0" w:firstLineChars="0"/>
                    <w:jc w:val="center"/>
                    <w:rPr>
                      <w:sz w:val="21"/>
                      <w:szCs w:val="21"/>
                    </w:rPr>
                  </w:pPr>
                  <w:r>
                    <w:rPr>
                      <w:rFonts w:hint="eastAsia"/>
                      <w:sz w:val="21"/>
                      <w:szCs w:val="21"/>
                    </w:rPr>
                    <w:t>0.1</w:t>
                  </w:r>
                </w:p>
              </w:tc>
              <w:tc>
                <w:tcPr>
                  <w:tcW w:w="1583" w:type="pct"/>
                  <w:vAlign w:val="center"/>
                </w:tcPr>
                <w:p w14:paraId="0F0FD496">
                  <w:pPr>
                    <w:spacing w:line="240" w:lineRule="auto"/>
                    <w:ind w:firstLine="0" w:firstLineChars="0"/>
                    <w:jc w:val="center"/>
                    <w:rPr>
                      <w:sz w:val="21"/>
                      <w:szCs w:val="21"/>
                    </w:rPr>
                  </w:pPr>
                  <w:r>
                    <w:rPr>
                      <w:rFonts w:hint="eastAsia"/>
                      <w:sz w:val="21"/>
                      <w:szCs w:val="21"/>
                    </w:rPr>
                    <w:t>委托有资质单位处置。</w:t>
                  </w:r>
                </w:p>
              </w:tc>
            </w:tr>
          </w:tbl>
          <w:p w14:paraId="316CEBAE">
            <w:pPr>
              <w:pStyle w:val="14"/>
              <w:ind w:firstLine="0" w:firstLineChars="0"/>
              <w:rPr>
                <w:b/>
                <w:bCs/>
                <w:kern w:val="2"/>
                <w:sz w:val="24"/>
                <w:szCs w:val="24"/>
              </w:rPr>
            </w:pPr>
            <w:r>
              <w:rPr>
                <w:b/>
                <w:bCs/>
                <w:kern w:val="2"/>
                <w:sz w:val="24"/>
                <w:szCs w:val="24"/>
              </w:rPr>
              <w:t>危废暂存间设置</w:t>
            </w:r>
            <w:r>
              <w:rPr>
                <w:rFonts w:hint="eastAsia"/>
                <w:b/>
                <w:bCs/>
                <w:kern w:val="2"/>
                <w:sz w:val="24"/>
                <w:szCs w:val="24"/>
              </w:rPr>
              <w:t>要求：</w:t>
            </w:r>
          </w:p>
          <w:p w14:paraId="07591718">
            <w:pPr>
              <w:pStyle w:val="14"/>
              <w:ind w:firstLine="480"/>
              <w:jc w:val="both"/>
              <w:rPr>
                <w:rFonts w:hint="default" w:eastAsia="宋体"/>
                <w:sz w:val="24"/>
                <w:lang w:val="en-US" w:eastAsia="zh-CN"/>
              </w:rPr>
            </w:pPr>
            <w:r>
              <w:rPr>
                <w:rFonts w:hint="eastAsia"/>
                <w:sz w:val="24"/>
              </w:rPr>
              <w:t>项目区设置</w:t>
            </w:r>
            <w:r>
              <w:rPr>
                <w:rFonts w:hint="eastAsia"/>
                <w:sz w:val="24"/>
                <w:lang w:val="en-US" w:eastAsia="zh-CN"/>
              </w:rPr>
              <w:t>10m</w:t>
            </w:r>
            <w:r>
              <w:rPr>
                <w:rFonts w:hint="eastAsia"/>
                <w:sz w:val="24"/>
                <w:vertAlign w:val="superscript"/>
                <w:lang w:val="en-US" w:eastAsia="zh-CN"/>
              </w:rPr>
              <w:t>2</w:t>
            </w:r>
            <w:r>
              <w:rPr>
                <w:rFonts w:hint="eastAsia"/>
                <w:sz w:val="24"/>
              </w:rPr>
              <w:t>危废</w:t>
            </w:r>
            <w:r>
              <w:rPr>
                <w:rFonts w:hint="eastAsia"/>
                <w:sz w:val="24"/>
                <w:lang w:eastAsia="zh-CN"/>
              </w:rPr>
              <w:t>废物</w:t>
            </w:r>
            <w:r>
              <w:rPr>
                <w:rFonts w:hint="eastAsia"/>
                <w:sz w:val="24"/>
              </w:rPr>
              <w:t>暂存间</w:t>
            </w:r>
            <w:r>
              <w:rPr>
                <w:rFonts w:hint="eastAsia"/>
                <w:sz w:val="24"/>
                <w:lang w:eastAsia="zh-CN"/>
              </w:rPr>
              <w:t>，</w:t>
            </w:r>
            <w:r>
              <w:rPr>
                <w:rFonts w:hint="eastAsia"/>
                <w:sz w:val="24"/>
              </w:rPr>
              <w:t>应符合</w:t>
            </w:r>
            <w:r>
              <w:rPr>
                <w:sz w:val="24"/>
              </w:rPr>
              <w:t>《危险废物贮存污染控制标准》（GB18597-20</w:t>
            </w:r>
            <w:r>
              <w:rPr>
                <w:rFonts w:hint="eastAsia"/>
                <w:sz w:val="24"/>
              </w:rPr>
              <w:t>23</w:t>
            </w:r>
            <w:r>
              <w:rPr>
                <w:sz w:val="24"/>
              </w:rPr>
              <w:t>）的规定</w:t>
            </w:r>
            <w:r>
              <w:rPr>
                <w:rFonts w:hint="eastAsia"/>
                <w:sz w:val="24"/>
              </w:rPr>
              <w:t>，</w:t>
            </w:r>
            <w:r>
              <w:rPr>
                <w:sz w:val="24"/>
              </w:rPr>
              <w:t>场所建设要求应</w:t>
            </w:r>
            <w:r>
              <w:rPr>
                <w:sz w:val="24"/>
                <w:highlight w:val="none"/>
              </w:rPr>
              <w:t>当符合《危险废物贮存污染控制标准》</w:t>
            </w:r>
            <w:r>
              <w:rPr>
                <w:rFonts w:hint="eastAsia"/>
                <w:sz w:val="24"/>
                <w:highlight w:val="none"/>
                <w:lang w:eastAsia="zh-CN"/>
              </w:rPr>
              <w:t>（GB 18597-20</w:t>
            </w:r>
            <w:r>
              <w:rPr>
                <w:rFonts w:hint="eastAsia"/>
                <w:sz w:val="24"/>
                <w:highlight w:val="none"/>
                <w:lang w:val="en-US" w:eastAsia="zh-CN"/>
              </w:rPr>
              <w:t>23）</w:t>
            </w:r>
            <w:r>
              <w:rPr>
                <w:sz w:val="24"/>
              </w:rPr>
              <w:t>临时贮存</w:t>
            </w:r>
            <w:r>
              <w:rPr>
                <w:rFonts w:hint="eastAsia"/>
                <w:sz w:val="24"/>
              </w:rPr>
              <w:t>间</w:t>
            </w:r>
            <w:r>
              <w:rPr>
                <w:sz w:val="24"/>
              </w:rPr>
              <w:t>应设防渗、防淋、防起尘</w:t>
            </w:r>
            <w:r>
              <w:rPr>
                <w:rFonts w:hint="eastAsia"/>
                <w:sz w:val="24"/>
              </w:rPr>
              <w:t>等措施</w:t>
            </w:r>
            <w:r>
              <w:rPr>
                <w:sz w:val="24"/>
              </w:rPr>
              <w:t>。产生的危废及时交由有资质的单位进行处置</w:t>
            </w:r>
            <w:r>
              <w:rPr>
                <w:rFonts w:hint="eastAsia"/>
                <w:sz w:val="24"/>
                <w:lang w:eastAsia="zh-CN"/>
              </w:rPr>
              <w:t>，</w:t>
            </w:r>
            <w:r>
              <w:rPr>
                <w:rFonts w:hint="eastAsia"/>
                <w:sz w:val="24"/>
                <w:lang w:val="en-US" w:eastAsia="zh-CN"/>
              </w:rPr>
              <w:t>要求建设单位建设一座10m</w:t>
            </w:r>
            <w:r>
              <w:rPr>
                <w:rFonts w:hint="eastAsia"/>
                <w:sz w:val="24"/>
                <w:vertAlign w:val="superscript"/>
                <w:lang w:val="en-US" w:eastAsia="zh-CN"/>
              </w:rPr>
              <w:t>2</w:t>
            </w:r>
            <w:r>
              <w:rPr>
                <w:rFonts w:hint="eastAsia"/>
                <w:sz w:val="24"/>
                <w:lang w:val="en-US" w:eastAsia="zh-CN"/>
              </w:rPr>
              <w:t>危险废物暂存间一间进行危险废物暂存。</w:t>
            </w:r>
          </w:p>
          <w:p w14:paraId="7C5C51FA">
            <w:pPr>
              <w:pStyle w:val="14"/>
              <w:ind w:firstLine="480"/>
              <w:jc w:val="both"/>
              <w:rPr>
                <w:sz w:val="24"/>
              </w:rPr>
            </w:pPr>
            <w:r>
              <w:rPr>
                <w:sz w:val="24"/>
              </w:rPr>
              <w:t>根据《危险废物贮存污染控制标准》（GB18597-2023）及《危险废物转移联单管理办法》（国家环境保护总局令第5号）的要求，本报告对项目产生的危险废物的贮存、管理提出如下要求：</w:t>
            </w:r>
          </w:p>
          <w:p w14:paraId="21530719">
            <w:pPr>
              <w:pStyle w:val="14"/>
              <w:ind w:firstLine="480"/>
              <w:jc w:val="both"/>
              <w:rPr>
                <w:sz w:val="24"/>
              </w:rPr>
            </w:pPr>
            <w:r>
              <w:rPr>
                <w:sz w:val="24"/>
              </w:rPr>
              <w:t>①暂存设施要求：</w:t>
            </w:r>
          </w:p>
          <w:p w14:paraId="4A51535E">
            <w:pPr>
              <w:pStyle w:val="14"/>
              <w:ind w:firstLine="480"/>
              <w:jc w:val="both"/>
              <w:rPr>
                <w:sz w:val="24"/>
              </w:rPr>
            </w:pPr>
            <w:r>
              <w:rPr>
                <w:sz w:val="24"/>
              </w:rPr>
              <w:t>基础必须防渗，防渗层为至少1米厚</w:t>
            </w:r>
            <w:r>
              <w:rPr>
                <w:rFonts w:hint="eastAsia"/>
                <w:sz w:val="24"/>
                <w:lang w:eastAsia="zh-CN"/>
              </w:rPr>
              <w:t>黏土</w:t>
            </w:r>
            <w:r>
              <w:rPr>
                <w:sz w:val="24"/>
              </w:rPr>
              <w:t>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堆放危险废物的高度应根据地面承载能力确定，衬里放在一个基础或底座上，衬里要能够覆盖危险废物或其溶出物可能涉及的范围；衬里材料与堆放危险废物相容，在衬里上设计、建造浸出液收集清除系统，不相容的危险废物不能堆放在一起，总贮存量不超过300kg。</w:t>
            </w:r>
          </w:p>
          <w:p w14:paraId="1D833391">
            <w:pPr>
              <w:pStyle w:val="14"/>
              <w:ind w:firstLine="480"/>
              <w:jc w:val="both"/>
              <w:rPr>
                <w:sz w:val="24"/>
              </w:rPr>
            </w:pPr>
            <w:r>
              <w:rPr>
                <w:sz w:val="24"/>
              </w:rPr>
              <w:t>危险废物要放入符合标准的容器内，加上标签，容器放入坚固的柜或箱中，柜或箱应设在多个直径不少于30mm的排气孔，不相容危险废物要分别存放或存放在不渗透间隔分开的区域内，每个部分都应有防漏裙脚或储漏盘，防漏裙脚或储漏盘的材料要与危险废物相容。</w:t>
            </w:r>
          </w:p>
          <w:p w14:paraId="3F1C82BA">
            <w:pPr>
              <w:pStyle w:val="14"/>
              <w:ind w:firstLine="480"/>
              <w:jc w:val="both"/>
              <w:rPr>
                <w:sz w:val="24"/>
              </w:rPr>
            </w:pPr>
            <w:r>
              <w:rPr>
                <w:sz w:val="24"/>
              </w:rPr>
              <w:t>②管理要求：</w:t>
            </w:r>
          </w:p>
          <w:p w14:paraId="79CE028F">
            <w:pPr>
              <w:pStyle w:val="14"/>
              <w:ind w:firstLine="480"/>
              <w:jc w:val="both"/>
              <w:rPr>
                <w:sz w:val="24"/>
              </w:rPr>
            </w:pPr>
            <w:r>
              <w:rPr>
                <w:sz w:val="24"/>
              </w:rPr>
              <w:t>a.建危险废物贮存专用库房；</w:t>
            </w:r>
          </w:p>
          <w:p w14:paraId="7863C91F">
            <w:pPr>
              <w:pStyle w:val="14"/>
              <w:ind w:firstLine="480"/>
              <w:jc w:val="both"/>
              <w:rPr>
                <w:sz w:val="24"/>
              </w:rPr>
            </w:pPr>
            <w:r>
              <w:rPr>
                <w:sz w:val="24"/>
              </w:rPr>
              <w:t>b.废机油必须装入符合标准的容器内；</w:t>
            </w:r>
          </w:p>
          <w:p w14:paraId="21DE8C1A">
            <w:pPr>
              <w:pStyle w:val="14"/>
              <w:ind w:firstLine="480"/>
              <w:jc w:val="both"/>
              <w:rPr>
                <w:sz w:val="24"/>
              </w:rPr>
            </w:pPr>
            <w:r>
              <w:rPr>
                <w:sz w:val="24"/>
              </w:rPr>
              <w:t>c.装载危险废物的容器内必须留足够的空间，容器顶部与固体表面之间保留100mm以上的空间；</w:t>
            </w:r>
          </w:p>
          <w:p w14:paraId="246A5785">
            <w:pPr>
              <w:pStyle w:val="14"/>
              <w:ind w:firstLine="480"/>
              <w:jc w:val="both"/>
              <w:rPr>
                <w:sz w:val="24"/>
              </w:rPr>
            </w:pPr>
            <w:r>
              <w:rPr>
                <w:sz w:val="24"/>
              </w:rPr>
              <w:t>d.盛装危险废物的容器上必须粘贴符合《危险废物贮存污染控制标准》（GB18597-2023）附录A所示的标签。</w:t>
            </w:r>
          </w:p>
          <w:p w14:paraId="54C68BAE">
            <w:pPr>
              <w:pStyle w:val="14"/>
              <w:ind w:firstLine="480"/>
              <w:jc w:val="both"/>
              <w:rPr>
                <w:sz w:val="24"/>
              </w:rPr>
            </w:pPr>
            <w:r>
              <w:rPr>
                <w:sz w:val="24"/>
              </w:rPr>
              <w:t>e.危险废物贮存库房不得接收未粘贴上述规定的标签或标签填写不规范的危险废物；</w:t>
            </w:r>
          </w:p>
          <w:p w14:paraId="6675740E">
            <w:pPr>
              <w:pStyle w:val="14"/>
              <w:ind w:firstLine="480"/>
              <w:jc w:val="both"/>
              <w:rPr>
                <w:sz w:val="24"/>
              </w:rPr>
            </w:pPr>
            <w:r>
              <w:rPr>
                <w:sz w:val="24"/>
              </w:rPr>
              <w:t>f.必须</w:t>
            </w:r>
            <w:r>
              <w:rPr>
                <w:rFonts w:hint="eastAsia"/>
                <w:sz w:val="24"/>
                <w:lang w:eastAsia="zh-CN"/>
              </w:rPr>
              <w:t>做好－</w:t>
            </w:r>
            <w:r>
              <w:rPr>
                <w:sz w:val="24"/>
              </w:rPr>
              <w:t>危险废物记录，记录上须注明危险废物的名称、来源、数量、特性和包装容器的类别、入库日期、存放库位、废物出库日期及接收单位名称；危险废物的记录和货单在危险废物回取后应继续保留三年。</w:t>
            </w:r>
          </w:p>
          <w:p w14:paraId="481F0B90">
            <w:pPr>
              <w:pStyle w:val="14"/>
              <w:ind w:firstLine="480"/>
              <w:jc w:val="both"/>
              <w:rPr>
                <w:sz w:val="24"/>
              </w:rPr>
            </w:pPr>
            <w:r>
              <w:rPr>
                <w:sz w:val="24"/>
              </w:rPr>
              <w:t>g.必须定期对所贮存的危险废物包装容器及贮存设施进行检查，发现破损，应及时采取措施清理更换；</w:t>
            </w:r>
          </w:p>
          <w:p w14:paraId="041D36B1">
            <w:pPr>
              <w:pStyle w:val="14"/>
              <w:ind w:firstLine="480"/>
              <w:jc w:val="both"/>
              <w:rPr>
                <w:sz w:val="24"/>
              </w:rPr>
            </w:pPr>
            <w:r>
              <w:rPr>
                <w:sz w:val="24"/>
              </w:rPr>
              <w:t>h.危险废物贮存库房设置灭火器等防火设备，做好火灾的预防工作；</w:t>
            </w:r>
          </w:p>
          <w:p w14:paraId="1C5C5797">
            <w:pPr>
              <w:pStyle w:val="14"/>
              <w:ind w:firstLine="480"/>
              <w:jc w:val="both"/>
              <w:rPr>
                <w:sz w:val="24"/>
              </w:rPr>
            </w:pPr>
            <w:r>
              <w:rPr>
                <w:sz w:val="24"/>
              </w:rPr>
              <w:t>③转移要求：</w:t>
            </w:r>
          </w:p>
          <w:p w14:paraId="2E6974BD">
            <w:pPr>
              <w:pStyle w:val="14"/>
              <w:ind w:firstLine="480"/>
              <w:jc w:val="both"/>
              <w:rPr>
                <w:sz w:val="24"/>
              </w:rPr>
            </w:pPr>
            <w:r>
              <w:rPr>
                <w:sz w:val="24"/>
              </w:rPr>
              <w:t>a.在转移危险废物前，建设单位须按照国家有关规定报批危险废物转移计划；经批准后，产生单位应当向当地环境保护行政主管部门申请领取国务院环境保护部</w:t>
            </w:r>
            <w:r>
              <w:rPr>
                <w:rFonts w:hint="eastAsia"/>
                <w:sz w:val="24"/>
                <w:lang w:eastAsia="zh-CN"/>
              </w:rPr>
              <w:t>行政</w:t>
            </w:r>
            <w:r>
              <w:rPr>
                <w:sz w:val="24"/>
              </w:rPr>
              <w:t>主管部门，并同时将预期到达时间报告接受地环境保护行政主管部门。</w:t>
            </w:r>
          </w:p>
          <w:p w14:paraId="11E82E72">
            <w:pPr>
              <w:pStyle w:val="14"/>
              <w:ind w:firstLine="480"/>
              <w:jc w:val="both"/>
              <w:rPr>
                <w:sz w:val="24"/>
              </w:rPr>
            </w:pPr>
            <w:r>
              <w:rPr>
                <w:sz w:val="24"/>
              </w:rPr>
              <w:t>b.建设单位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14:paraId="6BE1722A">
            <w:pPr>
              <w:bidi w:val="0"/>
              <w:rPr>
                <w:rFonts w:hint="default"/>
                <w:lang w:val="en-US" w:eastAsia="zh-CN"/>
              </w:rPr>
            </w:pPr>
            <w:r>
              <w:rPr>
                <w:sz w:val="24"/>
              </w:rPr>
              <w:t>c.联单保存期限为五年；贮存危险废物的，其联单保存期限与危险废物贮存期限相同。综上所述，项目固废均妥善处置，对周围环境影响较小。</w:t>
            </w:r>
          </w:p>
          <w:p w14:paraId="38F55D98">
            <w:pPr>
              <w:ind w:firstLine="0" w:firstLineChars="0"/>
              <w:rPr>
                <w:rFonts w:hint="eastAsia"/>
                <w:b/>
                <w:bCs/>
                <w:kern w:val="0"/>
                <w:szCs w:val="20"/>
              </w:rPr>
            </w:pPr>
            <w:r>
              <w:rPr>
                <w:rFonts w:hint="eastAsia"/>
                <w:b/>
                <w:bCs/>
                <w:kern w:val="0"/>
                <w:szCs w:val="20"/>
                <w:lang w:val="en-US" w:eastAsia="zh-CN"/>
              </w:rPr>
              <w:t xml:space="preserve">5.生态环境影响分析 </w:t>
            </w:r>
          </w:p>
          <w:p w14:paraId="45115360">
            <w:pPr>
              <w:bidi w:val="0"/>
              <w:rPr>
                <w:rFonts w:hint="eastAsia"/>
              </w:rPr>
            </w:pPr>
            <w:r>
              <w:rPr>
                <w:rFonts w:hint="eastAsia"/>
                <w:lang w:val="en-US" w:eastAsia="zh-CN"/>
              </w:rPr>
              <w:t>采石的过程，一般都伴随着植被的破坏，表层上体的剥离，岩石的开采与破碎等过程。这些过程破坏了生态系统的稳定与良性循环，产生了一定的生态环境影响和危害。</w:t>
            </w:r>
          </w:p>
          <w:p w14:paraId="655BCBB0">
            <w:pPr>
              <w:ind w:firstLine="0" w:firstLineChars="0"/>
              <w:rPr>
                <w:rFonts w:hint="eastAsia"/>
                <w:b/>
                <w:bCs/>
                <w:kern w:val="0"/>
                <w:szCs w:val="20"/>
              </w:rPr>
            </w:pPr>
            <w:r>
              <w:rPr>
                <w:rFonts w:hint="eastAsia"/>
                <w:b/>
                <w:bCs/>
                <w:kern w:val="0"/>
                <w:szCs w:val="20"/>
                <w:lang w:val="en-US" w:eastAsia="zh-CN"/>
              </w:rPr>
              <w:t xml:space="preserve">5.1对植物的影响 </w:t>
            </w:r>
          </w:p>
          <w:p w14:paraId="6E4933B5">
            <w:pPr>
              <w:bidi w:val="0"/>
              <w:rPr>
                <w:rFonts w:hint="eastAsia"/>
                <w:b/>
                <w:bCs/>
                <w:kern w:val="0"/>
                <w:szCs w:val="20"/>
              </w:rPr>
            </w:pPr>
            <w:r>
              <w:rPr>
                <w:rFonts w:hint="eastAsia"/>
                <w:lang w:val="en-US" w:eastAsia="zh-CN"/>
              </w:rPr>
              <w:t>矿区地形平坦，矿体近水平层状产出，直接出露地表，剥离表土用于场地生态修复，矿体厚度为松散的堆积物，其土地类型主要是荒草地、荒山荒坡及裸地，植物种类较矿山开采过程中不可避免地要对地表植被造成破坏，另外，矿石堆场施工也会对植被占压和覆盖，造成局部植被覆盖率下降。但项目区域植被本身比较稀少项目在生产中通过厂区绿化和开采结束后合理的搭配不同种类的土著植物覆土恢复植被，可以恢复到项目区域原生植被覆盖率，经过一段时间后可逐渐恢复原有的生态环境，使区域内生态环境能够得到改善。</w:t>
            </w:r>
            <w:r>
              <w:rPr>
                <w:rFonts w:hint="eastAsia"/>
                <w:b/>
                <w:bCs/>
                <w:kern w:val="0"/>
                <w:szCs w:val="20"/>
                <w:lang w:val="en-US" w:eastAsia="zh-CN"/>
              </w:rPr>
              <w:t xml:space="preserve"> </w:t>
            </w:r>
          </w:p>
          <w:p w14:paraId="37EA7E4A">
            <w:pPr>
              <w:ind w:firstLine="0" w:firstLineChars="0"/>
              <w:rPr>
                <w:rFonts w:hint="eastAsia"/>
                <w:b/>
                <w:bCs/>
                <w:kern w:val="0"/>
                <w:szCs w:val="20"/>
              </w:rPr>
            </w:pPr>
            <w:r>
              <w:rPr>
                <w:rFonts w:hint="eastAsia"/>
                <w:b/>
                <w:bCs/>
                <w:kern w:val="0"/>
                <w:szCs w:val="20"/>
                <w:lang w:val="en-US" w:eastAsia="zh-CN"/>
              </w:rPr>
              <w:t xml:space="preserve">5.2对动物的影响 </w:t>
            </w:r>
          </w:p>
          <w:p w14:paraId="4AB30DB4">
            <w:pPr>
              <w:bidi w:val="0"/>
            </w:pPr>
            <w:r>
              <w:rPr>
                <w:rFonts w:hint="eastAsia"/>
                <w:lang w:val="en-US" w:eastAsia="zh-CN"/>
              </w:rPr>
              <w:t>采石场建设对植被破坏的同时，也破坏了原有生态环境小型野生动物的栖息环境，加上矿山施工机械噪声及人员活动产生的影响，对周围动物的生活造成干扰，使它们的生活受到威胁而迁徙，远离矿山施工地周围。在直接影响区，动物将</w:t>
            </w:r>
            <w:r>
              <w:rPr>
                <w:rFonts w:hint="eastAsia"/>
                <w:b w:val="0"/>
                <w:bCs w:val="0"/>
                <w:kern w:val="0"/>
                <w:szCs w:val="20"/>
                <w:lang w:val="en-US" w:eastAsia="zh-CN"/>
              </w:rPr>
              <w:t>不会出现。因此，矿山建设对评价区小型野生动物的类型及数量会产</w:t>
            </w:r>
            <w:r>
              <w:rPr>
                <w:lang w:val="en-US" w:eastAsia="zh-CN"/>
              </w:rPr>
              <w:t>生一定负面影响。但矿区分布的小型野生动物为当地常见类型，无国家和省级重点保护的野生动物，且由于当地人为活动频繁，这些动物已经对人为活动有一定的适应能力，因此，矿山生产不会造成该区域某一物种消失，对这些动物的生存影响较小</w:t>
            </w:r>
            <w:r>
              <w:rPr>
                <w:rFonts w:ascii="仿宋_GB2312" w:hAnsi="仿宋_GB2312" w:eastAsia="仿宋_GB2312" w:cs="仿宋_GB2312"/>
                <w:color w:val="000000"/>
                <w:kern w:val="0"/>
                <w:szCs w:val="24"/>
                <w:lang w:val="en-US" w:eastAsia="zh-CN" w:bidi="ar"/>
              </w:rPr>
              <w:t>。</w:t>
            </w:r>
          </w:p>
          <w:p w14:paraId="0456AD4F">
            <w:pPr>
              <w:ind w:firstLine="0" w:firstLineChars="0"/>
              <w:rPr>
                <w:rFonts w:hint="eastAsia"/>
                <w:b/>
                <w:bCs/>
                <w:kern w:val="0"/>
                <w:szCs w:val="20"/>
              </w:rPr>
            </w:pPr>
            <w:r>
              <w:rPr>
                <w:rFonts w:hint="default"/>
                <w:b/>
                <w:bCs/>
                <w:kern w:val="0"/>
                <w:szCs w:val="20"/>
                <w:lang w:val="en-US" w:eastAsia="zh-CN"/>
              </w:rPr>
              <w:t>5.3</w:t>
            </w:r>
            <w:r>
              <w:rPr>
                <w:rFonts w:hint="eastAsia"/>
                <w:b/>
                <w:bCs/>
                <w:kern w:val="0"/>
                <w:szCs w:val="20"/>
                <w:lang w:val="en-US" w:eastAsia="zh-CN"/>
              </w:rPr>
              <w:t>对景观的影响</w:t>
            </w:r>
          </w:p>
          <w:p w14:paraId="07EB3962">
            <w:pPr>
              <w:bidi w:val="0"/>
            </w:pPr>
            <w:r>
              <w:rPr>
                <w:lang w:val="en-US" w:eastAsia="zh-CN"/>
              </w:rPr>
              <w:t>拟建项目评价区范围内无自然风景区和名胜古迹，项目建设用地范围内无珍稀植物及古树名木，无风景名胜及特殊文物保护单位等视觉景观敏感点。因此对于较大范围的生态景观，以及景区风貌来说，影响面很小。但采石场的开采必会使当地的自然条件遭到破坏，直接影响原有景观。在雨天，随着砂石、泥土流失入山涧、河流，从而使河水浑浊度增加，也会造成视觉污染。采石场开采结束后通过对采场进行复垦绿化，植树种草，将形成新的人工绿色景观，对公路沿线景观影响很小，总体而言对景观影响很小</w:t>
            </w:r>
            <w:r>
              <w:rPr>
                <w:rFonts w:hint="eastAsia"/>
                <w:lang w:val="en-US" w:eastAsia="zh-CN"/>
              </w:rPr>
              <w:t>。</w:t>
            </w:r>
          </w:p>
          <w:p w14:paraId="65A75349">
            <w:pPr>
              <w:bidi w:val="0"/>
              <w:rPr>
                <w:rFonts w:hint="eastAsia"/>
                <w:b/>
                <w:bCs/>
                <w:kern w:val="0"/>
                <w:szCs w:val="20"/>
              </w:rPr>
            </w:pPr>
            <w:r>
              <w:rPr>
                <w:lang w:val="en-US" w:eastAsia="zh-CN"/>
              </w:rPr>
              <w:t>综上，项目应严格执行水土保持方案里面的水保措施，制定生态恢复计划，预留生态恢复的保障资金，采取边开采边恢复开采迹地植被的方法，通过采取有计划、有步骤的恢复植被措施，合理的搭配不同种类的土著植物，进行覆土恢复植被，采石对生态的影响可以得到减缓。</w:t>
            </w:r>
          </w:p>
          <w:p w14:paraId="07357C1C">
            <w:pPr>
              <w:numPr>
                <w:ilvl w:val="0"/>
                <w:numId w:val="0"/>
              </w:numPr>
              <w:ind w:firstLine="0" w:firstLineChars="0"/>
              <w:rPr>
                <w:rFonts w:hint="eastAsia"/>
                <w:b/>
                <w:bCs/>
                <w:kern w:val="0"/>
                <w:szCs w:val="20"/>
                <w:lang w:val="en-US" w:eastAsia="zh-CN"/>
              </w:rPr>
            </w:pPr>
            <w:r>
              <w:rPr>
                <w:rFonts w:hint="eastAsia" w:ascii="Times New Roman" w:hAnsi="Times New Roman" w:eastAsia="宋体" w:cstheme="minorBidi"/>
                <w:b/>
                <w:bCs/>
                <w:kern w:val="0"/>
                <w:sz w:val="24"/>
                <w:szCs w:val="20"/>
                <w:lang w:val="en-US" w:eastAsia="zh-CN" w:bidi="ar-SA"/>
              </w:rPr>
              <w:t>6、</w:t>
            </w:r>
            <w:r>
              <w:rPr>
                <w:rFonts w:hint="eastAsia"/>
                <w:b/>
                <w:bCs/>
                <w:kern w:val="0"/>
                <w:szCs w:val="20"/>
                <w:lang w:val="en-US" w:eastAsia="zh-CN"/>
              </w:rPr>
              <w:t>闭矿期环境影响分析</w:t>
            </w:r>
          </w:p>
          <w:p w14:paraId="0E4419CD">
            <w:pPr>
              <w:numPr>
                <w:ilvl w:val="0"/>
                <w:numId w:val="0"/>
              </w:numPr>
              <w:bidi w:val="0"/>
              <w:ind w:firstLine="480" w:firstLineChars="200"/>
              <w:rPr>
                <w:rFonts w:hint="default"/>
                <w:lang w:val="en-US" w:eastAsia="zh-CN"/>
              </w:rPr>
            </w:pPr>
            <w:r>
              <w:rPr>
                <w:rFonts w:hint="default"/>
                <w:lang w:val="en-US" w:eastAsia="zh-CN"/>
              </w:rPr>
              <w:t>矿区采取“边开采、边治理”的措施，矿区开采完成后，矿区的开采，对原地表形态、地层层序等造成直接的破坏，将会形成露天采坑。该露天采坑将会使施工区域内的自然景观和地形地貌有所变化。闭矿后，对矿区各种临时建筑均进行拆除，并进行场地平整。使用废矿石对采坑进行回填，同时进行边坡修复。在恢复初期使地形地貌与周边生态环境相协调。恢复后期进行表土覆盖并播撒草籽对矿区用地进行生态和景观恢复，使矿区土地复垦方向尽可能与原土地利用方式保持一致。矿区内损毁的土地属于天然牧草地，复垦方向也为</w:t>
            </w:r>
            <w:r>
              <w:rPr>
                <w:rFonts w:hint="eastAsia"/>
                <w:lang w:val="en-US" w:eastAsia="zh-CN"/>
              </w:rPr>
              <w:t>其它</w:t>
            </w:r>
            <w:r>
              <w:rPr>
                <w:rFonts w:hint="default"/>
                <w:lang w:val="en-US" w:eastAsia="zh-CN"/>
              </w:rPr>
              <w:t>草地，以保证原矿区所占用土地利用方向具有持续生产能力。闭矿期，相关环境监管由昌吉回族自治州生态环境局吉木萨尔县分局监管。</w:t>
            </w:r>
          </w:p>
          <w:p w14:paraId="1F48AF4E">
            <w:pPr>
              <w:numPr>
                <w:ilvl w:val="0"/>
                <w:numId w:val="0"/>
              </w:numPr>
              <w:bidi w:val="0"/>
              <w:ind w:firstLine="480" w:firstLineChars="200"/>
              <w:rPr>
                <w:rFonts w:hint="default"/>
                <w:lang w:val="en-US" w:eastAsia="zh-CN"/>
              </w:rPr>
            </w:pPr>
            <w:r>
              <w:rPr>
                <w:rFonts w:hint="default"/>
                <w:lang w:val="en-US" w:eastAsia="zh-CN"/>
              </w:rPr>
              <w:t>开采完成的区域，通过边坡、断面防护，播撒草籽、恢复种植当地常见草种的措施进行生态恢复后，项目运营期对周围环境影响不大。</w:t>
            </w:r>
          </w:p>
          <w:p w14:paraId="628DA7D8">
            <w:pPr>
              <w:ind w:firstLine="0" w:firstLineChars="0"/>
              <w:rPr>
                <w:b/>
                <w:bCs/>
                <w:kern w:val="0"/>
                <w:szCs w:val="20"/>
              </w:rPr>
            </w:pPr>
            <w:r>
              <w:rPr>
                <w:rFonts w:hint="eastAsia"/>
                <w:b/>
                <w:bCs/>
                <w:kern w:val="0"/>
                <w:szCs w:val="20"/>
                <w:lang w:val="en-US" w:eastAsia="zh-CN"/>
              </w:rPr>
              <w:t>6</w:t>
            </w:r>
            <w:r>
              <w:rPr>
                <w:b/>
                <w:bCs/>
                <w:kern w:val="0"/>
                <w:szCs w:val="20"/>
              </w:rPr>
              <w:t>、环境风险评价</w:t>
            </w:r>
          </w:p>
          <w:p w14:paraId="04B7E9BE">
            <w:pPr>
              <w:ind w:left="0" w:leftChars="0" w:firstLine="0" w:firstLineChars="0"/>
              <w:rPr>
                <w:b/>
                <w:bCs/>
              </w:rPr>
            </w:pPr>
            <w:r>
              <w:rPr>
                <w:rFonts w:hint="eastAsia"/>
                <w:b/>
                <w:bCs/>
                <w:lang w:val="en-US" w:eastAsia="zh-CN"/>
              </w:rPr>
              <w:t>6</w:t>
            </w:r>
            <w:r>
              <w:rPr>
                <w:b/>
                <w:bCs/>
              </w:rPr>
              <w:t>.1</w:t>
            </w:r>
            <w:r>
              <w:rPr>
                <w:rFonts w:hint="eastAsia"/>
                <w:b/>
                <w:bCs/>
              </w:rPr>
              <w:t>风险源及可能产生的影响</w:t>
            </w:r>
          </w:p>
          <w:p w14:paraId="45DF3525">
            <w:pPr>
              <w:ind w:firstLine="480"/>
            </w:pPr>
            <w:r>
              <w:rPr>
                <w:rFonts w:hint="eastAsia"/>
              </w:rPr>
              <w:t>项目运营期风险来源主要为设备维修产生的废机油。</w:t>
            </w:r>
          </w:p>
          <w:p w14:paraId="0414D04C">
            <w:pPr>
              <w:ind w:firstLine="480"/>
              <w:rPr>
                <w:rFonts w:hint="eastAsia" w:eastAsia="宋体"/>
                <w:lang w:eastAsia="zh-CN"/>
              </w:rPr>
            </w:pPr>
            <w:r>
              <w:t>废机油含有多种有毒物质，油品的乳化稳定性、含油量、COD值、色度等</w:t>
            </w:r>
            <w:r>
              <w:rPr>
                <w:rFonts w:hint="eastAsia"/>
                <w:lang w:eastAsia="zh-CN"/>
              </w:rPr>
              <w:t>较</w:t>
            </w:r>
            <w:r>
              <w:t>高，同时含有大量表面活性剂，泄漏后流入自然环境中</w:t>
            </w:r>
            <w:r>
              <w:rPr>
                <w:rFonts w:hint="eastAsia"/>
                <w:lang w:eastAsia="zh-CN"/>
              </w:rPr>
              <w:t>可能会</w:t>
            </w:r>
            <w:r>
              <w:t>污染土壤、地下水</w:t>
            </w:r>
            <w:r>
              <w:rPr>
                <w:rFonts w:hint="eastAsia"/>
                <w:lang w:eastAsia="zh-CN"/>
              </w:rPr>
              <w:t>。</w:t>
            </w:r>
          </w:p>
          <w:p w14:paraId="0D743604">
            <w:pPr>
              <w:ind w:left="0" w:leftChars="0" w:firstLine="0" w:firstLineChars="0"/>
              <w:rPr>
                <w:b/>
                <w:bCs/>
              </w:rPr>
            </w:pPr>
            <w:r>
              <w:rPr>
                <w:rFonts w:hint="eastAsia"/>
                <w:b/>
                <w:bCs/>
                <w:lang w:val="en-US" w:eastAsia="zh-CN"/>
              </w:rPr>
              <w:t>6</w:t>
            </w:r>
            <w:r>
              <w:rPr>
                <w:b/>
                <w:bCs/>
              </w:rPr>
              <w:t>.2风险防范措施</w:t>
            </w:r>
          </w:p>
          <w:p w14:paraId="38FDFA4C">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废润滑油</w:t>
            </w:r>
            <w:r>
              <w:rPr>
                <w:rFonts w:hint="eastAsia" w:ascii="宋体" w:hAnsi="宋体" w:eastAsia="宋体" w:cs="宋体"/>
                <w:sz w:val="24"/>
                <w:szCs w:val="24"/>
                <w:lang w:val="en-US" w:eastAsia="zh-CN"/>
              </w:rPr>
              <w:t>放置区域外按照规范标注危险服务贮存场所危险类别及要求：禁止烟火、危险废物、易燃易爆、必须穿戴防护用品、必须</w:t>
            </w:r>
            <w:r>
              <w:rPr>
                <w:rFonts w:hint="eastAsia" w:ascii="宋体" w:hAnsi="宋体" w:cs="宋体"/>
                <w:sz w:val="24"/>
                <w:szCs w:val="24"/>
                <w:lang w:val="en-US" w:eastAsia="zh-CN"/>
              </w:rPr>
              <w:t>戴</w:t>
            </w:r>
            <w:r>
              <w:rPr>
                <w:rFonts w:hint="eastAsia" w:ascii="宋体" w:hAnsi="宋体" w:eastAsia="宋体" w:cs="宋体"/>
                <w:sz w:val="24"/>
                <w:szCs w:val="24"/>
                <w:lang w:val="en-US" w:eastAsia="zh-CN"/>
              </w:rPr>
              <w:t>防火帽、闲人免进。</w:t>
            </w:r>
          </w:p>
          <w:p w14:paraId="0A669E8F">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（2）设置干粉灭火器。</w:t>
            </w:r>
          </w:p>
          <w:p w14:paraId="234C5ED4">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（3）建立防火档案，确定本项目的消防安全重点部位，并设置防火标志，实行严格管理。</w:t>
            </w:r>
          </w:p>
          <w:p w14:paraId="55619DAD">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（4）制定灭火应急疏散预案，定期举行安全消防演练。</w:t>
            </w:r>
          </w:p>
          <w:p w14:paraId="06ACA311">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宋体" w:hAnsi="宋体" w:eastAsia="宋体" w:cs="宋体"/>
                <w:sz w:val="24"/>
                <w:szCs w:val="24"/>
                <w:lang w:val="en-US" w:eastAsia="zh-CN"/>
              </w:rPr>
              <w:t>（5）</w:t>
            </w:r>
            <w:r>
              <w:rPr>
                <w:rFonts w:hint="eastAsia" w:ascii="Times New Roman" w:hAnsi="Times New Roman" w:cs="Times New Roman"/>
                <w:sz w:val="24"/>
                <w:highlight w:val="none"/>
                <w:lang w:val="en-US" w:eastAsia="zh-CN"/>
              </w:rPr>
              <w:t>控制油品的暂存量，并及时委托有资质的单位外运处置。</w:t>
            </w:r>
          </w:p>
          <w:p w14:paraId="428DAE2F">
            <w:pPr>
              <w:bidi w:val="0"/>
              <w:rPr>
                <w:rFonts w:hint="eastAsia"/>
                <w:lang w:val="en-US" w:eastAsia="zh-CN"/>
              </w:rPr>
            </w:pPr>
            <w:r>
              <w:rPr>
                <w:rFonts w:hint="eastAsia"/>
                <w:lang w:val="en-US" w:eastAsia="zh-CN"/>
              </w:rPr>
              <w:t>（6）</w:t>
            </w:r>
            <w:r>
              <w:rPr>
                <w:rFonts w:hint="eastAsia" w:ascii="宋体" w:hAnsi="宋体" w:cs="宋体"/>
                <w:sz w:val="24"/>
              </w:rPr>
              <w:t>编制《企业突发环境事件应急预案》，建立环境风险防控和应急措施制度，明确环境风险防控重点岗位的责任机构</w:t>
            </w:r>
          </w:p>
          <w:p w14:paraId="2333E450">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7</w:t>
            </w:r>
            <w:r>
              <w:rPr>
                <w:rFonts w:hint="eastAsia" w:ascii="Times New Roman" w:hAnsi="Times New Roman" w:cs="Times New Roman"/>
                <w:sz w:val="24"/>
                <w:highlight w:val="none"/>
                <w:lang w:val="en-US" w:eastAsia="zh-CN"/>
              </w:rPr>
              <w:t>）根据《环境影响评价技术导则 地下水环境》(HJ 610-2016) 要求提出相应的分区防渗要求，详见表4-9。</w:t>
            </w:r>
          </w:p>
          <w:p w14:paraId="56E3D7DD">
            <w:pPr>
              <w:pStyle w:val="17"/>
              <w:spacing w:after="0" w:line="240" w:lineRule="auto"/>
              <w:ind w:firstLine="0" w:firstLineChars="0"/>
              <w:jc w:val="center"/>
              <w:rPr>
                <w:rFonts w:hint="eastAsia" w:eastAsia="宋体"/>
                <w:lang w:val="en-US" w:eastAsia="zh-CN"/>
              </w:rPr>
            </w:pPr>
            <w:r>
              <w:rPr>
                <w:b/>
                <w:color w:val="000000"/>
              </w:rPr>
              <w:t>表4-</w:t>
            </w:r>
            <w:r>
              <w:rPr>
                <w:rFonts w:hint="eastAsia"/>
                <w:b/>
                <w:color w:val="000000"/>
                <w:lang w:val="en-US" w:eastAsia="zh-CN"/>
              </w:rPr>
              <w:t xml:space="preserve">9 </w:t>
            </w:r>
            <w:r>
              <w:rPr>
                <w:rFonts w:hint="eastAsia"/>
                <w:b/>
                <w:color w:val="000000"/>
                <w:lang w:eastAsia="zh-CN"/>
              </w:rPr>
              <w:t>各功能防渗分区要求</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6"/>
              <w:gridCol w:w="2586"/>
              <w:gridCol w:w="2586"/>
            </w:tblGrid>
            <w:tr w14:paraId="734C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9620BEF">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防渗分区</w:t>
                  </w:r>
                </w:p>
              </w:tc>
              <w:tc>
                <w:tcPr>
                  <w:tcW w:w="1666" w:type="pct"/>
                </w:tcPr>
                <w:p w14:paraId="41771A2A">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具体区域</w:t>
                  </w:r>
                </w:p>
              </w:tc>
              <w:tc>
                <w:tcPr>
                  <w:tcW w:w="1666" w:type="pct"/>
                </w:tcPr>
                <w:p w14:paraId="14ADFAC2">
                  <w:pPr>
                    <w:spacing w:line="240" w:lineRule="auto"/>
                    <w:ind w:firstLine="0" w:firstLineChars="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防渗技术要求</w:t>
                  </w:r>
                </w:p>
              </w:tc>
            </w:tr>
            <w:tr w14:paraId="4402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66" w:type="pct"/>
                  <w:vAlign w:val="center"/>
                </w:tcPr>
                <w:p w14:paraId="0FC3860A">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重点防渗区</w:t>
                  </w:r>
                </w:p>
              </w:tc>
              <w:tc>
                <w:tcPr>
                  <w:tcW w:w="1666" w:type="pct"/>
                  <w:vAlign w:val="center"/>
                </w:tcPr>
                <w:p w14:paraId="2382DF9E">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危废暂存间</w:t>
                  </w:r>
                </w:p>
              </w:tc>
              <w:tc>
                <w:tcPr>
                  <w:tcW w:w="1666" w:type="pct"/>
                  <w:vAlign w:val="center"/>
                </w:tcPr>
                <w:p w14:paraId="5A7588DC">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贮存的危险废物直 接接触地面的，还应进行基础防渗，防渗层为至少1m厚黏土层（渗透系数不大于10</w:t>
                  </w:r>
                  <w:r>
                    <w:rPr>
                      <w:rFonts w:hint="eastAsia" w:ascii="Times New Roman" w:hAnsi="Times New Roman" w:eastAsia="宋体" w:cs="Times New Roman"/>
                      <w:sz w:val="21"/>
                      <w:szCs w:val="21"/>
                      <w:vertAlign w:val="superscript"/>
                      <w:lang w:val="en-US" w:eastAsia="zh-CN"/>
                    </w:rPr>
                    <w:t>-7</w:t>
                  </w:r>
                  <w:r>
                    <w:rPr>
                      <w:rFonts w:hint="eastAsia" w:ascii="Times New Roman" w:hAnsi="Times New Roman" w:eastAsia="宋体" w:cs="Times New Roman"/>
                      <w:sz w:val="21"/>
                      <w:szCs w:val="21"/>
                      <w:lang w:val="en-US" w:eastAsia="zh-CN"/>
                    </w:rPr>
                    <w:t>cm/s），或至少2mm厚高密度聚乙烯膜等人工防渗材料（渗透系数不大于10</w:t>
                  </w:r>
                  <w:r>
                    <w:rPr>
                      <w:rFonts w:hint="eastAsia" w:ascii="Times New Roman" w:hAnsi="Times New Roman" w:eastAsia="宋体" w:cs="Times New Roman"/>
                      <w:sz w:val="21"/>
                      <w:szCs w:val="21"/>
                      <w:vertAlign w:val="superscript"/>
                      <w:lang w:val="en-US" w:eastAsia="zh-CN"/>
                    </w:rPr>
                    <w:t>-10</w:t>
                  </w:r>
                  <w:r>
                    <w:rPr>
                      <w:rFonts w:hint="eastAsia" w:ascii="Times New Roman" w:hAnsi="Times New Roman" w:eastAsia="宋体" w:cs="Times New Roman"/>
                      <w:sz w:val="21"/>
                      <w:szCs w:val="21"/>
                      <w:lang w:val="en-US" w:eastAsia="zh-CN"/>
                    </w:rPr>
                    <w:t>cm/s），或其他防渗性能等效的材料</w:t>
                  </w:r>
                </w:p>
              </w:tc>
            </w:tr>
            <w:tr w14:paraId="6B83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66" w:type="pct"/>
                  <w:vAlign w:val="center"/>
                </w:tcPr>
                <w:p w14:paraId="03A9C4CC">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一般防渗区</w:t>
                  </w:r>
                </w:p>
              </w:tc>
              <w:tc>
                <w:tcPr>
                  <w:tcW w:w="1666" w:type="pct"/>
                  <w:vAlign w:val="center"/>
                </w:tcPr>
                <w:p w14:paraId="43CD722B">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三级沉淀池</w:t>
                  </w:r>
                  <w:r>
                    <w:rPr>
                      <w:rFonts w:hint="eastAsia" w:cs="Times New Roman"/>
                      <w:sz w:val="21"/>
                      <w:szCs w:val="21"/>
                      <w:lang w:val="en-US" w:eastAsia="zh-CN"/>
                    </w:rPr>
                    <w:t>、一般工业固废暂存场</w:t>
                  </w:r>
                </w:p>
              </w:tc>
              <w:tc>
                <w:tcPr>
                  <w:tcW w:w="1666" w:type="pct"/>
                  <w:vAlign w:val="center"/>
                </w:tcPr>
                <w:p w14:paraId="072FF2C8">
                  <w:pPr>
                    <w:spacing w:line="240" w:lineRule="auto"/>
                    <w:ind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当天然基础层饱和渗透系数不大于1.0×10</w:t>
                  </w:r>
                  <w:r>
                    <w:rPr>
                      <w:rFonts w:hint="default" w:ascii="Times New Roman" w:hAnsi="Times New Roman" w:eastAsia="宋体" w:cs="Times New Roman"/>
                      <w:sz w:val="21"/>
                      <w:szCs w:val="21"/>
                      <w:vertAlign w:val="superscript"/>
                      <w:lang w:val="en-US" w:eastAsia="zh-CN"/>
                    </w:rPr>
                    <w:t>-5</w:t>
                  </w:r>
                  <w:r>
                    <w:rPr>
                      <w:rFonts w:hint="default" w:ascii="Times New Roman" w:hAnsi="Times New Roman" w:eastAsia="宋体" w:cs="Times New Roman"/>
                      <w:sz w:val="21"/>
                      <w:szCs w:val="21"/>
                      <w:lang w:val="en-US" w:eastAsia="zh-CN"/>
                    </w:rPr>
                    <w:t>cm/s，且厚度不小于0.75m时，可以采用天然基础层作为防渗衬层。</w:t>
                  </w:r>
                  <w:r>
                    <w:rPr>
                      <w:rFonts w:hint="eastAsia" w:ascii="Times New Roman" w:hAnsi="Times New Roman" w:eastAsia="宋体" w:cs="Times New Roman"/>
                      <w:sz w:val="21"/>
                      <w:szCs w:val="21"/>
                      <w:lang w:val="en-US" w:eastAsia="zh-CN"/>
                    </w:rPr>
                    <w:t>当天然基础层不能满足天然层防渗要求时，可采用改性压实粘土类衬层或具有同等以 上隔水效力的其他材料防渗衬层，其防渗性能应至少相当于渗透系数为1.0×10</w:t>
                  </w:r>
                  <w:r>
                    <w:rPr>
                      <w:rFonts w:hint="eastAsia" w:ascii="Times New Roman" w:hAnsi="Times New Roman" w:eastAsia="宋体" w:cs="Times New Roman"/>
                      <w:sz w:val="21"/>
                      <w:szCs w:val="21"/>
                      <w:vertAlign w:val="superscript"/>
                      <w:lang w:val="en-US" w:eastAsia="zh-CN"/>
                    </w:rPr>
                    <w:t>-5</w:t>
                  </w:r>
                  <w:r>
                    <w:rPr>
                      <w:rFonts w:hint="eastAsia" w:ascii="Times New Roman" w:hAnsi="Times New Roman" w:eastAsia="宋体" w:cs="Times New Roman"/>
                      <w:sz w:val="21"/>
                      <w:szCs w:val="21"/>
                      <w:lang w:val="en-US" w:eastAsia="zh-CN"/>
                    </w:rPr>
                    <w:t>cm/s且厚度为0.75m的天然基础层。</w:t>
                  </w:r>
                </w:p>
              </w:tc>
            </w:tr>
            <w:tr w14:paraId="28D47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666" w:type="pct"/>
                  <w:vAlign w:val="center"/>
                </w:tcPr>
                <w:p w14:paraId="4378016D">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简单防渗区</w:t>
                  </w:r>
                </w:p>
              </w:tc>
              <w:tc>
                <w:tcPr>
                  <w:tcW w:w="1666" w:type="pct"/>
                  <w:vAlign w:val="center"/>
                </w:tcPr>
                <w:p w14:paraId="105ED0F8">
                  <w:pPr>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生产车间、办公楼</w:t>
                  </w:r>
                </w:p>
              </w:tc>
              <w:tc>
                <w:tcPr>
                  <w:tcW w:w="1666" w:type="pct"/>
                  <w:vAlign w:val="center"/>
                </w:tcPr>
                <w:p w14:paraId="3D987123">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一般地面硬化防渗处理</w:t>
                  </w:r>
                </w:p>
              </w:tc>
            </w:tr>
          </w:tbl>
          <w:p w14:paraId="4D8C5AA8">
            <w:pPr>
              <w:ind w:left="0" w:leftChars="0" w:firstLine="0" w:firstLineChars="0"/>
              <w:rPr>
                <w:b/>
                <w:bCs/>
              </w:rPr>
            </w:pPr>
            <w:r>
              <w:rPr>
                <w:rFonts w:hint="eastAsia"/>
                <w:b/>
                <w:bCs/>
                <w:lang w:val="en-US" w:eastAsia="zh-CN"/>
              </w:rPr>
              <w:t>6</w:t>
            </w:r>
            <w:r>
              <w:rPr>
                <w:b/>
                <w:bCs/>
              </w:rPr>
              <w:t>.</w:t>
            </w:r>
            <w:r>
              <w:rPr>
                <w:rFonts w:hint="eastAsia"/>
                <w:b/>
                <w:bCs/>
              </w:rPr>
              <w:t>3</w:t>
            </w:r>
            <w:r>
              <w:rPr>
                <w:b/>
                <w:bCs/>
              </w:rPr>
              <w:t>环境风险管理</w:t>
            </w:r>
          </w:p>
          <w:p w14:paraId="11B2F643">
            <w:pPr>
              <w:numPr>
                <w:ilvl w:val="0"/>
                <w:numId w:val="0"/>
              </w:numPr>
              <w:spacing w:line="360" w:lineRule="auto"/>
              <w:ind w:firstLine="480" w:firstLineChars="200"/>
              <w:rPr>
                <w:rFonts w:hint="eastAsia"/>
                <w:sz w:val="24"/>
                <w:highlight w:val="none"/>
                <w:lang w:eastAsia="zh-CN"/>
              </w:rPr>
            </w:pPr>
            <w:r>
              <w:rPr>
                <w:rFonts w:hint="eastAsia"/>
                <w:sz w:val="24"/>
                <w:highlight w:val="none"/>
                <w:lang w:val="en-US" w:eastAsia="zh-CN"/>
              </w:rPr>
              <w:t>为处理好建设项目运营期与环境保护的关系，实现该项目社会效益、经济效益和环境效益的统一，必须加大其保护与监管力度，同时</w:t>
            </w:r>
            <w:r>
              <w:rPr>
                <w:rFonts w:hint="eastAsia"/>
                <w:sz w:val="24"/>
                <w:highlight w:val="none"/>
              </w:rPr>
              <w:t>为加强项目营运期各类环保设施的正常运行与管理维护，同时</w:t>
            </w:r>
            <w:r>
              <w:rPr>
                <w:rFonts w:hint="eastAsia"/>
                <w:sz w:val="24"/>
                <w:highlight w:val="none"/>
                <w:lang w:eastAsia="zh-CN"/>
              </w:rPr>
              <w:t>增强</w:t>
            </w:r>
            <w:r>
              <w:rPr>
                <w:rFonts w:hint="eastAsia"/>
                <w:sz w:val="24"/>
                <w:highlight w:val="none"/>
              </w:rPr>
              <w:t>员工的环保意识和对环保规划的实施，建设单位应设置专人1-2人负责运营期环境保护事宜</w:t>
            </w:r>
            <w:r>
              <w:rPr>
                <w:rFonts w:hint="eastAsia"/>
                <w:sz w:val="24"/>
                <w:highlight w:val="none"/>
                <w:lang w:eastAsia="zh-CN"/>
              </w:rPr>
              <w:t>，其主要职责如下：</w:t>
            </w:r>
          </w:p>
          <w:p w14:paraId="25018EF9">
            <w:pPr>
              <w:pStyle w:val="14"/>
              <w:ind w:firstLine="480"/>
              <w:jc w:val="both"/>
              <w:rPr>
                <w:rFonts w:hint="eastAsia"/>
                <w:sz w:val="24"/>
              </w:rPr>
            </w:pPr>
            <w:r>
              <w:rPr>
                <w:rFonts w:hint="eastAsia"/>
                <w:sz w:val="24"/>
              </w:rPr>
              <w:t>（1）贯彻执行环境保护法规和标准；</w:t>
            </w:r>
          </w:p>
          <w:p w14:paraId="29CC8D6A">
            <w:pPr>
              <w:pStyle w:val="14"/>
              <w:ind w:firstLine="480"/>
              <w:jc w:val="both"/>
              <w:rPr>
                <w:rFonts w:hint="eastAsia"/>
                <w:sz w:val="24"/>
              </w:rPr>
            </w:pPr>
            <w:r>
              <w:rPr>
                <w:rFonts w:hint="eastAsia"/>
                <w:sz w:val="24"/>
              </w:rPr>
              <w:t>（2）开展环境保护教育和培训，增强管理人员的环保意识；</w:t>
            </w:r>
          </w:p>
          <w:p w14:paraId="5DE8088A">
            <w:pPr>
              <w:pStyle w:val="14"/>
              <w:ind w:firstLine="480"/>
              <w:jc w:val="both"/>
              <w:rPr>
                <w:rFonts w:hint="eastAsia"/>
                <w:sz w:val="24"/>
              </w:rPr>
            </w:pPr>
            <w:r>
              <w:rPr>
                <w:rFonts w:hint="eastAsia"/>
                <w:sz w:val="24"/>
              </w:rPr>
              <w:t>（3）保证各环境保护治理设施的正常运行，并负责污染事故的应急处理；</w:t>
            </w:r>
          </w:p>
          <w:p w14:paraId="24EA0A09">
            <w:pPr>
              <w:pStyle w:val="14"/>
              <w:ind w:firstLine="480"/>
              <w:jc w:val="both"/>
              <w:rPr>
                <w:rFonts w:hint="eastAsia"/>
                <w:sz w:val="24"/>
              </w:rPr>
            </w:pPr>
            <w:r>
              <w:rPr>
                <w:rFonts w:hint="eastAsia"/>
                <w:sz w:val="24"/>
              </w:rPr>
              <w:t>（4）认真落实环境污染的治理措施，保证环保设施的持续、正常运行，生活垃圾日常应做到定期、及时清理，环保设施保证达到环保要求的处理效率。若设施出现问题，要及时处理，避免污染物的直接排放；</w:t>
            </w:r>
          </w:p>
          <w:p w14:paraId="1D8D4BEF">
            <w:pPr>
              <w:pStyle w:val="14"/>
              <w:ind w:firstLine="480"/>
              <w:jc w:val="both"/>
              <w:rPr>
                <w:rFonts w:hint="eastAsia"/>
                <w:sz w:val="24"/>
              </w:rPr>
            </w:pPr>
            <w:r>
              <w:rPr>
                <w:rFonts w:hint="eastAsia"/>
                <w:sz w:val="24"/>
              </w:rPr>
              <w:t>（5）负责环境管理及监测档案管理和统计上报；</w:t>
            </w:r>
          </w:p>
          <w:p w14:paraId="15FAA138">
            <w:pPr>
              <w:pStyle w:val="14"/>
              <w:ind w:firstLine="480"/>
              <w:jc w:val="both"/>
              <w:rPr>
                <w:rFonts w:hint="eastAsia"/>
                <w:sz w:val="24"/>
              </w:rPr>
            </w:pPr>
            <w:r>
              <w:rPr>
                <w:rFonts w:hint="eastAsia"/>
                <w:sz w:val="24"/>
              </w:rPr>
              <w:t>（6）接受环保部门指导工作和监督、管理。</w:t>
            </w:r>
          </w:p>
          <w:p w14:paraId="2DF146C4">
            <w:pPr>
              <w:pStyle w:val="14"/>
              <w:ind w:firstLine="480"/>
              <w:jc w:val="both"/>
              <w:rPr>
                <w:sz w:val="24"/>
              </w:rPr>
            </w:pPr>
            <w:r>
              <w:rPr>
                <w:rFonts w:hint="eastAsia"/>
                <w:sz w:val="24"/>
              </w:rPr>
              <w:t>（</w:t>
            </w:r>
            <w:r>
              <w:rPr>
                <w:rFonts w:hint="eastAsia"/>
                <w:sz w:val="24"/>
                <w:lang w:val="en-US" w:eastAsia="zh-CN"/>
              </w:rPr>
              <w:t>7</w:t>
            </w:r>
            <w:r>
              <w:rPr>
                <w:rFonts w:hint="eastAsia"/>
                <w:sz w:val="24"/>
              </w:rPr>
              <w:t>）编制《企业突发环境事件应急预案》，建立环境风险防控和应急措施制度，明确环境风险防控重点岗位的责任机构。</w:t>
            </w:r>
          </w:p>
          <w:p w14:paraId="6697EA95">
            <w:pPr>
              <w:bidi w:val="0"/>
              <w:rPr>
                <w:rFonts w:hint="default"/>
                <w:lang w:val="en-US" w:eastAsia="zh-CN"/>
              </w:rPr>
            </w:pPr>
          </w:p>
        </w:tc>
      </w:tr>
      <w:tr w14:paraId="7B75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35" w:type="dxa"/>
            <w:vAlign w:val="center"/>
          </w:tcPr>
          <w:p w14:paraId="6260CE08">
            <w:pPr>
              <w:pStyle w:val="28"/>
              <w:rPr>
                <w:rFonts w:hint="default"/>
              </w:rPr>
            </w:pPr>
            <w:r>
              <w:t>选址选线环境合理性分析</w:t>
            </w:r>
          </w:p>
        </w:tc>
        <w:tc>
          <w:tcPr>
            <w:tcW w:w="7984" w:type="dxa"/>
            <w:vAlign w:val="center"/>
          </w:tcPr>
          <w:p w14:paraId="23F8AAC2">
            <w:pPr>
              <w:pStyle w:val="18"/>
              <w:widowControl/>
              <w:numPr>
                <w:ilvl w:val="0"/>
                <w:numId w:val="0"/>
              </w:numPr>
              <w:spacing w:beforeAutospacing="0" w:afterAutospacing="0"/>
              <w:ind w:left="0" w:leftChars="0" w:firstLine="0" w:firstLineChars="0"/>
              <w:rPr>
                <w:rFonts w:hint="eastAsia"/>
                <w:b/>
                <w:bCs/>
                <w:lang w:val="en-US" w:eastAsia="zh-CN"/>
              </w:rPr>
            </w:pPr>
            <w:r>
              <w:rPr>
                <w:rFonts w:hint="eastAsia" w:ascii="Times New Roman" w:hAnsi="Times New Roman" w:eastAsia="宋体" w:cs="Times New Roman"/>
                <w:b/>
                <w:bCs/>
                <w:kern w:val="0"/>
                <w:sz w:val="24"/>
                <w:szCs w:val="24"/>
                <w:lang w:val="en-US" w:eastAsia="zh-CN" w:bidi="ar-SA"/>
              </w:rPr>
              <w:t>1.</w:t>
            </w:r>
            <w:r>
              <w:rPr>
                <w:rFonts w:hint="eastAsia"/>
                <w:b/>
                <w:bCs/>
                <w:lang w:val="en-US" w:eastAsia="zh-CN"/>
              </w:rPr>
              <w:t>合理性分析</w:t>
            </w:r>
          </w:p>
          <w:p w14:paraId="1AC54FE0">
            <w:pPr>
              <w:adjustRightInd w:val="0"/>
              <w:snapToGrid w:val="0"/>
              <w:spacing w:line="360" w:lineRule="auto"/>
              <w:ind w:firstLine="480" w:firstLineChars="200"/>
              <w:rPr>
                <w:color w:val="000000"/>
              </w:rPr>
            </w:pPr>
            <w:r>
              <w:rPr>
                <w:color w:val="000000"/>
              </w:rPr>
              <w:t>（1）功能区划符合性分析</w:t>
            </w:r>
          </w:p>
          <w:p w14:paraId="1EA2C90C">
            <w:pPr>
              <w:adjustRightInd w:val="0"/>
              <w:snapToGrid w:val="0"/>
              <w:spacing w:line="360" w:lineRule="auto"/>
              <w:ind w:firstLine="480" w:firstLineChars="200"/>
              <w:rPr>
                <w:color w:val="000000"/>
              </w:rPr>
            </w:pPr>
            <w:r>
              <w:rPr>
                <w:color w:val="000000"/>
                <w:kern w:val="0"/>
                <w:szCs w:val="21"/>
              </w:rPr>
              <w:t>本项目位于</w:t>
            </w:r>
            <w:r>
              <w:rPr>
                <w:rFonts w:hint="eastAsia"/>
                <w:lang w:eastAsia="zh-CN"/>
              </w:rPr>
              <w:t>新疆维吾尔自治区昌吉州吉木萨尔县三台镇，</w:t>
            </w:r>
            <w:r>
              <w:rPr>
                <w:color w:val="000000"/>
                <w:kern w:val="0"/>
                <w:szCs w:val="21"/>
              </w:rPr>
              <w:t>不涉及</w:t>
            </w:r>
            <w:r>
              <w:rPr>
                <w:color w:val="000000"/>
                <w:szCs w:val="21"/>
              </w:rPr>
              <w:t>国家级自然保护区、风景名胜区、</w:t>
            </w:r>
            <w:r>
              <w:rPr>
                <w:color w:val="000000"/>
                <w:kern w:val="0"/>
                <w:szCs w:val="21"/>
              </w:rPr>
              <w:t>饮用水源保护区等需要特殊保护的地区，同时项目所在区域无国家珍稀濒危保护物种、国家重点保护野生动植物，不存在特殊环境功能区制约因素。</w:t>
            </w:r>
          </w:p>
          <w:p w14:paraId="566872C3">
            <w:pPr>
              <w:adjustRightInd w:val="0"/>
              <w:snapToGrid w:val="0"/>
              <w:spacing w:line="360" w:lineRule="auto"/>
              <w:ind w:firstLine="480" w:firstLineChars="200"/>
              <w:rPr>
                <w:color w:val="000000"/>
              </w:rPr>
            </w:pPr>
            <w:r>
              <w:rPr>
                <w:color w:val="000000"/>
              </w:rPr>
              <w:t>（</w:t>
            </w:r>
            <w:r>
              <w:rPr>
                <w:rFonts w:hint="eastAsia"/>
                <w:color w:val="000000"/>
                <w:lang w:val="en-US" w:eastAsia="zh-CN"/>
              </w:rPr>
              <w:t>2</w:t>
            </w:r>
            <w:r>
              <w:rPr>
                <w:color w:val="000000"/>
              </w:rPr>
              <w:t>）环境影响程度合理性分析</w:t>
            </w:r>
          </w:p>
          <w:p w14:paraId="7ABA995B">
            <w:pPr>
              <w:adjustRightInd w:val="0"/>
              <w:snapToGrid w:val="0"/>
              <w:spacing w:line="360" w:lineRule="auto"/>
              <w:ind w:firstLine="480" w:firstLineChars="200"/>
              <w:rPr>
                <w:snapToGrid w:val="0"/>
                <w:color w:val="000000"/>
              </w:rPr>
            </w:pPr>
            <w:r>
              <w:rPr>
                <w:color w:val="000000"/>
              </w:rPr>
              <w:t>项目</w:t>
            </w:r>
            <w:r>
              <w:rPr>
                <w:rFonts w:hint="eastAsia"/>
                <w:color w:val="000000"/>
                <w:lang w:eastAsia="zh-CN"/>
              </w:rPr>
              <w:t>在运行期，对环境排放的污染物主要为颗粒物，排放量整体较小，对环境空气影响较小。</w:t>
            </w:r>
            <w:r>
              <w:rPr>
                <w:color w:val="000000"/>
              </w:rPr>
              <w:t>评价对环境有影响的上述因素均提出防治措施，其对环境的影响大多是短期的、局部的、可逆的，建设活动结束后可恢复。</w:t>
            </w:r>
          </w:p>
          <w:p w14:paraId="72946126">
            <w:pPr>
              <w:adjustRightInd w:val="0"/>
              <w:snapToGrid w:val="0"/>
              <w:spacing w:line="360" w:lineRule="auto"/>
              <w:ind w:firstLine="480" w:firstLineChars="200"/>
              <w:rPr>
                <w:color w:val="000000"/>
              </w:rPr>
            </w:pPr>
            <w:r>
              <w:rPr>
                <w:color w:val="000000"/>
              </w:rPr>
              <w:t>（</w:t>
            </w:r>
            <w:r>
              <w:rPr>
                <w:rFonts w:hint="eastAsia"/>
                <w:color w:val="000000"/>
                <w:lang w:val="en-US" w:eastAsia="zh-CN"/>
              </w:rPr>
              <w:t>3</w:t>
            </w:r>
            <w:r>
              <w:rPr>
                <w:color w:val="000000"/>
              </w:rPr>
              <w:t>）与相关文件的符合性分析</w:t>
            </w:r>
          </w:p>
          <w:p w14:paraId="1A65B8EB">
            <w:pPr>
              <w:adjustRightInd w:val="0"/>
              <w:snapToGrid w:val="0"/>
              <w:spacing w:line="360" w:lineRule="auto"/>
              <w:ind w:firstLine="480" w:firstLineChars="200"/>
              <w:rPr>
                <w:color w:val="000000"/>
              </w:rPr>
            </w:pPr>
            <w:r>
              <w:rPr>
                <w:color w:val="000000"/>
              </w:rPr>
              <w:t>本项目位于</w:t>
            </w:r>
            <w:r>
              <w:rPr>
                <w:rFonts w:hint="eastAsia"/>
                <w:lang w:eastAsia="zh-CN"/>
              </w:rPr>
              <w:t>新疆维吾尔自治区昌吉州吉木萨尔县三台镇</w:t>
            </w:r>
            <w:r>
              <w:rPr>
                <w:color w:val="000000"/>
              </w:rPr>
              <w:t>，项目于202</w:t>
            </w:r>
            <w:r>
              <w:rPr>
                <w:rFonts w:hint="eastAsia"/>
                <w:color w:val="000000"/>
                <w:lang w:val="en-US" w:eastAsia="zh-CN"/>
              </w:rPr>
              <w:t>3</w:t>
            </w:r>
            <w:r>
              <w:rPr>
                <w:color w:val="000000"/>
              </w:rPr>
              <w:t>年</w:t>
            </w:r>
            <w:r>
              <w:rPr>
                <w:rFonts w:hint="eastAsia"/>
                <w:color w:val="000000"/>
                <w:lang w:val="en-US" w:eastAsia="zh-CN"/>
              </w:rPr>
              <w:t>12</w:t>
            </w:r>
            <w:r>
              <w:rPr>
                <w:color w:val="000000"/>
              </w:rPr>
              <w:t>月</w:t>
            </w:r>
            <w:r>
              <w:rPr>
                <w:rFonts w:hint="eastAsia"/>
                <w:color w:val="000000"/>
              </w:rPr>
              <w:t>2</w:t>
            </w:r>
            <w:r>
              <w:rPr>
                <w:rFonts w:hint="eastAsia"/>
                <w:color w:val="000000"/>
                <w:lang w:val="en-US" w:eastAsia="zh-CN"/>
              </w:rPr>
              <w:t>6</w:t>
            </w:r>
            <w:r>
              <w:rPr>
                <w:color w:val="000000"/>
              </w:rPr>
              <w:t>日取得</w:t>
            </w:r>
            <w:r>
              <w:rPr>
                <w:rFonts w:hint="eastAsia"/>
                <w:color w:val="000000"/>
                <w:lang w:val="en-US" w:eastAsia="zh-CN"/>
              </w:rPr>
              <w:t>吉木萨尔县资源局</w:t>
            </w:r>
            <w:r>
              <w:rPr>
                <w:color w:val="000000"/>
              </w:rPr>
              <w:t>出具的《</w:t>
            </w:r>
            <w:r>
              <w:rPr>
                <w:rFonts w:hint="eastAsia"/>
                <w:color w:val="000000"/>
                <w:lang w:eastAsia="zh-CN"/>
              </w:rPr>
              <w:t>中华人民共和国采矿许可证</w:t>
            </w:r>
            <w:r>
              <w:rPr>
                <w:color w:val="000000"/>
              </w:rPr>
              <w:t>》（</w:t>
            </w:r>
            <w:r>
              <w:rPr>
                <w:rFonts w:hint="eastAsia"/>
                <w:color w:val="000000"/>
                <w:lang w:val="en-US" w:eastAsia="zh-CN"/>
              </w:rPr>
              <w:t>证号：C652327008127130012658</w:t>
            </w:r>
            <w:r>
              <w:rPr>
                <w:color w:val="000000"/>
              </w:rPr>
              <w:t>）</w:t>
            </w:r>
            <w:r>
              <w:rPr>
                <w:rFonts w:hint="eastAsia"/>
                <w:color w:val="000000"/>
              </w:rPr>
              <w:t>，行政区划属吉木萨尔县管辖。目前矿区尚未开采利用。项目所在区域属第四系全新统冲洪积层，地势比较平坦，南高北低，坡度不大，远离山区。区内冲沟不发育，且评估区干旱少雨，不具备泥石流灾害发生的基本条件。采砂活动不产生有毒、有害物质，砂石料在采掘及运输过程中会产生少量粉尘，但因矿山为露天开采，粉尘易扩散，区内及附近无人员，故对矿区环境影响较小。矿区与外部有简易碎石路，道路路况较好，交通较为便利。</w:t>
            </w:r>
            <w:r>
              <w:rPr>
                <w:rFonts w:hint="eastAsia"/>
                <w:color w:val="000000"/>
                <w:lang w:eastAsia="zh-CN"/>
              </w:rPr>
              <w:t>本项目已</w:t>
            </w:r>
            <w:r>
              <w:rPr>
                <w:rFonts w:hint="eastAsia"/>
                <w:color w:val="000000"/>
              </w:rPr>
              <w:t>取得《</w:t>
            </w:r>
            <w:r>
              <w:rPr>
                <w:rFonts w:hint="eastAsia" w:eastAsia="宋体"/>
                <w:lang w:eastAsia="zh-CN"/>
              </w:rPr>
              <w:t>吉木萨尔县三台镇创业砂石料厂建筑用砂矿建设项目</w:t>
            </w:r>
            <w:r>
              <w:rPr>
                <w:rFonts w:hint="eastAsia"/>
                <w:color w:val="000000"/>
              </w:rPr>
              <w:t>矿产资源开发利用与生态保护修复方案》专家组评审意见，依据划定矿区坐标，拟设采矿区为空白区，评价范围内无文物保护、饮用水源地等敏感环境保护目标。</w:t>
            </w:r>
          </w:p>
          <w:p w14:paraId="10763B06">
            <w:pPr>
              <w:adjustRightInd w:val="0"/>
              <w:snapToGrid w:val="0"/>
              <w:spacing w:line="360" w:lineRule="auto"/>
              <w:ind w:firstLine="480" w:firstLineChars="200"/>
              <w:rPr>
                <w:b/>
                <w:color w:val="000000"/>
              </w:rPr>
            </w:pPr>
            <w:r>
              <w:rPr>
                <w:color w:val="000000"/>
              </w:rPr>
              <w:t>综上所述，从功能区划符合性、环境影响程度合理性、与相关文件的符合性等方面进行分析，项目工程选址选线方案合理可行。</w:t>
            </w:r>
          </w:p>
          <w:p w14:paraId="4DD52C8A">
            <w:pPr>
              <w:pStyle w:val="18"/>
              <w:widowControl/>
              <w:numPr>
                <w:ilvl w:val="0"/>
                <w:numId w:val="0"/>
              </w:numPr>
              <w:spacing w:beforeAutospacing="0" w:afterAutospacing="0"/>
              <w:ind w:leftChars="0"/>
              <w:rPr>
                <w:rFonts w:hint="default"/>
                <w:lang w:val="en-US" w:eastAsia="zh-CN"/>
              </w:rPr>
            </w:pPr>
          </w:p>
        </w:tc>
      </w:tr>
    </w:tbl>
    <w:p w14:paraId="26BB2DFD">
      <w:pPr>
        <w:ind w:firstLine="480"/>
      </w:pPr>
      <w:r>
        <w:rPr>
          <w:rFonts w:hint="eastAsia"/>
        </w:rPr>
        <w:br w:type="page"/>
      </w:r>
    </w:p>
    <w:p w14:paraId="6291D792">
      <w:pPr>
        <w:pStyle w:val="2"/>
        <w:numPr>
          <w:ilvl w:val="0"/>
          <w:numId w:val="0"/>
        </w:numPr>
        <w:jc w:val="center"/>
      </w:pPr>
      <w:r>
        <w:rPr>
          <w:rFonts w:hint="eastAsia" w:ascii="Times New Roman" w:hAnsi="Times New Roman" w:eastAsia="宋体" w:cstheme="minorBidi"/>
          <w:b/>
          <w:kern w:val="44"/>
          <w:sz w:val="30"/>
          <w:szCs w:val="24"/>
          <w:lang w:val="en-US" w:eastAsia="zh-CN" w:bidi="ar-SA"/>
        </w:rPr>
        <w:t>五、</w:t>
      </w:r>
      <w:r>
        <w:rPr>
          <w:rFonts w:hint="eastAsia"/>
        </w:rPr>
        <w:t>主要生态环境保护措施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7863"/>
      </w:tblGrid>
      <w:tr w14:paraId="7A38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3" w:hRule="atLeast"/>
        </w:trPr>
        <w:tc>
          <w:tcPr>
            <w:tcW w:w="535" w:type="dxa"/>
            <w:vAlign w:val="center"/>
          </w:tcPr>
          <w:p w14:paraId="6D824471">
            <w:pPr>
              <w:pStyle w:val="28"/>
              <w:rPr>
                <w:rFonts w:hint="default"/>
              </w:rPr>
            </w:pPr>
            <w:r>
              <w:t>施工期生态环境保护措施</w:t>
            </w:r>
          </w:p>
        </w:tc>
        <w:tc>
          <w:tcPr>
            <w:tcW w:w="7863" w:type="dxa"/>
          </w:tcPr>
          <w:p w14:paraId="7E2BDEC4">
            <w:pPr>
              <w:pStyle w:val="3"/>
              <w:numPr>
                <w:ilvl w:val="0"/>
                <w:numId w:val="0"/>
              </w:numPr>
              <w:spacing w:before="156" w:after="156"/>
              <w:outlineLvl w:val="1"/>
              <w:rPr>
                <w:rFonts w:hint="default" w:ascii="宋体" w:hAnsi="宋体" w:eastAsia="宋体" w:cs="宋体"/>
                <w:b/>
                <w:kern w:val="2"/>
                <w:sz w:val="24"/>
                <w:szCs w:val="24"/>
                <w:lang w:val="en-US" w:eastAsia="zh-CN" w:bidi="ar-SA"/>
              </w:rPr>
            </w:pPr>
            <w:r>
              <w:rPr>
                <w:rFonts w:hint="eastAsia" w:ascii="宋体" w:hAnsi="宋体" w:cs="宋体"/>
                <w:b/>
                <w:kern w:val="2"/>
                <w:sz w:val="24"/>
                <w:szCs w:val="24"/>
                <w:lang w:val="en-US" w:eastAsia="zh-CN" w:bidi="ar-SA"/>
              </w:rPr>
              <w:t>1.生态环境减缓措施</w:t>
            </w:r>
          </w:p>
          <w:p w14:paraId="0EE82DD7">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1.1</w:t>
            </w:r>
            <w:r>
              <w:rPr>
                <w:rFonts w:ascii="Times New Roman" w:hAnsi="Times New Roman" w:cs="Times New Roman"/>
                <w:b/>
                <w:bCs/>
                <w:color w:val="000000"/>
              </w:rPr>
              <w:t>工程占地及植被保护措施</w:t>
            </w:r>
          </w:p>
          <w:p w14:paraId="33815D38">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1）在施工场地周边设置地界标志，将施工活动严格控制在征地范围内，禁止乱挖乱弃。严格控制行车范围，禁止车辆下道行驶，严格控制施工扰动范围，加强对项目区生态环境的保护和对水土流失的防治，将项目建设对水土流失和生态环境的影响降低</w:t>
            </w:r>
            <w:r>
              <w:rPr>
                <w:rFonts w:hint="eastAsia" w:ascii="Times New Roman" w:hAnsi="Times New Roman" w:cs="Times New Roman"/>
                <w:color w:val="000000"/>
                <w:lang w:eastAsia="zh-CN"/>
              </w:rPr>
              <w:t>到最低程度</w:t>
            </w:r>
            <w:r>
              <w:rPr>
                <w:rFonts w:ascii="Times New Roman" w:hAnsi="Times New Roman" w:cs="Times New Roman"/>
                <w:color w:val="000000"/>
              </w:rPr>
              <w:t>。</w:t>
            </w:r>
          </w:p>
          <w:p w14:paraId="7479EA47">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2</w:t>
            </w:r>
            <w:r>
              <w:rPr>
                <w:rFonts w:ascii="Times New Roman" w:hAnsi="Times New Roman" w:cs="Times New Roman"/>
                <w:color w:val="000000"/>
              </w:rPr>
              <w:t>）项目建设中尽量</w:t>
            </w:r>
            <w:r>
              <w:rPr>
                <w:rFonts w:hint="eastAsia" w:ascii="Times New Roman" w:hAnsi="Times New Roman" w:cs="Times New Roman"/>
                <w:color w:val="000000"/>
                <w:lang w:eastAsia="zh-CN"/>
              </w:rPr>
              <w:t>控制</w:t>
            </w:r>
            <w:r>
              <w:rPr>
                <w:rFonts w:ascii="Times New Roman" w:hAnsi="Times New Roman" w:cs="Times New Roman"/>
                <w:color w:val="000000"/>
              </w:rPr>
              <w:t>开挖</w:t>
            </w:r>
            <w:r>
              <w:rPr>
                <w:rFonts w:hint="eastAsia" w:ascii="Times New Roman" w:hAnsi="Times New Roman" w:cs="Times New Roman"/>
                <w:color w:val="000000"/>
                <w:lang w:eastAsia="zh-CN"/>
              </w:rPr>
              <w:t>面积</w:t>
            </w:r>
            <w:r>
              <w:rPr>
                <w:rFonts w:ascii="Times New Roman" w:hAnsi="Times New Roman" w:cs="Times New Roman"/>
                <w:color w:val="000000"/>
              </w:rPr>
              <w:t>，在施工过程中应边开挖、边运输、边回填、边碾压、边采取防护措施。</w:t>
            </w:r>
            <w:r>
              <w:rPr>
                <w:rFonts w:ascii="Times New Roman" w:hAnsi="Times New Roman" w:cs="Times New Roman"/>
                <w:color w:val="000000"/>
                <w:lang w:val="zh-CN"/>
              </w:rPr>
              <w:t>禁止大规模进行表土剥离和场地平整，严格控制占地，根据设计线路进行挖填方。</w:t>
            </w:r>
            <w:r>
              <w:rPr>
                <w:rFonts w:ascii="Times New Roman" w:hAnsi="Times New Roman" w:cs="Times New Roman"/>
                <w:color w:val="000000"/>
              </w:rPr>
              <w:t>对临时堆土和堆放的施工材料进行临时遮盖防护。</w:t>
            </w:r>
          </w:p>
          <w:p w14:paraId="52458CDC">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3</w:t>
            </w:r>
            <w:r>
              <w:rPr>
                <w:rFonts w:ascii="Times New Roman" w:hAnsi="Times New Roman" w:cs="Times New Roman"/>
                <w:color w:val="000000"/>
              </w:rPr>
              <w:t>）合理安排施工进度和施工时序，防止重复开挖和土石方多次倒运，减少裸露面积，缩短裸露时间；土石方工程施工尽量避开雨天、汛期等恶劣天气施工。</w:t>
            </w:r>
          </w:p>
          <w:p w14:paraId="74EF8291">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w:t>
            </w:r>
            <w:r>
              <w:rPr>
                <w:rFonts w:hint="eastAsia" w:ascii="Times New Roman" w:hAnsi="Times New Roman" w:cs="Times New Roman"/>
                <w:color w:val="000000"/>
                <w:lang w:val="en-US" w:eastAsia="zh-CN"/>
              </w:rPr>
              <w:t>4</w:t>
            </w:r>
            <w:r>
              <w:rPr>
                <w:rFonts w:ascii="Times New Roman" w:hAnsi="Times New Roman" w:cs="Times New Roman"/>
                <w:color w:val="000000"/>
              </w:rPr>
              <w:t>）施工单位应</w:t>
            </w:r>
            <w:r>
              <w:rPr>
                <w:rFonts w:hint="eastAsia" w:ascii="Times New Roman" w:hAnsi="Times New Roman" w:cs="Times New Roman"/>
                <w:color w:val="000000"/>
                <w:lang w:eastAsia="zh-CN"/>
              </w:rPr>
              <w:t>加大</w:t>
            </w:r>
            <w:r>
              <w:rPr>
                <w:rFonts w:ascii="Times New Roman" w:hAnsi="Times New Roman" w:cs="Times New Roman"/>
                <w:color w:val="000000"/>
              </w:rPr>
              <w:t>环境保护宣传力度，增强施工人员环境保护意识</w:t>
            </w:r>
            <w:r>
              <w:rPr>
                <w:rFonts w:ascii="Times New Roman" w:hAnsi="Times New Roman" w:cs="Times New Roman"/>
                <w:color w:val="000000"/>
                <w:lang w:val="zh-CN"/>
              </w:rPr>
              <w:t>。</w:t>
            </w:r>
          </w:p>
          <w:p w14:paraId="104D016A">
            <w:pPr>
              <w:pStyle w:val="7"/>
              <w:spacing w:before="0" w:line="360" w:lineRule="auto"/>
              <w:ind w:left="0" w:leftChars="0" w:firstLine="0" w:firstLineChars="0"/>
              <w:rPr>
                <w:rFonts w:ascii="Times New Roman" w:hAnsi="Times New Roman" w:cs="Times New Roman"/>
                <w:b/>
                <w:bCs/>
                <w:color w:val="000000"/>
              </w:rPr>
            </w:pPr>
            <w:r>
              <w:rPr>
                <w:rFonts w:hint="eastAsia" w:ascii="Times New Roman" w:hAnsi="Times New Roman" w:cs="Times New Roman"/>
                <w:b/>
                <w:bCs/>
                <w:color w:val="000000"/>
                <w:lang w:val="en-US" w:eastAsia="zh-CN"/>
              </w:rPr>
              <w:t>1.</w:t>
            </w:r>
            <w:r>
              <w:rPr>
                <w:rFonts w:ascii="Times New Roman" w:hAnsi="Times New Roman" w:cs="Times New Roman"/>
                <w:b/>
                <w:bCs/>
                <w:color w:val="000000"/>
              </w:rPr>
              <w:t>2、野生动物保护措施</w:t>
            </w:r>
          </w:p>
          <w:p w14:paraId="6015AF11">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（1）</w:t>
            </w:r>
            <w:r>
              <w:rPr>
                <w:rFonts w:hint="eastAsia" w:ascii="Times New Roman" w:hAnsi="Times New Roman" w:cs="Times New Roman"/>
                <w:color w:val="000000"/>
                <w:lang w:eastAsia="zh-CN"/>
              </w:rPr>
              <w:t>加大</w:t>
            </w:r>
            <w:r>
              <w:rPr>
                <w:rFonts w:ascii="Times New Roman" w:hAnsi="Times New Roman" w:cs="Times New Roman"/>
                <w:color w:val="000000"/>
              </w:rPr>
              <w:t>宣传力度，</w:t>
            </w:r>
            <w:r>
              <w:rPr>
                <w:rFonts w:hint="eastAsia" w:ascii="Times New Roman" w:hAnsi="Times New Roman" w:cs="Times New Roman"/>
                <w:color w:val="000000"/>
                <w:lang w:eastAsia="zh-CN"/>
              </w:rPr>
              <w:t>增强</w:t>
            </w:r>
            <w:r>
              <w:rPr>
                <w:rFonts w:ascii="Times New Roman" w:hAnsi="Times New Roman" w:cs="Times New Roman"/>
                <w:color w:val="000000"/>
              </w:rPr>
              <w:t>动植物保护意识。大力宣传相关法律法规，提高施工人员和管理人员的动物保护意识。</w:t>
            </w:r>
          </w:p>
          <w:p w14:paraId="73F4DD58">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（2）加强对施工人员的管理和教育，严禁偷猎、捕杀野生动物。加强巡护工作，防止偷猎、捕杀野生动物的行为发生。</w:t>
            </w:r>
          </w:p>
          <w:p w14:paraId="5444CB1A">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（3）调整工程施工时段和方式，</w:t>
            </w:r>
            <w:r>
              <w:rPr>
                <w:rFonts w:ascii="Times New Roman" w:hAnsi="Times New Roman" w:cs="Times New Roman"/>
                <w:bCs/>
                <w:color w:val="000000"/>
              </w:rPr>
              <w:t>合理安排施工时间，夜间不进行施工；严格控制工作人员活动范围。</w:t>
            </w:r>
            <w:r>
              <w:rPr>
                <w:rFonts w:ascii="Times New Roman" w:hAnsi="Times New Roman" w:cs="Times New Roman"/>
                <w:color w:val="000000"/>
              </w:rPr>
              <w:t>为了减少工程施工噪声对野生动物的惊扰，力求在早晨和黄昏降低施工强度。不进行夜间作业，力求做到不产生光污染，不影响动物的休息。</w:t>
            </w:r>
          </w:p>
          <w:p w14:paraId="68D4EE81">
            <w:pPr>
              <w:pStyle w:val="7"/>
              <w:spacing w:before="0" w:line="360" w:lineRule="auto"/>
              <w:ind w:firstLine="480" w:firstLineChars="200"/>
              <w:rPr>
                <w:rFonts w:ascii="Times New Roman" w:hAnsi="Times New Roman" w:cs="Times New Roman"/>
                <w:color w:val="000000"/>
              </w:rPr>
            </w:pPr>
            <w:r>
              <w:rPr>
                <w:rFonts w:ascii="Times New Roman" w:hAnsi="Times New Roman" w:cs="Times New Roman"/>
                <w:color w:val="000000"/>
              </w:rPr>
              <w:t>（4）</w:t>
            </w:r>
            <w:r>
              <w:rPr>
                <w:rFonts w:ascii="Times New Roman" w:hAnsi="Times New Roman" w:cs="Times New Roman"/>
                <w:bCs/>
                <w:color w:val="000000"/>
              </w:rPr>
              <w:t>优选低噪声设备，避免对周围声环境造成影响</w:t>
            </w:r>
            <w:r>
              <w:rPr>
                <w:rFonts w:ascii="Times New Roman" w:hAnsi="Times New Roman" w:cs="Times New Roman"/>
                <w:color w:val="000000"/>
              </w:rPr>
              <w:t>。</w:t>
            </w:r>
          </w:p>
          <w:p w14:paraId="736C78FD">
            <w:pPr>
              <w:pStyle w:val="7"/>
              <w:spacing w:before="0" w:line="360" w:lineRule="auto"/>
              <w:ind w:left="0" w:leftChars="0" w:firstLine="0" w:firstLineChars="0"/>
              <w:rPr>
                <w:rFonts w:hint="eastAsia" w:ascii="Times New Roman" w:hAnsi="Times New Roman" w:cs="Times New Roman"/>
                <w:b/>
                <w:bCs/>
                <w:color w:val="000000"/>
                <w:lang w:val="en-US" w:eastAsia="zh-CN"/>
              </w:rPr>
            </w:pPr>
            <w:r>
              <w:rPr>
                <w:rFonts w:hint="eastAsia" w:ascii="Times New Roman" w:hAnsi="Times New Roman" w:cs="Times New Roman"/>
                <w:b/>
                <w:bCs/>
                <w:color w:val="000000"/>
                <w:lang w:val="en-US" w:eastAsia="zh-CN"/>
              </w:rPr>
              <w:t>1.3、水土保持措施</w:t>
            </w:r>
          </w:p>
          <w:p w14:paraId="17D87618">
            <w:pPr>
              <w:adjustRightInd w:val="0"/>
              <w:snapToGrid w:val="0"/>
              <w:spacing w:line="360" w:lineRule="auto"/>
              <w:ind w:left="0" w:leftChars="0" w:firstLine="480" w:firstLineChars="200"/>
              <w:rPr>
                <w:rFonts w:hint="default"/>
                <w:lang w:val="en-US" w:eastAsia="zh-CN"/>
              </w:rPr>
            </w:pPr>
            <w:r>
              <w:rPr>
                <w:rFonts w:hint="eastAsia" w:ascii="Times New Roman" w:hAnsi="Times New Roman" w:eastAsia="宋体" w:cs="Times New Roman"/>
                <w:color w:val="000000"/>
                <w:kern w:val="2"/>
                <w:sz w:val="24"/>
                <w:szCs w:val="24"/>
                <w:lang w:val="en-US" w:eastAsia="zh-CN" w:bidi="ar-SA"/>
              </w:rPr>
              <w:t>合理安排工期，避开雨季施工，挖方及时回填和清运，回填土石方满足建筑用土需求，对松散土及时夯实，严格管理，尽早将裸露土地进行绿化，对工程临时占地及时进行迹地恢复。排土场紧密压实，采取设立围挡、苫布遮盖，定期洒水降尘措施；成品堆场采取设立围挡、苫布遮盖措施；设立编制水土保持方案，最大限度地避免水土流失。</w:t>
            </w:r>
          </w:p>
          <w:p w14:paraId="46AE9D57">
            <w:pPr>
              <w:adjustRightInd w:val="0"/>
              <w:snapToGrid w:val="0"/>
              <w:spacing w:line="360" w:lineRule="auto"/>
              <w:ind w:left="0" w:leftChars="0" w:firstLine="0" w:firstLineChars="0"/>
              <w:rPr>
                <w:rFonts w:hint="default"/>
                <w:lang w:val="en-US" w:eastAsia="zh-CN"/>
              </w:rPr>
            </w:pPr>
            <w:r>
              <w:rPr>
                <w:rFonts w:hint="eastAsia"/>
                <w:b/>
                <w:bCs/>
                <w:color w:val="000000"/>
                <w:lang w:val="en-US" w:eastAsia="zh-CN"/>
              </w:rPr>
              <w:t>2.</w:t>
            </w:r>
            <w:r>
              <w:rPr>
                <w:b/>
                <w:bCs/>
                <w:color w:val="000000"/>
              </w:rPr>
              <w:t>大气环境影响减缓措施</w:t>
            </w:r>
          </w:p>
          <w:p w14:paraId="259D310E">
            <w:pPr>
              <w:pStyle w:val="39"/>
              <w:autoSpaceDE w:val="0"/>
              <w:autoSpaceDN w:val="0"/>
              <w:adjustRightInd w:val="0"/>
              <w:snapToGrid w:val="0"/>
              <w:spacing w:line="360" w:lineRule="auto"/>
              <w:ind w:firstLine="480"/>
              <w:rPr>
                <w:szCs w:val="24"/>
              </w:rPr>
            </w:pPr>
            <w:r>
              <w:rPr>
                <w:rFonts w:hint="eastAsia"/>
                <w:szCs w:val="24"/>
              </w:rPr>
              <w:t>①土、砂、石料运输禁止超载，装高不得超过车厢板，并盖篷布，严禁沿途撒落</w:t>
            </w:r>
            <w:r>
              <w:rPr>
                <w:rFonts w:hint="eastAsia"/>
                <w:szCs w:val="24"/>
                <w:lang w:eastAsia="zh-CN"/>
              </w:rPr>
              <w:t>，</w:t>
            </w:r>
            <w:r>
              <w:rPr>
                <w:rFonts w:hint="eastAsia"/>
                <w:szCs w:val="24"/>
              </w:rPr>
              <w:t>运输沙、石、水泥、土方等易产尘物质的车辆必须封盖严密，严禁洒漏；</w:t>
            </w:r>
          </w:p>
          <w:p w14:paraId="2081B7CE">
            <w:pPr>
              <w:pStyle w:val="39"/>
              <w:autoSpaceDE w:val="0"/>
              <w:autoSpaceDN w:val="0"/>
              <w:adjustRightInd w:val="0"/>
              <w:snapToGrid w:val="0"/>
              <w:spacing w:line="360" w:lineRule="auto"/>
              <w:ind w:firstLine="480"/>
              <w:rPr>
                <w:szCs w:val="24"/>
              </w:rPr>
            </w:pPr>
            <w:r>
              <w:rPr>
                <w:rFonts w:hint="eastAsia"/>
                <w:szCs w:val="24"/>
              </w:rPr>
              <w:t>②开挖的土方应及时转运至废弃采矿区用于场地平整，不进行临时堆放。</w:t>
            </w:r>
          </w:p>
          <w:p w14:paraId="0D9AFAA1">
            <w:pPr>
              <w:pStyle w:val="39"/>
              <w:autoSpaceDE w:val="0"/>
              <w:autoSpaceDN w:val="0"/>
              <w:adjustRightInd w:val="0"/>
              <w:snapToGrid w:val="0"/>
              <w:spacing w:line="360" w:lineRule="auto"/>
              <w:ind w:firstLine="480"/>
            </w:pPr>
            <w:r>
              <w:rPr>
                <w:rFonts w:hint="eastAsia"/>
                <w:szCs w:val="24"/>
              </w:rPr>
              <w:t>③合理安排运输路线，尽量避开人群聚集地；合理控制运输车辆的车速。</w:t>
            </w:r>
          </w:p>
          <w:p w14:paraId="592882FB">
            <w:pPr>
              <w:pStyle w:val="39"/>
              <w:autoSpaceDE w:val="0"/>
              <w:autoSpaceDN w:val="0"/>
              <w:adjustRightInd w:val="0"/>
              <w:snapToGrid w:val="0"/>
              <w:spacing w:line="360" w:lineRule="auto"/>
              <w:ind w:firstLine="480"/>
              <w:rPr>
                <w:szCs w:val="24"/>
              </w:rPr>
            </w:pPr>
            <w:r>
              <w:rPr>
                <w:rFonts w:hint="eastAsia"/>
                <w:szCs w:val="24"/>
                <w:lang w:val="en-US" w:eastAsia="zh-CN"/>
              </w:rPr>
              <w:t>④</w:t>
            </w:r>
            <w:r>
              <w:rPr>
                <w:rFonts w:hint="eastAsia"/>
                <w:szCs w:val="24"/>
              </w:rPr>
              <w:t>材料堆放场应距敏感点≥100m，并设在当地主导风向下风向处；</w:t>
            </w:r>
          </w:p>
          <w:p w14:paraId="17910680">
            <w:pPr>
              <w:pStyle w:val="39"/>
              <w:autoSpaceDE w:val="0"/>
              <w:autoSpaceDN w:val="0"/>
              <w:adjustRightInd w:val="0"/>
              <w:snapToGrid w:val="0"/>
              <w:spacing w:line="360" w:lineRule="auto"/>
              <w:ind w:firstLine="480"/>
              <w:rPr>
                <w:szCs w:val="24"/>
              </w:rPr>
            </w:pPr>
            <w:r>
              <w:rPr>
                <w:rFonts w:hint="eastAsia"/>
                <w:szCs w:val="24"/>
                <w:lang w:val="en-US" w:eastAsia="zh-CN"/>
              </w:rPr>
              <w:t>⑤</w:t>
            </w:r>
            <w:r>
              <w:rPr>
                <w:rFonts w:hint="eastAsia"/>
                <w:szCs w:val="24"/>
              </w:rPr>
              <w:t>风速四级以上易产生扬尘时，施工单位应暂停土方开挖，采取覆盖堆料、湿润等措施，有效减少扬尘污染；</w:t>
            </w:r>
          </w:p>
          <w:p w14:paraId="4EA62A40">
            <w:pPr>
              <w:pStyle w:val="39"/>
              <w:autoSpaceDE w:val="0"/>
              <w:autoSpaceDN w:val="0"/>
              <w:adjustRightInd w:val="0"/>
              <w:snapToGrid w:val="0"/>
              <w:spacing w:line="360" w:lineRule="auto"/>
              <w:ind w:firstLine="480"/>
              <w:rPr>
                <w:szCs w:val="24"/>
              </w:rPr>
            </w:pPr>
            <w:r>
              <w:rPr>
                <w:rFonts w:hint="eastAsia"/>
                <w:szCs w:val="24"/>
                <w:lang w:val="en-US" w:eastAsia="zh-CN"/>
              </w:rPr>
              <w:t>⑥</w:t>
            </w:r>
            <w:r>
              <w:rPr>
                <w:rFonts w:hint="eastAsia"/>
                <w:szCs w:val="24"/>
              </w:rPr>
              <w:t>及时清运施工废弃物，暂时不能清运的应采取覆盖等措施；</w:t>
            </w:r>
          </w:p>
          <w:p w14:paraId="0166627B">
            <w:pPr>
              <w:pStyle w:val="39"/>
              <w:autoSpaceDE w:val="0"/>
              <w:autoSpaceDN w:val="0"/>
              <w:adjustRightInd w:val="0"/>
              <w:snapToGrid w:val="0"/>
              <w:spacing w:line="360" w:lineRule="auto"/>
              <w:ind w:firstLine="480"/>
              <w:rPr>
                <w:szCs w:val="24"/>
              </w:rPr>
            </w:pPr>
            <w:r>
              <w:rPr>
                <w:rFonts w:hint="eastAsia"/>
                <w:szCs w:val="24"/>
                <w:lang w:val="en-US" w:eastAsia="zh-CN"/>
              </w:rPr>
              <w:t>⑦</w:t>
            </w:r>
            <w:r>
              <w:rPr>
                <w:rFonts w:hint="eastAsia"/>
                <w:szCs w:val="24"/>
              </w:rPr>
              <w:t>工程完毕后及时清理施工场地。对施工场地、堆料场等，除及时进行清理外，进行绿化；</w:t>
            </w:r>
          </w:p>
          <w:p w14:paraId="799F2D2F">
            <w:pPr>
              <w:pStyle w:val="39"/>
              <w:autoSpaceDE w:val="0"/>
              <w:autoSpaceDN w:val="0"/>
              <w:adjustRightInd w:val="0"/>
              <w:snapToGrid w:val="0"/>
              <w:spacing w:line="360" w:lineRule="auto"/>
              <w:ind w:firstLine="480"/>
              <w:rPr>
                <w:rFonts w:hint="eastAsia"/>
                <w:szCs w:val="24"/>
              </w:rPr>
            </w:pPr>
            <w:r>
              <w:rPr>
                <w:rFonts w:hint="eastAsia"/>
                <w:szCs w:val="24"/>
                <w:lang w:val="en-US" w:eastAsia="zh-CN"/>
              </w:rPr>
              <w:t>⑧施工</w:t>
            </w:r>
            <w:r>
              <w:rPr>
                <w:rFonts w:hint="eastAsia"/>
                <w:szCs w:val="24"/>
              </w:rPr>
              <w:t>期间</w:t>
            </w:r>
            <w:r>
              <w:rPr>
                <w:rFonts w:hint="eastAsia"/>
                <w:szCs w:val="24"/>
                <w:lang w:val="en-US" w:eastAsia="zh-CN"/>
              </w:rPr>
              <w:t>在暂不施工区域</w:t>
            </w:r>
            <w:r>
              <w:rPr>
                <w:rFonts w:hint="eastAsia"/>
                <w:szCs w:val="24"/>
              </w:rPr>
              <w:t>采取临时苫盖、定期洒水降尘。</w:t>
            </w:r>
          </w:p>
          <w:p w14:paraId="6A708D83">
            <w:pPr>
              <w:adjustRightInd w:val="0"/>
              <w:snapToGrid w:val="0"/>
              <w:spacing w:line="360" w:lineRule="auto"/>
              <w:ind w:left="0" w:leftChars="0" w:firstLine="0" w:firstLineChars="0"/>
              <w:rPr>
                <w:b/>
                <w:color w:val="000000"/>
              </w:rPr>
            </w:pPr>
            <w:r>
              <w:rPr>
                <w:rFonts w:hint="eastAsia"/>
                <w:b/>
                <w:color w:val="000000"/>
                <w:lang w:val="en-US" w:eastAsia="zh-CN"/>
              </w:rPr>
              <w:t>3.</w:t>
            </w:r>
            <w:r>
              <w:rPr>
                <w:b/>
                <w:color w:val="000000"/>
              </w:rPr>
              <w:t>地表水环境影响减缓措施</w:t>
            </w:r>
          </w:p>
          <w:p w14:paraId="71698F44">
            <w:pPr>
              <w:autoSpaceDE w:val="0"/>
              <w:autoSpaceDN w:val="0"/>
              <w:adjustRightInd w:val="0"/>
              <w:snapToGrid w:val="0"/>
              <w:spacing w:line="360" w:lineRule="auto"/>
              <w:ind w:left="0" w:leftChars="0" w:firstLine="0" w:firstLineChars="0"/>
              <w:jc w:val="both"/>
              <w:rPr>
                <w:b/>
                <w:color w:val="000000"/>
                <w:kern w:val="0"/>
              </w:rPr>
            </w:pPr>
            <w:r>
              <w:rPr>
                <w:rFonts w:hint="eastAsia"/>
                <w:b/>
                <w:color w:val="000000"/>
                <w:kern w:val="0"/>
                <w:lang w:val="en-US" w:eastAsia="zh-CN"/>
              </w:rPr>
              <w:t>3.</w:t>
            </w:r>
            <w:r>
              <w:rPr>
                <w:b/>
                <w:color w:val="000000"/>
                <w:kern w:val="0"/>
              </w:rPr>
              <w:t>1、施工生产废水防治措施</w:t>
            </w:r>
          </w:p>
          <w:p w14:paraId="0453667D">
            <w:pPr>
              <w:adjustRightInd w:val="0"/>
              <w:snapToGrid w:val="0"/>
              <w:spacing w:line="360" w:lineRule="auto"/>
              <w:ind w:firstLine="480" w:firstLineChars="200"/>
              <w:rPr>
                <w:color w:val="000000"/>
              </w:rPr>
            </w:pPr>
            <w:r>
              <w:rPr>
                <w:color w:val="000000"/>
              </w:rPr>
              <w:t>在施工场地内设置</w:t>
            </w:r>
            <w:r>
              <w:rPr>
                <w:rFonts w:hint="eastAsia"/>
                <w:color w:val="000000"/>
                <w:lang w:val="en-US" w:eastAsia="zh-CN"/>
              </w:rPr>
              <w:t>1</w:t>
            </w:r>
            <w:r>
              <w:rPr>
                <w:color w:val="000000"/>
              </w:rPr>
              <w:t>个</w:t>
            </w:r>
            <w:r>
              <w:rPr>
                <w:color w:val="000000"/>
                <w:highlight w:val="none"/>
              </w:rPr>
              <w:t>沉淀池</w:t>
            </w:r>
            <w:r>
              <w:rPr>
                <w:rFonts w:hint="eastAsia"/>
                <w:highlight w:val="none"/>
                <w:lang w:eastAsia="zh-CN"/>
              </w:rPr>
              <w:t>（</w:t>
            </w:r>
            <w:r>
              <w:rPr>
                <w:rFonts w:hint="eastAsia"/>
                <w:highlight w:val="none"/>
                <w:lang w:val="en-US" w:eastAsia="zh-CN"/>
              </w:rPr>
              <w:t>2m×2m×1m</w:t>
            </w:r>
            <w:r>
              <w:rPr>
                <w:rFonts w:hint="eastAsia"/>
                <w:highlight w:val="none"/>
                <w:lang w:eastAsia="zh-CN"/>
              </w:rPr>
              <w:t>）</w:t>
            </w:r>
            <w:r>
              <w:rPr>
                <w:color w:val="000000"/>
              </w:rPr>
              <w:t>，用防水布或塑料薄膜防渗，废水排入沉淀池后静置沉淀，处理后废水全部回用于降尘洒水。沉淀池采用混凝土防渗结构（抗渗等级P6，渗透系数K≤10</w:t>
            </w:r>
            <w:r>
              <w:rPr>
                <w:color w:val="000000"/>
                <w:vertAlign w:val="superscript"/>
              </w:rPr>
              <w:t>-7</w:t>
            </w:r>
            <w:r>
              <w:rPr>
                <w:color w:val="000000"/>
              </w:rPr>
              <w:t>cm/s）。沉淀池中沉淀的泥浆在间歇期通过蒸发、晒干等自然干化脱水处理后，就地平整。施工段结束后，及时对沉淀池进行填埋处理。</w:t>
            </w:r>
          </w:p>
          <w:p w14:paraId="44E08EF5">
            <w:pPr>
              <w:autoSpaceDE w:val="0"/>
              <w:autoSpaceDN w:val="0"/>
              <w:adjustRightInd w:val="0"/>
              <w:snapToGrid w:val="0"/>
              <w:spacing w:line="360" w:lineRule="auto"/>
              <w:ind w:left="0" w:leftChars="0" w:firstLine="0" w:firstLineChars="0"/>
              <w:jc w:val="both"/>
              <w:rPr>
                <w:rFonts w:hint="eastAsia" w:ascii="Times New Roman" w:hAnsi="Times New Roman"/>
                <w:b/>
                <w:color w:val="000000"/>
                <w:kern w:val="0"/>
                <w:lang w:val="en-US" w:eastAsia="zh-CN"/>
              </w:rPr>
            </w:pPr>
            <w:r>
              <w:rPr>
                <w:rFonts w:hint="eastAsia" w:ascii="Times New Roman" w:hAnsi="Times New Roman"/>
                <w:b/>
                <w:color w:val="000000"/>
                <w:kern w:val="0"/>
                <w:lang w:val="en-US" w:eastAsia="zh-CN"/>
              </w:rPr>
              <w:t>3.2、生活污水防治措施</w:t>
            </w:r>
          </w:p>
          <w:p w14:paraId="566037BD">
            <w:pPr>
              <w:adjustRightInd w:val="0"/>
              <w:snapToGrid w:val="0"/>
              <w:spacing w:line="360" w:lineRule="auto"/>
              <w:ind w:firstLine="480" w:firstLineChars="200"/>
              <w:rPr>
                <w:rFonts w:hint="eastAsia" w:ascii="Times New Roman" w:hAnsi="Times New Roman"/>
                <w:color w:val="000000"/>
                <w:lang w:val="en-US" w:eastAsia="zh-CN"/>
              </w:rPr>
            </w:pPr>
            <w:r>
              <w:rPr>
                <w:rFonts w:hint="eastAsia" w:ascii="Times New Roman" w:hAnsi="Times New Roman"/>
                <w:color w:val="000000"/>
                <w:lang w:val="en-US" w:eastAsia="zh-CN"/>
              </w:rPr>
              <w:t>食堂废水经隔油处理后与其他生活污水经地埋式一体化污水处理设施处理后用于场地洒水抑尘。</w:t>
            </w:r>
          </w:p>
          <w:p w14:paraId="4B674134">
            <w:pPr>
              <w:pStyle w:val="3"/>
              <w:numPr>
                <w:ilvl w:val="0"/>
                <w:numId w:val="0"/>
              </w:numPr>
              <w:spacing w:before="156" w:after="156" w:line="360" w:lineRule="auto"/>
              <w:outlineLvl w:val="1"/>
              <w:rPr>
                <w:b/>
                <w:color w:val="000000"/>
              </w:rPr>
            </w:pPr>
            <w:r>
              <w:rPr>
                <w:rFonts w:hint="eastAsia"/>
                <w:b/>
                <w:color w:val="000000"/>
                <w:lang w:val="en-US" w:eastAsia="zh-CN"/>
              </w:rPr>
              <w:t>4.</w:t>
            </w:r>
            <w:r>
              <w:rPr>
                <w:b/>
                <w:color w:val="000000"/>
              </w:rPr>
              <w:t>噪声环境影响减缓措施</w:t>
            </w:r>
          </w:p>
          <w:p w14:paraId="6396D00B">
            <w:pPr>
              <w:adjustRightInd w:val="0"/>
              <w:snapToGrid w:val="0"/>
              <w:spacing w:line="360" w:lineRule="auto"/>
              <w:ind w:firstLine="480" w:firstLineChars="200"/>
              <w:rPr>
                <w:color w:val="000000"/>
              </w:rPr>
            </w:pPr>
            <w:r>
              <w:rPr>
                <w:bCs/>
                <w:color w:val="000000"/>
              </w:rPr>
              <w:t>（1）</w:t>
            </w:r>
            <w:r>
              <w:rPr>
                <w:color w:val="000000"/>
              </w:rPr>
              <w:t>施工前对周边居民等声环境敏感对象进行宣传活动，使广大群众理解和支持工程建设。</w:t>
            </w:r>
          </w:p>
          <w:p w14:paraId="1FCE5F4D">
            <w:pPr>
              <w:adjustRightInd w:val="0"/>
              <w:snapToGrid w:val="0"/>
              <w:spacing w:line="360" w:lineRule="auto"/>
              <w:ind w:firstLine="480" w:firstLineChars="200"/>
              <w:jc w:val="both"/>
              <w:rPr>
                <w:color w:val="000000"/>
              </w:rPr>
            </w:pPr>
            <w:r>
              <w:rPr>
                <w:bCs/>
                <w:color w:val="000000"/>
              </w:rPr>
              <w:t>（2）合</w:t>
            </w:r>
            <w:r>
              <w:rPr>
                <w:color w:val="000000"/>
              </w:rPr>
              <w:t>理施工安排施工布局及施工时间，禁止夜间施工，尽量缩短施工周期。</w:t>
            </w:r>
          </w:p>
          <w:p w14:paraId="7B4D3955">
            <w:pPr>
              <w:adjustRightInd w:val="0"/>
              <w:snapToGrid w:val="0"/>
              <w:spacing w:line="360" w:lineRule="auto"/>
              <w:ind w:firstLine="480" w:firstLineChars="200"/>
              <w:rPr>
                <w:bCs/>
                <w:color w:val="000000"/>
                <w:szCs w:val="20"/>
              </w:rPr>
            </w:pPr>
            <w:r>
              <w:rPr>
                <w:bCs/>
                <w:color w:val="000000"/>
              </w:rPr>
              <w:t>（3）</w:t>
            </w:r>
            <w:r>
              <w:rPr>
                <w:bCs/>
                <w:color w:val="000000"/>
                <w:szCs w:val="20"/>
              </w:rPr>
              <w:t>从合理施工组织方面，注意选用效率高、噪声低的机械设备，并注意维修养护和正确使用，使之保持最佳工作状态和最低声级水平，可视情况给强噪声设备装减震机座控制施工噪声源强和振动，减轻施工噪声对工程区域声学环境质量的影响，力争做到施工噪声不扰民。</w:t>
            </w:r>
          </w:p>
          <w:p w14:paraId="2552E38C">
            <w:pPr>
              <w:adjustRightInd w:val="0"/>
              <w:snapToGrid w:val="0"/>
              <w:spacing w:line="360" w:lineRule="auto"/>
              <w:ind w:firstLine="480" w:firstLineChars="200"/>
              <w:rPr>
                <w:bCs/>
                <w:color w:val="000000"/>
              </w:rPr>
            </w:pPr>
            <w:r>
              <w:rPr>
                <w:bCs/>
                <w:color w:val="000000"/>
              </w:rPr>
              <w:t>（4）</w:t>
            </w:r>
            <w:r>
              <w:rPr>
                <w:color w:val="000000"/>
              </w:rPr>
              <w:t>高噪声设备的布设远离周边</w:t>
            </w:r>
            <w:r>
              <w:rPr>
                <w:rFonts w:hint="eastAsia"/>
                <w:color w:val="000000"/>
              </w:rPr>
              <w:t>居民</w:t>
            </w:r>
            <w:r>
              <w:rPr>
                <w:color w:val="000000"/>
              </w:rPr>
              <w:t>敏感点</w:t>
            </w:r>
            <w:r>
              <w:rPr>
                <w:bCs/>
                <w:color w:val="000000"/>
              </w:rPr>
              <w:t>。</w:t>
            </w:r>
          </w:p>
          <w:p w14:paraId="2EF23DAC">
            <w:pPr>
              <w:adjustRightInd w:val="0"/>
              <w:snapToGrid w:val="0"/>
              <w:spacing w:line="360" w:lineRule="auto"/>
              <w:ind w:firstLine="480" w:firstLineChars="200"/>
              <w:rPr>
                <w:bCs/>
                <w:color w:val="000000"/>
                <w:szCs w:val="20"/>
              </w:rPr>
            </w:pPr>
            <w:r>
              <w:rPr>
                <w:bCs/>
                <w:color w:val="000000"/>
                <w:szCs w:val="20"/>
              </w:rPr>
              <w:t>（5）建筑工程承包方在施工期应严格执行相关环境噪声（振动）管理规定，施工中除采用低噪声的施工机械外，施工时间、时段、施工进度、施工原材料购进时间应精心安排、系统规划、规范施工。</w:t>
            </w:r>
            <w:r>
              <w:rPr>
                <w:color w:val="000000"/>
              </w:rPr>
              <w:t>合理安排施工工序，尽量缩短施工周期。</w:t>
            </w:r>
          </w:p>
          <w:p w14:paraId="40488571">
            <w:pPr>
              <w:adjustRightInd w:val="0"/>
              <w:snapToGrid w:val="0"/>
              <w:spacing w:line="360" w:lineRule="auto"/>
              <w:ind w:firstLine="480" w:firstLineChars="200"/>
              <w:rPr>
                <w:bCs/>
                <w:color w:val="000000"/>
                <w:szCs w:val="20"/>
              </w:rPr>
            </w:pPr>
            <w:r>
              <w:rPr>
                <w:bCs/>
                <w:color w:val="000000"/>
                <w:szCs w:val="20"/>
              </w:rPr>
              <w:t>（6）对钢筋装卸、搬运应轻拿轻放，严禁抛掷；严禁进出施工场地的车辆鸣笛。</w:t>
            </w:r>
          </w:p>
          <w:p w14:paraId="2EE649E7">
            <w:pPr>
              <w:adjustRightInd w:val="0"/>
              <w:snapToGrid w:val="0"/>
              <w:spacing w:line="360" w:lineRule="auto"/>
              <w:ind w:firstLine="480" w:firstLineChars="200"/>
              <w:rPr>
                <w:color w:val="000000"/>
                <w:szCs w:val="20"/>
              </w:rPr>
            </w:pPr>
            <w:r>
              <w:rPr>
                <w:bCs/>
                <w:color w:val="000000"/>
                <w:szCs w:val="20"/>
              </w:rPr>
              <w:t>（7）加强材料运输车辆的维护和管理，使车辆一直处于良好车况状态，运输车辆经过沿线居民点较多的区域时，应减速行驶，禁止鸣笛。</w:t>
            </w:r>
          </w:p>
          <w:p w14:paraId="2B8229F3">
            <w:pPr>
              <w:adjustRightInd w:val="0"/>
              <w:snapToGrid w:val="0"/>
              <w:spacing w:line="360" w:lineRule="auto"/>
              <w:ind w:firstLine="480" w:firstLineChars="200"/>
              <w:rPr>
                <w:bCs/>
                <w:color w:val="000000"/>
              </w:rPr>
            </w:pPr>
            <w:r>
              <w:rPr>
                <w:color w:val="000000"/>
              </w:rPr>
              <w:t>（8）合理安排施工车流量，设立标示牌，限制施工区内车辆时速在20km以内，严格控制车辆鸣笛，限制车辆等噪声污染。</w:t>
            </w:r>
          </w:p>
          <w:p w14:paraId="0711BAF0">
            <w:pPr>
              <w:pStyle w:val="3"/>
              <w:numPr>
                <w:ilvl w:val="0"/>
                <w:numId w:val="0"/>
              </w:numPr>
              <w:spacing w:before="156" w:after="156"/>
              <w:outlineLvl w:val="1"/>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5.固体废物减缓措施</w:t>
            </w:r>
          </w:p>
          <w:p w14:paraId="1D66AEDB">
            <w:pPr>
              <w:adjustRightInd w:val="0"/>
              <w:snapToGrid w:val="0"/>
              <w:spacing w:line="360" w:lineRule="auto"/>
              <w:ind w:firstLine="480" w:firstLineChars="200"/>
              <w:rPr>
                <w:color w:val="000000"/>
              </w:rPr>
            </w:pPr>
            <w:r>
              <w:rPr>
                <w:color w:val="000000"/>
              </w:rPr>
              <w:t>（</w:t>
            </w:r>
            <w:r>
              <w:rPr>
                <w:rFonts w:hint="eastAsia"/>
                <w:color w:val="000000"/>
                <w:lang w:val="en-US" w:eastAsia="zh-CN"/>
              </w:rPr>
              <w:t>1</w:t>
            </w:r>
            <w:r>
              <w:rPr>
                <w:color w:val="000000"/>
              </w:rPr>
              <w:t>）项目的生活垃圾禁止随意丢弃，设垃圾桶分类收集后，运至附近生活垃圾收集点处置，对生活垃圾收集设施定期消毒处理以防止蚊虫滋生。</w:t>
            </w:r>
          </w:p>
          <w:p w14:paraId="543B101B">
            <w:pPr>
              <w:autoSpaceDE w:val="0"/>
              <w:autoSpaceDN w:val="0"/>
              <w:adjustRightInd w:val="0"/>
              <w:spacing w:line="360" w:lineRule="auto"/>
              <w:ind w:firstLine="480" w:firstLineChars="200"/>
            </w:pPr>
            <w:r>
              <w:rPr>
                <w:color w:val="000000"/>
              </w:rPr>
              <w:t>（</w:t>
            </w:r>
            <w:r>
              <w:rPr>
                <w:rFonts w:hint="eastAsia"/>
                <w:color w:val="000000"/>
                <w:lang w:val="en-US" w:eastAsia="zh-CN"/>
              </w:rPr>
              <w:t>2</w:t>
            </w:r>
            <w:r>
              <w:rPr>
                <w:color w:val="000000"/>
              </w:rPr>
              <w:t>）对本次建设过程中产生的建筑垃圾，可回收利用的建筑材料进行回收利用，不能回收利用的建筑垃圾经规范收集后运往一般固体废物处置场处置。</w:t>
            </w:r>
          </w:p>
        </w:tc>
      </w:tr>
      <w:tr w14:paraId="1102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8" w:hRule="atLeast"/>
        </w:trPr>
        <w:tc>
          <w:tcPr>
            <w:tcW w:w="535" w:type="dxa"/>
            <w:vAlign w:val="center"/>
          </w:tcPr>
          <w:p w14:paraId="2C284886">
            <w:pPr>
              <w:pStyle w:val="28"/>
              <w:rPr>
                <w:rFonts w:hint="default"/>
              </w:rPr>
            </w:pPr>
            <w:r>
              <w:rPr>
                <w:b w:val="0"/>
                <w:bCs w:val="0"/>
                <w:highlight w:val="none"/>
              </w:rPr>
              <w:t>运营期生态环境保护措施</w:t>
            </w:r>
          </w:p>
        </w:tc>
        <w:tc>
          <w:tcPr>
            <w:tcW w:w="7863" w:type="dxa"/>
            <w:vAlign w:val="center"/>
          </w:tcPr>
          <w:p w14:paraId="45717DC2">
            <w:pPr>
              <w:numPr>
                <w:ilvl w:val="0"/>
                <w:numId w:val="0"/>
              </w:numPr>
              <w:adjustRightInd w:val="0"/>
              <w:snapToGrid w:val="0"/>
              <w:spacing w:line="360" w:lineRule="auto"/>
              <w:ind w:left="0" w:leftChars="0" w:firstLine="0" w:firstLineChars="0"/>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1.大气污染防治措施</w:t>
            </w:r>
          </w:p>
          <w:p w14:paraId="28F093CE">
            <w:pPr>
              <w:ind w:firstLine="480"/>
              <w:rPr>
                <w:rFonts w:hint="eastAsia"/>
                <w:szCs w:val="32"/>
                <w:lang w:val="en-US" w:eastAsia="zh-CN"/>
              </w:rPr>
            </w:pPr>
            <w:r>
              <w:rPr>
                <w:rFonts w:hint="eastAsia"/>
                <w:szCs w:val="32"/>
                <w:lang w:val="en-US" w:eastAsia="zh-CN"/>
              </w:rPr>
              <w:t>根据本项目生产工艺流程可知。主要大气污染因子为原料堆场产生的粉尘、投料粉尘、筛分粉尘、皮带输送粉尘及车辆运输扬尘及食堂油烟废气等。</w:t>
            </w:r>
          </w:p>
          <w:p w14:paraId="35F0D0F5">
            <w:pPr>
              <w:bidi w:val="0"/>
              <w:ind w:left="0" w:leftChars="0" w:firstLine="0" w:firstLineChars="0"/>
              <w:jc w:val="center"/>
              <w:rPr>
                <w:rFonts w:hint="default"/>
                <w:b/>
                <w:bCs/>
                <w:lang w:val="en-US" w:eastAsia="zh-CN"/>
              </w:rPr>
            </w:pPr>
            <w:r>
              <w:rPr>
                <w:rFonts w:hint="eastAsia"/>
                <w:b/>
                <w:bCs/>
                <w:lang w:val="en-US" w:eastAsia="zh-CN"/>
              </w:rPr>
              <w:t>表5-1 运营期大气污染物措施一览表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206"/>
              <w:gridCol w:w="4145"/>
            </w:tblGrid>
            <w:tr w14:paraId="3C45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5" w:type="pct"/>
                  <w:tcBorders>
                    <w:tl2br w:val="nil"/>
                    <w:tr2bl w:val="nil"/>
                  </w:tcBorders>
                  <w:vAlign w:val="center"/>
                </w:tcPr>
                <w:p w14:paraId="253F2269">
                  <w:pPr>
                    <w:pStyle w:val="17"/>
                    <w:spacing w:after="0" w:line="240" w:lineRule="auto"/>
                    <w:ind w:firstLine="0" w:firstLineChars="0"/>
                    <w:jc w:val="center"/>
                    <w:rPr>
                      <w:sz w:val="21"/>
                      <w:szCs w:val="21"/>
                    </w:rPr>
                  </w:pPr>
                  <w:r>
                    <w:rPr>
                      <w:b/>
                      <w:bCs/>
                      <w:sz w:val="21"/>
                      <w:szCs w:val="21"/>
                    </w:rPr>
                    <w:t>产排污环节</w:t>
                  </w:r>
                </w:p>
              </w:tc>
              <w:tc>
                <w:tcPr>
                  <w:tcW w:w="790" w:type="pct"/>
                  <w:tcBorders>
                    <w:tl2br w:val="nil"/>
                    <w:tr2bl w:val="nil"/>
                  </w:tcBorders>
                  <w:vAlign w:val="center"/>
                </w:tcPr>
                <w:p w14:paraId="5637D004">
                  <w:pPr>
                    <w:pStyle w:val="17"/>
                    <w:spacing w:after="0" w:line="240" w:lineRule="auto"/>
                    <w:ind w:firstLine="0" w:firstLineChars="0"/>
                    <w:jc w:val="center"/>
                    <w:rPr>
                      <w:b/>
                      <w:color w:val="000000"/>
                      <w:sz w:val="21"/>
                      <w:szCs w:val="21"/>
                    </w:rPr>
                  </w:pPr>
                  <w:r>
                    <w:rPr>
                      <w:b/>
                      <w:color w:val="000000"/>
                      <w:sz w:val="21"/>
                      <w:szCs w:val="21"/>
                    </w:rPr>
                    <w:t>污染物种类</w:t>
                  </w:r>
                </w:p>
              </w:tc>
              <w:tc>
                <w:tcPr>
                  <w:tcW w:w="2714" w:type="pct"/>
                  <w:tcBorders>
                    <w:tl2br w:val="nil"/>
                    <w:tr2bl w:val="nil"/>
                  </w:tcBorders>
                  <w:vAlign w:val="center"/>
                </w:tcPr>
                <w:p w14:paraId="05FA14F4">
                  <w:pPr>
                    <w:pStyle w:val="17"/>
                    <w:spacing w:after="0" w:line="240" w:lineRule="auto"/>
                    <w:ind w:firstLine="0" w:firstLineChars="0"/>
                    <w:jc w:val="center"/>
                    <w:rPr>
                      <w:b/>
                      <w:color w:val="000000"/>
                      <w:sz w:val="21"/>
                      <w:szCs w:val="21"/>
                    </w:rPr>
                  </w:pPr>
                  <w:r>
                    <w:rPr>
                      <w:b/>
                      <w:color w:val="000000"/>
                      <w:sz w:val="21"/>
                      <w:szCs w:val="21"/>
                    </w:rPr>
                    <w:t>治理措施</w:t>
                  </w:r>
                </w:p>
              </w:tc>
            </w:tr>
            <w:tr w14:paraId="6CFE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95" w:type="pct"/>
                  <w:tcBorders>
                    <w:tl2br w:val="nil"/>
                    <w:tr2bl w:val="nil"/>
                  </w:tcBorders>
                  <w:vAlign w:val="center"/>
                </w:tcPr>
                <w:p w14:paraId="08479C3B">
                  <w:pPr>
                    <w:pStyle w:val="17"/>
                    <w:spacing w:after="0" w:line="240" w:lineRule="auto"/>
                    <w:ind w:firstLine="0" w:firstLineChars="0"/>
                    <w:rPr>
                      <w:sz w:val="21"/>
                      <w:szCs w:val="21"/>
                    </w:rPr>
                  </w:pPr>
                  <w:r>
                    <w:rPr>
                      <w:rFonts w:hint="eastAsia"/>
                      <w:sz w:val="21"/>
                      <w:szCs w:val="21"/>
                    </w:rPr>
                    <w:t>原料堆场粉尘</w:t>
                  </w:r>
                </w:p>
              </w:tc>
              <w:tc>
                <w:tcPr>
                  <w:tcW w:w="790" w:type="pct"/>
                  <w:vMerge w:val="restart"/>
                  <w:tcBorders>
                    <w:tl2br w:val="nil"/>
                    <w:tr2bl w:val="nil"/>
                  </w:tcBorders>
                  <w:vAlign w:val="center"/>
                </w:tcPr>
                <w:p w14:paraId="5F90BB25">
                  <w:pPr>
                    <w:pStyle w:val="17"/>
                    <w:spacing w:after="0" w:line="240" w:lineRule="auto"/>
                    <w:ind w:left="0" w:leftChars="0" w:firstLine="0" w:firstLineChars="0"/>
                    <w:rPr>
                      <w:color w:val="000000"/>
                      <w:sz w:val="21"/>
                      <w:szCs w:val="21"/>
                    </w:rPr>
                  </w:pPr>
                  <w:r>
                    <w:rPr>
                      <w:color w:val="000000"/>
                      <w:sz w:val="21"/>
                      <w:szCs w:val="21"/>
                    </w:rPr>
                    <w:t>颗粒物</w:t>
                  </w:r>
                </w:p>
              </w:tc>
              <w:tc>
                <w:tcPr>
                  <w:tcW w:w="2714" w:type="pct"/>
                  <w:tcBorders>
                    <w:tl2br w:val="nil"/>
                    <w:tr2bl w:val="nil"/>
                  </w:tcBorders>
                  <w:vAlign w:val="center"/>
                </w:tcPr>
                <w:p w14:paraId="3A32CFFD">
                  <w:pPr>
                    <w:widowControl/>
                    <w:spacing w:line="240" w:lineRule="auto"/>
                    <w:ind w:firstLine="0" w:firstLineChars="0"/>
                    <w:rPr>
                      <w:color w:val="000000"/>
                      <w:kern w:val="0"/>
                      <w:sz w:val="21"/>
                      <w:szCs w:val="21"/>
                    </w:rPr>
                  </w:pPr>
                  <w:r>
                    <w:rPr>
                      <w:rFonts w:hint="eastAsia"/>
                      <w:color w:val="000000"/>
                      <w:kern w:val="0"/>
                      <w:sz w:val="21"/>
                      <w:szCs w:val="21"/>
                      <w:lang w:eastAsia="zh-CN"/>
                    </w:rPr>
                    <w:t>采取“</w:t>
                  </w:r>
                  <w:r>
                    <w:rPr>
                      <w:rFonts w:hint="eastAsia"/>
                      <w:color w:val="000000"/>
                      <w:kern w:val="0"/>
                      <w:sz w:val="21"/>
                      <w:szCs w:val="21"/>
                      <w:lang w:val="en-US" w:eastAsia="zh-CN"/>
                    </w:rPr>
                    <w:t>封闭式</w:t>
                  </w:r>
                  <w:r>
                    <w:rPr>
                      <w:rFonts w:hint="eastAsia"/>
                      <w:color w:val="000000"/>
                      <w:kern w:val="0"/>
                      <w:sz w:val="21"/>
                      <w:szCs w:val="21"/>
                      <w:lang w:eastAsia="zh-CN"/>
                    </w:rPr>
                    <w:t>”车间，</w:t>
                  </w:r>
                  <w:r>
                    <w:rPr>
                      <w:rFonts w:hint="eastAsia"/>
                      <w:color w:val="000000"/>
                      <w:kern w:val="0"/>
                      <w:sz w:val="21"/>
                      <w:szCs w:val="21"/>
                      <w:lang w:val="en-US" w:eastAsia="zh-CN"/>
                    </w:rPr>
                    <w:t>仅保留车间进出料口，其余进行封闭设置，同时</w:t>
                  </w:r>
                  <w:r>
                    <w:rPr>
                      <w:rFonts w:hint="eastAsia"/>
                      <w:color w:val="000000"/>
                      <w:kern w:val="0"/>
                      <w:sz w:val="21"/>
                      <w:szCs w:val="21"/>
                      <w:lang w:eastAsia="zh-CN"/>
                    </w:rPr>
                    <w:t>在</w:t>
                  </w:r>
                  <w:r>
                    <w:rPr>
                      <w:rFonts w:hint="eastAsia"/>
                      <w:color w:val="000000"/>
                      <w:kern w:val="0"/>
                      <w:sz w:val="21"/>
                      <w:szCs w:val="21"/>
                      <w:lang w:val="en-US" w:eastAsia="zh-CN"/>
                    </w:rPr>
                    <w:t>原料</w:t>
                  </w:r>
                  <w:r>
                    <w:rPr>
                      <w:rFonts w:hint="eastAsia"/>
                      <w:color w:val="000000"/>
                      <w:kern w:val="0"/>
                      <w:sz w:val="21"/>
                      <w:szCs w:val="21"/>
                      <w:lang w:eastAsia="zh-CN"/>
                    </w:rPr>
                    <w:t>车间内设置水雾除尘装置进行降尘，</w:t>
                  </w:r>
                  <w:r>
                    <w:rPr>
                      <w:rFonts w:hint="eastAsia"/>
                      <w:color w:val="000000"/>
                      <w:kern w:val="0"/>
                      <w:sz w:val="21"/>
                      <w:szCs w:val="21"/>
                      <w:lang w:val="en-US" w:eastAsia="zh-CN"/>
                    </w:rPr>
                    <w:t>每1m设置一个水雾除尘喷头，每排间距2m</w:t>
                  </w:r>
                  <w:r>
                    <w:rPr>
                      <w:rFonts w:hint="eastAsia"/>
                      <w:color w:val="000000"/>
                      <w:kern w:val="0"/>
                      <w:sz w:val="21"/>
                      <w:szCs w:val="21"/>
                      <w:lang w:eastAsia="zh-CN"/>
                    </w:rPr>
                    <w:t>，并定期在车间地面进行洒水降尘</w:t>
                  </w:r>
                </w:p>
              </w:tc>
            </w:tr>
            <w:tr w14:paraId="7D28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95" w:type="pct"/>
                  <w:tcBorders>
                    <w:tl2br w:val="nil"/>
                    <w:tr2bl w:val="nil"/>
                  </w:tcBorders>
                  <w:vAlign w:val="center"/>
                </w:tcPr>
                <w:p w14:paraId="75A0F4C2">
                  <w:pPr>
                    <w:pStyle w:val="17"/>
                    <w:spacing w:after="0" w:line="240" w:lineRule="auto"/>
                    <w:ind w:firstLine="0" w:firstLineChars="0"/>
                    <w:rPr>
                      <w:color w:val="000000"/>
                      <w:sz w:val="21"/>
                      <w:szCs w:val="21"/>
                    </w:rPr>
                  </w:pPr>
                  <w:r>
                    <w:rPr>
                      <w:rFonts w:hint="eastAsia"/>
                      <w:sz w:val="21"/>
                      <w:szCs w:val="21"/>
                    </w:rPr>
                    <w:t>投料粉尘</w:t>
                  </w:r>
                </w:p>
              </w:tc>
              <w:tc>
                <w:tcPr>
                  <w:tcW w:w="790" w:type="pct"/>
                  <w:vMerge w:val="continue"/>
                  <w:tcBorders>
                    <w:tl2br w:val="nil"/>
                    <w:tr2bl w:val="nil"/>
                  </w:tcBorders>
                  <w:vAlign w:val="center"/>
                </w:tcPr>
                <w:p w14:paraId="42A76698">
                  <w:pPr>
                    <w:pStyle w:val="17"/>
                    <w:spacing w:after="0" w:line="240" w:lineRule="auto"/>
                    <w:ind w:firstLine="0" w:firstLineChars="0"/>
                    <w:rPr>
                      <w:color w:val="000000"/>
                      <w:sz w:val="21"/>
                      <w:szCs w:val="21"/>
                    </w:rPr>
                  </w:pPr>
                </w:p>
              </w:tc>
              <w:tc>
                <w:tcPr>
                  <w:tcW w:w="2714" w:type="pct"/>
                  <w:tcBorders>
                    <w:tl2br w:val="nil"/>
                    <w:tr2bl w:val="nil"/>
                  </w:tcBorders>
                  <w:vAlign w:val="center"/>
                </w:tcPr>
                <w:p w14:paraId="15E50BC4">
                  <w:pPr>
                    <w:widowControl/>
                    <w:spacing w:line="240" w:lineRule="auto"/>
                    <w:ind w:firstLine="0" w:firstLineChars="0"/>
                    <w:rPr>
                      <w:color w:val="000000"/>
                      <w:sz w:val="21"/>
                      <w:szCs w:val="21"/>
                    </w:rPr>
                  </w:pPr>
                  <w:r>
                    <w:rPr>
                      <w:rFonts w:hint="eastAsia"/>
                      <w:color w:val="000000"/>
                      <w:sz w:val="21"/>
                      <w:szCs w:val="21"/>
                    </w:rPr>
                    <w:t>安装高压喷头</w:t>
                  </w:r>
                </w:p>
              </w:tc>
            </w:tr>
            <w:tr w14:paraId="58C5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95" w:type="pct"/>
                  <w:tcBorders>
                    <w:tl2br w:val="nil"/>
                    <w:tr2bl w:val="nil"/>
                  </w:tcBorders>
                  <w:vAlign w:val="center"/>
                </w:tcPr>
                <w:p w14:paraId="7CCC1D29">
                  <w:pPr>
                    <w:pStyle w:val="17"/>
                    <w:spacing w:after="0" w:line="240" w:lineRule="auto"/>
                    <w:ind w:firstLine="0" w:firstLineChars="0"/>
                    <w:rPr>
                      <w:color w:val="000000"/>
                      <w:sz w:val="21"/>
                      <w:szCs w:val="21"/>
                    </w:rPr>
                  </w:pPr>
                  <w:r>
                    <w:rPr>
                      <w:rFonts w:hint="eastAsia"/>
                      <w:color w:val="000000"/>
                      <w:sz w:val="21"/>
                      <w:szCs w:val="21"/>
                      <w:highlight w:val="none"/>
                    </w:rPr>
                    <w:t>筛分粉尘</w:t>
                  </w:r>
                </w:p>
              </w:tc>
              <w:tc>
                <w:tcPr>
                  <w:tcW w:w="790" w:type="pct"/>
                  <w:vMerge w:val="continue"/>
                  <w:tcBorders>
                    <w:tl2br w:val="nil"/>
                    <w:tr2bl w:val="nil"/>
                  </w:tcBorders>
                  <w:vAlign w:val="center"/>
                </w:tcPr>
                <w:p w14:paraId="584123A4">
                  <w:pPr>
                    <w:pStyle w:val="17"/>
                    <w:spacing w:after="0" w:line="240" w:lineRule="auto"/>
                    <w:ind w:firstLine="0" w:firstLineChars="0"/>
                    <w:rPr>
                      <w:color w:val="000000"/>
                      <w:sz w:val="21"/>
                      <w:szCs w:val="21"/>
                    </w:rPr>
                  </w:pPr>
                </w:p>
              </w:tc>
              <w:tc>
                <w:tcPr>
                  <w:tcW w:w="2714" w:type="pct"/>
                  <w:tcBorders>
                    <w:tl2br w:val="nil"/>
                    <w:tr2bl w:val="nil"/>
                  </w:tcBorders>
                  <w:vAlign w:val="center"/>
                </w:tcPr>
                <w:p w14:paraId="1B9491B3">
                  <w:pPr>
                    <w:pStyle w:val="17"/>
                    <w:spacing w:after="0" w:line="240" w:lineRule="auto"/>
                    <w:ind w:firstLine="0" w:firstLineChars="0"/>
                    <w:rPr>
                      <w:color w:val="000000"/>
                      <w:sz w:val="21"/>
                      <w:szCs w:val="21"/>
                    </w:rPr>
                  </w:pPr>
                  <w:r>
                    <w:rPr>
                      <w:color w:val="000000"/>
                      <w:sz w:val="21"/>
                      <w:szCs w:val="21"/>
                    </w:rPr>
                    <w:t>集气罩（</w:t>
                  </w:r>
                  <w:r>
                    <w:rPr>
                      <w:rFonts w:hint="eastAsia"/>
                      <w:color w:val="000000"/>
                      <w:sz w:val="21"/>
                      <w:szCs w:val="21"/>
                      <w:lang w:val="en-US" w:eastAsia="zh-CN"/>
                    </w:rPr>
                    <w:t>95</w:t>
                  </w:r>
                  <w:r>
                    <w:rPr>
                      <w:color w:val="000000"/>
                      <w:sz w:val="21"/>
                      <w:szCs w:val="21"/>
                    </w:rPr>
                    <w:t>%）+风机（风量20000m</w:t>
                  </w:r>
                  <w:r>
                    <w:rPr>
                      <w:color w:val="000000"/>
                      <w:sz w:val="21"/>
                      <w:szCs w:val="21"/>
                      <w:vertAlign w:val="superscript"/>
                    </w:rPr>
                    <w:t>3</w:t>
                  </w:r>
                  <w:r>
                    <w:rPr>
                      <w:color w:val="000000"/>
                      <w:sz w:val="21"/>
                      <w:szCs w:val="21"/>
                    </w:rPr>
                    <w:t>/h）+布袋除尘器（9</w:t>
                  </w:r>
                  <w:r>
                    <w:rPr>
                      <w:rFonts w:hint="eastAsia"/>
                      <w:color w:val="000000"/>
                      <w:sz w:val="21"/>
                      <w:szCs w:val="21"/>
                      <w:lang w:val="en-US" w:eastAsia="zh-CN"/>
                    </w:rPr>
                    <w:t>9</w:t>
                  </w:r>
                  <w:r>
                    <w:rPr>
                      <w:color w:val="000000"/>
                      <w:sz w:val="21"/>
                      <w:szCs w:val="21"/>
                    </w:rPr>
                    <w:t>%）+15m排气筒</w:t>
                  </w:r>
                </w:p>
              </w:tc>
            </w:tr>
            <w:tr w14:paraId="28C1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495" w:type="pct"/>
                  <w:tcBorders>
                    <w:tl2br w:val="nil"/>
                    <w:tr2bl w:val="nil"/>
                  </w:tcBorders>
                  <w:vAlign w:val="center"/>
                </w:tcPr>
                <w:p w14:paraId="635CD248">
                  <w:pPr>
                    <w:pStyle w:val="17"/>
                    <w:spacing w:after="0" w:line="240" w:lineRule="auto"/>
                    <w:ind w:firstLine="0" w:firstLineChars="0"/>
                    <w:rPr>
                      <w:rFonts w:hint="eastAsia"/>
                      <w:color w:val="000000"/>
                      <w:sz w:val="21"/>
                      <w:szCs w:val="21"/>
                      <w:highlight w:val="none"/>
                    </w:rPr>
                  </w:pPr>
                  <w:r>
                    <w:rPr>
                      <w:rFonts w:hint="eastAsia"/>
                      <w:color w:val="000000"/>
                      <w:sz w:val="21"/>
                      <w:szCs w:val="21"/>
                    </w:rPr>
                    <w:t>物料转运及装卸扬尘</w:t>
                  </w:r>
                </w:p>
              </w:tc>
              <w:tc>
                <w:tcPr>
                  <w:tcW w:w="790" w:type="pct"/>
                  <w:vMerge w:val="continue"/>
                  <w:tcBorders>
                    <w:tl2br w:val="nil"/>
                    <w:tr2bl w:val="nil"/>
                  </w:tcBorders>
                  <w:vAlign w:val="center"/>
                </w:tcPr>
                <w:p w14:paraId="4ED477BE">
                  <w:pPr>
                    <w:pStyle w:val="17"/>
                    <w:spacing w:after="0" w:line="240" w:lineRule="auto"/>
                    <w:ind w:firstLine="0" w:firstLineChars="0"/>
                    <w:rPr>
                      <w:color w:val="000000"/>
                      <w:sz w:val="21"/>
                      <w:szCs w:val="21"/>
                    </w:rPr>
                  </w:pPr>
                </w:p>
              </w:tc>
              <w:tc>
                <w:tcPr>
                  <w:tcW w:w="2714" w:type="pct"/>
                  <w:tcBorders>
                    <w:tl2br w:val="nil"/>
                    <w:tr2bl w:val="nil"/>
                  </w:tcBorders>
                  <w:vAlign w:val="center"/>
                </w:tcPr>
                <w:p w14:paraId="7DD4C3A9">
                  <w:pPr>
                    <w:pStyle w:val="17"/>
                    <w:spacing w:after="0" w:line="240" w:lineRule="auto"/>
                    <w:ind w:firstLine="0" w:firstLineChars="0"/>
                    <w:rPr>
                      <w:color w:val="000000"/>
                      <w:sz w:val="21"/>
                      <w:szCs w:val="21"/>
                    </w:rPr>
                  </w:pPr>
                  <w:r>
                    <w:rPr>
                      <w:rFonts w:hint="eastAsia"/>
                      <w:color w:val="000000"/>
                      <w:sz w:val="21"/>
                      <w:szCs w:val="21"/>
                      <w:lang w:eastAsia="zh-CN"/>
                    </w:rPr>
                    <w:t>物料</w:t>
                  </w:r>
                  <w:r>
                    <w:rPr>
                      <w:rFonts w:hint="eastAsia"/>
                      <w:color w:val="000000"/>
                      <w:sz w:val="21"/>
                      <w:szCs w:val="21"/>
                    </w:rPr>
                    <w:t>装卸时</w:t>
                  </w:r>
                  <w:r>
                    <w:rPr>
                      <w:rFonts w:hint="eastAsia"/>
                      <w:color w:val="000000"/>
                      <w:sz w:val="21"/>
                      <w:szCs w:val="21"/>
                      <w:lang w:eastAsia="zh-CN"/>
                    </w:rPr>
                    <w:t>洒水降尘</w:t>
                  </w:r>
                  <w:r>
                    <w:rPr>
                      <w:rFonts w:hint="eastAsia"/>
                      <w:color w:val="000000"/>
                      <w:sz w:val="21"/>
                      <w:szCs w:val="21"/>
                    </w:rPr>
                    <w:t>，湿法作业，可有效抑制扬尘产生，同时加强产品装卸操作管理，尽量降低原料落地高度，严禁高空卸料</w:t>
                  </w:r>
                  <w:r>
                    <w:rPr>
                      <w:rFonts w:hint="eastAsia"/>
                      <w:color w:val="000000"/>
                      <w:sz w:val="21"/>
                      <w:szCs w:val="21"/>
                      <w:lang w:eastAsia="zh-CN"/>
                    </w:rPr>
                    <w:t>。</w:t>
                  </w:r>
                </w:p>
              </w:tc>
            </w:tr>
            <w:tr w14:paraId="0633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495" w:type="pct"/>
                  <w:tcBorders>
                    <w:tl2br w:val="nil"/>
                    <w:tr2bl w:val="nil"/>
                  </w:tcBorders>
                  <w:vAlign w:val="center"/>
                </w:tcPr>
                <w:p w14:paraId="2C95D4D9">
                  <w:pPr>
                    <w:pStyle w:val="17"/>
                    <w:spacing w:after="0" w:line="240" w:lineRule="auto"/>
                    <w:ind w:firstLine="0" w:firstLineChars="0"/>
                    <w:rPr>
                      <w:color w:val="000000"/>
                      <w:sz w:val="21"/>
                      <w:szCs w:val="21"/>
                    </w:rPr>
                  </w:pPr>
                  <w:r>
                    <w:rPr>
                      <w:rFonts w:hint="eastAsia"/>
                      <w:color w:val="000000"/>
                      <w:sz w:val="21"/>
                      <w:szCs w:val="21"/>
                    </w:rPr>
                    <w:t>皮带输送粉尘</w:t>
                  </w:r>
                </w:p>
              </w:tc>
              <w:tc>
                <w:tcPr>
                  <w:tcW w:w="790" w:type="pct"/>
                  <w:vMerge w:val="continue"/>
                  <w:tcBorders>
                    <w:tl2br w:val="nil"/>
                    <w:tr2bl w:val="nil"/>
                  </w:tcBorders>
                  <w:vAlign w:val="center"/>
                </w:tcPr>
                <w:p w14:paraId="58B84C10">
                  <w:pPr>
                    <w:pStyle w:val="17"/>
                    <w:spacing w:after="0" w:line="240" w:lineRule="auto"/>
                    <w:ind w:firstLine="0" w:firstLineChars="0"/>
                    <w:rPr>
                      <w:color w:val="000000"/>
                      <w:sz w:val="21"/>
                      <w:szCs w:val="21"/>
                    </w:rPr>
                  </w:pPr>
                </w:p>
              </w:tc>
              <w:tc>
                <w:tcPr>
                  <w:tcW w:w="2714" w:type="pct"/>
                  <w:tcBorders>
                    <w:tl2br w:val="nil"/>
                    <w:tr2bl w:val="nil"/>
                  </w:tcBorders>
                  <w:vAlign w:val="center"/>
                </w:tcPr>
                <w:p w14:paraId="27F843E0">
                  <w:pPr>
                    <w:widowControl/>
                    <w:spacing w:line="240" w:lineRule="auto"/>
                    <w:ind w:firstLine="0" w:firstLineChars="0"/>
                    <w:rPr>
                      <w:color w:val="000000"/>
                      <w:sz w:val="21"/>
                      <w:szCs w:val="21"/>
                    </w:rPr>
                  </w:pPr>
                  <w:r>
                    <w:rPr>
                      <w:rFonts w:hint="eastAsia"/>
                      <w:color w:val="000000"/>
                      <w:sz w:val="21"/>
                      <w:szCs w:val="21"/>
                    </w:rPr>
                    <w:t>皮带输送带上部加盖，两侧密封</w:t>
                  </w:r>
                </w:p>
              </w:tc>
            </w:tr>
            <w:tr w14:paraId="56BD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pct"/>
                  <w:tcBorders>
                    <w:tl2br w:val="nil"/>
                    <w:tr2bl w:val="nil"/>
                  </w:tcBorders>
                  <w:vAlign w:val="center"/>
                </w:tcPr>
                <w:p w14:paraId="61CFFDBD">
                  <w:pPr>
                    <w:pStyle w:val="17"/>
                    <w:spacing w:after="0" w:line="240" w:lineRule="auto"/>
                    <w:ind w:firstLine="0" w:firstLineChars="0"/>
                    <w:rPr>
                      <w:color w:val="000000"/>
                      <w:sz w:val="21"/>
                      <w:szCs w:val="21"/>
                    </w:rPr>
                  </w:pPr>
                  <w:r>
                    <w:rPr>
                      <w:color w:val="000000"/>
                      <w:sz w:val="21"/>
                      <w:szCs w:val="21"/>
                    </w:rPr>
                    <w:t>车辆运输扬尘</w:t>
                  </w:r>
                </w:p>
              </w:tc>
              <w:tc>
                <w:tcPr>
                  <w:tcW w:w="790" w:type="pct"/>
                  <w:vMerge w:val="continue"/>
                  <w:tcBorders>
                    <w:tl2br w:val="nil"/>
                    <w:tr2bl w:val="nil"/>
                  </w:tcBorders>
                  <w:vAlign w:val="center"/>
                </w:tcPr>
                <w:p w14:paraId="55928EEC">
                  <w:pPr>
                    <w:pStyle w:val="17"/>
                    <w:spacing w:after="0" w:line="240" w:lineRule="auto"/>
                    <w:ind w:firstLine="0" w:firstLineChars="0"/>
                    <w:rPr>
                      <w:color w:val="000000"/>
                      <w:sz w:val="21"/>
                      <w:szCs w:val="21"/>
                    </w:rPr>
                  </w:pPr>
                </w:p>
              </w:tc>
              <w:tc>
                <w:tcPr>
                  <w:tcW w:w="2714" w:type="pct"/>
                  <w:tcBorders>
                    <w:tl2br w:val="nil"/>
                    <w:tr2bl w:val="nil"/>
                  </w:tcBorders>
                  <w:vAlign w:val="center"/>
                </w:tcPr>
                <w:p w14:paraId="52B2F654">
                  <w:pPr>
                    <w:widowControl/>
                    <w:spacing w:line="240" w:lineRule="auto"/>
                    <w:ind w:firstLine="0" w:firstLineChars="0"/>
                    <w:rPr>
                      <w:color w:val="000000"/>
                      <w:sz w:val="21"/>
                      <w:szCs w:val="21"/>
                    </w:rPr>
                  </w:pPr>
                  <w:r>
                    <w:rPr>
                      <w:rFonts w:hint="eastAsia"/>
                      <w:color w:val="000000"/>
                      <w:sz w:val="21"/>
                      <w:szCs w:val="21"/>
                      <w:lang w:eastAsia="zh-CN"/>
                    </w:rPr>
                    <w:t>设洗车平台，对进出车辆进行冲洗，</w:t>
                  </w:r>
                  <w:r>
                    <w:rPr>
                      <w:rFonts w:hint="eastAsia"/>
                      <w:color w:val="000000"/>
                      <w:sz w:val="21"/>
                      <w:szCs w:val="21"/>
                    </w:rPr>
                    <w:t>限制超载，车辆加盖苫布，减速慢行，场内进行洒水抑尘。</w:t>
                  </w:r>
                </w:p>
              </w:tc>
            </w:tr>
          </w:tbl>
          <w:p w14:paraId="2421936E">
            <w:pPr>
              <w:pStyle w:val="4"/>
              <w:numPr>
                <w:ilvl w:val="1"/>
                <w:numId w:val="0"/>
              </w:numPr>
              <w:spacing w:line="360" w:lineRule="auto"/>
              <w:ind w:left="0" w:leftChars="0" w:firstLine="0" w:firstLineChars="0"/>
              <w:rPr>
                <w:rFonts w:hint="eastAsia" w:ascii="Times New Roman" w:hAnsi="Times New Roman" w:eastAsia="宋体" w:cstheme="minorBidi"/>
                <w:b/>
                <w:bCs/>
                <w:kern w:val="2"/>
                <w:sz w:val="24"/>
                <w:szCs w:val="24"/>
                <w:highlight w:val="none"/>
                <w:lang w:val="en-US" w:eastAsia="zh-CN" w:bidi="ar-SA"/>
              </w:rPr>
            </w:pPr>
            <w:r>
              <w:rPr>
                <w:rFonts w:hint="eastAsia"/>
                <w:lang w:val="en-US" w:eastAsia="zh-CN"/>
              </w:rPr>
              <w:t>2.</w:t>
            </w:r>
            <w:r>
              <w:rPr>
                <w:rFonts w:hint="eastAsia" w:ascii="Times New Roman" w:hAnsi="Times New Roman" w:eastAsia="宋体" w:cstheme="minorBidi"/>
                <w:b/>
                <w:bCs/>
                <w:kern w:val="2"/>
                <w:sz w:val="24"/>
                <w:szCs w:val="24"/>
                <w:highlight w:val="none"/>
                <w:lang w:val="en-US" w:eastAsia="zh-CN" w:bidi="ar-SA"/>
              </w:rPr>
              <w:t>水</w:t>
            </w:r>
            <w:r>
              <w:rPr>
                <w:rFonts w:hint="eastAsia"/>
                <w:b/>
                <w:bCs/>
                <w:lang w:val="en-US" w:eastAsia="zh-CN"/>
              </w:rPr>
              <w:t>污染防治措施</w:t>
            </w:r>
          </w:p>
          <w:p w14:paraId="64DF71D6">
            <w:pPr>
              <w:adjustRightInd w:val="0"/>
              <w:snapToGrid w:val="0"/>
              <w:spacing w:line="360" w:lineRule="auto"/>
              <w:ind w:firstLine="480"/>
              <w:rPr>
                <w:rFonts w:hint="eastAsia"/>
                <w:lang w:val="en-US" w:eastAsia="zh-CN"/>
              </w:rPr>
            </w:pPr>
            <w:r>
              <w:rPr>
                <w:rFonts w:hint="eastAsia" w:ascii="Times New Roman" w:hAnsi="Times New Roman" w:eastAsia="宋体" w:cstheme="minorBidi"/>
                <w:b w:val="0"/>
                <w:kern w:val="2"/>
                <w:sz w:val="24"/>
                <w:szCs w:val="24"/>
                <w:highlight w:val="none"/>
                <w:lang w:val="en-US" w:eastAsia="zh-CN" w:bidi="ar-SA"/>
              </w:rPr>
              <w:t>项目废水主要为生产过程中产生的洗砂废水、车辆冲洗废水、生活污水</w:t>
            </w:r>
            <w:r>
              <w:rPr>
                <w:rFonts w:hint="eastAsia" w:cstheme="minorBidi"/>
                <w:b w:val="0"/>
                <w:kern w:val="2"/>
                <w:sz w:val="24"/>
                <w:szCs w:val="24"/>
                <w:highlight w:val="none"/>
                <w:lang w:val="en-US" w:eastAsia="zh-CN" w:bidi="ar-SA"/>
              </w:rPr>
              <w:t>。</w:t>
            </w:r>
          </w:p>
          <w:p w14:paraId="3816DC5C">
            <w:pPr>
              <w:bidi w:val="0"/>
              <w:ind w:left="0" w:leftChars="0" w:firstLine="0" w:firstLineChars="0"/>
              <w:jc w:val="center"/>
              <w:rPr>
                <w:rFonts w:hint="default"/>
                <w:b/>
                <w:bCs/>
                <w:lang w:val="en-US" w:eastAsia="zh-CN"/>
              </w:rPr>
            </w:pPr>
            <w:r>
              <w:rPr>
                <w:rFonts w:hint="eastAsia"/>
                <w:b/>
                <w:bCs/>
                <w:lang w:val="en-US" w:eastAsia="zh-CN"/>
              </w:rPr>
              <w:t>表5-2 废水治理措施一览表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2442"/>
              <w:gridCol w:w="4440"/>
            </w:tblGrid>
            <w:tr w14:paraId="7909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7C85DE13">
                  <w:pPr>
                    <w:pStyle w:val="17"/>
                    <w:spacing w:after="0" w:line="240" w:lineRule="auto"/>
                    <w:ind w:firstLine="0" w:firstLineChars="0"/>
                    <w:jc w:val="center"/>
                    <w:rPr>
                      <w:b/>
                      <w:bCs/>
                      <w:sz w:val="21"/>
                      <w:szCs w:val="21"/>
                    </w:rPr>
                  </w:pPr>
                  <w:r>
                    <w:rPr>
                      <w:rFonts w:hint="eastAsia"/>
                      <w:b/>
                      <w:bCs/>
                      <w:sz w:val="21"/>
                      <w:szCs w:val="21"/>
                    </w:rPr>
                    <w:t>序号</w:t>
                  </w:r>
                </w:p>
              </w:tc>
              <w:tc>
                <w:tcPr>
                  <w:tcW w:w="1599" w:type="pct"/>
                  <w:vAlign w:val="center"/>
                </w:tcPr>
                <w:p w14:paraId="2BBCD87E">
                  <w:pPr>
                    <w:pStyle w:val="17"/>
                    <w:spacing w:after="0" w:line="240" w:lineRule="auto"/>
                    <w:ind w:firstLine="0" w:firstLineChars="0"/>
                    <w:jc w:val="center"/>
                    <w:rPr>
                      <w:b/>
                      <w:bCs/>
                      <w:sz w:val="21"/>
                      <w:szCs w:val="21"/>
                    </w:rPr>
                  </w:pPr>
                  <w:r>
                    <w:rPr>
                      <w:rFonts w:hint="eastAsia"/>
                      <w:b/>
                      <w:bCs/>
                      <w:sz w:val="21"/>
                      <w:szCs w:val="21"/>
                    </w:rPr>
                    <w:t>废水产生项目</w:t>
                  </w:r>
                </w:p>
              </w:tc>
              <w:tc>
                <w:tcPr>
                  <w:tcW w:w="2907" w:type="pct"/>
                  <w:vAlign w:val="center"/>
                </w:tcPr>
                <w:p w14:paraId="7BA3D410">
                  <w:pPr>
                    <w:pStyle w:val="17"/>
                    <w:spacing w:after="0" w:line="240" w:lineRule="auto"/>
                    <w:ind w:firstLine="0" w:firstLineChars="0"/>
                    <w:jc w:val="center"/>
                    <w:rPr>
                      <w:b/>
                      <w:bCs/>
                      <w:sz w:val="21"/>
                      <w:szCs w:val="21"/>
                    </w:rPr>
                  </w:pPr>
                  <w:r>
                    <w:rPr>
                      <w:rFonts w:hint="eastAsia"/>
                      <w:b/>
                      <w:bCs/>
                      <w:sz w:val="21"/>
                      <w:szCs w:val="21"/>
                    </w:rPr>
                    <w:t>处置措施</w:t>
                  </w:r>
                </w:p>
              </w:tc>
            </w:tr>
            <w:tr w14:paraId="0785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93" w:type="pct"/>
                  <w:vAlign w:val="center"/>
                </w:tcPr>
                <w:p w14:paraId="7918DA73">
                  <w:pPr>
                    <w:spacing w:line="240" w:lineRule="auto"/>
                    <w:ind w:firstLine="0" w:firstLineChars="0"/>
                    <w:jc w:val="center"/>
                    <w:rPr>
                      <w:sz w:val="21"/>
                      <w:szCs w:val="21"/>
                    </w:rPr>
                  </w:pPr>
                  <w:r>
                    <w:rPr>
                      <w:rFonts w:hint="eastAsia"/>
                      <w:sz w:val="21"/>
                      <w:szCs w:val="21"/>
                    </w:rPr>
                    <w:t>1</w:t>
                  </w:r>
                </w:p>
              </w:tc>
              <w:tc>
                <w:tcPr>
                  <w:tcW w:w="1599" w:type="pct"/>
                  <w:vAlign w:val="center"/>
                </w:tcPr>
                <w:p w14:paraId="5D19FFDE">
                  <w:pPr>
                    <w:spacing w:line="240" w:lineRule="auto"/>
                    <w:ind w:firstLine="0" w:firstLineChars="0"/>
                    <w:jc w:val="center"/>
                    <w:rPr>
                      <w:sz w:val="21"/>
                      <w:szCs w:val="21"/>
                    </w:rPr>
                  </w:pPr>
                  <w:r>
                    <w:rPr>
                      <w:rFonts w:hint="eastAsia"/>
                      <w:sz w:val="21"/>
                      <w:szCs w:val="21"/>
                    </w:rPr>
                    <w:t>洗砂废水</w:t>
                  </w:r>
                </w:p>
              </w:tc>
              <w:tc>
                <w:tcPr>
                  <w:tcW w:w="2907" w:type="pct"/>
                  <w:vAlign w:val="center"/>
                </w:tcPr>
                <w:p w14:paraId="128B4D61">
                  <w:pPr>
                    <w:spacing w:line="240" w:lineRule="auto"/>
                    <w:ind w:firstLine="0" w:firstLineChars="0"/>
                    <w:jc w:val="left"/>
                    <w:rPr>
                      <w:sz w:val="21"/>
                      <w:szCs w:val="21"/>
                    </w:rPr>
                  </w:pPr>
                  <w:r>
                    <w:rPr>
                      <w:rFonts w:hint="eastAsia"/>
                      <w:sz w:val="21"/>
                      <w:szCs w:val="21"/>
                    </w:rPr>
                    <w:t>经三级沉淀池沉淀后</w:t>
                  </w:r>
                  <w:r>
                    <w:rPr>
                      <w:rFonts w:hint="eastAsia"/>
                      <w:sz w:val="21"/>
                      <w:szCs w:val="21"/>
                      <w:lang w:eastAsia="zh-CN"/>
                    </w:rPr>
                    <w:t>上清液进行</w:t>
                  </w:r>
                  <w:r>
                    <w:rPr>
                      <w:rFonts w:hint="eastAsia"/>
                      <w:sz w:val="21"/>
                      <w:szCs w:val="21"/>
                      <w:lang w:val="en-US" w:eastAsia="zh-CN"/>
                    </w:rPr>
                    <w:t>回用于生产</w:t>
                  </w:r>
                  <w:r>
                    <w:rPr>
                      <w:rFonts w:hint="eastAsia"/>
                      <w:sz w:val="21"/>
                      <w:szCs w:val="21"/>
                    </w:rPr>
                    <w:t>。</w:t>
                  </w:r>
                </w:p>
              </w:tc>
            </w:tr>
            <w:tr w14:paraId="4568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93" w:type="pct"/>
                  <w:vAlign w:val="center"/>
                </w:tcPr>
                <w:p w14:paraId="3B3A905F">
                  <w:pPr>
                    <w:spacing w:line="240" w:lineRule="auto"/>
                    <w:ind w:firstLine="0" w:firstLineChars="0"/>
                    <w:jc w:val="center"/>
                    <w:rPr>
                      <w:sz w:val="21"/>
                      <w:szCs w:val="21"/>
                    </w:rPr>
                  </w:pPr>
                  <w:r>
                    <w:rPr>
                      <w:sz w:val="21"/>
                      <w:szCs w:val="21"/>
                    </w:rPr>
                    <w:t>2</w:t>
                  </w:r>
                </w:p>
              </w:tc>
              <w:tc>
                <w:tcPr>
                  <w:tcW w:w="1599" w:type="pct"/>
                  <w:vAlign w:val="center"/>
                </w:tcPr>
                <w:p w14:paraId="6526C9C7">
                  <w:pPr>
                    <w:spacing w:line="240" w:lineRule="auto"/>
                    <w:ind w:firstLine="0" w:firstLineChars="0"/>
                    <w:jc w:val="center"/>
                    <w:rPr>
                      <w:sz w:val="21"/>
                      <w:szCs w:val="21"/>
                    </w:rPr>
                  </w:pPr>
                  <w:r>
                    <w:rPr>
                      <w:sz w:val="21"/>
                      <w:szCs w:val="21"/>
                    </w:rPr>
                    <w:t>进出车辆清洗废水</w:t>
                  </w:r>
                </w:p>
              </w:tc>
              <w:tc>
                <w:tcPr>
                  <w:tcW w:w="2907" w:type="pct"/>
                  <w:vAlign w:val="center"/>
                </w:tcPr>
                <w:p w14:paraId="7B952580">
                  <w:pPr>
                    <w:spacing w:line="240" w:lineRule="auto"/>
                    <w:ind w:firstLine="0" w:firstLineChars="0"/>
                    <w:jc w:val="left"/>
                    <w:rPr>
                      <w:sz w:val="21"/>
                      <w:szCs w:val="21"/>
                    </w:rPr>
                  </w:pPr>
                  <w:r>
                    <w:rPr>
                      <w:sz w:val="21"/>
                      <w:szCs w:val="21"/>
                    </w:rPr>
                    <w:t>沉淀池收集沉淀后</w:t>
                  </w:r>
                  <w:r>
                    <w:rPr>
                      <w:rFonts w:hint="eastAsia"/>
                      <w:sz w:val="21"/>
                      <w:szCs w:val="21"/>
                    </w:rPr>
                    <w:t>用以洒水抑尘。</w:t>
                  </w:r>
                </w:p>
              </w:tc>
            </w:tr>
            <w:tr w14:paraId="2D5F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3" w:type="pct"/>
                  <w:vAlign w:val="center"/>
                </w:tcPr>
                <w:p w14:paraId="530C4402">
                  <w:pPr>
                    <w:spacing w:line="240" w:lineRule="auto"/>
                    <w:ind w:firstLine="0" w:firstLineChars="0"/>
                    <w:jc w:val="center"/>
                    <w:rPr>
                      <w:sz w:val="21"/>
                      <w:szCs w:val="21"/>
                    </w:rPr>
                  </w:pPr>
                  <w:r>
                    <w:rPr>
                      <w:sz w:val="21"/>
                      <w:szCs w:val="21"/>
                    </w:rPr>
                    <w:t>3</w:t>
                  </w:r>
                </w:p>
              </w:tc>
              <w:tc>
                <w:tcPr>
                  <w:tcW w:w="1599" w:type="pct"/>
                  <w:vAlign w:val="center"/>
                </w:tcPr>
                <w:p w14:paraId="2EA7F839">
                  <w:pPr>
                    <w:spacing w:line="240" w:lineRule="auto"/>
                    <w:ind w:firstLine="0" w:firstLineChars="0"/>
                    <w:jc w:val="center"/>
                    <w:rPr>
                      <w:sz w:val="21"/>
                      <w:szCs w:val="21"/>
                    </w:rPr>
                  </w:pPr>
                  <w:r>
                    <w:rPr>
                      <w:sz w:val="21"/>
                      <w:szCs w:val="21"/>
                    </w:rPr>
                    <w:t>职工生活污水</w:t>
                  </w:r>
                </w:p>
              </w:tc>
              <w:tc>
                <w:tcPr>
                  <w:tcW w:w="2907" w:type="pct"/>
                  <w:vAlign w:val="center"/>
                </w:tcPr>
                <w:p w14:paraId="7FBE216F">
                  <w:pPr>
                    <w:spacing w:line="240" w:lineRule="auto"/>
                    <w:ind w:firstLine="0" w:firstLineChars="0"/>
                    <w:jc w:val="left"/>
                    <w:rPr>
                      <w:rFonts w:hint="eastAsia" w:eastAsia="宋体"/>
                      <w:sz w:val="21"/>
                      <w:szCs w:val="21"/>
                      <w:lang w:eastAsia="zh-CN"/>
                    </w:rPr>
                  </w:pPr>
                  <w:r>
                    <w:rPr>
                      <w:rFonts w:hint="eastAsia" w:eastAsia="宋体"/>
                      <w:sz w:val="21"/>
                      <w:szCs w:val="21"/>
                      <w:lang w:val="en-US" w:eastAsia="zh-CN"/>
                    </w:rPr>
                    <w:t>食堂废水经隔油处理后与其他生活污水经地埋式一体化污水处理设施处理后用于场地洒水抑尘。</w:t>
                  </w:r>
                </w:p>
              </w:tc>
            </w:tr>
          </w:tbl>
          <w:p w14:paraId="0168F83C">
            <w:pPr>
              <w:bidi w:val="0"/>
              <w:ind w:left="0" w:leftChars="0" w:firstLine="0" w:firstLineChars="0"/>
              <w:rPr>
                <w:rFonts w:hint="eastAsia"/>
                <w:b/>
                <w:bCs/>
                <w:lang w:val="en-US" w:eastAsia="zh-CN"/>
              </w:rPr>
            </w:pPr>
            <w:r>
              <w:rPr>
                <w:rFonts w:hint="eastAsia"/>
                <w:b/>
                <w:bCs/>
                <w:lang w:val="en-US" w:eastAsia="zh-CN"/>
              </w:rPr>
              <w:t>3.噪声污染防治措施</w:t>
            </w:r>
          </w:p>
          <w:p w14:paraId="0127A0AC">
            <w:pPr>
              <w:bidi w:val="0"/>
              <w:rPr>
                <w:rFonts w:hint="default"/>
                <w:lang w:val="en-US" w:eastAsia="zh-CN"/>
              </w:rPr>
            </w:pPr>
            <w:r>
              <w:rPr>
                <w:rFonts w:hint="default"/>
                <w:lang w:val="en-US" w:eastAsia="zh-CN"/>
              </w:rPr>
              <w:t>项目50m范围内无居民区等声环境敏感目标，为进一步降低噪声对周边环境影响，本环评提出以下治理措施：</w:t>
            </w:r>
          </w:p>
          <w:p w14:paraId="32170C23">
            <w:pPr>
              <w:bidi w:val="0"/>
              <w:rPr>
                <w:rFonts w:hint="default"/>
                <w:lang w:val="en-US" w:eastAsia="zh-CN"/>
              </w:rPr>
            </w:pPr>
            <w:r>
              <w:rPr>
                <w:rFonts w:hint="default"/>
                <w:lang w:val="en-US" w:eastAsia="zh-CN"/>
              </w:rPr>
              <w:t>①在声源的布局上，将高噪声的破碎机、振动筛布置在车间中部，将料堆设置在车间周边，生产时关闭厂房门窗以减轻噪声对厂界的影响。</w:t>
            </w:r>
          </w:p>
          <w:p w14:paraId="50949BCB">
            <w:pPr>
              <w:bidi w:val="0"/>
              <w:rPr>
                <w:rFonts w:hint="default"/>
                <w:lang w:val="en-US" w:eastAsia="zh-CN"/>
              </w:rPr>
            </w:pPr>
            <w:r>
              <w:rPr>
                <w:rFonts w:hint="default"/>
                <w:lang w:val="en-US" w:eastAsia="zh-CN"/>
              </w:rPr>
              <w:t>②选用低噪声设备，加强设备的维护，确保设备处于良好的运转状态，杜绝因设备不正常运转时产生的高噪声现象。</w:t>
            </w:r>
          </w:p>
          <w:p w14:paraId="0C90F0FD">
            <w:pPr>
              <w:bidi w:val="0"/>
              <w:rPr>
                <w:rFonts w:hint="default"/>
                <w:lang w:val="en-US" w:eastAsia="zh-CN"/>
              </w:rPr>
            </w:pPr>
            <w:r>
              <w:rPr>
                <w:rFonts w:hint="default"/>
                <w:lang w:val="en-US" w:eastAsia="zh-CN"/>
              </w:rPr>
              <w:t>③采取防震减振措施降低噪声源强。破碎机、振动筛等高噪声设备安装时采用减振垫。</w:t>
            </w:r>
          </w:p>
          <w:p w14:paraId="3994D05B">
            <w:pPr>
              <w:bidi w:val="0"/>
              <w:rPr>
                <w:rFonts w:hint="default"/>
                <w:lang w:val="en-US" w:eastAsia="zh-CN"/>
              </w:rPr>
            </w:pPr>
            <w:r>
              <w:rPr>
                <w:rFonts w:hint="default"/>
                <w:lang w:val="en-US" w:eastAsia="zh-CN"/>
              </w:rPr>
              <w:t>④加强生产管理，加强职工环保意识教育，提倡文明生产， 防止人为噪声。</w:t>
            </w:r>
          </w:p>
          <w:p w14:paraId="0EA7901A">
            <w:pPr>
              <w:bidi w:val="0"/>
              <w:rPr>
                <w:rFonts w:hint="default"/>
                <w:lang w:val="en-US" w:eastAsia="zh-CN"/>
              </w:rPr>
            </w:pPr>
            <w:r>
              <w:rPr>
                <w:rFonts w:hint="default"/>
                <w:lang w:val="en-US" w:eastAsia="zh-CN"/>
              </w:rPr>
              <w:t>⑤厂区进出车辆限速，在厂区运输道路及车辆进出口设置限速标志，要求车辆限速，减小车辆噪声，途经村庄限速行驶，按规定路线行驶。</w:t>
            </w:r>
          </w:p>
          <w:p w14:paraId="26422E7E">
            <w:pPr>
              <w:ind w:left="0" w:leftChars="0" w:firstLine="0" w:firstLineChars="0"/>
              <w:rPr>
                <w:rFonts w:hint="eastAsia"/>
                <w:lang w:val="en-US" w:eastAsia="zh-CN"/>
              </w:rPr>
            </w:pPr>
            <w:r>
              <w:rPr>
                <w:rFonts w:hint="default"/>
                <w:lang w:val="en-US" w:eastAsia="zh-CN"/>
              </w:rPr>
              <w:t>在采取以上噪声防治措施后，项目厂界噪声排放符合《工业企业厂界环境噪声排放标准》（GB12348-2008）中2类标准。本项目夜间不生产，项目产生的噪声对周边环境影响较小，措施可行，能够满足环保要求。</w:t>
            </w:r>
          </w:p>
          <w:p w14:paraId="0C4E8D5D">
            <w:pPr>
              <w:bidi w:val="0"/>
              <w:ind w:left="0" w:leftChars="0" w:firstLine="0" w:firstLineChars="0"/>
              <w:rPr>
                <w:rFonts w:hint="default"/>
                <w:b/>
                <w:bCs/>
                <w:lang w:val="en-US" w:eastAsia="zh-CN"/>
              </w:rPr>
            </w:pPr>
            <w:r>
              <w:rPr>
                <w:rFonts w:hint="eastAsia"/>
                <w:b/>
                <w:bCs/>
                <w:lang w:val="en-US" w:eastAsia="zh-CN"/>
              </w:rPr>
              <w:t>4.固体废物防治措施</w:t>
            </w:r>
          </w:p>
          <w:p w14:paraId="3A7C428A">
            <w:pPr>
              <w:bidi w:val="0"/>
              <w:rPr>
                <w:rFonts w:hint="eastAsia"/>
                <w:lang w:val="en-US" w:eastAsia="zh-CN"/>
              </w:rPr>
            </w:pPr>
            <w:r>
              <w:rPr>
                <w:rFonts w:hint="eastAsia"/>
                <w:lang w:val="en-US" w:eastAsia="zh-CN"/>
              </w:rPr>
              <w:t>本项目固体废物主要为沉淀池底泥、生活垃圾和废机油。</w:t>
            </w:r>
          </w:p>
          <w:p w14:paraId="46292303">
            <w:pPr>
              <w:bidi w:val="0"/>
              <w:ind w:left="0" w:leftChars="0" w:firstLine="0" w:firstLineChars="0"/>
              <w:jc w:val="center"/>
              <w:rPr>
                <w:rFonts w:hint="default"/>
                <w:b/>
                <w:bCs/>
                <w:lang w:val="en-US" w:eastAsia="zh-CN"/>
              </w:rPr>
            </w:pPr>
            <w:r>
              <w:rPr>
                <w:rFonts w:hint="eastAsia"/>
                <w:b/>
                <w:bCs/>
                <w:lang w:val="en-US" w:eastAsia="zh-CN"/>
              </w:rPr>
              <w:t>表5-3 固体废物措施一览表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709"/>
              <w:gridCol w:w="2283"/>
              <w:gridCol w:w="1359"/>
              <w:gridCol w:w="2733"/>
            </w:tblGrid>
            <w:tr w14:paraId="7CDA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pct"/>
                  <w:vAlign w:val="center"/>
                </w:tcPr>
                <w:p w14:paraId="51A106DD">
                  <w:pPr>
                    <w:spacing w:line="240" w:lineRule="auto"/>
                    <w:ind w:firstLine="0" w:firstLineChars="0"/>
                    <w:jc w:val="center"/>
                    <w:rPr>
                      <w:b/>
                      <w:bCs/>
                      <w:sz w:val="21"/>
                      <w:szCs w:val="21"/>
                    </w:rPr>
                  </w:pPr>
                  <w:r>
                    <w:rPr>
                      <w:b/>
                      <w:bCs/>
                      <w:sz w:val="21"/>
                      <w:szCs w:val="21"/>
                    </w:rPr>
                    <w:t>序号</w:t>
                  </w:r>
                </w:p>
              </w:tc>
              <w:tc>
                <w:tcPr>
                  <w:tcW w:w="464" w:type="pct"/>
                  <w:vAlign w:val="center"/>
                </w:tcPr>
                <w:p w14:paraId="62F4677F">
                  <w:pPr>
                    <w:spacing w:line="240" w:lineRule="auto"/>
                    <w:ind w:firstLine="0" w:firstLineChars="0"/>
                    <w:jc w:val="center"/>
                    <w:rPr>
                      <w:b/>
                      <w:bCs/>
                      <w:sz w:val="21"/>
                      <w:szCs w:val="21"/>
                    </w:rPr>
                  </w:pPr>
                  <w:r>
                    <w:rPr>
                      <w:b/>
                      <w:bCs/>
                      <w:sz w:val="21"/>
                      <w:szCs w:val="21"/>
                    </w:rPr>
                    <w:t>性质</w:t>
                  </w:r>
                </w:p>
              </w:tc>
              <w:tc>
                <w:tcPr>
                  <w:tcW w:w="1495" w:type="pct"/>
                  <w:vAlign w:val="center"/>
                </w:tcPr>
                <w:p w14:paraId="14038FF1">
                  <w:pPr>
                    <w:spacing w:line="240" w:lineRule="auto"/>
                    <w:ind w:firstLine="0" w:firstLineChars="0"/>
                    <w:jc w:val="center"/>
                    <w:rPr>
                      <w:b/>
                      <w:bCs/>
                      <w:sz w:val="21"/>
                      <w:szCs w:val="21"/>
                    </w:rPr>
                  </w:pPr>
                  <w:r>
                    <w:rPr>
                      <w:b/>
                      <w:bCs/>
                      <w:sz w:val="21"/>
                      <w:szCs w:val="21"/>
                    </w:rPr>
                    <w:t>污染源</w:t>
                  </w:r>
                </w:p>
              </w:tc>
              <w:tc>
                <w:tcPr>
                  <w:tcW w:w="890" w:type="pct"/>
                  <w:vAlign w:val="center"/>
                </w:tcPr>
                <w:p w14:paraId="04A8F8AA">
                  <w:pPr>
                    <w:spacing w:line="240" w:lineRule="auto"/>
                    <w:ind w:firstLine="0" w:firstLineChars="0"/>
                    <w:jc w:val="center"/>
                    <w:rPr>
                      <w:b/>
                      <w:bCs/>
                      <w:sz w:val="21"/>
                      <w:szCs w:val="21"/>
                    </w:rPr>
                  </w:pPr>
                  <w:r>
                    <w:rPr>
                      <w:b/>
                      <w:bCs/>
                      <w:sz w:val="21"/>
                      <w:szCs w:val="21"/>
                    </w:rPr>
                    <w:t>危废代码</w:t>
                  </w:r>
                </w:p>
              </w:tc>
              <w:tc>
                <w:tcPr>
                  <w:tcW w:w="1789" w:type="pct"/>
                  <w:vAlign w:val="center"/>
                </w:tcPr>
                <w:p w14:paraId="4A96DFB0">
                  <w:pPr>
                    <w:spacing w:line="240" w:lineRule="auto"/>
                    <w:ind w:firstLine="0" w:firstLineChars="0"/>
                    <w:jc w:val="center"/>
                    <w:rPr>
                      <w:b/>
                      <w:bCs/>
                      <w:sz w:val="21"/>
                      <w:szCs w:val="21"/>
                    </w:rPr>
                  </w:pPr>
                  <w:r>
                    <w:rPr>
                      <w:rFonts w:hint="eastAsia"/>
                      <w:b/>
                      <w:bCs/>
                      <w:sz w:val="21"/>
                      <w:szCs w:val="21"/>
                    </w:rPr>
                    <w:t>处置去向</w:t>
                  </w:r>
                </w:p>
              </w:tc>
            </w:tr>
            <w:tr w14:paraId="41AC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360" w:type="pct"/>
                  <w:vAlign w:val="center"/>
                </w:tcPr>
                <w:p w14:paraId="38E98E05">
                  <w:pPr>
                    <w:spacing w:line="240" w:lineRule="auto"/>
                    <w:ind w:firstLine="0" w:firstLineChars="0"/>
                    <w:jc w:val="center"/>
                    <w:rPr>
                      <w:sz w:val="21"/>
                      <w:szCs w:val="21"/>
                    </w:rPr>
                  </w:pPr>
                  <w:r>
                    <w:rPr>
                      <w:sz w:val="21"/>
                      <w:szCs w:val="21"/>
                    </w:rPr>
                    <w:t>1</w:t>
                  </w:r>
                </w:p>
              </w:tc>
              <w:tc>
                <w:tcPr>
                  <w:tcW w:w="464" w:type="pct"/>
                  <w:vAlign w:val="center"/>
                </w:tcPr>
                <w:p w14:paraId="7A0C977E">
                  <w:pPr>
                    <w:spacing w:line="240" w:lineRule="auto"/>
                    <w:ind w:firstLine="0" w:firstLineChars="0"/>
                    <w:jc w:val="center"/>
                    <w:rPr>
                      <w:sz w:val="21"/>
                      <w:szCs w:val="21"/>
                    </w:rPr>
                  </w:pPr>
                  <w:r>
                    <w:rPr>
                      <w:sz w:val="21"/>
                      <w:szCs w:val="21"/>
                    </w:rPr>
                    <w:t>一般工业固废</w:t>
                  </w:r>
                </w:p>
              </w:tc>
              <w:tc>
                <w:tcPr>
                  <w:tcW w:w="1495" w:type="pct"/>
                  <w:vAlign w:val="center"/>
                </w:tcPr>
                <w:p w14:paraId="1E83129E">
                  <w:pPr>
                    <w:spacing w:line="240" w:lineRule="auto"/>
                    <w:ind w:firstLine="0" w:firstLineChars="0"/>
                    <w:jc w:val="center"/>
                    <w:rPr>
                      <w:sz w:val="21"/>
                      <w:szCs w:val="21"/>
                    </w:rPr>
                  </w:pPr>
                  <w:r>
                    <w:rPr>
                      <w:rFonts w:hint="eastAsia"/>
                      <w:sz w:val="21"/>
                      <w:szCs w:val="21"/>
                    </w:rPr>
                    <w:t>沉淀池底泥</w:t>
                  </w:r>
                </w:p>
              </w:tc>
              <w:tc>
                <w:tcPr>
                  <w:tcW w:w="890" w:type="pct"/>
                  <w:vAlign w:val="center"/>
                </w:tcPr>
                <w:p w14:paraId="5B9F0D07">
                  <w:pPr>
                    <w:spacing w:line="240" w:lineRule="auto"/>
                    <w:ind w:firstLine="420"/>
                    <w:rPr>
                      <w:sz w:val="21"/>
                      <w:szCs w:val="21"/>
                    </w:rPr>
                  </w:pPr>
                  <w:r>
                    <w:rPr>
                      <w:rFonts w:hint="eastAsia"/>
                      <w:sz w:val="21"/>
                      <w:szCs w:val="21"/>
                    </w:rPr>
                    <w:t>/</w:t>
                  </w:r>
                </w:p>
              </w:tc>
              <w:tc>
                <w:tcPr>
                  <w:tcW w:w="1789" w:type="pct"/>
                  <w:vAlign w:val="center"/>
                </w:tcPr>
                <w:p w14:paraId="2749345E">
                  <w:pPr>
                    <w:spacing w:line="240" w:lineRule="auto"/>
                    <w:ind w:firstLine="0" w:firstLineChars="0"/>
                    <w:jc w:val="center"/>
                    <w:rPr>
                      <w:sz w:val="21"/>
                      <w:szCs w:val="21"/>
                    </w:rPr>
                  </w:pPr>
                  <w:r>
                    <w:rPr>
                      <w:rFonts w:hint="eastAsia"/>
                      <w:sz w:val="21"/>
                      <w:szCs w:val="21"/>
                    </w:rPr>
                    <w:t>定期清掏至废石堆场，晾晒后，用于采坑回填</w:t>
                  </w:r>
                </w:p>
              </w:tc>
            </w:tr>
            <w:tr w14:paraId="6BC8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360" w:type="pct"/>
                  <w:vAlign w:val="center"/>
                </w:tcPr>
                <w:p w14:paraId="203B587F">
                  <w:pPr>
                    <w:spacing w:line="240" w:lineRule="auto"/>
                    <w:ind w:firstLine="0" w:firstLineChars="0"/>
                    <w:jc w:val="center"/>
                    <w:rPr>
                      <w:sz w:val="21"/>
                      <w:szCs w:val="21"/>
                    </w:rPr>
                  </w:pPr>
                  <w:r>
                    <w:rPr>
                      <w:rFonts w:hint="eastAsia"/>
                      <w:sz w:val="21"/>
                      <w:szCs w:val="21"/>
                    </w:rPr>
                    <w:t>2</w:t>
                  </w:r>
                </w:p>
              </w:tc>
              <w:tc>
                <w:tcPr>
                  <w:tcW w:w="464" w:type="pct"/>
                  <w:vAlign w:val="center"/>
                </w:tcPr>
                <w:p w14:paraId="23674776">
                  <w:pPr>
                    <w:spacing w:line="240" w:lineRule="auto"/>
                    <w:ind w:firstLine="0" w:firstLineChars="0"/>
                    <w:jc w:val="center"/>
                    <w:rPr>
                      <w:sz w:val="21"/>
                      <w:szCs w:val="21"/>
                    </w:rPr>
                  </w:pPr>
                  <w:r>
                    <w:rPr>
                      <w:sz w:val="21"/>
                      <w:szCs w:val="21"/>
                    </w:rPr>
                    <w:t>生活垃圾</w:t>
                  </w:r>
                </w:p>
              </w:tc>
              <w:tc>
                <w:tcPr>
                  <w:tcW w:w="1495" w:type="pct"/>
                  <w:vAlign w:val="center"/>
                </w:tcPr>
                <w:p w14:paraId="1F3AD522">
                  <w:pPr>
                    <w:spacing w:line="240" w:lineRule="auto"/>
                    <w:ind w:firstLine="0" w:firstLineChars="0"/>
                    <w:jc w:val="center"/>
                    <w:rPr>
                      <w:sz w:val="21"/>
                      <w:szCs w:val="21"/>
                    </w:rPr>
                  </w:pPr>
                  <w:r>
                    <w:rPr>
                      <w:rFonts w:hint="eastAsia"/>
                      <w:sz w:val="21"/>
                      <w:szCs w:val="21"/>
                    </w:rPr>
                    <w:t>员工生活垃圾</w:t>
                  </w:r>
                </w:p>
              </w:tc>
              <w:tc>
                <w:tcPr>
                  <w:tcW w:w="890" w:type="pct"/>
                  <w:vAlign w:val="center"/>
                </w:tcPr>
                <w:p w14:paraId="25C20B23">
                  <w:pPr>
                    <w:spacing w:line="240" w:lineRule="auto"/>
                    <w:ind w:firstLine="420"/>
                    <w:rPr>
                      <w:sz w:val="21"/>
                      <w:szCs w:val="21"/>
                    </w:rPr>
                  </w:pPr>
                  <w:r>
                    <w:rPr>
                      <w:sz w:val="21"/>
                      <w:szCs w:val="21"/>
                    </w:rPr>
                    <w:t>/</w:t>
                  </w:r>
                </w:p>
              </w:tc>
              <w:tc>
                <w:tcPr>
                  <w:tcW w:w="1789" w:type="pct"/>
                  <w:vAlign w:val="center"/>
                </w:tcPr>
                <w:p w14:paraId="0BD3D73B">
                  <w:pPr>
                    <w:spacing w:line="240" w:lineRule="auto"/>
                    <w:ind w:firstLine="0" w:firstLineChars="0"/>
                    <w:jc w:val="left"/>
                    <w:rPr>
                      <w:sz w:val="21"/>
                      <w:szCs w:val="21"/>
                    </w:rPr>
                  </w:pPr>
                  <w:r>
                    <w:rPr>
                      <w:rFonts w:hint="eastAsia"/>
                      <w:sz w:val="21"/>
                      <w:szCs w:val="21"/>
                    </w:rPr>
                    <w:t>集中分类收集后定期清运至当地乡镇垃圾中转站，由当地环卫部门统一清运处理。</w:t>
                  </w:r>
                </w:p>
              </w:tc>
            </w:tr>
            <w:tr w14:paraId="3C2A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360" w:type="pct"/>
                  <w:vAlign w:val="center"/>
                </w:tcPr>
                <w:p w14:paraId="0FE32A81">
                  <w:pPr>
                    <w:spacing w:line="240" w:lineRule="auto"/>
                    <w:ind w:firstLine="0" w:firstLineChars="0"/>
                    <w:jc w:val="center"/>
                    <w:rPr>
                      <w:sz w:val="21"/>
                      <w:szCs w:val="21"/>
                    </w:rPr>
                  </w:pPr>
                  <w:r>
                    <w:rPr>
                      <w:rFonts w:hint="eastAsia"/>
                      <w:sz w:val="21"/>
                      <w:szCs w:val="21"/>
                    </w:rPr>
                    <w:t>3</w:t>
                  </w:r>
                </w:p>
              </w:tc>
              <w:tc>
                <w:tcPr>
                  <w:tcW w:w="464" w:type="pct"/>
                  <w:vAlign w:val="center"/>
                </w:tcPr>
                <w:p w14:paraId="59E7D8A7">
                  <w:pPr>
                    <w:spacing w:line="240" w:lineRule="auto"/>
                    <w:ind w:firstLine="0" w:firstLineChars="0"/>
                    <w:jc w:val="center"/>
                    <w:rPr>
                      <w:sz w:val="21"/>
                      <w:szCs w:val="21"/>
                    </w:rPr>
                  </w:pPr>
                  <w:r>
                    <w:rPr>
                      <w:rFonts w:hint="eastAsia"/>
                      <w:sz w:val="21"/>
                      <w:szCs w:val="21"/>
                    </w:rPr>
                    <w:t>危险废物</w:t>
                  </w:r>
                </w:p>
              </w:tc>
              <w:tc>
                <w:tcPr>
                  <w:tcW w:w="1495" w:type="pct"/>
                  <w:vAlign w:val="center"/>
                </w:tcPr>
                <w:p w14:paraId="609B1294">
                  <w:pPr>
                    <w:spacing w:line="240" w:lineRule="auto"/>
                    <w:ind w:firstLine="0" w:firstLineChars="0"/>
                    <w:jc w:val="center"/>
                    <w:rPr>
                      <w:sz w:val="21"/>
                      <w:szCs w:val="21"/>
                    </w:rPr>
                  </w:pPr>
                  <w:r>
                    <w:rPr>
                      <w:rFonts w:hint="eastAsia"/>
                      <w:sz w:val="21"/>
                      <w:szCs w:val="21"/>
                    </w:rPr>
                    <w:t>机械</w:t>
                  </w:r>
                  <w:r>
                    <w:rPr>
                      <w:sz w:val="21"/>
                      <w:szCs w:val="21"/>
                    </w:rPr>
                    <w:t>设备保养</w:t>
                  </w:r>
                  <w:r>
                    <w:rPr>
                      <w:rFonts w:hint="eastAsia"/>
                      <w:sz w:val="21"/>
                      <w:szCs w:val="21"/>
                    </w:rPr>
                    <w:t>产生的废机油及润滑油等</w:t>
                  </w:r>
                </w:p>
              </w:tc>
              <w:tc>
                <w:tcPr>
                  <w:tcW w:w="890" w:type="pct"/>
                  <w:vAlign w:val="center"/>
                </w:tcPr>
                <w:p w14:paraId="22346C48">
                  <w:pPr>
                    <w:spacing w:line="240" w:lineRule="auto"/>
                    <w:ind w:firstLine="0" w:firstLineChars="0"/>
                    <w:jc w:val="center"/>
                    <w:rPr>
                      <w:sz w:val="21"/>
                      <w:szCs w:val="21"/>
                    </w:rPr>
                  </w:pPr>
                  <w:r>
                    <w:rPr>
                      <w:sz w:val="21"/>
                      <w:szCs w:val="21"/>
                    </w:rPr>
                    <w:t>900-218-08</w:t>
                  </w:r>
                </w:p>
              </w:tc>
              <w:tc>
                <w:tcPr>
                  <w:tcW w:w="1789" w:type="pct"/>
                  <w:vAlign w:val="center"/>
                </w:tcPr>
                <w:p w14:paraId="55DD8B34">
                  <w:pPr>
                    <w:spacing w:line="240" w:lineRule="auto"/>
                    <w:ind w:firstLine="0" w:firstLineChars="0"/>
                    <w:jc w:val="center"/>
                    <w:rPr>
                      <w:sz w:val="21"/>
                      <w:szCs w:val="21"/>
                    </w:rPr>
                  </w:pPr>
                  <w:r>
                    <w:rPr>
                      <w:rFonts w:hint="eastAsia"/>
                      <w:sz w:val="21"/>
                      <w:szCs w:val="21"/>
                    </w:rPr>
                    <w:t>委托有资质单位处置。</w:t>
                  </w:r>
                </w:p>
              </w:tc>
            </w:tr>
          </w:tbl>
          <w:p w14:paraId="36639742">
            <w:pPr>
              <w:keepNext w:val="0"/>
              <w:keepLines w:val="0"/>
              <w:widowControl/>
              <w:suppressLineNumbers w:val="0"/>
              <w:ind w:left="0" w:leftChars="0" w:firstLine="0" w:firstLineChars="0"/>
              <w:jc w:val="left"/>
            </w:pPr>
            <w:r>
              <w:rPr>
                <w:rFonts w:hint="default"/>
                <w:b/>
                <w:bCs/>
                <w:lang w:val="en-US" w:eastAsia="zh-CN"/>
              </w:rPr>
              <w:t>5.</w:t>
            </w:r>
            <w:r>
              <w:rPr>
                <w:rFonts w:hint="eastAsia"/>
                <w:b/>
                <w:bCs/>
                <w:lang w:val="en-US" w:eastAsia="zh-CN"/>
              </w:rPr>
              <w:t>生态环境保护措施</w:t>
            </w:r>
          </w:p>
          <w:p w14:paraId="7261B791">
            <w:pPr>
              <w:bidi w:val="0"/>
            </w:pPr>
            <w:r>
              <w:rPr>
                <w:lang w:val="en-US" w:eastAsia="zh-CN"/>
              </w:rPr>
              <w:t>（</w:t>
            </w:r>
            <w:r>
              <w:rPr>
                <w:rFonts w:hint="default"/>
                <w:lang w:val="en-US" w:eastAsia="zh-CN"/>
              </w:rPr>
              <w:t>1</w:t>
            </w:r>
            <w:r>
              <w:rPr>
                <w:lang w:val="en-US" w:eastAsia="zh-CN"/>
              </w:rPr>
              <w:t xml:space="preserve">）建设单位必须担负生态保护、恢复、补偿、建设和管理责任，合理安排使用土地，降低生态破坏程度。 </w:t>
            </w:r>
          </w:p>
          <w:p w14:paraId="25C67213">
            <w:pPr>
              <w:bidi w:val="0"/>
            </w:pPr>
            <w:r>
              <w:rPr>
                <w:lang w:val="en-US" w:eastAsia="zh-CN"/>
              </w:rPr>
              <w:t>（</w:t>
            </w:r>
            <w:r>
              <w:rPr>
                <w:rFonts w:hint="default"/>
                <w:lang w:val="en-US" w:eastAsia="zh-CN"/>
              </w:rPr>
              <w:t>2</w:t>
            </w:r>
            <w:r>
              <w:rPr>
                <w:lang w:val="en-US" w:eastAsia="zh-CN"/>
              </w:rPr>
              <w:t xml:space="preserve">）对永久占地、临时占地区的绿化采用本土物种，并且加密绿化；对临时用地区的植被恢复进行跟踪监测与维护。 </w:t>
            </w:r>
          </w:p>
          <w:p w14:paraId="22FD6310">
            <w:pPr>
              <w:bidi w:val="0"/>
            </w:pPr>
            <w:r>
              <w:rPr>
                <w:lang w:val="en-US" w:eastAsia="zh-CN"/>
              </w:rPr>
              <w:t>（</w:t>
            </w:r>
            <w:r>
              <w:rPr>
                <w:rFonts w:hint="default"/>
                <w:lang w:val="en-US" w:eastAsia="zh-CN"/>
              </w:rPr>
              <w:t>3</w:t>
            </w:r>
            <w:r>
              <w:rPr>
                <w:lang w:val="en-US" w:eastAsia="zh-CN"/>
              </w:rPr>
              <w:t>）绿化工程与主体工程同时规划、同时设计、同时投资，并在主体工程施工完毕后一年内按照设计方案的要求完成绿化工程建设，必须选择适宜的本土植物种类，适时对工程区内外空地、边坡面、裸露地、空隙地、绿化用地进行植树种草，并加强管理和养护。</w:t>
            </w:r>
          </w:p>
          <w:p w14:paraId="781EF9F8">
            <w:pPr>
              <w:bidi w:val="0"/>
            </w:pPr>
            <w:r>
              <w:rPr>
                <w:lang w:val="en-US" w:eastAsia="zh-CN"/>
              </w:rPr>
              <w:t>（</w:t>
            </w:r>
            <w:r>
              <w:rPr>
                <w:rFonts w:hint="default"/>
                <w:lang w:val="en-US" w:eastAsia="zh-CN"/>
              </w:rPr>
              <w:t>4</w:t>
            </w:r>
            <w:r>
              <w:rPr>
                <w:lang w:val="en-US" w:eastAsia="zh-CN"/>
              </w:rPr>
              <w:t>）对周边居区域进行生态的监控或调查。对项目区域进行生境变化、植被的变化以及生态系统整体性变化的监测，并对受影响的植物采取一定保护措施。</w:t>
            </w:r>
          </w:p>
          <w:p w14:paraId="2229DA04">
            <w:pPr>
              <w:keepNext w:val="0"/>
              <w:keepLines w:val="0"/>
              <w:widowControl/>
              <w:suppressLineNumbers w:val="0"/>
              <w:ind w:left="0" w:leftChars="0" w:firstLine="0" w:firstLineChars="0"/>
              <w:jc w:val="left"/>
              <w:rPr>
                <w:rFonts w:hint="eastAsia"/>
                <w:b/>
                <w:bCs/>
                <w:lang w:val="en-US" w:eastAsia="zh-CN"/>
              </w:rPr>
            </w:pPr>
            <w:r>
              <w:rPr>
                <w:rFonts w:hint="eastAsia"/>
                <w:b/>
                <w:bCs/>
                <w:lang w:val="en-US" w:eastAsia="zh-CN"/>
              </w:rPr>
              <w:t>6.防沙治沙</w:t>
            </w:r>
          </w:p>
          <w:p w14:paraId="1971BB74">
            <w:pPr>
              <w:bidi w:val="0"/>
              <w:rPr>
                <w:rFonts w:hint="eastAsia"/>
                <w:lang w:val="en-US" w:eastAsia="zh-CN"/>
              </w:rPr>
            </w:pPr>
            <w:r>
              <w:rPr>
                <w:rFonts w:hint="eastAsia"/>
                <w:lang w:val="en-US" w:eastAsia="zh-CN"/>
              </w:rPr>
              <w:t>根据《新疆第五次沙化土地监测报告》及沙化土地分布图，项目属于非沙化土地，不位于沙区。因此，本项目在建设及运营过程需做好水土保持工作。要求对于剥离的表土采用苫布遮盖措施堆存于矿区；对开采区域采用洒水降尘措施，密封运输预料。边开采边治理，利用废石逐步回填采坑，并覆盖剥离的表土后，播撒草籽，进行植被恢复，防止土壤荒漠化。</w:t>
            </w:r>
          </w:p>
          <w:p w14:paraId="2928E05A">
            <w:pPr>
              <w:keepNext w:val="0"/>
              <w:keepLines w:val="0"/>
              <w:widowControl/>
              <w:numPr>
                <w:ilvl w:val="0"/>
                <w:numId w:val="0"/>
              </w:numPr>
              <w:suppressLineNumbers w:val="0"/>
              <w:ind w:left="0" w:leftChars="0" w:firstLine="0" w:firstLineChars="0"/>
              <w:jc w:val="left"/>
              <w:rPr>
                <w:rFonts w:hint="eastAsia"/>
                <w:b/>
                <w:bCs/>
                <w:lang w:val="en-US" w:eastAsia="zh-CN"/>
              </w:rPr>
            </w:pPr>
            <w:r>
              <w:rPr>
                <w:rFonts w:hint="eastAsia" w:cstheme="minorBidi"/>
                <w:b/>
                <w:bCs/>
                <w:kern w:val="2"/>
                <w:sz w:val="24"/>
                <w:szCs w:val="24"/>
                <w:lang w:val="en-US" w:eastAsia="zh-CN" w:bidi="ar-SA"/>
              </w:rPr>
              <w:t>7</w:t>
            </w:r>
            <w:r>
              <w:rPr>
                <w:rFonts w:hint="eastAsia" w:ascii="Times New Roman" w:hAnsi="Times New Roman" w:eastAsia="宋体" w:cstheme="minorBidi"/>
                <w:b/>
                <w:bCs/>
                <w:kern w:val="2"/>
                <w:sz w:val="24"/>
                <w:szCs w:val="24"/>
                <w:lang w:val="en-US" w:eastAsia="zh-CN" w:bidi="ar-SA"/>
              </w:rPr>
              <w:t>、</w:t>
            </w:r>
            <w:r>
              <w:rPr>
                <w:rFonts w:hint="eastAsia"/>
                <w:b/>
                <w:bCs/>
                <w:lang w:val="en-US" w:eastAsia="zh-CN"/>
              </w:rPr>
              <w:t>复垦及绿化方案</w:t>
            </w:r>
          </w:p>
          <w:p w14:paraId="2BC6FEF0">
            <w:pPr>
              <w:bidi w:val="0"/>
              <w:rPr>
                <w:rFonts w:hint="eastAsia"/>
                <w:lang w:val="en-US" w:eastAsia="zh-CN"/>
              </w:rPr>
            </w:pPr>
            <w:r>
              <w:rPr>
                <w:rFonts w:hint="eastAsia"/>
                <w:lang w:val="en-US" w:eastAsia="zh-CN"/>
              </w:rPr>
              <w:t>根据建设单位提供资料，生态恢复具体方案包括采场生态恢复、废石场生态恢复、生活区生态恢复。根据采矿地质条件、发展远景及当地具体情况，制定生态恢复计划，该计划要纳入矿山设计中的开采、排弃计划，其内容包括利用土地的方式、采矿复垦方法等，且与生产建设统一规划。结合待复垦区周边土地利用方式，以恢复原土地利用类型为首选复垦方向，初步确定土地复垦方向为天然牧草地。覆土与修复工作要保持与矿区开采、排弃顺序相协调，且尽可能利用矿区的采、装、运等设备。根据工程区的地质条件、气候条件及工程特点，生态恢复采取土地整治等工程措施。据矿山开采情况及矿山治理恢复工作的部署，基建期先剥表土，拉运到表土堆放场压实堆放。矿山闭坑后可进行复垦。开采期间将近两年废石堆放至废石堆放场，剩余服务年限废石全部内排至露天采坑。对开采完成的区域利用废石逐步回填，回填完毕后用挖掘机和推土机进行平整场地，再利用表土堆放场的表土进行覆盖，并播撒草籽覆绿。根据区域植被类型，选用直播技术，直接人工混播草籽（比例为1:1)，草种选择当地常见草种，按60千克/公顷进行草籽播撒计算，恢复原有生态环境。</w:t>
            </w:r>
          </w:p>
          <w:p w14:paraId="48786721">
            <w:pPr>
              <w:keepNext w:val="0"/>
              <w:keepLines w:val="0"/>
              <w:widowControl/>
              <w:suppressLineNumbers w:val="0"/>
              <w:ind w:left="0" w:leftChars="0" w:firstLine="0" w:firstLineChars="0"/>
              <w:jc w:val="left"/>
              <w:rPr>
                <w:rFonts w:hint="default"/>
                <w:b/>
                <w:bCs/>
                <w:lang w:val="en-US" w:eastAsia="zh-CN"/>
              </w:rPr>
            </w:pPr>
            <w:r>
              <w:rPr>
                <w:rFonts w:hint="eastAsia"/>
                <w:b/>
                <w:bCs/>
                <w:lang w:val="en-US" w:eastAsia="zh-CN"/>
              </w:rPr>
              <w:t>8.</w:t>
            </w:r>
            <w:r>
              <w:rPr>
                <w:rFonts w:hint="default"/>
                <w:b/>
                <w:bCs/>
                <w:lang w:val="en-US" w:eastAsia="zh-CN"/>
              </w:rPr>
              <w:t>风险防范措施</w:t>
            </w:r>
          </w:p>
          <w:p w14:paraId="61F84D6B">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废润滑油</w:t>
            </w:r>
            <w:r>
              <w:rPr>
                <w:rFonts w:hint="eastAsia" w:ascii="宋体" w:hAnsi="宋体" w:eastAsia="宋体" w:cs="宋体"/>
                <w:sz w:val="24"/>
                <w:szCs w:val="24"/>
                <w:lang w:val="en-US" w:eastAsia="zh-CN"/>
              </w:rPr>
              <w:t>放置区域外按照规范标注危险服务贮存场所危险类别及要求：禁止烟火、危险废物、易燃易爆、必须穿戴防护用品、必须</w:t>
            </w:r>
            <w:r>
              <w:rPr>
                <w:rFonts w:hint="eastAsia" w:ascii="宋体" w:hAnsi="宋体" w:cs="宋体"/>
                <w:sz w:val="24"/>
                <w:szCs w:val="24"/>
                <w:lang w:val="en-US" w:eastAsia="zh-CN"/>
              </w:rPr>
              <w:t>戴</w:t>
            </w:r>
            <w:r>
              <w:rPr>
                <w:rFonts w:hint="eastAsia" w:ascii="宋体" w:hAnsi="宋体" w:eastAsia="宋体" w:cs="宋体"/>
                <w:sz w:val="24"/>
                <w:szCs w:val="24"/>
                <w:lang w:val="en-US" w:eastAsia="zh-CN"/>
              </w:rPr>
              <w:t>防火帽、闲人免进。</w:t>
            </w:r>
          </w:p>
          <w:p w14:paraId="5A4C1AB8">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（2）设置干粉灭火器。</w:t>
            </w:r>
          </w:p>
          <w:p w14:paraId="1F313914">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（3）建立防火档案，确定本项目的消防安全重点部位，并设置防火标志，实行严格管理。</w:t>
            </w:r>
          </w:p>
          <w:p w14:paraId="41F1D7AB">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（4）制定灭火应急疏散预案，定期举行安全消防演练。</w:t>
            </w:r>
          </w:p>
          <w:p w14:paraId="0B0F2208">
            <w:pPr>
              <w:numPr>
                <w:ilvl w:val="0"/>
                <w:numId w:val="0"/>
              </w:numPr>
              <w:spacing w:line="360" w:lineRule="auto"/>
              <w:ind w:firstLine="480" w:firstLineChars="200"/>
              <w:rPr>
                <w:rFonts w:hint="eastAsia" w:ascii="Times New Roman" w:hAnsi="Times New Roman" w:cs="Times New Roman"/>
                <w:sz w:val="24"/>
                <w:highlight w:val="none"/>
                <w:lang w:val="en-US" w:eastAsia="zh-CN"/>
              </w:rPr>
            </w:pPr>
            <w:r>
              <w:rPr>
                <w:rFonts w:hint="eastAsia" w:ascii="宋体" w:hAnsi="宋体" w:eastAsia="宋体" w:cs="宋体"/>
                <w:sz w:val="24"/>
                <w:szCs w:val="24"/>
                <w:lang w:val="en-US" w:eastAsia="zh-CN"/>
              </w:rPr>
              <w:t>（5）</w:t>
            </w:r>
            <w:r>
              <w:rPr>
                <w:rFonts w:hint="eastAsia" w:ascii="Times New Roman" w:hAnsi="Times New Roman" w:cs="Times New Roman"/>
                <w:sz w:val="24"/>
                <w:highlight w:val="none"/>
                <w:lang w:val="en-US" w:eastAsia="zh-CN"/>
              </w:rPr>
              <w:t>控制油品的暂存量，并及时委托有资质的单位外运处置。</w:t>
            </w:r>
          </w:p>
          <w:p w14:paraId="26192556">
            <w:pPr>
              <w:bidi w:val="0"/>
              <w:rPr>
                <w:rFonts w:hint="eastAsia"/>
                <w:lang w:val="en-US" w:eastAsia="zh-CN"/>
              </w:rPr>
            </w:pPr>
            <w:r>
              <w:rPr>
                <w:rFonts w:hint="eastAsia"/>
                <w:lang w:val="en-US" w:eastAsia="zh-CN"/>
              </w:rPr>
              <w:t>（6）</w:t>
            </w:r>
            <w:r>
              <w:rPr>
                <w:rFonts w:hint="eastAsia" w:ascii="宋体" w:hAnsi="宋体" w:cs="宋体"/>
                <w:sz w:val="24"/>
              </w:rPr>
              <w:t>编制《企业突发环境事件应急预案》，建立环境风险防控和应急措施制度，明确环境风险防控重点岗位的责任机构</w:t>
            </w:r>
          </w:p>
          <w:p w14:paraId="1AC019FB">
            <w:pPr>
              <w:rPr>
                <w:rFonts w:hint="default"/>
                <w:lang w:val="en-US" w:eastAsia="zh-CN"/>
              </w:rPr>
            </w:pPr>
            <w:r>
              <w:rPr>
                <w:rFonts w:hint="eastAsia" w:ascii="Times New Roman" w:hAnsi="Times New Roman" w:cs="Times New Roman"/>
                <w:sz w:val="24"/>
                <w:highlight w:val="none"/>
                <w:lang w:val="en-US" w:eastAsia="zh-CN"/>
              </w:rPr>
              <w:t>（</w:t>
            </w:r>
            <w:r>
              <w:rPr>
                <w:rFonts w:hint="eastAsia" w:cs="Times New Roman"/>
                <w:sz w:val="24"/>
                <w:highlight w:val="none"/>
                <w:lang w:val="en-US" w:eastAsia="zh-CN"/>
              </w:rPr>
              <w:t>7</w:t>
            </w:r>
            <w:r>
              <w:rPr>
                <w:rFonts w:hint="eastAsia" w:ascii="Times New Roman" w:hAnsi="Times New Roman" w:cs="Times New Roman"/>
                <w:sz w:val="24"/>
                <w:highlight w:val="none"/>
                <w:lang w:val="en-US" w:eastAsia="zh-CN"/>
              </w:rPr>
              <w:t>）根据《环境影响评价技术导则 地下水环境》(HJ 610-2016) 要求提出相应的分区防渗要求</w:t>
            </w:r>
          </w:p>
          <w:p w14:paraId="431EA144">
            <w:pPr>
              <w:bidi w:val="0"/>
              <w:rPr>
                <w:rFonts w:hint="default"/>
                <w:lang w:val="en-US" w:eastAsia="zh-CN"/>
              </w:rPr>
            </w:pPr>
          </w:p>
        </w:tc>
      </w:tr>
      <w:tr w14:paraId="7544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535" w:type="dxa"/>
            <w:vAlign w:val="center"/>
          </w:tcPr>
          <w:p w14:paraId="708A88D0">
            <w:pPr>
              <w:pStyle w:val="28"/>
              <w:rPr>
                <w:rFonts w:hint="default"/>
              </w:rPr>
            </w:pPr>
            <w:r>
              <w:t>其他</w:t>
            </w:r>
          </w:p>
        </w:tc>
        <w:tc>
          <w:tcPr>
            <w:tcW w:w="7863" w:type="dxa"/>
            <w:vAlign w:val="center"/>
          </w:tcPr>
          <w:p w14:paraId="3F8DFB30">
            <w:pPr>
              <w:adjustRightInd w:val="0"/>
              <w:snapToGrid w:val="0"/>
              <w:spacing w:line="360" w:lineRule="auto"/>
              <w:ind w:left="0" w:leftChars="0" w:firstLine="0" w:firstLineChars="0"/>
              <w:rPr>
                <w:b/>
                <w:bCs/>
                <w:color w:val="000000"/>
              </w:rPr>
            </w:pPr>
            <w:r>
              <w:rPr>
                <w:b/>
                <w:bCs/>
                <w:color w:val="000000"/>
              </w:rPr>
              <w:t xml:space="preserve">一、施工期环境管理   </w:t>
            </w:r>
          </w:p>
          <w:p w14:paraId="37516B33">
            <w:pPr>
              <w:adjustRightInd w:val="0"/>
              <w:snapToGrid w:val="0"/>
              <w:spacing w:line="360" w:lineRule="auto"/>
              <w:ind w:firstLine="480" w:firstLineChars="200"/>
              <w:rPr>
                <w:color w:val="000000"/>
              </w:rPr>
            </w:pPr>
            <w:r>
              <w:rPr>
                <w:color w:val="000000"/>
              </w:rPr>
              <w:t>（1）对施工机械及物料停放场地的布设应进行系统的规划和布局，临时用地应在划定的用地范围内，以此作为环境管理的依据，不得随意扩大。</w:t>
            </w:r>
          </w:p>
          <w:p w14:paraId="135EF5F4">
            <w:pPr>
              <w:adjustRightInd w:val="0"/>
              <w:snapToGrid w:val="0"/>
              <w:spacing w:line="360" w:lineRule="auto"/>
              <w:ind w:firstLine="480" w:firstLineChars="200"/>
              <w:rPr>
                <w:color w:val="000000"/>
              </w:rPr>
            </w:pPr>
            <w:r>
              <w:rPr>
                <w:color w:val="000000"/>
              </w:rPr>
              <w:t>（2）施工单位须对施工人员进行环境保护知识的宣传教育，明确各自的环保目标和施工人员的环保责任。对施工人员进行安全教育，明确安全施工责任、目标及安全施工技术规范，施工单位、建设单位须有相应的监督、检查、落实措施。</w:t>
            </w:r>
          </w:p>
          <w:p w14:paraId="50C7FFAB">
            <w:pPr>
              <w:adjustRightInd w:val="0"/>
              <w:snapToGrid w:val="0"/>
              <w:spacing w:line="360" w:lineRule="auto"/>
              <w:ind w:firstLine="480" w:firstLineChars="200"/>
              <w:rPr>
                <w:color w:val="000000"/>
              </w:rPr>
            </w:pPr>
            <w:r>
              <w:rPr>
                <w:color w:val="000000"/>
              </w:rPr>
              <w:t>（3）施工单位应科学制定施工计划，合理组织施工，合理布局产噪设备，禁止夜间施工。</w:t>
            </w:r>
          </w:p>
          <w:p w14:paraId="46B3C793">
            <w:pPr>
              <w:adjustRightInd w:val="0"/>
              <w:snapToGrid w:val="0"/>
              <w:spacing w:line="360" w:lineRule="auto"/>
              <w:ind w:firstLine="480" w:firstLineChars="200"/>
              <w:rPr>
                <w:color w:val="000000"/>
              </w:rPr>
            </w:pPr>
            <w:r>
              <w:rPr>
                <w:color w:val="000000"/>
              </w:rPr>
              <w:t>（4）严格施工管理，缩短挖方临时堆放时间，及时回填，压实平整。严格落实扬尘治理措施，如洒水和覆盖。</w:t>
            </w:r>
          </w:p>
          <w:p w14:paraId="40B48946">
            <w:pPr>
              <w:adjustRightInd w:val="0"/>
              <w:snapToGrid w:val="0"/>
              <w:spacing w:line="360" w:lineRule="auto"/>
              <w:ind w:firstLine="480" w:firstLineChars="200"/>
              <w:rPr>
                <w:color w:val="000000"/>
              </w:rPr>
            </w:pPr>
            <w:r>
              <w:rPr>
                <w:color w:val="000000"/>
              </w:rPr>
              <w:t>（5）在施工过程中建设单位应</w:t>
            </w:r>
            <w:r>
              <w:rPr>
                <w:rFonts w:hint="eastAsia"/>
                <w:color w:val="000000"/>
                <w:lang w:eastAsia="zh-CN"/>
              </w:rPr>
              <w:t>制定</w:t>
            </w:r>
            <w:r>
              <w:rPr>
                <w:color w:val="000000"/>
              </w:rPr>
              <w:t>定期和不定期的监督及检查措施，并接受当地环境保护部门的监督。</w:t>
            </w:r>
          </w:p>
          <w:p w14:paraId="6E4CFD3A">
            <w:pPr>
              <w:adjustRightInd w:val="0"/>
              <w:snapToGrid w:val="0"/>
              <w:spacing w:line="360" w:lineRule="auto"/>
              <w:ind w:firstLine="480" w:firstLineChars="200"/>
              <w:rPr>
                <w:color w:val="000000"/>
              </w:rPr>
            </w:pPr>
            <w:r>
              <w:rPr>
                <w:color w:val="000000"/>
              </w:rPr>
              <w:t>（6）环保措施有相应的资金预算，确保各项环保措施的落实具有资金保障。</w:t>
            </w:r>
          </w:p>
          <w:p w14:paraId="6242C3BF">
            <w:pPr>
              <w:adjustRightInd w:val="0"/>
              <w:snapToGrid w:val="0"/>
              <w:spacing w:line="360" w:lineRule="auto"/>
              <w:ind w:firstLine="480" w:firstLineChars="200"/>
              <w:rPr>
                <w:color w:val="000000"/>
              </w:rPr>
            </w:pPr>
            <w:r>
              <w:rPr>
                <w:color w:val="000000"/>
              </w:rPr>
              <w:t>（7）建设单位必须有专职或兼职的环境保护人员，对环境保护措施落实情况进行监督管理。</w:t>
            </w:r>
          </w:p>
          <w:p w14:paraId="64E4BA69">
            <w:pPr>
              <w:adjustRightInd w:val="0"/>
              <w:snapToGrid w:val="0"/>
              <w:spacing w:line="360" w:lineRule="auto"/>
              <w:ind w:firstLine="480" w:firstLineChars="200"/>
              <w:rPr>
                <w:color w:val="000000"/>
              </w:rPr>
            </w:pPr>
            <w:r>
              <w:rPr>
                <w:color w:val="000000"/>
              </w:rPr>
              <w:t>（8）文明施工，禁止乱扔垃圾、乱倒污水、随地大小便等不文明现象。</w:t>
            </w:r>
          </w:p>
          <w:p w14:paraId="6AA64FFF">
            <w:pPr>
              <w:adjustRightInd w:val="0"/>
              <w:snapToGrid w:val="0"/>
              <w:spacing w:line="360" w:lineRule="auto"/>
              <w:ind w:firstLine="480" w:firstLineChars="200"/>
              <w:rPr>
                <w:color w:val="000000"/>
              </w:rPr>
            </w:pPr>
            <w:r>
              <w:rPr>
                <w:color w:val="000000"/>
              </w:rPr>
              <w:t>（9）施工结束后，及时对防渗旱厕、临时沉淀池进行回填，同时对施工场地、临时施工便道等迹地进行迹地恢复。</w:t>
            </w:r>
          </w:p>
          <w:p w14:paraId="058DCF7B">
            <w:pPr>
              <w:adjustRightInd w:val="0"/>
              <w:snapToGrid w:val="0"/>
              <w:spacing w:line="360" w:lineRule="auto"/>
              <w:ind w:left="0" w:leftChars="0" w:firstLine="0" w:firstLineChars="0"/>
              <w:rPr>
                <w:b/>
                <w:bCs/>
                <w:color w:val="000000"/>
              </w:rPr>
            </w:pPr>
            <w:r>
              <w:rPr>
                <w:b/>
                <w:bCs/>
                <w:color w:val="000000"/>
              </w:rPr>
              <w:t>二、运营期环境管理</w:t>
            </w:r>
          </w:p>
          <w:p w14:paraId="27B20B9F">
            <w:pPr>
              <w:ind w:firstLine="480"/>
            </w:pPr>
            <w:r>
              <w:rPr>
                <w:rFonts w:hint="eastAsia"/>
              </w:rPr>
              <w:t>为处理好建设项目运营期与环境保护的关系，实现该项目社会效益、经济效益和环境效益的统一，必须加大其保护与监管力度，同时为加强项目</w:t>
            </w:r>
            <w:r>
              <w:rPr>
                <w:rFonts w:hint="eastAsia"/>
                <w:lang w:eastAsia="zh-CN"/>
              </w:rPr>
              <w:t>运营</w:t>
            </w:r>
            <w:r>
              <w:rPr>
                <w:rFonts w:hint="eastAsia"/>
              </w:rPr>
              <w:t>期各类环保设施的正常运行与管理维护，同时增强员工的环保意识和对环保规划的实施，建设单位应设置专人1—2人负责运营期环境保护事宜，其主要职责如下：</w:t>
            </w:r>
          </w:p>
          <w:p w14:paraId="29B09C32">
            <w:pPr>
              <w:pStyle w:val="8"/>
              <w:ind w:firstLine="480"/>
              <w:rPr>
                <w:rFonts w:ascii="宋体" w:hAnsi="宋体" w:cs="宋体"/>
                <w:sz w:val="24"/>
              </w:rPr>
            </w:pPr>
            <w:r>
              <w:rPr>
                <w:rFonts w:hint="eastAsia" w:ascii="宋体" w:hAnsi="宋体" w:cs="宋体"/>
                <w:sz w:val="24"/>
              </w:rPr>
              <w:t>（1）贯彻执行环境保护法规和标准；</w:t>
            </w:r>
          </w:p>
          <w:p w14:paraId="7DA81837">
            <w:pPr>
              <w:pStyle w:val="8"/>
              <w:ind w:firstLine="480"/>
              <w:rPr>
                <w:rFonts w:ascii="宋体" w:hAnsi="宋体" w:cs="宋体"/>
                <w:sz w:val="24"/>
              </w:rPr>
            </w:pPr>
            <w:r>
              <w:rPr>
                <w:rFonts w:hint="eastAsia" w:ascii="宋体" w:hAnsi="宋体" w:cs="宋体"/>
                <w:sz w:val="24"/>
              </w:rPr>
              <w:t>（2）开展环境保护教育和培训，增强管理人员的环保意识；</w:t>
            </w:r>
          </w:p>
          <w:p w14:paraId="1AE3526E">
            <w:pPr>
              <w:pStyle w:val="8"/>
              <w:ind w:firstLine="480"/>
              <w:rPr>
                <w:rFonts w:ascii="宋体" w:hAnsi="宋体" w:cs="宋体"/>
                <w:sz w:val="24"/>
              </w:rPr>
            </w:pPr>
            <w:r>
              <w:rPr>
                <w:rFonts w:hint="eastAsia" w:ascii="宋体" w:hAnsi="宋体" w:cs="宋体"/>
                <w:sz w:val="24"/>
              </w:rPr>
              <w:t>（3）保证各环境保护治理设施的正常运行，并负责污染事故的应急处理；</w:t>
            </w:r>
          </w:p>
          <w:p w14:paraId="3E4B050E">
            <w:pPr>
              <w:pStyle w:val="8"/>
              <w:ind w:firstLine="480"/>
              <w:rPr>
                <w:rFonts w:ascii="宋体" w:hAnsi="宋体" w:cs="宋体"/>
                <w:sz w:val="24"/>
              </w:rPr>
            </w:pPr>
            <w:r>
              <w:rPr>
                <w:rFonts w:hint="eastAsia" w:ascii="宋体" w:hAnsi="宋体" w:cs="宋体"/>
                <w:sz w:val="24"/>
              </w:rPr>
              <w:t>（4）认真落实环境污染的治理措施，保证环保设施的持续、正常运行，生活垃圾日常应做到定期、及时清理。</w:t>
            </w:r>
          </w:p>
          <w:p w14:paraId="13CAEE0F">
            <w:pPr>
              <w:pStyle w:val="8"/>
              <w:ind w:firstLine="480"/>
              <w:rPr>
                <w:rFonts w:ascii="宋体" w:hAnsi="宋体" w:cs="宋体"/>
                <w:sz w:val="24"/>
              </w:rPr>
            </w:pPr>
            <w:r>
              <w:rPr>
                <w:rFonts w:hint="eastAsia" w:ascii="宋体" w:hAnsi="宋体" w:cs="宋体"/>
                <w:sz w:val="24"/>
              </w:rPr>
              <w:t>（5）负责环境管理及监测档案管理和统计上报；</w:t>
            </w:r>
          </w:p>
          <w:p w14:paraId="6422001E">
            <w:pPr>
              <w:pStyle w:val="8"/>
              <w:ind w:firstLine="480"/>
              <w:rPr>
                <w:rFonts w:ascii="宋体" w:hAnsi="宋体" w:cs="宋体"/>
                <w:sz w:val="24"/>
              </w:rPr>
            </w:pPr>
            <w:r>
              <w:rPr>
                <w:rFonts w:hint="eastAsia" w:ascii="宋体" w:hAnsi="宋体" w:cs="宋体"/>
                <w:sz w:val="24"/>
              </w:rPr>
              <w:t>（6）接受环保部门指导工作和监督、管理。</w:t>
            </w:r>
          </w:p>
          <w:p w14:paraId="2CF4A1F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三、三本账</w:t>
            </w:r>
          </w:p>
          <w:p w14:paraId="425D73B9">
            <w:pPr>
              <w:pStyle w:val="48"/>
              <w:keepNext w:val="0"/>
              <w:keepLines w:val="0"/>
              <w:pageBreakBefore w:val="0"/>
              <w:widowControl/>
              <w:kinsoku/>
              <w:wordWrap/>
              <w:overflowPunct/>
              <w:topLinePunct w:val="0"/>
              <w:autoSpaceDE/>
              <w:autoSpaceDN/>
              <w:bidi w:val="0"/>
              <w:adjustRightInd/>
              <w:snapToGrid/>
              <w:spacing w:before="0" w:line="240" w:lineRule="auto"/>
              <w:ind w:left="0" w:leftChars="0" w:right="0" w:firstLine="0" w:firstLineChars="0"/>
              <w:jc w:val="center"/>
              <w:textAlignment w:val="auto"/>
              <w:rPr>
                <w:rFonts w:hint="default" w:ascii="Times New Roman" w:hAnsi="Times New Roman" w:eastAsia="宋体" w:cs="Times New Roman"/>
                <w:b/>
                <w:bCs w:val="0"/>
                <w:color w:val="000000"/>
                <w:kern w:val="0"/>
                <w:sz w:val="24"/>
              </w:rPr>
            </w:pPr>
            <w:r>
              <w:rPr>
                <w:rFonts w:hint="default" w:ascii="Times New Roman" w:hAnsi="Times New Roman" w:eastAsia="宋体" w:cs="Times New Roman"/>
                <w:b/>
                <w:bCs w:val="0"/>
                <w:color w:val="000000"/>
                <w:kern w:val="0"/>
                <w:sz w:val="24"/>
              </w:rPr>
              <w:t>表</w:t>
            </w:r>
            <w:r>
              <w:rPr>
                <w:rFonts w:hint="eastAsia" w:ascii="Times New Roman" w:hAnsi="Times New Roman" w:eastAsia="宋体" w:cs="Times New Roman"/>
                <w:b/>
                <w:bCs w:val="0"/>
                <w:color w:val="000000"/>
                <w:kern w:val="0"/>
                <w:sz w:val="24"/>
                <w:lang w:val="en-US" w:eastAsia="zh-CN"/>
              </w:rPr>
              <w:t>5-4</w:t>
            </w:r>
            <w:r>
              <w:rPr>
                <w:rFonts w:hint="default" w:ascii="Times New Roman" w:hAnsi="Times New Roman" w:eastAsia="宋体" w:cs="Times New Roman"/>
                <w:b/>
                <w:bCs w:val="0"/>
                <w:color w:val="000000"/>
                <w:kern w:val="0"/>
                <w:sz w:val="24"/>
              </w:rPr>
              <w:t xml:space="preserve">  本项目建成运行“三本账”</w:t>
            </w:r>
          </w:p>
          <w:tbl>
            <w:tblPr>
              <w:tblStyle w:val="4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8"/>
              <w:gridCol w:w="1097"/>
              <w:gridCol w:w="1268"/>
              <w:gridCol w:w="901"/>
              <w:gridCol w:w="995"/>
              <w:gridCol w:w="1568"/>
              <w:gridCol w:w="1247"/>
            </w:tblGrid>
            <w:tr w14:paraId="5EF92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366" w:type="pct"/>
                  <w:vMerge w:val="restart"/>
                  <w:tcBorders>
                    <w:bottom w:val="nil"/>
                  </w:tcBorders>
                  <w:vAlign w:val="center"/>
                </w:tcPr>
                <w:p w14:paraId="37C72466">
                  <w:pPr>
                    <w:pStyle w:val="43"/>
                    <w:spacing w:line="240" w:lineRule="auto"/>
                    <w:ind w:left="0" w:right="0" w:firstLine="0" w:firstLineChars="0"/>
                    <w:jc w:val="center"/>
                    <w:rPr>
                      <w:b/>
                      <w:bCs/>
                      <w:sz w:val="21"/>
                      <w:szCs w:val="21"/>
                    </w:rPr>
                  </w:pPr>
                  <w:r>
                    <w:rPr>
                      <w:b/>
                      <w:bCs/>
                      <w:spacing w:val="-2"/>
                      <w:sz w:val="21"/>
                      <w:szCs w:val="21"/>
                    </w:rPr>
                    <w:t>类别</w:t>
                  </w:r>
                </w:p>
              </w:tc>
              <w:tc>
                <w:tcPr>
                  <w:tcW w:w="718" w:type="pct"/>
                  <w:vMerge w:val="restart"/>
                  <w:tcBorders>
                    <w:bottom w:val="nil"/>
                  </w:tcBorders>
                  <w:vAlign w:val="center"/>
                </w:tcPr>
                <w:p w14:paraId="22D45403">
                  <w:pPr>
                    <w:pStyle w:val="43"/>
                    <w:spacing w:line="240" w:lineRule="auto"/>
                    <w:ind w:left="0" w:right="0" w:firstLine="0" w:firstLineChars="0"/>
                    <w:jc w:val="center"/>
                    <w:rPr>
                      <w:b/>
                      <w:bCs/>
                      <w:sz w:val="21"/>
                      <w:szCs w:val="21"/>
                    </w:rPr>
                  </w:pPr>
                  <w:r>
                    <w:rPr>
                      <w:b/>
                      <w:bCs/>
                      <w:spacing w:val="-2"/>
                      <w:sz w:val="21"/>
                      <w:szCs w:val="21"/>
                    </w:rPr>
                    <w:t>污染物</w:t>
                  </w:r>
                </w:p>
              </w:tc>
              <w:tc>
                <w:tcPr>
                  <w:tcW w:w="830" w:type="pct"/>
                  <w:vMerge w:val="restart"/>
                  <w:tcBorders>
                    <w:bottom w:val="nil"/>
                  </w:tcBorders>
                  <w:vAlign w:val="center"/>
                </w:tcPr>
                <w:p w14:paraId="38C5A237">
                  <w:pPr>
                    <w:pStyle w:val="43"/>
                    <w:spacing w:line="240" w:lineRule="auto"/>
                    <w:ind w:left="0" w:right="0" w:firstLine="0" w:firstLineChars="0"/>
                    <w:jc w:val="center"/>
                    <w:rPr>
                      <w:b/>
                      <w:bCs/>
                      <w:sz w:val="21"/>
                      <w:szCs w:val="21"/>
                    </w:rPr>
                  </w:pPr>
                  <w:r>
                    <w:rPr>
                      <w:b/>
                      <w:bCs/>
                      <w:spacing w:val="-2"/>
                      <w:sz w:val="21"/>
                      <w:szCs w:val="21"/>
                    </w:rPr>
                    <w:t>现有工程排</w:t>
                  </w:r>
                  <w:r>
                    <w:rPr>
                      <w:b/>
                      <w:bCs/>
                      <w:spacing w:val="1"/>
                      <w:sz w:val="21"/>
                      <w:szCs w:val="21"/>
                    </w:rPr>
                    <w:t xml:space="preserve"> </w:t>
                  </w:r>
                  <w:r>
                    <w:rPr>
                      <w:b/>
                      <w:bCs/>
                      <w:spacing w:val="-1"/>
                      <w:sz w:val="21"/>
                      <w:szCs w:val="21"/>
                    </w:rPr>
                    <w:t>放量</w:t>
                  </w:r>
                  <w:r>
                    <w:rPr>
                      <w:rFonts w:hint="eastAsia"/>
                      <w:b/>
                      <w:bCs/>
                      <w:spacing w:val="-1"/>
                      <w:sz w:val="21"/>
                      <w:szCs w:val="21"/>
                      <w:lang w:eastAsia="zh-CN"/>
                    </w:rPr>
                    <w:t>（</w:t>
                  </w:r>
                  <w:r>
                    <w:rPr>
                      <w:b/>
                      <w:bCs/>
                      <w:color w:val="001758"/>
                      <w:spacing w:val="-1"/>
                      <w:sz w:val="21"/>
                      <w:szCs w:val="21"/>
                    </w:rPr>
                    <w:t>t/a</w:t>
                  </w:r>
                  <w:r>
                    <w:rPr>
                      <w:b/>
                      <w:bCs/>
                      <w:spacing w:val="-1"/>
                      <w:sz w:val="21"/>
                      <w:szCs w:val="21"/>
                    </w:rPr>
                    <w:t>)</w:t>
                  </w:r>
                </w:p>
              </w:tc>
              <w:tc>
                <w:tcPr>
                  <w:tcW w:w="1241" w:type="pct"/>
                  <w:gridSpan w:val="2"/>
                  <w:vAlign w:val="center"/>
                </w:tcPr>
                <w:p w14:paraId="2659E7A6">
                  <w:pPr>
                    <w:pStyle w:val="43"/>
                    <w:spacing w:line="240" w:lineRule="auto"/>
                    <w:ind w:left="0" w:right="0" w:firstLine="0" w:firstLineChars="0"/>
                    <w:jc w:val="center"/>
                    <w:rPr>
                      <w:b/>
                      <w:bCs/>
                      <w:sz w:val="21"/>
                      <w:szCs w:val="21"/>
                    </w:rPr>
                  </w:pPr>
                  <w:r>
                    <w:rPr>
                      <w:b/>
                      <w:bCs/>
                      <w:spacing w:val="3"/>
                      <w:sz w:val="21"/>
                      <w:szCs w:val="21"/>
                    </w:rPr>
                    <w:t>本项目排放量</w:t>
                  </w:r>
                  <w:r>
                    <w:rPr>
                      <w:rFonts w:hint="eastAsia"/>
                      <w:b/>
                      <w:bCs/>
                      <w:spacing w:val="3"/>
                      <w:sz w:val="21"/>
                      <w:szCs w:val="21"/>
                      <w:lang w:eastAsia="zh-CN"/>
                    </w:rPr>
                    <w:t>（</w:t>
                  </w:r>
                  <w:r>
                    <w:rPr>
                      <w:b/>
                      <w:bCs/>
                      <w:spacing w:val="3"/>
                      <w:sz w:val="21"/>
                      <w:szCs w:val="21"/>
                    </w:rPr>
                    <w:t>t/a)</w:t>
                  </w:r>
                </w:p>
              </w:tc>
              <w:tc>
                <w:tcPr>
                  <w:tcW w:w="1026" w:type="pct"/>
                  <w:vMerge w:val="restart"/>
                  <w:tcBorders>
                    <w:bottom w:val="nil"/>
                  </w:tcBorders>
                  <w:vAlign w:val="center"/>
                </w:tcPr>
                <w:p w14:paraId="74EAC599">
                  <w:pPr>
                    <w:pStyle w:val="43"/>
                    <w:spacing w:line="240" w:lineRule="auto"/>
                    <w:ind w:left="0" w:right="0" w:firstLine="0" w:firstLineChars="0"/>
                    <w:jc w:val="center"/>
                    <w:rPr>
                      <w:b/>
                      <w:bCs/>
                      <w:sz w:val="21"/>
                      <w:szCs w:val="21"/>
                    </w:rPr>
                  </w:pPr>
                  <w:r>
                    <w:rPr>
                      <w:b/>
                      <w:bCs/>
                      <w:spacing w:val="35"/>
                      <w:sz w:val="21"/>
                      <w:szCs w:val="21"/>
                    </w:rPr>
                    <w:t>“以新带老”</w:t>
                  </w:r>
                  <w:r>
                    <w:rPr>
                      <w:b/>
                      <w:bCs/>
                      <w:sz w:val="21"/>
                      <w:szCs w:val="21"/>
                    </w:rPr>
                    <w:t xml:space="preserve"> </w:t>
                  </w:r>
                  <w:r>
                    <w:rPr>
                      <w:b/>
                      <w:bCs/>
                      <w:spacing w:val="1"/>
                      <w:sz w:val="21"/>
                      <w:szCs w:val="21"/>
                    </w:rPr>
                    <w:t>消减量</w:t>
                  </w:r>
                  <w:r>
                    <w:rPr>
                      <w:rFonts w:hint="eastAsia"/>
                      <w:b/>
                      <w:bCs/>
                      <w:spacing w:val="1"/>
                      <w:sz w:val="21"/>
                      <w:szCs w:val="21"/>
                      <w:lang w:eastAsia="zh-CN"/>
                    </w:rPr>
                    <w:t>（</w:t>
                  </w:r>
                  <w:r>
                    <w:rPr>
                      <w:b/>
                      <w:bCs/>
                      <w:spacing w:val="1"/>
                      <w:sz w:val="21"/>
                      <w:szCs w:val="21"/>
                    </w:rPr>
                    <w:t>t/a)</w:t>
                  </w:r>
                </w:p>
              </w:tc>
              <w:tc>
                <w:tcPr>
                  <w:tcW w:w="816" w:type="pct"/>
                  <w:vMerge w:val="restart"/>
                  <w:tcBorders>
                    <w:bottom w:val="nil"/>
                  </w:tcBorders>
                  <w:vAlign w:val="center"/>
                </w:tcPr>
                <w:p w14:paraId="362927F5">
                  <w:pPr>
                    <w:pStyle w:val="43"/>
                    <w:spacing w:line="240" w:lineRule="auto"/>
                    <w:ind w:left="0" w:right="0" w:firstLine="0" w:firstLineChars="0"/>
                    <w:jc w:val="center"/>
                    <w:rPr>
                      <w:b/>
                      <w:bCs/>
                      <w:sz w:val="21"/>
                      <w:szCs w:val="21"/>
                    </w:rPr>
                  </w:pPr>
                  <w:r>
                    <w:rPr>
                      <w:b/>
                      <w:bCs/>
                      <w:spacing w:val="-3"/>
                      <w:sz w:val="21"/>
                      <w:szCs w:val="21"/>
                    </w:rPr>
                    <w:t>扩建后工程总</w:t>
                  </w:r>
                  <w:r>
                    <w:rPr>
                      <w:b/>
                      <w:bCs/>
                      <w:spacing w:val="2"/>
                      <w:sz w:val="21"/>
                      <w:szCs w:val="21"/>
                    </w:rPr>
                    <w:t>排放量</w:t>
                  </w:r>
                  <w:r>
                    <w:rPr>
                      <w:rFonts w:hint="eastAsia"/>
                      <w:b/>
                      <w:bCs/>
                      <w:spacing w:val="2"/>
                      <w:sz w:val="21"/>
                      <w:szCs w:val="21"/>
                      <w:lang w:eastAsia="zh-CN"/>
                    </w:rPr>
                    <w:t>（</w:t>
                  </w:r>
                  <w:r>
                    <w:rPr>
                      <w:b/>
                      <w:bCs/>
                      <w:spacing w:val="2"/>
                      <w:sz w:val="21"/>
                      <w:szCs w:val="21"/>
                    </w:rPr>
                    <w:t>t/a)</w:t>
                  </w:r>
                </w:p>
              </w:tc>
            </w:tr>
            <w:tr w14:paraId="22538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366" w:type="pct"/>
                  <w:vMerge w:val="continue"/>
                  <w:tcBorders>
                    <w:top w:val="nil"/>
                  </w:tcBorders>
                  <w:vAlign w:val="center"/>
                </w:tcPr>
                <w:p w14:paraId="21BA83F2">
                  <w:pPr>
                    <w:spacing w:line="240" w:lineRule="auto"/>
                    <w:ind w:left="0" w:right="0" w:firstLine="0" w:firstLineChars="0"/>
                    <w:jc w:val="center"/>
                    <w:rPr>
                      <w:rFonts w:ascii="Arial"/>
                      <w:b w:val="0"/>
                      <w:bCs w:val="0"/>
                      <w:sz w:val="21"/>
                      <w:szCs w:val="21"/>
                    </w:rPr>
                  </w:pPr>
                </w:p>
              </w:tc>
              <w:tc>
                <w:tcPr>
                  <w:tcW w:w="718" w:type="pct"/>
                  <w:vMerge w:val="continue"/>
                  <w:tcBorders>
                    <w:top w:val="nil"/>
                  </w:tcBorders>
                  <w:vAlign w:val="center"/>
                </w:tcPr>
                <w:p w14:paraId="5757E76D">
                  <w:pPr>
                    <w:spacing w:line="240" w:lineRule="auto"/>
                    <w:ind w:left="0" w:right="0" w:firstLine="0" w:firstLineChars="0"/>
                    <w:jc w:val="center"/>
                    <w:rPr>
                      <w:rFonts w:ascii="Arial"/>
                      <w:b w:val="0"/>
                      <w:bCs w:val="0"/>
                      <w:sz w:val="21"/>
                      <w:szCs w:val="21"/>
                    </w:rPr>
                  </w:pPr>
                </w:p>
              </w:tc>
              <w:tc>
                <w:tcPr>
                  <w:tcW w:w="830" w:type="pct"/>
                  <w:vMerge w:val="continue"/>
                  <w:tcBorders>
                    <w:top w:val="nil"/>
                  </w:tcBorders>
                  <w:vAlign w:val="center"/>
                </w:tcPr>
                <w:p w14:paraId="6025E5B9">
                  <w:pPr>
                    <w:spacing w:line="240" w:lineRule="auto"/>
                    <w:ind w:left="0" w:right="0" w:firstLine="0" w:firstLineChars="0"/>
                    <w:jc w:val="center"/>
                    <w:rPr>
                      <w:rFonts w:ascii="Arial"/>
                      <w:b w:val="0"/>
                      <w:bCs w:val="0"/>
                      <w:sz w:val="21"/>
                      <w:szCs w:val="21"/>
                    </w:rPr>
                  </w:pPr>
                </w:p>
              </w:tc>
              <w:tc>
                <w:tcPr>
                  <w:tcW w:w="590" w:type="pct"/>
                  <w:vAlign w:val="center"/>
                </w:tcPr>
                <w:p w14:paraId="18F7B835">
                  <w:pPr>
                    <w:pStyle w:val="43"/>
                    <w:spacing w:line="240" w:lineRule="auto"/>
                    <w:ind w:left="0" w:right="0" w:firstLine="0" w:firstLineChars="0"/>
                    <w:jc w:val="center"/>
                    <w:rPr>
                      <w:b/>
                      <w:bCs/>
                      <w:sz w:val="21"/>
                      <w:szCs w:val="21"/>
                    </w:rPr>
                  </w:pPr>
                  <w:r>
                    <w:rPr>
                      <w:b/>
                      <w:bCs/>
                      <w:spacing w:val="-2"/>
                      <w:sz w:val="21"/>
                      <w:szCs w:val="21"/>
                    </w:rPr>
                    <w:t>产生量</w:t>
                  </w:r>
                </w:p>
              </w:tc>
              <w:tc>
                <w:tcPr>
                  <w:tcW w:w="650" w:type="pct"/>
                  <w:vAlign w:val="center"/>
                </w:tcPr>
                <w:p w14:paraId="5DF07D7E">
                  <w:pPr>
                    <w:pStyle w:val="43"/>
                    <w:spacing w:line="240" w:lineRule="auto"/>
                    <w:ind w:left="0" w:right="0" w:firstLine="0" w:firstLineChars="0"/>
                    <w:jc w:val="center"/>
                    <w:rPr>
                      <w:b/>
                      <w:bCs/>
                      <w:sz w:val="21"/>
                      <w:szCs w:val="21"/>
                    </w:rPr>
                  </w:pPr>
                  <w:r>
                    <w:rPr>
                      <w:b/>
                      <w:bCs/>
                      <w:spacing w:val="-2"/>
                      <w:sz w:val="21"/>
                      <w:szCs w:val="21"/>
                    </w:rPr>
                    <w:t>排放量</w:t>
                  </w:r>
                </w:p>
              </w:tc>
              <w:tc>
                <w:tcPr>
                  <w:tcW w:w="1026" w:type="pct"/>
                  <w:vMerge w:val="continue"/>
                  <w:tcBorders>
                    <w:top w:val="nil"/>
                  </w:tcBorders>
                  <w:vAlign w:val="top"/>
                </w:tcPr>
                <w:p w14:paraId="74F18D80">
                  <w:pPr>
                    <w:spacing w:line="240" w:lineRule="auto"/>
                    <w:ind w:left="0" w:right="0" w:firstLine="0" w:firstLineChars="0"/>
                    <w:rPr>
                      <w:rFonts w:ascii="Arial"/>
                      <w:b w:val="0"/>
                      <w:bCs w:val="0"/>
                      <w:sz w:val="21"/>
                      <w:szCs w:val="21"/>
                    </w:rPr>
                  </w:pPr>
                </w:p>
              </w:tc>
              <w:tc>
                <w:tcPr>
                  <w:tcW w:w="816" w:type="pct"/>
                  <w:vMerge w:val="continue"/>
                  <w:tcBorders>
                    <w:top w:val="nil"/>
                  </w:tcBorders>
                  <w:vAlign w:val="top"/>
                </w:tcPr>
                <w:p w14:paraId="33808603">
                  <w:pPr>
                    <w:spacing w:line="240" w:lineRule="auto"/>
                    <w:ind w:left="0" w:right="0" w:firstLine="0" w:firstLineChars="0"/>
                    <w:rPr>
                      <w:rFonts w:ascii="Arial"/>
                      <w:b w:val="0"/>
                      <w:bCs w:val="0"/>
                      <w:sz w:val="21"/>
                      <w:szCs w:val="21"/>
                    </w:rPr>
                  </w:pPr>
                </w:p>
              </w:tc>
            </w:tr>
            <w:tr w14:paraId="69554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366" w:type="pct"/>
                  <w:tcBorders>
                    <w:bottom w:val="nil"/>
                  </w:tcBorders>
                  <w:vAlign w:val="center"/>
                </w:tcPr>
                <w:p w14:paraId="5269914F">
                  <w:pPr>
                    <w:pStyle w:val="43"/>
                    <w:spacing w:line="240" w:lineRule="auto"/>
                    <w:ind w:left="0" w:right="0" w:firstLine="0" w:firstLineChars="0"/>
                    <w:jc w:val="center"/>
                    <w:rPr>
                      <w:b w:val="0"/>
                      <w:bCs w:val="0"/>
                      <w:sz w:val="21"/>
                      <w:szCs w:val="21"/>
                    </w:rPr>
                  </w:pPr>
                  <w:r>
                    <w:rPr>
                      <w:b w:val="0"/>
                      <w:bCs w:val="0"/>
                      <w:spacing w:val="-2"/>
                      <w:sz w:val="21"/>
                      <w:szCs w:val="21"/>
                    </w:rPr>
                    <w:t>废气</w:t>
                  </w:r>
                </w:p>
              </w:tc>
              <w:tc>
                <w:tcPr>
                  <w:tcW w:w="718" w:type="pct"/>
                  <w:vAlign w:val="center"/>
                </w:tcPr>
                <w:p w14:paraId="5FA09E90">
                  <w:pPr>
                    <w:pStyle w:val="43"/>
                    <w:spacing w:line="240" w:lineRule="auto"/>
                    <w:ind w:left="0" w:right="0" w:firstLine="0" w:firstLineChars="0"/>
                    <w:jc w:val="center"/>
                    <w:rPr>
                      <w:rFonts w:ascii="宋体" w:hAnsi="宋体" w:eastAsia="宋体" w:cs="宋体"/>
                      <w:b w:val="0"/>
                      <w:bCs w:val="0"/>
                      <w:kern w:val="2"/>
                      <w:sz w:val="21"/>
                      <w:szCs w:val="21"/>
                      <w:lang w:val="en-US" w:eastAsia="en-US" w:bidi="ar-SA"/>
                    </w:rPr>
                  </w:pPr>
                  <w:r>
                    <w:rPr>
                      <w:b w:val="0"/>
                      <w:bCs w:val="0"/>
                      <w:spacing w:val="-2"/>
                      <w:sz w:val="21"/>
                      <w:szCs w:val="21"/>
                    </w:rPr>
                    <w:t>颗粒物</w:t>
                  </w:r>
                </w:p>
              </w:tc>
              <w:tc>
                <w:tcPr>
                  <w:tcW w:w="830" w:type="pct"/>
                  <w:vAlign w:val="center"/>
                </w:tcPr>
                <w:p w14:paraId="453DF0CE">
                  <w:pPr>
                    <w:spacing w:line="240" w:lineRule="auto"/>
                    <w:ind w:left="0" w:right="0" w:firstLine="0" w:firstLineChars="0"/>
                    <w:jc w:val="center"/>
                    <w:rPr>
                      <w:rFonts w:hint="default" w:eastAsia="宋体"/>
                      <w:lang w:val="en-US" w:eastAsia="zh-CN"/>
                    </w:rPr>
                  </w:pPr>
                  <w:r>
                    <w:rPr>
                      <w:rFonts w:hint="eastAsia"/>
                      <w:lang w:val="en-US" w:eastAsia="zh-CN"/>
                    </w:rPr>
                    <w:t>0</w:t>
                  </w:r>
                </w:p>
              </w:tc>
              <w:tc>
                <w:tcPr>
                  <w:tcW w:w="590" w:type="pct"/>
                  <w:vAlign w:val="center"/>
                </w:tcPr>
                <w:p w14:paraId="73B70219">
                  <w:pPr>
                    <w:spacing w:line="240" w:lineRule="auto"/>
                    <w:ind w:left="0" w:right="0" w:firstLine="0" w:firstLineChars="0"/>
                    <w:jc w:val="center"/>
                    <w:rPr>
                      <w:rFonts w:hint="default" w:eastAsia="宋体"/>
                      <w:lang w:val="en-US" w:eastAsia="zh-CN"/>
                    </w:rPr>
                  </w:pPr>
                  <w:r>
                    <w:rPr>
                      <w:rFonts w:hint="eastAsia"/>
                      <w:lang w:val="en-US" w:eastAsia="zh-CN"/>
                    </w:rPr>
                    <w:t>115.811</w:t>
                  </w:r>
                </w:p>
              </w:tc>
              <w:tc>
                <w:tcPr>
                  <w:tcW w:w="650" w:type="pct"/>
                  <w:vAlign w:val="center"/>
                </w:tcPr>
                <w:p w14:paraId="3F74F633">
                  <w:pPr>
                    <w:spacing w:line="240" w:lineRule="auto"/>
                    <w:ind w:left="0" w:right="0" w:firstLine="0" w:firstLineChars="0"/>
                    <w:jc w:val="center"/>
                    <w:rPr>
                      <w:rFonts w:hint="default" w:eastAsia="宋体"/>
                      <w:lang w:val="en-US" w:eastAsia="zh-CN"/>
                    </w:rPr>
                  </w:pPr>
                  <w:r>
                    <w:rPr>
                      <w:rFonts w:hint="eastAsia"/>
                      <w:lang w:val="en-US" w:eastAsia="zh-CN"/>
                    </w:rPr>
                    <w:t>3.40</w:t>
                  </w:r>
                </w:p>
              </w:tc>
              <w:tc>
                <w:tcPr>
                  <w:tcW w:w="1026" w:type="pct"/>
                  <w:vAlign w:val="center"/>
                </w:tcPr>
                <w:p w14:paraId="2D2EB75A">
                  <w:pPr>
                    <w:spacing w:line="240" w:lineRule="auto"/>
                    <w:ind w:left="0" w:right="0" w:firstLine="0" w:firstLineChars="0"/>
                    <w:jc w:val="center"/>
                    <w:rPr>
                      <w:rFonts w:hint="default" w:eastAsia="宋体"/>
                      <w:lang w:val="en-US" w:eastAsia="zh-CN"/>
                    </w:rPr>
                  </w:pPr>
                  <w:r>
                    <w:rPr>
                      <w:rFonts w:hint="eastAsia"/>
                      <w:lang w:val="en-US" w:eastAsia="zh-CN"/>
                    </w:rPr>
                    <w:t>0</w:t>
                  </w:r>
                </w:p>
              </w:tc>
              <w:tc>
                <w:tcPr>
                  <w:tcW w:w="816" w:type="pct"/>
                  <w:vAlign w:val="center"/>
                </w:tcPr>
                <w:p w14:paraId="7BF1E46C">
                  <w:pPr>
                    <w:spacing w:line="240" w:lineRule="auto"/>
                    <w:ind w:left="0" w:right="0" w:firstLine="0" w:firstLineChars="0"/>
                    <w:jc w:val="center"/>
                    <w:rPr>
                      <w:rFonts w:hint="default" w:eastAsia="宋体"/>
                      <w:lang w:val="en-US" w:eastAsia="zh-CN"/>
                    </w:rPr>
                  </w:pPr>
                  <w:r>
                    <w:rPr>
                      <w:rFonts w:hint="eastAsia"/>
                      <w:lang w:val="en-US" w:eastAsia="zh-CN"/>
                    </w:rPr>
                    <w:t>3.40</w:t>
                  </w:r>
                </w:p>
              </w:tc>
            </w:tr>
          </w:tbl>
          <w:p w14:paraId="444AE63F">
            <w:pPr>
              <w:pStyle w:val="28"/>
              <w:spacing w:line="360" w:lineRule="auto"/>
              <w:ind w:firstLine="480"/>
              <w:jc w:val="left"/>
              <w:rPr>
                <w:rFonts w:hint="default"/>
                <w:color w:val="000000"/>
              </w:rPr>
            </w:pPr>
          </w:p>
        </w:tc>
      </w:tr>
      <w:tr w14:paraId="350A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vAlign w:val="center"/>
          </w:tcPr>
          <w:p w14:paraId="0F3FD8BE">
            <w:pPr>
              <w:pStyle w:val="28"/>
              <w:jc w:val="both"/>
              <w:rPr>
                <w:rFonts w:hint="default"/>
              </w:rPr>
            </w:pPr>
            <w:r>
              <w:t>环保投资</w:t>
            </w:r>
          </w:p>
        </w:tc>
        <w:tc>
          <w:tcPr>
            <w:tcW w:w="7863" w:type="dxa"/>
          </w:tcPr>
          <w:p w14:paraId="0744A123">
            <w:pPr>
              <w:ind w:left="0" w:leftChars="0" w:firstLine="480" w:firstLineChars="200"/>
            </w:pPr>
            <w:r>
              <w:t>本项目工程总投资</w:t>
            </w:r>
            <w:r>
              <w:rPr>
                <w:rFonts w:hint="eastAsia"/>
                <w:lang w:val="en-US" w:eastAsia="zh-CN"/>
              </w:rPr>
              <w:t>736.24</w:t>
            </w:r>
            <w:r>
              <w:t>万元，环保投资</w:t>
            </w:r>
            <w:r>
              <w:rPr>
                <w:rFonts w:hint="eastAsia"/>
                <w:lang w:val="en-US" w:eastAsia="zh-CN"/>
              </w:rPr>
              <w:t>47.6</w:t>
            </w:r>
            <w:r>
              <w:t>万元，占</w:t>
            </w:r>
            <w:r>
              <w:rPr>
                <w:rFonts w:hint="eastAsia"/>
                <w:lang w:val="en-US" w:eastAsia="zh-CN"/>
              </w:rPr>
              <w:t>6.5</w:t>
            </w:r>
            <w:r>
              <w:t>%。</w:t>
            </w:r>
          </w:p>
          <w:p w14:paraId="590CD510">
            <w:pPr>
              <w:adjustRightInd w:val="0"/>
              <w:snapToGrid w:val="0"/>
              <w:jc w:val="center"/>
              <w:rPr>
                <w:rFonts w:hint="eastAsia"/>
              </w:rPr>
            </w:pPr>
            <w:r>
              <w:rPr>
                <w:b/>
                <w:bCs/>
                <w:color w:val="000000"/>
              </w:rPr>
              <w:t>表5-</w:t>
            </w:r>
            <w:r>
              <w:rPr>
                <w:rFonts w:hint="eastAsia"/>
                <w:b/>
                <w:bCs/>
                <w:color w:val="000000"/>
                <w:lang w:val="en-US" w:eastAsia="zh-CN"/>
              </w:rPr>
              <w:t>1</w:t>
            </w:r>
            <w:r>
              <w:rPr>
                <w:b/>
                <w:bCs/>
                <w:color w:val="000000"/>
              </w:rPr>
              <w:t xml:space="preserve">  项目环境保护措施与投资一览表  单位：万元</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3"/>
              <w:gridCol w:w="1212"/>
              <w:gridCol w:w="4715"/>
              <w:gridCol w:w="696"/>
              <w:gridCol w:w="385"/>
            </w:tblGrid>
            <w:tr w14:paraId="4AF6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1202" w:type="pct"/>
                  <w:gridSpan w:val="2"/>
                  <w:vAlign w:val="center"/>
                </w:tcPr>
                <w:p w14:paraId="5D4AE2EB">
                  <w:pPr>
                    <w:pStyle w:val="41"/>
                    <w:jc w:val="center"/>
                  </w:pPr>
                  <w:r>
                    <w:t>项目</w:t>
                  </w:r>
                </w:p>
              </w:tc>
              <w:tc>
                <w:tcPr>
                  <w:tcW w:w="3088" w:type="pct"/>
                  <w:vAlign w:val="center"/>
                </w:tcPr>
                <w:p w14:paraId="031E6922">
                  <w:pPr>
                    <w:pStyle w:val="41"/>
                    <w:jc w:val="center"/>
                  </w:pPr>
                  <w:r>
                    <w:t>环境保护措施</w:t>
                  </w:r>
                </w:p>
              </w:tc>
              <w:tc>
                <w:tcPr>
                  <w:tcW w:w="456" w:type="pct"/>
                  <w:vAlign w:val="center"/>
                </w:tcPr>
                <w:p w14:paraId="1B28B3CC">
                  <w:pPr>
                    <w:pStyle w:val="41"/>
                    <w:jc w:val="center"/>
                  </w:pPr>
                  <w:r>
                    <w:t>投资</w:t>
                  </w:r>
                </w:p>
              </w:tc>
              <w:tc>
                <w:tcPr>
                  <w:tcW w:w="252" w:type="pct"/>
                  <w:vAlign w:val="center"/>
                </w:tcPr>
                <w:p w14:paraId="3F90FDC9">
                  <w:pPr>
                    <w:pStyle w:val="41"/>
                  </w:pPr>
                  <w:r>
                    <w:t>备注</w:t>
                  </w:r>
                </w:p>
              </w:tc>
            </w:tr>
            <w:tr w14:paraId="2F10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408" w:type="pct"/>
                  <w:vMerge w:val="restart"/>
                  <w:vAlign w:val="center"/>
                </w:tcPr>
                <w:p w14:paraId="35E76111">
                  <w:pPr>
                    <w:pStyle w:val="41"/>
                    <w:jc w:val="center"/>
                    <w:rPr>
                      <w:sz w:val="21"/>
                      <w:szCs w:val="21"/>
                    </w:rPr>
                  </w:pPr>
                  <w:r>
                    <w:rPr>
                      <w:sz w:val="21"/>
                      <w:szCs w:val="21"/>
                    </w:rPr>
                    <w:t>污水</w:t>
                  </w:r>
                </w:p>
                <w:p w14:paraId="5C571020">
                  <w:pPr>
                    <w:pStyle w:val="41"/>
                    <w:jc w:val="center"/>
                    <w:rPr>
                      <w:sz w:val="21"/>
                      <w:szCs w:val="21"/>
                    </w:rPr>
                  </w:pPr>
                  <w:r>
                    <w:rPr>
                      <w:sz w:val="21"/>
                      <w:szCs w:val="21"/>
                    </w:rPr>
                    <w:t>治理</w:t>
                  </w:r>
                </w:p>
              </w:tc>
              <w:tc>
                <w:tcPr>
                  <w:tcW w:w="794" w:type="pct"/>
                  <w:vAlign w:val="center"/>
                </w:tcPr>
                <w:p w14:paraId="63F22C7B">
                  <w:pPr>
                    <w:pStyle w:val="41"/>
                    <w:jc w:val="center"/>
                    <w:rPr>
                      <w:sz w:val="21"/>
                      <w:szCs w:val="21"/>
                    </w:rPr>
                  </w:pPr>
                  <w:r>
                    <w:rPr>
                      <w:rFonts w:hint="eastAsia"/>
                      <w:sz w:val="21"/>
                      <w:szCs w:val="21"/>
                      <w:lang w:eastAsia="zh-CN"/>
                    </w:rPr>
                    <w:t>洗砂</w:t>
                  </w:r>
                  <w:r>
                    <w:rPr>
                      <w:sz w:val="21"/>
                      <w:szCs w:val="21"/>
                    </w:rPr>
                    <w:t>废水</w:t>
                  </w:r>
                </w:p>
              </w:tc>
              <w:tc>
                <w:tcPr>
                  <w:tcW w:w="3088" w:type="pct"/>
                  <w:vAlign w:val="center"/>
                </w:tcPr>
                <w:p w14:paraId="55FCA898">
                  <w:pPr>
                    <w:pStyle w:val="41"/>
                    <w:jc w:val="center"/>
                    <w:rPr>
                      <w:rFonts w:hint="eastAsia" w:eastAsia="宋体"/>
                      <w:sz w:val="21"/>
                      <w:szCs w:val="21"/>
                      <w:lang w:eastAsia="zh-CN"/>
                    </w:rPr>
                  </w:pPr>
                  <w:r>
                    <w:rPr>
                      <w:rFonts w:hint="eastAsia"/>
                      <w:sz w:val="21"/>
                      <w:szCs w:val="21"/>
                      <w:lang w:eastAsia="zh-CN"/>
                    </w:rPr>
                    <w:t>三级沉淀池</w:t>
                  </w:r>
                </w:p>
              </w:tc>
              <w:tc>
                <w:tcPr>
                  <w:tcW w:w="456" w:type="pct"/>
                  <w:vAlign w:val="center"/>
                </w:tcPr>
                <w:p w14:paraId="2895FAE6">
                  <w:pPr>
                    <w:pStyle w:val="41"/>
                    <w:jc w:val="center"/>
                    <w:rPr>
                      <w:rFonts w:hint="default" w:eastAsia="宋体"/>
                      <w:sz w:val="21"/>
                      <w:szCs w:val="21"/>
                      <w:lang w:val="en-US" w:eastAsia="zh-CN"/>
                    </w:rPr>
                  </w:pPr>
                  <w:r>
                    <w:rPr>
                      <w:rFonts w:hint="eastAsia"/>
                      <w:sz w:val="21"/>
                      <w:szCs w:val="21"/>
                      <w:highlight w:val="none"/>
                      <w:lang w:val="en-US" w:eastAsia="zh-CN"/>
                    </w:rPr>
                    <w:t>3.0</w:t>
                  </w:r>
                </w:p>
              </w:tc>
              <w:tc>
                <w:tcPr>
                  <w:tcW w:w="252" w:type="pct"/>
                  <w:vAlign w:val="center"/>
                </w:tcPr>
                <w:p w14:paraId="55C73B6D">
                  <w:pPr>
                    <w:pStyle w:val="41"/>
                    <w:rPr>
                      <w:sz w:val="21"/>
                      <w:szCs w:val="21"/>
                    </w:rPr>
                  </w:pPr>
                </w:p>
              </w:tc>
            </w:tr>
            <w:tr w14:paraId="594A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408" w:type="pct"/>
                  <w:vMerge w:val="continue"/>
                  <w:vAlign w:val="center"/>
                </w:tcPr>
                <w:p w14:paraId="77C30EA2">
                  <w:pPr>
                    <w:pStyle w:val="41"/>
                    <w:jc w:val="center"/>
                    <w:rPr>
                      <w:sz w:val="21"/>
                      <w:szCs w:val="21"/>
                    </w:rPr>
                  </w:pPr>
                </w:p>
              </w:tc>
              <w:tc>
                <w:tcPr>
                  <w:tcW w:w="794" w:type="pct"/>
                  <w:vAlign w:val="center"/>
                </w:tcPr>
                <w:p w14:paraId="5BCB5D0C">
                  <w:pPr>
                    <w:pStyle w:val="41"/>
                    <w:jc w:val="center"/>
                    <w:rPr>
                      <w:sz w:val="21"/>
                      <w:szCs w:val="21"/>
                    </w:rPr>
                  </w:pPr>
                  <w:r>
                    <w:rPr>
                      <w:sz w:val="21"/>
                      <w:szCs w:val="21"/>
                    </w:rPr>
                    <w:t>生活污水</w:t>
                  </w:r>
                </w:p>
              </w:tc>
              <w:tc>
                <w:tcPr>
                  <w:tcW w:w="3088" w:type="pct"/>
                  <w:vAlign w:val="center"/>
                </w:tcPr>
                <w:p w14:paraId="5958A241">
                  <w:pPr>
                    <w:pStyle w:val="41"/>
                    <w:jc w:val="center"/>
                    <w:rPr>
                      <w:sz w:val="21"/>
                      <w:szCs w:val="21"/>
                    </w:rPr>
                  </w:pPr>
                  <w:r>
                    <w:rPr>
                      <w:sz w:val="21"/>
                      <w:szCs w:val="21"/>
                    </w:rPr>
                    <w:t>设置旱厕1座，生活污水经旱厕收集后用于项目周边草地施肥。</w:t>
                  </w:r>
                </w:p>
              </w:tc>
              <w:tc>
                <w:tcPr>
                  <w:tcW w:w="456" w:type="pct"/>
                  <w:vAlign w:val="center"/>
                </w:tcPr>
                <w:p w14:paraId="3F5E6661">
                  <w:pPr>
                    <w:pStyle w:val="41"/>
                    <w:jc w:val="center"/>
                    <w:rPr>
                      <w:rFonts w:hint="eastAsia" w:eastAsia="宋体"/>
                      <w:sz w:val="21"/>
                      <w:szCs w:val="21"/>
                      <w:lang w:val="en-US" w:eastAsia="zh-CN"/>
                    </w:rPr>
                  </w:pPr>
                  <w:r>
                    <w:rPr>
                      <w:sz w:val="21"/>
                      <w:szCs w:val="21"/>
                    </w:rPr>
                    <w:t>1.</w:t>
                  </w:r>
                  <w:r>
                    <w:rPr>
                      <w:rFonts w:hint="eastAsia"/>
                      <w:sz w:val="21"/>
                      <w:szCs w:val="21"/>
                      <w:lang w:val="en-US" w:eastAsia="zh-CN"/>
                    </w:rPr>
                    <w:t>0</w:t>
                  </w:r>
                </w:p>
              </w:tc>
              <w:tc>
                <w:tcPr>
                  <w:tcW w:w="252" w:type="pct"/>
                  <w:vAlign w:val="center"/>
                </w:tcPr>
                <w:p w14:paraId="0827E9D4">
                  <w:pPr>
                    <w:pStyle w:val="41"/>
                    <w:rPr>
                      <w:sz w:val="21"/>
                      <w:szCs w:val="21"/>
                    </w:rPr>
                  </w:pPr>
                </w:p>
              </w:tc>
            </w:tr>
            <w:tr w14:paraId="0582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8" w:hRule="atLeast"/>
                <w:jc w:val="center"/>
              </w:trPr>
              <w:tc>
                <w:tcPr>
                  <w:tcW w:w="408" w:type="pct"/>
                  <w:vAlign w:val="center"/>
                </w:tcPr>
                <w:p w14:paraId="027B10E3">
                  <w:pPr>
                    <w:pStyle w:val="41"/>
                    <w:jc w:val="center"/>
                    <w:rPr>
                      <w:sz w:val="21"/>
                      <w:szCs w:val="21"/>
                    </w:rPr>
                  </w:pPr>
                  <w:r>
                    <w:rPr>
                      <w:sz w:val="21"/>
                      <w:szCs w:val="21"/>
                    </w:rPr>
                    <w:t>废气</w:t>
                  </w:r>
                </w:p>
                <w:p w14:paraId="403DA29E">
                  <w:pPr>
                    <w:pStyle w:val="41"/>
                    <w:jc w:val="center"/>
                    <w:rPr>
                      <w:sz w:val="21"/>
                      <w:szCs w:val="21"/>
                    </w:rPr>
                  </w:pPr>
                  <w:r>
                    <w:rPr>
                      <w:sz w:val="21"/>
                      <w:szCs w:val="21"/>
                    </w:rPr>
                    <w:t>治理</w:t>
                  </w:r>
                </w:p>
              </w:tc>
              <w:tc>
                <w:tcPr>
                  <w:tcW w:w="794" w:type="pct"/>
                  <w:vAlign w:val="center"/>
                </w:tcPr>
                <w:p w14:paraId="060A5B41">
                  <w:pPr>
                    <w:pStyle w:val="41"/>
                    <w:jc w:val="center"/>
                    <w:rPr>
                      <w:sz w:val="21"/>
                      <w:szCs w:val="21"/>
                    </w:rPr>
                  </w:pPr>
                  <w:r>
                    <w:rPr>
                      <w:rFonts w:hint="eastAsia"/>
                      <w:color w:val="000000"/>
                      <w:sz w:val="21"/>
                      <w:szCs w:val="21"/>
                      <w:highlight w:val="none"/>
                    </w:rPr>
                    <w:t>粉尘</w:t>
                  </w:r>
                </w:p>
              </w:tc>
              <w:tc>
                <w:tcPr>
                  <w:tcW w:w="3088" w:type="pct"/>
                  <w:vAlign w:val="center"/>
                </w:tcPr>
                <w:p w14:paraId="5B2FB550">
                  <w:pPr>
                    <w:pStyle w:val="41"/>
                    <w:jc w:val="center"/>
                    <w:rPr>
                      <w:rFonts w:hint="eastAsia" w:eastAsia="宋体"/>
                      <w:sz w:val="21"/>
                      <w:szCs w:val="21"/>
                      <w:lang w:eastAsia="zh-CN"/>
                    </w:rPr>
                  </w:pPr>
                  <w:r>
                    <w:rPr>
                      <w:rFonts w:hint="eastAsia"/>
                      <w:sz w:val="21"/>
                      <w:szCs w:val="21"/>
                      <w:lang w:eastAsia="zh-CN"/>
                    </w:rPr>
                    <w:t>布袋除尘器</w:t>
                  </w:r>
                  <w:r>
                    <w:rPr>
                      <w:rFonts w:hint="eastAsia"/>
                      <w:sz w:val="21"/>
                      <w:szCs w:val="21"/>
                      <w:lang w:val="en-US" w:eastAsia="zh-CN"/>
                    </w:rPr>
                    <w:t>+15m排气筒、</w:t>
                  </w:r>
                  <w:r>
                    <w:rPr>
                      <w:sz w:val="21"/>
                      <w:szCs w:val="21"/>
                    </w:rPr>
                    <w:t>加强管理</w:t>
                  </w:r>
                  <w:r>
                    <w:rPr>
                      <w:rFonts w:hint="eastAsia"/>
                      <w:sz w:val="21"/>
                      <w:szCs w:val="21"/>
                      <w:lang w:eastAsia="zh-CN"/>
                    </w:rPr>
                    <w:t>、</w:t>
                  </w:r>
                  <w:r>
                    <w:rPr>
                      <w:sz w:val="21"/>
                      <w:szCs w:val="21"/>
                    </w:rPr>
                    <w:t>加强车辆的维护和保养</w:t>
                  </w:r>
                  <w:r>
                    <w:rPr>
                      <w:rFonts w:hint="eastAsia"/>
                      <w:sz w:val="21"/>
                      <w:szCs w:val="21"/>
                      <w:lang w:eastAsia="zh-CN"/>
                    </w:rPr>
                    <w:t>、厂区洒水等</w:t>
                  </w:r>
                </w:p>
              </w:tc>
              <w:tc>
                <w:tcPr>
                  <w:tcW w:w="456" w:type="pct"/>
                  <w:vAlign w:val="center"/>
                </w:tcPr>
                <w:p w14:paraId="165E13E3">
                  <w:pPr>
                    <w:pStyle w:val="41"/>
                    <w:jc w:val="center"/>
                    <w:rPr>
                      <w:rFonts w:hint="default" w:eastAsia="宋体"/>
                      <w:sz w:val="21"/>
                      <w:szCs w:val="21"/>
                      <w:lang w:val="en-US" w:eastAsia="zh-CN"/>
                    </w:rPr>
                  </w:pPr>
                  <w:r>
                    <w:rPr>
                      <w:rFonts w:hint="eastAsia"/>
                      <w:sz w:val="21"/>
                      <w:szCs w:val="21"/>
                      <w:highlight w:val="none"/>
                      <w:lang w:val="en-US" w:eastAsia="zh-CN"/>
                    </w:rPr>
                    <w:t>30</w:t>
                  </w:r>
                </w:p>
              </w:tc>
              <w:tc>
                <w:tcPr>
                  <w:tcW w:w="252" w:type="pct"/>
                  <w:vAlign w:val="center"/>
                </w:tcPr>
                <w:p w14:paraId="33C6478F">
                  <w:pPr>
                    <w:pStyle w:val="41"/>
                    <w:rPr>
                      <w:sz w:val="21"/>
                      <w:szCs w:val="21"/>
                    </w:rPr>
                  </w:pPr>
                </w:p>
              </w:tc>
            </w:tr>
            <w:tr w14:paraId="3010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408" w:type="pct"/>
                  <w:vAlign w:val="center"/>
                </w:tcPr>
                <w:p w14:paraId="53B671B1">
                  <w:pPr>
                    <w:pStyle w:val="41"/>
                    <w:jc w:val="center"/>
                    <w:rPr>
                      <w:sz w:val="21"/>
                      <w:szCs w:val="21"/>
                    </w:rPr>
                  </w:pPr>
                  <w:r>
                    <w:rPr>
                      <w:sz w:val="21"/>
                      <w:szCs w:val="21"/>
                    </w:rPr>
                    <w:t>噪声</w:t>
                  </w:r>
                </w:p>
                <w:p w14:paraId="0B0760E7">
                  <w:pPr>
                    <w:pStyle w:val="41"/>
                    <w:jc w:val="center"/>
                    <w:rPr>
                      <w:sz w:val="21"/>
                      <w:szCs w:val="21"/>
                    </w:rPr>
                  </w:pPr>
                  <w:r>
                    <w:rPr>
                      <w:sz w:val="21"/>
                      <w:szCs w:val="21"/>
                    </w:rPr>
                    <w:t>治理</w:t>
                  </w:r>
                </w:p>
              </w:tc>
              <w:tc>
                <w:tcPr>
                  <w:tcW w:w="794" w:type="pct"/>
                  <w:vAlign w:val="center"/>
                </w:tcPr>
                <w:p w14:paraId="1C38F77D">
                  <w:pPr>
                    <w:pStyle w:val="41"/>
                    <w:jc w:val="center"/>
                    <w:rPr>
                      <w:sz w:val="21"/>
                      <w:szCs w:val="21"/>
                    </w:rPr>
                  </w:pPr>
                  <w:r>
                    <w:rPr>
                      <w:sz w:val="21"/>
                      <w:szCs w:val="21"/>
                    </w:rPr>
                    <w:t>噪声防治</w:t>
                  </w:r>
                </w:p>
              </w:tc>
              <w:tc>
                <w:tcPr>
                  <w:tcW w:w="3088" w:type="pct"/>
                  <w:vAlign w:val="center"/>
                </w:tcPr>
                <w:p w14:paraId="4EC8F02D">
                  <w:pPr>
                    <w:pStyle w:val="41"/>
                    <w:jc w:val="center"/>
                    <w:rPr>
                      <w:sz w:val="21"/>
                      <w:szCs w:val="21"/>
                    </w:rPr>
                  </w:pPr>
                  <w:r>
                    <w:rPr>
                      <w:sz w:val="21"/>
                      <w:szCs w:val="21"/>
                    </w:rPr>
                    <w:t>优选设备、合理施工安排施工布局及施工时间，禁止夜间施工、控制鸣笛等</w:t>
                  </w:r>
                </w:p>
              </w:tc>
              <w:tc>
                <w:tcPr>
                  <w:tcW w:w="456" w:type="pct"/>
                  <w:vAlign w:val="center"/>
                </w:tcPr>
                <w:p w14:paraId="3C532F34">
                  <w:pPr>
                    <w:pStyle w:val="41"/>
                    <w:jc w:val="center"/>
                    <w:rPr>
                      <w:sz w:val="21"/>
                      <w:szCs w:val="21"/>
                    </w:rPr>
                  </w:pPr>
                  <w:r>
                    <w:rPr>
                      <w:rFonts w:hint="eastAsia"/>
                      <w:sz w:val="21"/>
                      <w:szCs w:val="21"/>
                      <w:lang w:val="en-US" w:eastAsia="zh-CN"/>
                    </w:rPr>
                    <w:t>5</w:t>
                  </w:r>
                  <w:r>
                    <w:rPr>
                      <w:rFonts w:hint="eastAsia"/>
                      <w:sz w:val="21"/>
                      <w:szCs w:val="21"/>
                    </w:rPr>
                    <w:t>.0</w:t>
                  </w:r>
                </w:p>
              </w:tc>
              <w:tc>
                <w:tcPr>
                  <w:tcW w:w="252" w:type="pct"/>
                  <w:vAlign w:val="center"/>
                </w:tcPr>
                <w:p w14:paraId="6522AD69">
                  <w:pPr>
                    <w:pStyle w:val="41"/>
                    <w:rPr>
                      <w:sz w:val="21"/>
                      <w:szCs w:val="21"/>
                    </w:rPr>
                  </w:pPr>
                </w:p>
              </w:tc>
            </w:tr>
            <w:tr w14:paraId="57AC1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408" w:type="pct"/>
                  <w:vMerge w:val="restart"/>
                  <w:vAlign w:val="center"/>
                </w:tcPr>
                <w:p w14:paraId="5B533FFF">
                  <w:pPr>
                    <w:pStyle w:val="41"/>
                    <w:jc w:val="center"/>
                    <w:rPr>
                      <w:sz w:val="21"/>
                      <w:szCs w:val="21"/>
                    </w:rPr>
                  </w:pPr>
                  <w:r>
                    <w:rPr>
                      <w:sz w:val="21"/>
                      <w:szCs w:val="21"/>
                    </w:rPr>
                    <w:t>固废</w:t>
                  </w:r>
                </w:p>
                <w:p w14:paraId="1CC6F934">
                  <w:pPr>
                    <w:pStyle w:val="41"/>
                    <w:jc w:val="center"/>
                    <w:rPr>
                      <w:sz w:val="21"/>
                      <w:szCs w:val="21"/>
                    </w:rPr>
                  </w:pPr>
                  <w:r>
                    <w:rPr>
                      <w:sz w:val="21"/>
                      <w:szCs w:val="21"/>
                    </w:rPr>
                    <w:t>治理</w:t>
                  </w:r>
                </w:p>
              </w:tc>
              <w:tc>
                <w:tcPr>
                  <w:tcW w:w="794" w:type="pct"/>
                  <w:vAlign w:val="center"/>
                </w:tcPr>
                <w:p w14:paraId="10AFC53C">
                  <w:pPr>
                    <w:pStyle w:val="41"/>
                    <w:jc w:val="center"/>
                    <w:rPr>
                      <w:sz w:val="21"/>
                      <w:szCs w:val="21"/>
                    </w:rPr>
                  </w:pPr>
                  <w:r>
                    <w:rPr>
                      <w:sz w:val="21"/>
                      <w:szCs w:val="21"/>
                    </w:rPr>
                    <w:t>生活垃圾</w:t>
                  </w:r>
                </w:p>
              </w:tc>
              <w:tc>
                <w:tcPr>
                  <w:tcW w:w="3088" w:type="pct"/>
                  <w:vAlign w:val="center"/>
                </w:tcPr>
                <w:p w14:paraId="0445C716">
                  <w:pPr>
                    <w:pStyle w:val="41"/>
                    <w:jc w:val="center"/>
                    <w:rPr>
                      <w:sz w:val="21"/>
                      <w:szCs w:val="21"/>
                    </w:rPr>
                  </w:pPr>
                  <w:r>
                    <w:rPr>
                      <w:sz w:val="21"/>
                      <w:szCs w:val="21"/>
                    </w:rPr>
                    <w:t>设垃圾桶分类收集后，运至附近生活垃圾收集点处置。</w:t>
                  </w:r>
                </w:p>
              </w:tc>
              <w:tc>
                <w:tcPr>
                  <w:tcW w:w="456" w:type="pct"/>
                  <w:vAlign w:val="center"/>
                </w:tcPr>
                <w:p w14:paraId="20502BD2">
                  <w:pPr>
                    <w:pStyle w:val="41"/>
                    <w:jc w:val="center"/>
                    <w:rPr>
                      <w:rFonts w:hint="eastAsia" w:eastAsia="宋体"/>
                      <w:sz w:val="21"/>
                      <w:szCs w:val="21"/>
                      <w:lang w:val="en-US" w:eastAsia="zh-CN"/>
                    </w:rPr>
                  </w:pPr>
                  <w:r>
                    <w:rPr>
                      <w:sz w:val="21"/>
                      <w:szCs w:val="21"/>
                    </w:rPr>
                    <w:t>0.</w:t>
                  </w:r>
                  <w:r>
                    <w:rPr>
                      <w:rFonts w:hint="eastAsia"/>
                      <w:sz w:val="21"/>
                      <w:szCs w:val="21"/>
                      <w:lang w:val="en-US" w:eastAsia="zh-CN"/>
                    </w:rPr>
                    <w:t>6</w:t>
                  </w:r>
                </w:p>
              </w:tc>
              <w:tc>
                <w:tcPr>
                  <w:tcW w:w="252" w:type="pct"/>
                  <w:vAlign w:val="center"/>
                </w:tcPr>
                <w:p w14:paraId="43909066">
                  <w:pPr>
                    <w:pStyle w:val="41"/>
                    <w:rPr>
                      <w:sz w:val="21"/>
                      <w:szCs w:val="21"/>
                    </w:rPr>
                  </w:pPr>
                </w:p>
              </w:tc>
            </w:tr>
            <w:tr w14:paraId="633EF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408" w:type="pct"/>
                  <w:vMerge w:val="continue"/>
                  <w:vAlign w:val="center"/>
                </w:tcPr>
                <w:p w14:paraId="030E58E4">
                  <w:pPr>
                    <w:pStyle w:val="41"/>
                    <w:jc w:val="center"/>
                    <w:rPr>
                      <w:sz w:val="21"/>
                      <w:szCs w:val="21"/>
                    </w:rPr>
                  </w:pPr>
                </w:p>
              </w:tc>
              <w:tc>
                <w:tcPr>
                  <w:tcW w:w="794" w:type="pct"/>
                  <w:vAlign w:val="center"/>
                </w:tcPr>
                <w:p w14:paraId="083C1864">
                  <w:pPr>
                    <w:pStyle w:val="41"/>
                    <w:jc w:val="center"/>
                    <w:rPr>
                      <w:rFonts w:hint="eastAsia" w:eastAsia="宋体"/>
                      <w:sz w:val="21"/>
                      <w:szCs w:val="21"/>
                      <w:lang w:eastAsia="zh-CN"/>
                    </w:rPr>
                  </w:pPr>
                  <w:r>
                    <w:rPr>
                      <w:rFonts w:hint="eastAsia"/>
                      <w:sz w:val="21"/>
                      <w:szCs w:val="21"/>
                      <w:lang w:eastAsia="zh-CN"/>
                    </w:rPr>
                    <w:t>沉淀池泥沙</w:t>
                  </w:r>
                </w:p>
              </w:tc>
              <w:tc>
                <w:tcPr>
                  <w:tcW w:w="3088" w:type="pct"/>
                  <w:vAlign w:val="center"/>
                </w:tcPr>
                <w:p w14:paraId="13E69C01">
                  <w:pPr>
                    <w:pStyle w:val="41"/>
                    <w:jc w:val="center"/>
                    <w:rPr>
                      <w:sz w:val="21"/>
                      <w:szCs w:val="21"/>
                    </w:rPr>
                  </w:pPr>
                  <w:r>
                    <w:rPr>
                      <w:rFonts w:hint="eastAsia"/>
                      <w:sz w:val="21"/>
                      <w:szCs w:val="21"/>
                      <w:lang w:eastAsia="zh-CN"/>
                    </w:rPr>
                    <w:t>收集后进行外售</w:t>
                  </w:r>
                  <w:r>
                    <w:rPr>
                      <w:sz w:val="21"/>
                      <w:szCs w:val="21"/>
                    </w:rPr>
                    <w:t>。</w:t>
                  </w:r>
                </w:p>
              </w:tc>
              <w:tc>
                <w:tcPr>
                  <w:tcW w:w="456" w:type="pct"/>
                  <w:vAlign w:val="center"/>
                </w:tcPr>
                <w:p w14:paraId="3D79B016">
                  <w:pPr>
                    <w:pStyle w:val="41"/>
                    <w:jc w:val="center"/>
                    <w:rPr>
                      <w:sz w:val="21"/>
                      <w:szCs w:val="21"/>
                    </w:rPr>
                  </w:pPr>
                  <w:r>
                    <w:rPr>
                      <w:sz w:val="21"/>
                      <w:szCs w:val="21"/>
                    </w:rPr>
                    <w:t>2</w:t>
                  </w:r>
                  <w:r>
                    <w:rPr>
                      <w:rFonts w:hint="eastAsia"/>
                      <w:sz w:val="21"/>
                      <w:szCs w:val="21"/>
                    </w:rPr>
                    <w:t>.0</w:t>
                  </w:r>
                </w:p>
              </w:tc>
              <w:tc>
                <w:tcPr>
                  <w:tcW w:w="252" w:type="pct"/>
                  <w:vAlign w:val="center"/>
                </w:tcPr>
                <w:p w14:paraId="5726F049">
                  <w:pPr>
                    <w:pStyle w:val="41"/>
                    <w:rPr>
                      <w:sz w:val="21"/>
                      <w:szCs w:val="21"/>
                    </w:rPr>
                  </w:pPr>
                </w:p>
              </w:tc>
            </w:tr>
            <w:tr w14:paraId="1BF4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408" w:type="pct"/>
                  <w:vMerge w:val="continue"/>
                  <w:vAlign w:val="center"/>
                </w:tcPr>
                <w:p w14:paraId="1251570C">
                  <w:pPr>
                    <w:pStyle w:val="41"/>
                    <w:jc w:val="center"/>
                    <w:rPr>
                      <w:sz w:val="21"/>
                      <w:szCs w:val="21"/>
                    </w:rPr>
                  </w:pPr>
                </w:p>
              </w:tc>
              <w:tc>
                <w:tcPr>
                  <w:tcW w:w="794" w:type="pct"/>
                  <w:vAlign w:val="center"/>
                </w:tcPr>
                <w:p w14:paraId="3E86F85E">
                  <w:pPr>
                    <w:pStyle w:val="41"/>
                    <w:jc w:val="center"/>
                    <w:rPr>
                      <w:rFonts w:hint="eastAsia"/>
                      <w:sz w:val="21"/>
                      <w:szCs w:val="21"/>
                      <w:lang w:eastAsia="zh-CN"/>
                    </w:rPr>
                  </w:pPr>
                  <w:r>
                    <w:rPr>
                      <w:rFonts w:hint="eastAsia"/>
                      <w:sz w:val="21"/>
                      <w:szCs w:val="21"/>
                      <w:lang w:eastAsia="zh-CN"/>
                    </w:rPr>
                    <w:t>废机油</w:t>
                  </w:r>
                </w:p>
              </w:tc>
              <w:tc>
                <w:tcPr>
                  <w:tcW w:w="3088" w:type="pct"/>
                  <w:vAlign w:val="center"/>
                </w:tcPr>
                <w:p w14:paraId="7046EA3C">
                  <w:pPr>
                    <w:pStyle w:val="41"/>
                    <w:jc w:val="center"/>
                    <w:rPr>
                      <w:rFonts w:hint="eastAsia"/>
                      <w:sz w:val="21"/>
                      <w:szCs w:val="21"/>
                      <w:lang w:eastAsia="zh-CN"/>
                    </w:rPr>
                  </w:pPr>
                  <w:r>
                    <w:rPr>
                      <w:rFonts w:hint="eastAsia"/>
                      <w:sz w:val="21"/>
                      <w:szCs w:val="21"/>
                      <w:lang w:eastAsia="zh-CN"/>
                    </w:rPr>
                    <w:t>暂存于危险废物暂存间，定期交由有资质单位进行处置</w:t>
                  </w:r>
                </w:p>
              </w:tc>
              <w:tc>
                <w:tcPr>
                  <w:tcW w:w="456" w:type="pct"/>
                  <w:vAlign w:val="center"/>
                </w:tcPr>
                <w:p w14:paraId="70138456">
                  <w:pPr>
                    <w:pStyle w:val="41"/>
                    <w:jc w:val="center"/>
                    <w:rPr>
                      <w:rFonts w:hint="default" w:eastAsia="宋体"/>
                      <w:sz w:val="21"/>
                      <w:szCs w:val="21"/>
                      <w:lang w:val="en-US" w:eastAsia="zh-CN"/>
                    </w:rPr>
                  </w:pPr>
                  <w:r>
                    <w:rPr>
                      <w:rFonts w:hint="eastAsia"/>
                      <w:sz w:val="21"/>
                      <w:szCs w:val="21"/>
                      <w:lang w:val="en-US" w:eastAsia="zh-CN"/>
                    </w:rPr>
                    <w:t>5.0</w:t>
                  </w:r>
                </w:p>
              </w:tc>
              <w:tc>
                <w:tcPr>
                  <w:tcW w:w="252" w:type="pct"/>
                  <w:vAlign w:val="center"/>
                </w:tcPr>
                <w:p w14:paraId="35E407DA">
                  <w:pPr>
                    <w:pStyle w:val="41"/>
                    <w:rPr>
                      <w:sz w:val="21"/>
                      <w:szCs w:val="21"/>
                    </w:rPr>
                  </w:pPr>
                </w:p>
              </w:tc>
            </w:tr>
            <w:tr w14:paraId="027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 w:hRule="atLeast"/>
                <w:jc w:val="center"/>
              </w:trPr>
              <w:tc>
                <w:tcPr>
                  <w:tcW w:w="1202" w:type="pct"/>
                  <w:gridSpan w:val="2"/>
                  <w:vAlign w:val="center"/>
                </w:tcPr>
                <w:p w14:paraId="497EF1DD">
                  <w:pPr>
                    <w:pStyle w:val="41"/>
                    <w:jc w:val="center"/>
                    <w:rPr>
                      <w:sz w:val="21"/>
                      <w:szCs w:val="21"/>
                    </w:rPr>
                  </w:pPr>
                  <w:r>
                    <w:rPr>
                      <w:sz w:val="21"/>
                      <w:szCs w:val="21"/>
                    </w:rPr>
                    <w:t>其他</w:t>
                  </w:r>
                </w:p>
              </w:tc>
              <w:tc>
                <w:tcPr>
                  <w:tcW w:w="3088" w:type="pct"/>
                  <w:vAlign w:val="center"/>
                </w:tcPr>
                <w:p w14:paraId="1BAF9F99">
                  <w:pPr>
                    <w:pStyle w:val="41"/>
                    <w:jc w:val="center"/>
                    <w:rPr>
                      <w:sz w:val="21"/>
                      <w:szCs w:val="21"/>
                    </w:rPr>
                  </w:pPr>
                  <w:r>
                    <w:rPr>
                      <w:sz w:val="21"/>
                      <w:szCs w:val="21"/>
                    </w:rPr>
                    <w:t>宣传、教育、设置标识牌等</w:t>
                  </w:r>
                </w:p>
              </w:tc>
              <w:tc>
                <w:tcPr>
                  <w:tcW w:w="456" w:type="pct"/>
                  <w:vAlign w:val="center"/>
                </w:tcPr>
                <w:p w14:paraId="7F52D8E3">
                  <w:pPr>
                    <w:pStyle w:val="41"/>
                    <w:jc w:val="center"/>
                    <w:rPr>
                      <w:rFonts w:hint="default" w:eastAsia="宋体"/>
                      <w:sz w:val="21"/>
                      <w:szCs w:val="21"/>
                      <w:lang w:val="en-US" w:eastAsia="zh-CN"/>
                    </w:rPr>
                  </w:pPr>
                  <w:r>
                    <w:rPr>
                      <w:rFonts w:hint="eastAsia"/>
                      <w:sz w:val="21"/>
                      <w:szCs w:val="21"/>
                      <w:lang w:val="en-US" w:eastAsia="zh-CN"/>
                    </w:rPr>
                    <w:t>1.0</w:t>
                  </w:r>
                </w:p>
              </w:tc>
              <w:tc>
                <w:tcPr>
                  <w:tcW w:w="252" w:type="pct"/>
                  <w:vAlign w:val="center"/>
                </w:tcPr>
                <w:p w14:paraId="18CED234">
                  <w:pPr>
                    <w:pStyle w:val="41"/>
                    <w:rPr>
                      <w:sz w:val="21"/>
                      <w:szCs w:val="21"/>
                    </w:rPr>
                  </w:pPr>
                </w:p>
              </w:tc>
            </w:tr>
            <w:tr w14:paraId="6D7B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 w:hRule="atLeast"/>
                <w:jc w:val="center"/>
              </w:trPr>
              <w:tc>
                <w:tcPr>
                  <w:tcW w:w="1202" w:type="pct"/>
                  <w:gridSpan w:val="2"/>
                  <w:vAlign w:val="center"/>
                </w:tcPr>
                <w:p w14:paraId="18EA0BB6">
                  <w:pPr>
                    <w:pStyle w:val="41"/>
                    <w:jc w:val="center"/>
                    <w:rPr>
                      <w:sz w:val="21"/>
                      <w:szCs w:val="21"/>
                    </w:rPr>
                  </w:pPr>
                  <w:r>
                    <w:rPr>
                      <w:sz w:val="21"/>
                      <w:szCs w:val="21"/>
                    </w:rPr>
                    <w:t>环保总投资（万元）</w:t>
                  </w:r>
                </w:p>
              </w:tc>
              <w:tc>
                <w:tcPr>
                  <w:tcW w:w="3088" w:type="pct"/>
                  <w:vAlign w:val="center"/>
                </w:tcPr>
                <w:p w14:paraId="7099364B">
                  <w:pPr>
                    <w:pStyle w:val="41"/>
                    <w:jc w:val="center"/>
                    <w:rPr>
                      <w:sz w:val="21"/>
                      <w:szCs w:val="21"/>
                    </w:rPr>
                  </w:pPr>
                  <w:r>
                    <w:rPr>
                      <w:sz w:val="21"/>
                      <w:szCs w:val="21"/>
                    </w:rPr>
                    <w:t>/</w:t>
                  </w:r>
                </w:p>
              </w:tc>
              <w:tc>
                <w:tcPr>
                  <w:tcW w:w="456" w:type="pct"/>
                  <w:vAlign w:val="center"/>
                </w:tcPr>
                <w:p w14:paraId="64382F69">
                  <w:pPr>
                    <w:pStyle w:val="41"/>
                    <w:jc w:val="center"/>
                    <w:rPr>
                      <w:rFonts w:hint="default" w:eastAsia="宋体"/>
                      <w:sz w:val="21"/>
                      <w:szCs w:val="21"/>
                      <w:lang w:val="en-US" w:eastAsia="zh-CN"/>
                    </w:rPr>
                  </w:pPr>
                  <w:r>
                    <w:rPr>
                      <w:rFonts w:hint="eastAsia"/>
                      <w:sz w:val="21"/>
                      <w:szCs w:val="21"/>
                      <w:lang w:val="en-US" w:eastAsia="zh-CN"/>
                    </w:rPr>
                    <w:t>47.6</w:t>
                  </w:r>
                </w:p>
              </w:tc>
              <w:tc>
                <w:tcPr>
                  <w:tcW w:w="252" w:type="pct"/>
                  <w:vAlign w:val="center"/>
                </w:tcPr>
                <w:p w14:paraId="70B8132B">
                  <w:pPr>
                    <w:pStyle w:val="41"/>
                    <w:rPr>
                      <w:sz w:val="21"/>
                      <w:szCs w:val="21"/>
                    </w:rPr>
                  </w:pPr>
                </w:p>
              </w:tc>
            </w:tr>
          </w:tbl>
          <w:p w14:paraId="7A1D6694">
            <w:pPr>
              <w:pStyle w:val="8"/>
              <w:ind w:left="0" w:leftChars="0" w:firstLine="0" w:firstLineChars="0"/>
            </w:pPr>
          </w:p>
        </w:tc>
      </w:tr>
    </w:tbl>
    <w:p w14:paraId="6A51C639">
      <w:pPr>
        <w:ind w:firstLine="480"/>
      </w:pPr>
      <w:r>
        <w:rPr>
          <w:rFonts w:hint="eastAsia"/>
        </w:rPr>
        <w:br w:type="page"/>
      </w:r>
    </w:p>
    <w:p w14:paraId="4D839195">
      <w:pPr>
        <w:pStyle w:val="2"/>
        <w:numPr>
          <w:ilvl w:val="0"/>
          <w:numId w:val="0"/>
        </w:numPr>
        <w:jc w:val="center"/>
      </w:pPr>
      <w:r>
        <w:rPr>
          <w:rFonts w:hint="eastAsia" w:ascii="Times New Roman" w:hAnsi="Times New Roman" w:eastAsia="宋体" w:cstheme="minorBidi"/>
          <w:b/>
          <w:kern w:val="44"/>
          <w:sz w:val="30"/>
          <w:szCs w:val="24"/>
          <w:lang w:val="en-US" w:eastAsia="zh-CN" w:bidi="ar-SA"/>
        </w:rPr>
        <w:t>六、</w:t>
      </w:r>
      <w:r>
        <w:rPr>
          <w:rFonts w:hint="eastAsia"/>
        </w:rPr>
        <w:t>生态环境保护措施监督检查清单</w:t>
      </w:r>
    </w:p>
    <w:tbl>
      <w:tblPr>
        <w:tblStyle w:val="22"/>
        <w:tblW w:w="9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756"/>
        <w:gridCol w:w="1237"/>
        <w:gridCol w:w="1672"/>
        <w:gridCol w:w="1186"/>
      </w:tblGrid>
      <w:tr w14:paraId="00DD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74" w:type="dxa"/>
            <w:vAlign w:val="center"/>
          </w:tcPr>
          <w:p w14:paraId="0AA42FF4">
            <w:pPr>
              <w:pStyle w:val="25"/>
              <w:spacing w:line="240" w:lineRule="auto"/>
              <w:rPr>
                <w:b w:val="0"/>
                <w:bCs/>
              </w:rPr>
            </w:pPr>
            <w:r>
              <w:rPr>
                <w:rFonts w:hint="eastAsia"/>
                <w:b w:val="0"/>
                <w:bCs/>
              </w:rPr>
              <w:t>要素</w:t>
            </w:r>
          </w:p>
        </w:tc>
        <w:tc>
          <w:tcPr>
            <w:tcW w:w="4993" w:type="dxa"/>
            <w:gridSpan w:val="2"/>
            <w:vAlign w:val="center"/>
          </w:tcPr>
          <w:p w14:paraId="35629DE1">
            <w:pPr>
              <w:pStyle w:val="25"/>
              <w:spacing w:line="240" w:lineRule="auto"/>
              <w:rPr>
                <w:b w:val="0"/>
                <w:bCs/>
              </w:rPr>
            </w:pPr>
            <w:r>
              <w:rPr>
                <w:rFonts w:hint="eastAsia"/>
                <w:b w:val="0"/>
                <w:bCs/>
              </w:rPr>
              <w:t>施工期</w:t>
            </w:r>
          </w:p>
        </w:tc>
        <w:tc>
          <w:tcPr>
            <w:tcW w:w="2858" w:type="dxa"/>
            <w:gridSpan w:val="2"/>
            <w:vAlign w:val="center"/>
          </w:tcPr>
          <w:p w14:paraId="5711685B">
            <w:pPr>
              <w:pStyle w:val="25"/>
              <w:spacing w:line="240" w:lineRule="auto"/>
              <w:rPr>
                <w:b w:val="0"/>
                <w:bCs/>
              </w:rPr>
            </w:pPr>
            <w:r>
              <w:rPr>
                <w:rFonts w:hint="eastAsia"/>
                <w:b w:val="0"/>
                <w:bCs/>
              </w:rPr>
              <w:t>运营期</w:t>
            </w:r>
          </w:p>
        </w:tc>
      </w:tr>
      <w:tr w14:paraId="51CC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74" w:type="dxa"/>
            <w:vAlign w:val="center"/>
          </w:tcPr>
          <w:p w14:paraId="504F9C19">
            <w:pPr>
              <w:pStyle w:val="25"/>
              <w:spacing w:line="240" w:lineRule="auto"/>
              <w:rPr>
                <w:b w:val="0"/>
                <w:bCs/>
              </w:rPr>
            </w:pPr>
            <w:r>
              <w:rPr>
                <w:rFonts w:hint="eastAsia"/>
                <w:b w:val="0"/>
                <w:bCs/>
              </w:rPr>
              <w:t>内容</w:t>
            </w:r>
          </w:p>
        </w:tc>
        <w:tc>
          <w:tcPr>
            <w:tcW w:w="3756" w:type="dxa"/>
            <w:vAlign w:val="center"/>
          </w:tcPr>
          <w:p w14:paraId="10DAE476">
            <w:pPr>
              <w:pStyle w:val="25"/>
              <w:spacing w:line="240" w:lineRule="auto"/>
              <w:rPr>
                <w:b w:val="0"/>
                <w:bCs/>
              </w:rPr>
            </w:pPr>
            <w:r>
              <w:rPr>
                <w:rFonts w:hint="eastAsia"/>
                <w:b w:val="0"/>
                <w:bCs/>
              </w:rPr>
              <w:t>环境保护措施</w:t>
            </w:r>
          </w:p>
        </w:tc>
        <w:tc>
          <w:tcPr>
            <w:tcW w:w="1237" w:type="dxa"/>
            <w:vAlign w:val="center"/>
          </w:tcPr>
          <w:p w14:paraId="74D1C70D">
            <w:pPr>
              <w:pStyle w:val="25"/>
              <w:spacing w:line="240" w:lineRule="auto"/>
              <w:rPr>
                <w:b w:val="0"/>
                <w:bCs/>
              </w:rPr>
            </w:pPr>
            <w:r>
              <w:rPr>
                <w:rFonts w:hint="eastAsia"/>
                <w:b w:val="0"/>
                <w:bCs/>
              </w:rPr>
              <w:t>验收要求</w:t>
            </w:r>
          </w:p>
        </w:tc>
        <w:tc>
          <w:tcPr>
            <w:tcW w:w="1672" w:type="dxa"/>
            <w:vAlign w:val="center"/>
          </w:tcPr>
          <w:p w14:paraId="09CD2B6E">
            <w:pPr>
              <w:pStyle w:val="25"/>
              <w:spacing w:line="240" w:lineRule="auto"/>
              <w:rPr>
                <w:b w:val="0"/>
                <w:bCs/>
              </w:rPr>
            </w:pPr>
            <w:r>
              <w:rPr>
                <w:rFonts w:hint="eastAsia"/>
                <w:b w:val="0"/>
                <w:bCs/>
              </w:rPr>
              <w:t>环境保护措施</w:t>
            </w:r>
          </w:p>
        </w:tc>
        <w:tc>
          <w:tcPr>
            <w:tcW w:w="1186" w:type="dxa"/>
            <w:vAlign w:val="center"/>
          </w:tcPr>
          <w:p w14:paraId="7D353D77">
            <w:pPr>
              <w:pStyle w:val="25"/>
              <w:spacing w:line="240" w:lineRule="auto"/>
              <w:rPr>
                <w:b w:val="0"/>
                <w:bCs/>
              </w:rPr>
            </w:pPr>
            <w:r>
              <w:rPr>
                <w:rFonts w:hint="eastAsia"/>
                <w:b w:val="0"/>
                <w:bCs/>
              </w:rPr>
              <w:t>验收要求</w:t>
            </w:r>
          </w:p>
        </w:tc>
      </w:tr>
      <w:tr w14:paraId="5C52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74" w:type="dxa"/>
            <w:vAlign w:val="center"/>
          </w:tcPr>
          <w:p w14:paraId="0E019075">
            <w:pPr>
              <w:pStyle w:val="25"/>
              <w:spacing w:line="240" w:lineRule="auto"/>
              <w:rPr>
                <w:b w:val="0"/>
                <w:bCs/>
              </w:rPr>
            </w:pPr>
            <w:r>
              <w:rPr>
                <w:rFonts w:hint="eastAsia"/>
                <w:b w:val="0"/>
                <w:bCs/>
              </w:rPr>
              <w:t>陆生生态</w:t>
            </w:r>
          </w:p>
        </w:tc>
        <w:tc>
          <w:tcPr>
            <w:tcW w:w="3756" w:type="dxa"/>
            <w:vAlign w:val="center"/>
          </w:tcPr>
          <w:p w14:paraId="33B0FE59">
            <w:pPr>
              <w:pStyle w:val="25"/>
              <w:spacing w:line="240" w:lineRule="auto"/>
              <w:rPr>
                <w:b w:val="0"/>
                <w:bCs/>
              </w:rPr>
            </w:pPr>
            <w:r>
              <w:rPr>
                <w:b w:val="0"/>
                <w:bCs/>
              </w:rPr>
              <w:t>1、施工结束后，使植被尽快恢复，尽量选择乡土物种和本地常见种，避免生态入侵造成的生态问题，恢复区域植被的多样性。</w:t>
            </w:r>
            <w:r>
              <w:rPr>
                <w:rFonts w:hint="eastAsia"/>
                <w:b w:val="0"/>
                <w:bCs/>
              </w:rPr>
              <w:t>2</w:t>
            </w:r>
            <w:r>
              <w:rPr>
                <w:b w:val="0"/>
                <w:bCs/>
              </w:rPr>
              <w:t>、施工场地内的植被应及时迁移，不得随意砍伐；</w:t>
            </w:r>
            <w:r>
              <w:rPr>
                <w:rFonts w:hint="eastAsia"/>
                <w:b w:val="0"/>
                <w:bCs/>
              </w:rPr>
              <w:t>3</w:t>
            </w:r>
            <w:r>
              <w:rPr>
                <w:b w:val="0"/>
                <w:bCs/>
              </w:rPr>
              <w:t>、施工期严格控制施工车辆、机械及施工人员的活动范围，减少对陆生动物生境的破坏；</w:t>
            </w:r>
            <w:r>
              <w:rPr>
                <w:rFonts w:hint="eastAsia"/>
                <w:b w:val="0"/>
                <w:bCs/>
              </w:rPr>
              <w:t>4</w:t>
            </w:r>
            <w:r>
              <w:rPr>
                <w:b w:val="0"/>
                <w:bCs/>
              </w:rPr>
              <w:t>、加强施工人员文明施工教育，严禁在施工区等区域猎鸟、捕鸟、毒鸟及捕杀其他野生动物。</w:t>
            </w:r>
          </w:p>
        </w:tc>
        <w:tc>
          <w:tcPr>
            <w:tcW w:w="1237" w:type="dxa"/>
            <w:vAlign w:val="center"/>
          </w:tcPr>
          <w:p w14:paraId="3A9F6EE7">
            <w:pPr>
              <w:pStyle w:val="25"/>
              <w:spacing w:line="240" w:lineRule="auto"/>
              <w:rPr>
                <w:b w:val="0"/>
                <w:bCs/>
              </w:rPr>
            </w:pPr>
            <w:r>
              <w:rPr>
                <w:rFonts w:hint="eastAsia"/>
                <w:b w:val="0"/>
                <w:bCs/>
              </w:rPr>
              <w:t>工程现场无渣土堆放；临时占地恢复至原状，进行植被恢复或绿化。</w:t>
            </w:r>
          </w:p>
        </w:tc>
        <w:tc>
          <w:tcPr>
            <w:tcW w:w="1672" w:type="dxa"/>
            <w:vAlign w:val="center"/>
          </w:tcPr>
          <w:p w14:paraId="475C6435">
            <w:pPr>
              <w:pStyle w:val="25"/>
              <w:spacing w:line="240" w:lineRule="auto"/>
              <w:rPr>
                <w:rFonts w:hint="eastAsia" w:eastAsia="宋体"/>
                <w:b w:val="0"/>
                <w:bCs/>
                <w:lang w:eastAsia="zh-CN"/>
              </w:rPr>
            </w:pPr>
            <w:r>
              <w:rPr>
                <w:rFonts w:hint="eastAsia" w:eastAsia="宋体"/>
                <w:b w:val="0"/>
                <w:bCs/>
                <w:lang w:eastAsia="zh-CN"/>
              </w:rPr>
              <w:t>1、</w:t>
            </w:r>
            <w:r>
              <w:rPr>
                <w:rFonts w:hint="eastAsia"/>
                <w:b w:val="0"/>
                <w:bCs/>
                <w:lang w:eastAsia="zh-CN"/>
              </w:rPr>
              <w:t>采砂</w:t>
            </w:r>
            <w:r>
              <w:rPr>
                <w:rFonts w:hint="eastAsia" w:eastAsia="宋体"/>
                <w:b w:val="0"/>
                <w:bCs/>
                <w:lang w:eastAsia="zh-CN"/>
              </w:rPr>
              <w:t>结束后，使植被尽快恢复，尽量选择乡土物种和本地常见种，避免生态入侵造成的生态问题，恢复区域植被的多样性。2、</w:t>
            </w:r>
            <w:r>
              <w:rPr>
                <w:rFonts w:hint="eastAsia"/>
                <w:b w:val="0"/>
                <w:bCs/>
                <w:lang w:eastAsia="zh-CN"/>
              </w:rPr>
              <w:t>恢复</w:t>
            </w:r>
            <w:r>
              <w:rPr>
                <w:rFonts w:hint="eastAsia" w:eastAsia="宋体"/>
                <w:b w:val="0"/>
                <w:bCs/>
                <w:lang w:eastAsia="zh-CN"/>
              </w:rPr>
              <w:t>期严格控制施工车辆、机械及施工人员的活动范围，减少对陆生动物生境的破坏；</w:t>
            </w:r>
          </w:p>
        </w:tc>
        <w:tc>
          <w:tcPr>
            <w:tcW w:w="1186" w:type="dxa"/>
            <w:vAlign w:val="center"/>
          </w:tcPr>
          <w:p w14:paraId="6CF196FF">
            <w:pPr>
              <w:pStyle w:val="25"/>
              <w:spacing w:line="240" w:lineRule="auto"/>
              <w:rPr>
                <w:rFonts w:hint="eastAsia" w:eastAsia="宋体"/>
                <w:b w:val="0"/>
                <w:bCs/>
                <w:lang w:eastAsia="zh-CN"/>
              </w:rPr>
            </w:pPr>
            <w:r>
              <w:rPr>
                <w:rFonts w:hint="eastAsia"/>
                <w:b w:val="0"/>
                <w:bCs/>
                <w:lang w:val="en-US" w:eastAsia="zh-CN"/>
              </w:rPr>
              <w:t>进行生态恢复至原有水平</w:t>
            </w:r>
          </w:p>
        </w:tc>
      </w:tr>
      <w:tr w14:paraId="714B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174" w:type="dxa"/>
            <w:vAlign w:val="center"/>
          </w:tcPr>
          <w:p w14:paraId="01080035">
            <w:pPr>
              <w:pStyle w:val="25"/>
              <w:spacing w:line="240" w:lineRule="auto"/>
              <w:rPr>
                <w:b w:val="0"/>
                <w:bCs/>
              </w:rPr>
            </w:pPr>
            <w:r>
              <w:rPr>
                <w:rFonts w:hint="eastAsia"/>
                <w:b w:val="0"/>
                <w:bCs/>
              </w:rPr>
              <w:t>水生生态</w:t>
            </w:r>
          </w:p>
        </w:tc>
        <w:tc>
          <w:tcPr>
            <w:tcW w:w="3756" w:type="dxa"/>
            <w:vAlign w:val="center"/>
          </w:tcPr>
          <w:p w14:paraId="00EB98AE">
            <w:pPr>
              <w:pStyle w:val="25"/>
              <w:spacing w:line="240" w:lineRule="auto"/>
              <w:rPr>
                <w:rFonts w:hint="eastAsia" w:eastAsia="宋体"/>
                <w:b w:val="0"/>
                <w:bCs/>
                <w:lang w:eastAsia="zh-CN"/>
              </w:rPr>
            </w:pPr>
            <w:r>
              <w:rPr>
                <w:rFonts w:hint="eastAsia"/>
                <w:b w:val="0"/>
                <w:bCs/>
                <w:lang w:val="en-US" w:eastAsia="zh-CN"/>
              </w:rPr>
              <w:t>/</w:t>
            </w:r>
          </w:p>
        </w:tc>
        <w:tc>
          <w:tcPr>
            <w:tcW w:w="1237" w:type="dxa"/>
            <w:vAlign w:val="center"/>
          </w:tcPr>
          <w:p w14:paraId="36450919">
            <w:pPr>
              <w:pStyle w:val="25"/>
              <w:spacing w:line="240" w:lineRule="auto"/>
              <w:rPr>
                <w:rFonts w:hint="eastAsia" w:eastAsia="宋体"/>
                <w:b w:val="0"/>
                <w:bCs/>
                <w:lang w:eastAsia="zh-CN"/>
              </w:rPr>
            </w:pPr>
            <w:r>
              <w:rPr>
                <w:rFonts w:hint="eastAsia"/>
                <w:b w:val="0"/>
                <w:bCs/>
                <w:lang w:val="en-US" w:eastAsia="zh-CN"/>
              </w:rPr>
              <w:t>/</w:t>
            </w:r>
          </w:p>
        </w:tc>
        <w:tc>
          <w:tcPr>
            <w:tcW w:w="1672" w:type="dxa"/>
            <w:vAlign w:val="center"/>
          </w:tcPr>
          <w:p w14:paraId="3CC0D566">
            <w:pPr>
              <w:pStyle w:val="25"/>
              <w:spacing w:line="240" w:lineRule="auto"/>
              <w:rPr>
                <w:b w:val="0"/>
                <w:bCs/>
              </w:rPr>
            </w:pPr>
            <w:r>
              <w:rPr>
                <w:rFonts w:hint="eastAsia"/>
                <w:b w:val="0"/>
                <w:bCs/>
              </w:rPr>
              <w:t>/</w:t>
            </w:r>
          </w:p>
        </w:tc>
        <w:tc>
          <w:tcPr>
            <w:tcW w:w="1186" w:type="dxa"/>
            <w:vAlign w:val="center"/>
          </w:tcPr>
          <w:p w14:paraId="5E63EC46">
            <w:pPr>
              <w:pStyle w:val="25"/>
              <w:spacing w:line="240" w:lineRule="auto"/>
              <w:rPr>
                <w:b w:val="0"/>
                <w:bCs/>
              </w:rPr>
            </w:pPr>
            <w:r>
              <w:rPr>
                <w:rFonts w:hint="eastAsia"/>
                <w:b w:val="0"/>
                <w:bCs/>
              </w:rPr>
              <w:t>/</w:t>
            </w:r>
          </w:p>
        </w:tc>
      </w:tr>
      <w:tr w14:paraId="3023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174" w:type="dxa"/>
            <w:vAlign w:val="center"/>
          </w:tcPr>
          <w:p w14:paraId="428138E2">
            <w:pPr>
              <w:pStyle w:val="25"/>
              <w:spacing w:line="240" w:lineRule="auto"/>
              <w:rPr>
                <w:b w:val="0"/>
                <w:bCs/>
              </w:rPr>
            </w:pPr>
            <w:r>
              <w:rPr>
                <w:rFonts w:hint="eastAsia"/>
                <w:b w:val="0"/>
                <w:bCs/>
              </w:rPr>
              <w:t>地表水环境</w:t>
            </w:r>
          </w:p>
        </w:tc>
        <w:tc>
          <w:tcPr>
            <w:tcW w:w="3756" w:type="dxa"/>
            <w:vAlign w:val="center"/>
          </w:tcPr>
          <w:p w14:paraId="10156A46">
            <w:pPr>
              <w:pStyle w:val="25"/>
              <w:spacing w:line="240" w:lineRule="auto"/>
              <w:rPr>
                <w:b w:val="0"/>
                <w:bCs/>
              </w:rPr>
            </w:pPr>
            <w:r>
              <w:rPr>
                <w:rFonts w:hint="eastAsia"/>
                <w:b w:val="0"/>
                <w:bCs/>
              </w:rPr>
              <w:t>1、施工区内设置生产废水处理设施，各类施工生产废水经收集后进行集中处理；2、施工人员生活污水</w:t>
            </w:r>
            <w:r>
              <w:rPr>
                <w:rFonts w:hint="eastAsia"/>
                <w:b w:val="0"/>
                <w:bCs/>
                <w:lang w:val="en-US" w:eastAsia="zh-CN"/>
              </w:rPr>
              <w:t>在施工区域设置</w:t>
            </w:r>
            <w:r>
              <w:rPr>
                <w:rFonts w:hint="eastAsia"/>
                <w:b w:val="0"/>
                <w:bCs/>
                <w:highlight w:val="none"/>
                <w:lang w:val="en-US" w:eastAsia="zh-CN"/>
              </w:rPr>
              <w:t>旱厕</w:t>
            </w:r>
            <w:r>
              <w:rPr>
                <w:rFonts w:hint="eastAsia"/>
                <w:b w:val="0"/>
                <w:bCs/>
                <w:lang w:val="en-US" w:eastAsia="zh-CN"/>
              </w:rPr>
              <w:t>，定期由建设单位清运，用于周边农家肥</w:t>
            </w:r>
            <w:r>
              <w:rPr>
                <w:rFonts w:hint="eastAsia"/>
                <w:b w:val="0"/>
                <w:bCs/>
              </w:rPr>
              <w:t>；</w:t>
            </w:r>
          </w:p>
        </w:tc>
        <w:tc>
          <w:tcPr>
            <w:tcW w:w="1237" w:type="dxa"/>
            <w:vAlign w:val="center"/>
          </w:tcPr>
          <w:p w14:paraId="642C2C6D">
            <w:pPr>
              <w:pStyle w:val="25"/>
              <w:spacing w:line="240" w:lineRule="auto"/>
              <w:jc w:val="center"/>
              <w:rPr>
                <w:b w:val="0"/>
                <w:bCs/>
              </w:rPr>
            </w:pPr>
            <w:r>
              <w:rPr>
                <w:b w:val="0"/>
                <w:bCs/>
              </w:rPr>
              <w:t>相关地表水环境保护措施落实，对周边地表水环境未造成明显不利影响。</w:t>
            </w:r>
          </w:p>
        </w:tc>
        <w:tc>
          <w:tcPr>
            <w:tcW w:w="1672" w:type="dxa"/>
            <w:vAlign w:val="center"/>
          </w:tcPr>
          <w:p w14:paraId="38580E2D">
            <w:pPr>
              <w:pStyle w:val="25"/>
              <w:spacing w:line="240" w:lineRule="auto"/>
              <w:rPr>
                <w:rFonts w:hint="eastAsia" w:eastAsia="宋体"/>
                <w:b w:val="0"/>
                <w:bCs/>
                <w:lang w:val="en-US" w:eastAsia="zh-CN"/>
              </w:rPr>
            </w:pPr>
            <w:r>
              <w:rPr>
                <w:rFonts w:hint="eastAsia"/>
                <w:b w:val="0"/>
                <w:bCs/>
              </w:rPr>
              <w:t>1、生产废水</w:t>
            </w:r>
            <w:r>
              <w:rPr>
                <w:rFonts w:hint="eastAsia"/>
                <w:b w:val="0"/>
                <w:bCs/>
                <w:lang w:eastAsia="zh-CN"/>
              </w:rPr>
              <w:t>经三级沉淀池沉淀后回用生产，不外排</w:t>
            </w:r>
            <w:r>
              <w:rPr>
                <w:rFonts w:hint="eastAsia"/>
                <w:b w:val="0"/>
                <w:bCs/>
              </w:rPr>
              <w:t>；2、食堂废水经隔油处理后与其他生活污水经地埋式一体化污水处理设施处理后用于场地洒水抑尘。</w:t>
            </w:r>
          </w:p>
        </w:tc>
        <w:tc>
          <w:tcPr>
            <w:tcW w:w="1186" w:type="dxa"/>
            <w:vAlign w:val="center"/>
          </w:tcPr>
          <w:p w14:paraId="6993BCED">
            <w:pPr>
              <w:pStyle w:val="25"/>
              <w:spacing w:line="240" w:lineRule="auto"/>
              <w:rPr>
                <w:rFonts w:hint="eastAsia" w:eastAsia="宋体"/>
                <w:b w:val="0"/>
                <w:bCs/>
                <w:lang w:eastAsia="zh-CN"/>
              </w:rPr>
            </w:pPr>
            <w:r>
              <w:rPr>
                <w:rFonts w:hint="eastAsia" w:eastAsia="宋体"/>
                <w:b w:val="0"/>
                <w:bCs/>
                <w:lang w:eastAsia="zh-CN"/>
              </w:rPr>
              <w:t>满足《农村生活污水处理排放标准》（DB65/4275―2019）表2中B级标准要求及《城市污水再生利用 城市杂用水水质》（GB/T18920-2020）中城市绿化、道路清扫、消防、建筑施工要求</w:t>
            </w:r>
          </w:p>
        </w:tc>
      </w:tr>
      <w:tr w14:paraId="2F3B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174" w:type="dxa"/>
            <w:vAlign w:val="center"/>
          </w:tcPr>
          <w:p w14:paraId="6C5A1A49">
            <w:pPr>
              <w:pStyle w:val="25"/>
              <w:spacing w:line="240" w:lineRule="auto"/>
              <w:rPr>
                <w:b w:val="0"/>
                <w:bCs/>
              </w:rPr>
            </w:pPr>
            <w:r>
              <w:rPr>
                <w:rFonts w:hint="eastAsia"/>
                <w:b w:val="0"/>
                <w:bCs/>
              </w:rPr>
              <w:t>地下水及土壤环境</w:t>
            </w:r>
          </w:p>
        </w:tc>
        <w:tc>
          <w:tcPr>
            <w:tcW w:w="3756" w:type="dxa"/>
            <w:vAlign w:val="center"/>
          </w:tcPr>
          <w:p w14:paraId="52A6C466">
            <w:pPr>
              <w:pStyle w:val="25"/>
              <w:spacing w:line="240" w:lineRule="auto"/>
              <w:rPr>
                <w:b w:val="0"/>
                <w:bCs/>
              </w:rPr>
            </w:pPr>
            <w:r>
              <w:rPr>
                <w:rFonts w:hint="eastAsia"/>
                <w:b w:val="0"/>
                <w:bCs/>
              </w:rPr>
              <w:t>/</w:t>
            </w:r>
          </w:p>
        </w:tc>
        <w:tc>
          <w:tcPr>
            <w:tcW w:w="1237" w:type="dxa"/>
            <w:vAlign w:val="center"/>
          </w:tcPr>
          <w:p w14:paraId="41ED22EB">
            <w:pPr>
              <w:pStyle w:val="25"/>
              <w:spacing w:line="240" w:lineRule="auto"/>
              <w:rPr>
                <w:b w:val="0"/>
                <w:bCs/>
              </w:rPr>
            </w:pPr>
            <w:r>
              <w:rPr>
                <w:rFonts w:hint="eastAsia"/>
                <w:b w:val="0"/>
                <w:bCs/>
              </w:rPr>
              <w:t>/</w:t>
            </w:r>
          </w:p>
        </w:tc>
        <w:tc>
          <w:tcPr>
            <w:tcW w:w="1672" w:type="dxa"/>
            <w:vAlign w:val="center"/>
          </w:tcPr>
          <w:p w14:paraId="3F838628">
            <w:pPr>
              <w:pStyle w:val="25"/>
              <w:spacing w:line="240" w:lineRule="auto"/>
              <w:rPr>
                <w:b w:val="0"/>
                <w:bCs/>
              </w:rPr>
            </w:pPr>
            <w:r>
              <w:rPr>
                <w:rFonts w:hint="eastAsia"/>
                <w:b w:val="0"/>
                <w:bCs/>
              </w:rPr>
              <w:t>/</w:t>
            </w:r>
          </w:p>
        </w:tc>
        <w:tc>
          <w:tcPr>
            <w:tcW w:w="1186" w:type="dxa"/>
            <w:vAlign w:val="center"/>
          </w:tcPr>
          <w:p w14:paraId="30249275">
            <w:pPr>
              <w:pStyle w:val="25"/>
              <w:spacing w:line="240" w:lineRule="auto"/>
              <w:rPr>
                <w:b w:val="0"/>
                <w:bCs/>
              </w:rPr>
            </w:pPr>
            <w:r>
              <w:rPr>
                <w:rFonts w:hint="eastAsia"/>
                <w:b w:val="0"/>
                <w:bCs/>
              </w:rPr>
              <w:t>/</w:t>
            </w:r>
          </w:p>
        </w:tc>
      </w:tr>
      <w:tr w14:paraId="4756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174" w:type="dxa"/>
            <w:vAlign w:val="center"/>
          </w:tcPr>
          <w:p w14:paraId="0412EA8D">
            <w:pPr>
              <w:pStyle w:val="25"/>
              <w:spacing w:line="240" w:lineRule="auto"/>
              <w:rPr>
                <w:b w:val="0"/>
                <w:bCs/>
              </w:rPr>
            </w:pPr>
            <w:r>
              <w:rPr>
                <w:rFonts w:hint="eastAsia"/>
                <w:b w:val="0"/>
                <w:bCs/>
              </w:rPr>
              <w:t>声环境</w:t>
            </w:r>
          </w:p>
        </w:tc>
        <w:tc>
          <w:tcPr>
            <w:tcW w:w="3756" w:type="dxa"/>
            <w:vAlign w:val="center"/>
          </w:tcPr>
          <w:p w14:paraId="3C19E5E4">
            <w:pPr>
              <w:pStyle w:val="25"/>
              <w:spacing w:line="240" w:lineRule="auto"/>
              <w:rPr>
                <w:b w:val="0"/>
                <w:bCs/>
              </w:rPr>
            </w:pPr>
            <w:r>
              <w:rPr>
                <w:b w:val="0"/>
                <w:bCs/>
              </w:rPr>
              <w:t>1、施工期间，夜间禁止施工。2、在施工场界设置移动式隔声屏用于隔声降噪；3、易产生噪声的作业设备，设置在施工现场中远离周边居民区的位置；4、对于挖掘机、推土机等高噪声设备应尽量远离声环境敏感点；5、合理布局施工现场，避免在同一地点安排大量动力机械设施；6、合理安排施工车辆行驶线路和时间，注意限速行驶、禁止高音鸣号；7、施工单位应尽可能选择低噪声、先进的作业机械；8、及时修理和改进施工机械和车辆，杜绝施工机械因维护不当而产生</w:t>
            </w:r>
            <w:r>
              <w:rPr>
                <w:rFonts w:hint="eastAsia"/>
                <w:b w:val="0"/>
                <w:bCs/>
              </w:rPr>
              <w:t>的其他</w:t>
            </w:r>
            <w:r>
              <w:rPr>
                <w:b w:val="0"/>
                <w:bCs/>
              </w:rPr>
              <w:t>噪声。</w:t>
            </w:r>
          </w:p>
        </w:tc>
        <w:tc>
          <w:tcPr>
            <w:tcW w:w="1237" w:type="dxa"/>
            <w:vAlign w:val="center"/>
          </w:tcPr>
          <w:p w14:paraId="4478A1D1">
            <w:pPr>
              <w:pStyle w:val="25"/>
              <w:spacing w:line="240" w:lineRule="auto"/>
              <w:rPr>
                <w:b w:val="0"/>
                <w:bCs/>
              </w:rPr>
            </w:pPr>
            <w:r>
              <w:rPr>
                <w:rFonts w:hint="eastAsia"/>
                <w:b w:val="0"/>
                <w:bCs/>
              </w:rPr>
              <w:t>《建筑施工场界环境噪声排放标准》（GB12523-2011）</w:t>
            </w:r>
          </w:p>
        </w:tc>
        <w:tc>
          <w:tcPr>
            <w:tcW w:w="1672" w:type="dxa"/>
            <w:vAlign w:val="center"/>
          </w:tcPr>
          <w:p w14:paraId="0C1B7288">
            <w:pPr>
              <w:pStyle w:val="25"/>
              <w:spacing w:line="240" w:lineRule="auto"/>
              <w:jc w:val="both"/>
              <w:rPr>
                <w:rFonts w:hint="eastAsia" w:eastAsia="宋体"/>
                <w:b w:val="0"/>
                <w:bCs/>
                <w:lang w:val="en-US" w:eastAsia="zh-CN"/>
              </w:rPr>
            </w:pPr>
            <w:r>
              <w:rPr>
                <w:rFonts w:hint="eastAsia" w:eastAsia="宋体"/>
                <w:b w:val="0"/>
                <w:bCs/>
                <w:lang w:val="en-US" w:eastAsia="zh-CN"/>
              </w:rPr>
              <w:t>①在声源的布局上，将高噪声的破碎机、振动筛布置在车间中部，将料堆设置在车间周边，生产时关闭厂房门窗以减轻噪声对厂界的影响。</w:t>
            </w:r>
          </w:p>
          <w:p w14:paraId="3DB73144">
            <w:pPr>
              <w:pStyle w:val="25"/>
              <w:spacing w:line="240" w:lineRule="auto"/>
              <w:jc w:val="both"/>
              <w:rPr>
                <w:rFonts w:hint="eastAsia" w:eastAsia="宋体"/>
                <w:b w:val="0"/>
                <w:bCs/>
                <w:lang w:val="en-US" w:eastAsia="zh-CN"/>
              </w:rPr>
            </w:pPr>
            <w:r>
              <w:rPr>
                <w:rFonts w:hint="eastAsia" w:eastAsia="宋体"/>
                <w:b w:val="0"/>
                <w:bCs/>
                <w:lang w:val="en-US" w:eastAsia="zh-CN"/>
              </w:rPr>
              <w:t>②选用低噪声设备，加强设备的维护，确保设备处于良好的运转状态，杜绝因设备不正常运转时产生的高噪声现象。</w:t>
            </w:r>
          </w:p>
          <w:p w14:paraId="0CB23244">
            <w:pPr>
              <w:pStyle w:val="25"/>
              <w:spacing w:line="240" w:lineRule="auto"/>
              <w:jc w:val="both"/>
              <w:rPr>
                <w:rFonts w:hint="eastAsia" w:eastAsia="宋体"/>
                <w:b w:val="0"/>
                <w:bCs/>
                <w:lang w:val="en-US" w:eastAsia="zh-CN"/>
              </w:rPr>
            </w:pPr>
            <w:r>
              <w:rPr>
                <w:rFonts w:hint="eastAsia" w:eastAsia="宋体"/>
                <w:b w:val="0"/>
                <w:bCs/>
                <w:lang w:val="en-US" w:eastAsia="zh-CN"/>
              </w:rPr>
              <w:t>③采取防震减振措施降低噪声源强。破碎机、振动筛等高噪声设备安装时采用减振垫。</w:t>
            </w:r>
          </w:p>
          <w:p w14:paraId="1824D4A0">
            <w:pPr>
              <w:pStyle w:val="25"/>
              <w:spacing w:line="240" w:lineRule="auto"/>
              <w:jc w:val="both"/>
              <w:rPr>
                <w:rFonts w:hint="eastAsia" w:eastAsia="宋体"/>
                <w:b w:val="0"/>
                <w:bCs/>
                <w:lang w:val="en-US" w:eastAsia="zh-CN"/>
              </w:rPr>
            </w:pPr>
            <w:r>
              <w:rPr>
                <w:rFonts w:hint="eastAsia" w:eastAsia="宋体"/>
                <w:b w:val="0"/>
                <w:bCs/>
                <w:lang w:val="en-US" w:eastAsia="zh-CN"/>
              </w:rPr>
              <w:t>④加强生产管理，加强职工环保意识教育，提倡文明生产， 防止人为噪声。</w:t>
            </w:r>
          </w:p>
          <w:p w14:paraId="64B8B0A0">
            <w:pPr>
              <w:pStyle w:val="25"/>
              <w:spacing w:line="240" w:lineRule="auto"/>
              <w:jc w:val="both"/>
              <w:rPr>
                <w:rFonts w:hint="eastAsia" w:eastAsia="宋体"/>
                <w:b w:val="0"/>
                <w:bCs/>
                <w:lang w:eastAsia="zh-CN"/>
              </w:rPr>
            </w:pPr>
            <w:r>
              <w:rPr>
                <w:rFonts w:hint="eastAsia" w:eastAsia="宋体"/>
                <w:b w:val="0"/>
                <w:bCs/>
                <w:lang w:val="en-US" w:eastAsia="zh-CN"/>
              </w:rPr>
              <w:t>⑤厂区进出车辆限速，在厂区运输道路及车辆进出口设置限速标志，要求车辆限速，减小车辆噪声，途经村庄限速行驶，按规定路线行驶。</w:t>
            </w:r>
          </w:p>
        </w:tc>
        <w:tc>
          <w:tcPr>
            <w:tcW w:w="1186" w:type="dxa"/>
            <w:vAlign w:val="center"/>
          </w:tcPr>
          <w:p w14:paraId="28CF573F">
            <w:pPr>
              <w:pStyle w:val="25"/>
              <w:spacing w:line="240" w:lineRule="auto"/>
              <w:rPr>
                <w:rFonts w:hint="eastAsia" w:eastAsia="宋体"/>
                <w:b w:val="0"/>
                <w:bCs/>
                <w:lang w:eastAsia="zh-CN"/>
              </w:rPr>
            </w:pPr>
            <w:r>
              <w:rPr>
                <w:rFonts w:hint="eastAsia" w:eastAsia="宋体"/>
                <w:b w:val="0"/>
                <w:bCs/>
                <w:lang w:val="en-US" w:eastAsia="zh-CN"/>
              </w:rPr>
              <w:t>《工业企业厂界环境噪声排放标准》（GB12348-2008）中2类标准</w:t>
            </w:r>
          </w:p>
        </w:tc>
      </w:tr>
      <w:tr w14:paraId="0D61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74" w:type="dxa"/>
            <w:vAlign w:val="center"/>
          </w:tcPr>
          <w:p w14:paraId="052E4EF7">
            <w:pPr>
              <w:pStyle w:val="25"/>
              <w:spacing w:line="240" w:lineRule="auto"/>
              <w:rPr>
                <w:b w:val="0"/>
                <w:bCs/>
              </w:rPr>
            </w:pPr>
            <w:r>
              <w:rPr>
                <w:rFonts w:hint="eastAsia"/>
                <w:b w:val="0"/>
                <w:bCs/>
              </w:rPr>
              <w:t>振动</w:t>
            </w:r>
          </w:p>
        </w:tc>
        <w:tc>
          <w:tcPr>
            <w:tcW w:w="3756" w:type="dxa"/>
            <w:vAlign w:val="center"/>
          </w:tcPr>
          <w:p w14:paraId="120E6D56">
            <w:pPr>
              <w:pStyle w:val="25"/>
              <w:spacing w:line="240" w:lineRule="auto"/>
              <w:rPr>
                <w:b w:val="0"/>
                <w:bCs/>
              </w:rPr>
            </w:pPr>
            <w:r>
              <w:rPr>
                <w:rFonts w:hint="eastAsia"/>
                <w:b w:val="0"/>
                <w:bCs/>
              </w:rPr>
              <w:t>/</w:t>
            </w:r>
          </w:p>
        </w:tc>
        <w:tc>
          <w:tcPr>
            <w:tcW w:w="1237" w:type="dxa"/>
            <w:vAlign w:val="center"/>
          </w:tcPr>
          <w:p w14:paraId="6665DB5E">
            <w:pPr>
              <w:pStyle w:val="25"/>
              <w:spacing w:line="240" w:lineRule="auto"/>
              <w:rPr>
                <w:b w:val="0"/>
                <w:bCs/>
              </w:rPr>
            </w:pPr>
            <w:r>
              <w:rPr>
                <w:rFonts w:hint="eastAsia"/>
                <w:b w:val="0"/>
                <w:bCs/>
              </w:rPr>
              <w:t>/</w:t>
            </w:r>
          </w:p>
        </w:tc>
        <w:tc>
          <w:tcPr>
            <w:tcW w:w="1672" w:type="dxa"/>
            <w:vAlign w:val="center"/>
          </w:tcPr>
          <w:p w14:paraId="1D4ED83E">
            <w:pPr>
              <w:pStyle w:val="25"/>
              <w:spacing w:line="240" w:lineRule="auto"/>
              <w:rPr>
                <w:b w:val="0"/>
                <w:bCs/>
              </w:rPr>
            </w:pPr>
            <w:r>
              <w:rPr>
                <w:rFonts w:hint="eastAsia"/>
                <w:b w:val="0"/>
                <w:bCs/>
              </w:rPr>
              <w:t>/</w:t>
            </w:r>
          </w:p>
        </w:tc>
        <w:tc>
          <w:tcPr>
            <w:tcW w:w="1186" w:type="dxa"/>
            <w:vAlign w:val="center"/>
          </w:tcPr>
          <w:p w14:paraId="22398F29">
            <w:pPr>
              <w:pStyle w:val="25"/>
              <w:spacing w:line="240" w:lineRule="auto"/>
              <w:rPr>
                <w:b w:val="0"/>
                <w:bCs/>
              </w:rPr>
            </w:pPr>
            <w:r>
              <w:rPr>
                <w:rFonts w:hint="eastAsia"/>
                <w:b w:val="0"/>
                <w:bCs/>
              </w:rPr>
              <w:t>/</w:t>
            </w:r>
          </w:p>
        </w:tc>
      </w:tr>
      <w:tr w14:paraId="4BAB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174" w:type="dxa"/>
            <w:vAlign w:val="center"/>
          </w:tcPr>
          <w:p w14:paraId="4BC35312">
            <w:pPr>
              <w:pStyle w:val="25"/>
              <w:spacing w:line="240" w:lineRule="auto"/>
              <w:rPr>
                <w:b w:val="0"/>
                <w:bCs/>
              </w:rPr>
            </w:pPr>
            <w:r>
              <w:rPr>
                <w:rFonts w:hint="eastAsia"/>
                <w:b w:val="0"/>
                <w:bCs/>
              </w:rPr>
              <w:t>大气环境</w:t>
            </w:r>
          </w:p>
        </w:tc>
        <w:tc>
          <w:tcPr>
            <w:tcW w:w="3756" w:type="dxa"/>
            <w:vAlign w:val="center"/>
          </w:tcPr>
          <w:p w14:paraId="414663FE">
            <w:pPr>
              <w:pStyle w:val="25"/>
              <w:spacing w:line="240" w:lineRule="auto"/>
              <w:rPr>
                <w:b w:val="0"/>
                <w:bCs/>
              </w:rPr>
            </w:pPr>
            <w:r>
              <w:rPr>
                <w:rFonts w:hint="eastAsia"/>
                <w:b w:val="0"/>
                <w:bCs/>
              </w:rPr>
              <w:t>运输道路定时洒水降尘；原辅材料堆放整齐、加盖篷布；使用符合国家标准的油、加强机械保养。</w:t>
            </w:r>
          </w:p>
        </w:tc>
        <w:tc>
          <w:tcPr>
            <w:tcW w:w="1237" w:type="dxa"/>
            <w:vAlign w:val="center"/>
          </w:tcPr>
          <w:p w14:paraId="2DD6CB4A">
            <w:pPr>
              <w:pStyle w:val="25"/>
              <w:spacing w:line="240" w:lineRule="auto"/>
              <w:rPr>
                <w:b w:val="0"/>
                <w:bCs/>
              </w:rPr>
            </w:pPr>
            <w:r>
              <w:rPr>
                <w:rFonts w:hint="eastAsia"/>
                <w:b w:val="0"/>
                <w:bCs/>
              </w:rPr>
              <w:t>是否受到过附近居民的投诉</w:t>
            </w:r>
          </w:p>
        </w:tc>
        <w:tc>
          <w:tcPr>
            <w:tcW w:w="1672" w:type="dxa"/>
            <w:vAlign w:val="center"/>
          </w:tcPr>
          <w:p w14:paraId="7F7D9126">
            <w:pPr>
              <w:pStyle w:val="25"/>
              <w:tabs>
                <w:tab w:val="center" w:pos="788"/>
                <w:tab w:val="right" w:pos="1456"/>
              </w:tabs>
              <w:spacing w:line="240" w:lineRule="auto"/>
              <w:jc w:val="both"/>
              <w:rPr>
                <w:rFonts w:hint="default" w:eastAsia="宋体"/>
                <w:b w:val="0"/>
                <w:bCs/>
                <w:lang w:val="en-US" w:eastAsia="zh-CN"/>
              </w:rPr>
            </w:pPr>
            <w:r>
              <w:rPr>
                <w:rFonts w:hint="eastAsia"/>
                <w:b w:val="0"/>
                <w:bCs/>
                <w:lang w:val="en-US" w:eastAsia="zh-CN"/>
              </w:rPr>
              <w:t>1.采取“封闭式”车间，仅保留车间进出料口，其余进行封闭设置，同时在原料车间内设置水雾除尘装置进行降尘，每1m设置一个水雾除尘喷头，每排间距2m，并定期在车间地面进行洒水降尘；2.安装高压喷头；3.集气罩（95%）+风机（风量20000m</w:t>
            </w:r>
            <w:r>
              <w:rPr>
                <w:rFonts w:hint="eastAsia"/>
                <w:b w:val="0"/>
                <w:bCs/>
                <w:vertAlign w:val="superscript"/>
                <w:lang w:val="en-US" w:eastAsia="zh-CN"/>
              </w:rPr>
              <w:t>3</w:t>
            </w:r>
            <w:r>
              <w:rPr>
                <w:rFonts w:hint="eastAsia"/>
                <w:b w:val="0"/>
                <w:bCs/>
                <w:lang w:val="en-US" w:eastAsia="zh-CN"/>
              </w:rPr>
              <w:t>/h）+布袋除尘器（99%）+15m排气筒；4.皮带输送带上部加盖，两侧密封；5.设洗车平台，对进出车辆进行冲洗，限制超载，车辆加盖苫布，减速慢行，场内进行洒水抑尘。</w:t>
            </w:r>
          </w:p>
        </w:tc>
        <w:tc>
          <w:tcPr>
            <w:tcW w:w="1186" w:type="dxa"/>
            <w:vAlign w:val="center"/>
          </w:tcPr>
          <w:p w14:paraId="03B40062">
            <w:pPr>
              <w:pStyle w:val="25"/>
              <w:spacing w:line="240" w:lineRule="auto"/>
              <w:rPr>
                <w:b w:val="0"/>
                <w:bCs/>
              </w:rPr>
            </w:pPr>
            <w:r>
              <w:rPr>
                <w:rFonts w:hint="eastAsia"/>
                <w:b w:val="0"/>
                <w:bCs/>
              </w:rPr>
              <w:t>《大气污染物综合排放标准》（G</w:t>
            </w:r>
            <w:r>
              <w:rPr>
                <w:b w:val="0"/>
                <w:bCs/>
              </w:rPr>
              <w:t>B16297</w:t>
            </w:r>
            <w:r>
              <w:rPr>
                <w:rFonts w:hint="eastAsia"/>
                <w:b w:val="0"/>
                <w:bCs/>
              </w:rPr>
              <w:t>-</w:t>
            </w:r>
            <w:r>
              <w:rPr>
                <w:b w:val="0"/>
                <w:bCs/>
              </w:rPr>
              <w:t>1996</w:t>
            </w:r>
            <w:r>
              <w:rPr>
                <w:rFonts w:hint="eastAsia"/>
                <w:b w:val="0"/>
                <w:bCs/>
              </w:rPr>
              <w:t>）表2标准限制</w:t>
            </w:r>
          </w:p>
        </w:tc>
      </w:tr>
      <w:tr w14:paraId="122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174" w:type="dxa"/>
            <w:vAlign w:val="center"/>
          </w:tcPr>
          <w:p w14:paraId="4D0CA083">
            <w:pPr>
              <w:pStyle w:val="25"/>
              <w:spacing w:line="240" w:lineRule="auto"/>
              <w:rPr>
                <w:b w:val="0"/>
                <w:bCs/>
              </w:rPr>
            </w:pPr>
            <w:r>
              <w:rPr>
                <w:rFonts w:hint="eastAsia"/>
                <w:b w:val="0"/>
                <w:bCs/>
              </w:rPr>
              <w:t>固体废物</w:t>
            </w:r>
          </w:p>
        </w:tc>
        <w:tc>
          <w:tcPr>
            <w:tcW w:w="3756" w:type="dxa"/>
            <w:vAlign w:val="center"/>
          </w:tcPr>
          <w:p w14:paraId="0443A291">
            <w:pPr>
              <w:pStyle w:val="25"/>
              <w:spacing w:line="240" w:lineRule="auto"/>
              <w:rPr>
                <w:b w:val="0"/>
                <w:bCs/>
              </w:rPr>
            </w:pPr>
            <w:r>
              <w:rPr>
                <w:b w:val="0"/>
                <w:bCs/>
              </w:rPr>
              <w:t>1、建设单位尽可能减少</w:t>
            </w:r>
            <w:r>
              <w:rPr>
                <w:rFonts w:hint="eastAsia"/>
                <w:b w:val="0"/>
                <w:bCs/>
                <w:lang w:eastAsia="zh-CN"/>
              </w:rPr>
              <w:t>建筑垃圾</w:t>
            </w:r>
            <w:r>
              <w:rPr>
                <w:b w:val="0"/>
                <w:bCs/>
              </w:rPr>
              <w:t>的产生；</w:t>
            </w:r>
            <w:r>
              <w:rPr>
                <w:rFonts w:hint="eastAsia"/>
                <w:b w:val="0"/>
                <w:bCs/>
                <w:lang w:val="en-US" w:eastAsia="zh-CN"/>
              </w:rPr>
              <w:t>2</w:t>
            </w:r>
            <w:r>
              <w:rPr>
                <w:b w:val="0"/>
                <w:bCs/>
              </w:rPr>
              <w:t>、合理设置材料堆放场、生产及生活设施场所；</w:t>
            </w:r>
            <w:r>
              <w:rPr>
                <w:rFonts w:hint="eastAsia"/>
                <w:b w:val="0"/>
                <w:bCs/>
              </w:rPr>
              <w:t>4</w:t>
            </w:r>
            <w:r>
              <w:rPr>
                <w:b w:val="0"/>
                <w:bCs/>
              </w:rPr>
              <w:t>、对耕植土进行剥离，以备后期绿化覆土使用；</w:t>
            </w:r>
            <w:r>
              <w:rPr>
                <w:rFonts w:hint="eastAsia"/>
                <w:b w:val="0"/>
                <w:bCs/>
              </w:rPr>
              <w:t>5</w:t>
            </w:r>
            <w:r>
              <w:rPr>
                <w:b w:val="0"/>
                <w:bCs/>
              </w:rPr>
              <w:t>、生活垃圾应当集中收集放置于垃圾容器内，并委托当地环卫部门清运；</w:t>
            </w:r>
            <w:r>
              <w:rPr>
                <w:rFonts w:hint="eastAsia"/>
                <w:b w:val="0"/>
                <w:bCs/>
              </w:rPr>
              <w:t>6</w:t>
            </w:r>
            <w:r>
              <w:rPr>
                <w:b w:val="0"/>
                <w:bCs/>
              </w:rPr>
              <w:t>、在施工结束后，对施工场地进行地表清理，清除硬化混凝土，将工地的剩余工程渣土处置干净。</w:t>
            </w:r>
          </w:p>
        </w:tc>
        <w:tc>
          <w:tcPr>
            <w:tcW w:w="1237" w:type="dxa"/>
            <w:vAlign w:val="center"/>
          </w:tcPr>
          <w:p w14:paraId="698CDC1E">
            <w:pPr>
              <w:pStyle w:val="25"/>
              <w:spacing w:line="240" w:lineRule="auto"/>
              <w:rPr>
                <w:b w:val="0"/>
                <w:bCs/>
              </w:rPr>
            </w:pPr>
            <w:r>
              <w:rPr>
                <w:rFonts w:hint="eastAsia"/>
                <w:b w:val="0"/>
                <w:bCs/>
              </w:rPr>
              <w:t>施工现场建筑垃圾及生活垃圾得到合规处置</w:t>
            </w:r>
          </w:p>
        </w:tc>
        <w:tc>
          <w:tcPr>
            <w:tcW w:w="1672" w:type="dxa"/>
            <w:vAlign w:val="center"/>
          </w:tcPr>
          <w:p w14:paraId="0BE64A94">
            <w:pPr>
              <w:pStyle w:val="25"/>
              <w:spacing w:line="240" w:lineRule="auto"/>
              <w:jc w:val="both"/>
              <w:rPr>
                <w:rFonts w:hint="default" w:eastAsia="宋体"/>
                <w:b w:val="0"/>
                <w:bCs/>
                <w:lang w:val="en-US" w:eastAsia="zh-CN"/>
              </w:rPr>
            </w:pPr>
            <w:r>
              <w:rPr>
                <w:rFonts w:hint="eastAsia"/>
                <w:b w:val="0"/>
                <w:bCs/>
                <w:lang w:val="en-US" w:eastAsia="zh-CN"/>
              </w:rPr>
              <w:t>1.沉淀池底泥：定期清掏至废石堆场，晾晒后，用于采坑回填；2.生活垃圾：集中分类收集后定期清运至当地乡镇垃圾中转站，由当地环卫部门统一清运处理；3.废机油：暂存于危险废物暂存间，委托有资质单位处置</w:t>
            </w:r>
          </w:p>
        </w:tc>
        <w:tc>
          <w:tcPr>
            <w:tcW w:w="1186" w:type="dxa"/>
            <w:vAlign w:val="center"/>
          </w:tcPr>
          <w:p w14:paraId="7719D242">
            <w:pPr>
              <w:pStyle w:val="41"/>
              <w:spacing w:line="240" w:lineRule="auto"/>
              <w:jc w:val="both"/>
              <w:rPr>
                <w:b w:val="0"/>
                <w:bCs/>
              </w:rPr>
            </w:pPr>
            <w:r>
              <w:rPr>
                <w:b w:val="0"/>
                <w:bCs/>
              </w:rPr>
              <w:t>固体废物处置执行《一般工业固体废物贮存和填埋污染控制标准》(GB18599-2020)；危险废物执行《危险废物贮存污染控制标准》(GB18597-20</w:t>
            </w:r>
            <w:r>
              <w:rPr>
                <w:rFonts w:hint="eastAsia"/>
                <w:b w:val="0"/>
                <w:bCs/>
              </w:rPr>
              <w:t>23</w:t>
            </w:r>
            <w:r>
              <w:rPr>
                <w:b w:val="0"/>
                <w:bCs/>
              </w:rPr>
              <w:t>)。</w:t>
            </w:r>
          </w:p>
        </w:tc>
      </w:tr>
      <w:tr w14:paraId="20AB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174" w:type="dxa"/>
            <w:vAlign w:val="center"/>
          </w:tcPr>
          <w:p w14:paraId="114B84FD">
            <w:pPr>
              <w:pStyle w:val="25"/>
              <w:spacing w:line="240" w:lineRule="auto"/>
              <w:rPr>
                <w:b w:val="0"/>
                <w:bCs/>
              </w:rPr>
            </w:pPr>
            <w:r>
              <w:rPr>
                <w:rFonts w:hint="eastAsia"/>
                <w:b w:val="0"/>
                <w:bCs/>
              </w:rPr>
              <w:t>电磁环境</w:t>
            </w:r>
          </w:p>
        </w:tc>
        <w:tc>
          <w:tcPr>
            <w:tcW w:w="3756" w:type="dxa"/>
            <w:vAlign w:val="center"/>
          </w:tcPr>
          <w:p w14:paraId="7DDF4B61">
            <w:pPr>
              <w:pStyle w:val="25"/>
              <w:spacing w:line="240" w:lineRule="auto"/>
              <w:rPr>
                <w:b w:val="0"/>
                <w:bCs/>
              </w:rPr>
            </w:pPr>
            <w:r>
              <w:rPr>
                <w:rFonts w:hint="eastAsia"/>
                <w:b w:val="0"/>
                <w:bCs/>
              </w:rPr>
              <w:t>/</w:t>
            </w:r>
          </w:p>
        </w:tc>
        <w:tc>
          <w:tcPr>
            <w:tcW w:w="1237" w:type="dxa"/>
            <w:vAlign w:val="center"/>
          </w:tcPr>
          <w:p w14:paraId="1E1CDB10">
            <w:pPr>
              <w:pStyle w:val="25"/>
              <w:spacing w:line="240" w:lineRule="auto"/>
              <w:rPr>
                <w:b w:val="0"/>
                <w:bCs/>
              </w:rPr>
            </w:pPr>
            <w:r>
              <w:rPr>
                <w:rFonts w:hint="eastAsia"/>
                <w:b w:val="0"/>
                <w:bCs/>
              </w:rPr>
              <w:t>/</w:t>
            </w:r>
          </w:p>
        </w:tc>
        <w:tc>
          <w:tcPr>
            <w:tcW w:w="1672" w:type="dxa"/>
            <w:vAlign w:val="center"/>
          </w:tcPr>
          <w:p w14:paraId="4DF78C92">
            <w:pPr>
              <w:pStyle w:val="25"/>
              <w:spacing w:line="240" w:lineRule="auto"/>
              <w:rPr>
                <w:b w:val="0"/>
                <w:bCs/>
              </w:rPr>
            </w:pPr>
            <w:r>
              <w:rPr>
                <w:rFonts w:hint="eastAsia"/>
                <w:b w:val="0"/>
                <w:bCs/>
              </w:rPr>
              <w:t>/</w:t>
            </w:r>
          </w:p>
        </w:tc>
        <w:tc>
          <w:tcPr>
            <w:tcW w:w="1186" w:type="dxa"/>
            <w:vAlign w:val="center"/>
          </w:tcPr>
          <w:p w14:paraId="20AEC791">
            <w:pPr>
              <w:pStyle w:val="25"/>
              <w:spacing w:line="240" w:lineRule="auto"/>
              <w:rPr>
                <w:b w:val="0"/>
                <w:bCs/>
              </w:rPr>
            </w:pPr>
            <w:r>
              <w:rPr>
                <w:rFonts w:hint="eastAsia"/>
                <w:b w:val="0"/>
                <w:bCs/>
              </w:rPr>
              <w:t>/</w:t>
            </w:r>
          </w:p>
        </w:tc>
      </w:tr>
      <w:tr w14:paraId="134C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1174" w:type="dxa"/>
            <w:vAlign w:val="center"/>
          </w:tcPr>
          <w:p w14:paraId="4BBC458C">
            <w:pPr>
              <w:pStyle w:val="25"/>
              <w:spacing w:line="240" w:lineRule="auto"/>
              <w:rPr>
                <w:b w:val="0"/>
                <w:bCs/>
              </w:rPr>
            </w:pPr>
            <w:r>
              <w:rPr>
                <w:rFonts w:hint="eastAsia"/>
                <w:b w:val="0"/>
                <w:bCs/>
              </w:rPr>
              <w:t>环境风险</w:t>
            </w:r>
          </w:p>
        </w:tc>
        <w:tc>
          <w:tcPr>
            <w:tcW w:w="3756" w:type="dxa"/>
            <w:vAlign w:val="center"/>
          </w:tcPr>
          <w:p w14:paraId="374DB113">
            <w:pPr>
              <w:pStyle w:val="25"/>
              <w:spacing w:line="240" w:lineRule="auto"/>
              <w:rPr>
                <w:b w:val="0"/>
                <w:bCs/>
              </w:rPr>
            </w:pPr>
            <w:r>
              <w:rPr>
                <w:rFonts w:hint="eastAsia"/>
                <w:b w:val="0"/>
                <w:bCs/>
              </w:rPr>
              <w:t>/</w:t>
            </w:r>
          </w:p>
        </w:tc>
        <w:tc>
          <w:tcPr>
            <w:tcW w:w="1237" w:type="dxa"/>
            <w:vAlign w:val="center"/>
          </w:tcPr>
          <w:p w14:paraId="3D15B377">
            <w:pPr>
              <w:pStyle w:val="25"/>
              <w:spacing w:line="240" w:lineRule="auto"/>
              <w:rPr>
                <w:b w:val="0"/>
                <w:bCs/>
              </w:rPr>
            </w:pPr>
            <w:r>
              <w:rPr>
                <w:rFonts w:hint="eastAsia"/>
                <w:b w:val="0"/>
                <w:bCs/>
              </w:rPr>
              <w:t>/</w:t>
            </w:r>
          </w:p>
        </w:tc>
        <w:tc>
          <w:tcPr>
            <w:tcW w:w="1672" w:type="dxa"/>
            <w:vAlign w:val="center"/>
          </w:tcPr>
          <w:p w14:paraId="37928E0E">
            <w:pPr>
              <w:pStyle w:val="25"/>
              <w:spacing w:line="240" w:lineRule="auto"/>
              <w:rPr>
                <w:b w:val="0"/>
                <w:bCs/>
              </w:rPr>
            </w:pPr>
            <w:r>
              <w:rPr>
                <w:rFonts w:hint="eastAsia"/>
                <w:b w:val="0"/>
                <w:bCs/>
              </w:rPr>
              <w:t>/</w:t>
            </w:r>
          </w:p>
        </w:tc>
        <w:tc>
          <w:tcPr>
            <w:tcW w:w="1186" w:type="dxa"/>
            <w:vAlign w:val="center"/>
          </w:tcPr>
          <w:p w14:paraId="1F0F2468">
            <w:pPr>
              <w:pStyle w:val="25"/>
              <w:spacing w:line="240" w:lineRule="auto"/>
              <w:rPr>
                <w:b w:val="0"/>
                <w:bCs/>
              </w:rPr>
            </w:pPr>
            <w:r>
              <w:rPr>
                <w:rFonts w:hint="eastAsia"/>
                <w:b w:val="0"/>
                <w:bCs/>
              </w:rPr>
              <w:t>/</w:t>
            </w:r>
          </w:p>
        </w:tc>
      </w:tr>
      <w:tr w14:paraId="0C4A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174" w:type="dxa"/>
            <w:vAlign w:val="center"/>
          </w:tcPr>
          <w:p w14:paraId="344A560F">
            <w:pPr>
              <w:pStyle w:val="25"/>
              <w:spacing w:line="240" w:lineRule="auto"/>
              <w:rPr>
                <w:b w:val="0"/>
                <w:bCs/>
              </w:rPr>
            </w:pPr>
            <w:r>
              <w:rPr>
                <w:rFonts w:hint="eastAsia"/>
                <w:b w:val="0"/>
                <w:bCs/>
              </w:rPr>
              <w:t>环境监测</w:t>
            </w:r>
          </w:p>
        </w:tc>
        <w:tc>
          <w:tcPr>
            <w:tcW w:w="3756" w:type="dxa"/>
            <w:vAlign w:val="center"/>
          </w:tcPr>
          <w:p w14:paraId="05BD654B">
            <w:pPr>
              <w:pStyle w:val="25"/>
              <w:spacing w:line="240" w:lineRule="auto"/>
              <w:rPr>
                <w:b w:val="0"/>
                <w:bCs/>
              </w:rPr>
            </w:pPr>
            <w:r>
              <w:rPr>
                <w:rFonts w:hint="eastAsia"/>
                <w:b w:val="0"/>
                <w:bCs/>
              </w:rPr>
              <w:t>水土保持监测</w:t>
            </w:r>
          </w:p>
        </w:tc>
        <w:tc>
          <w:tcPr>
            <w:tcW w:w="1237" w:type="dxa"/>
            <w:vAlign w:val="center"/>
          </w:tcPr>
          <w:p w14:paraId="11B25C05">
            <w:pPr>
              <w:pStyle w:val="25"/>
              <w:spacing w:line="240" w:lineRule="auto"/>
              <w:rPr>
                <w:b w:val="0"/>
                <w:bCs/>
              </w:rPr>
            </w:pPr>
            <w:r>
              <w:rPr>
                <w:rFonts w:hint="eastAsia"/>
                <w:b w:val="0"/>
                <w:bCs/>
              </w:rPr>
              <w:t>落实相关监测技术规范要求</w:t>
            </w:r>
          </w:p>
        </w:tc>
        <w:tc>
          <w:tcPr>
            <w:tcW w:w="1672" w:type="dxa"/>
            <w:vAlign w:val="center"/>
          </w:tcPr>
          <w:p w14:paraId="1F69AEEC">
            <w:pPr>
              <w:pStyle w:val="25"/>
              <w:spacing w:line="240" w:lineRule="auto"/>
              <w:jc w:val="both"/>
              <w:rPr>
                <w:rFonts w:hint="eastAsia"/>
                <w:b w:val="0"/>
                <w:bCs/>
                <w:lang w:eastAsia="zh-CN"/>
              </w:rPr>
            </w:pPr>
            <w:r>
              <w:rPr>
                <w:rFonts w:hint="eastAsia"/>
                <w:b w:val="0"/>
                <w:bCs/>
                <w:lang w:eastAsia="zh-CN"/>
              </w:rPr>
              <w:t>大气：有组织在排放筒（</w:t>
            </w:r>
            <w:r>
              <w:rPr>
                <w:rFonts w:hint="eastAsia"/>
                <w:b w:val="0"/>
                <w:bCs/>
                <w:lang w:val="en-US" w:eastAsia="zh-CN"/>
              </w:rPr>
              <w:t>DA001</w:t>
            </w:r>
            <w:r>
              <w:rPr>
                <w:rFonts w:hint="eastAsia"/>
                <w:b w:val="0"/>
                <w:bCs/>
                <w:lang w:eastAsia="zh-CN"/>
              </w:rPr>
              <w:t>）出口，每年监测一次颗粒物，无组织在厂界上风向</w:t>
            </w:r>
            <w:r>
              <w:rPr>
                <w:rFonts w:hint="eastAsia"/>
                <w:b w:val="0"/>
                <w:bCs/>
                <w:lang w:val="en-US" w:eastAsia="zh-CN"/>
              </w:rPr>
              <w:t>1个，下风向3个，监测颗粒物；</w:t>
            </w:r>
          </w:p>
          <w:p w14:paraId="45AF2C0B">
            <w:pPr>
              <w:pStyle w:val="25"/>
              <w:spacing w:line="240" w:lineRule="auto"/>
              <w:jc w:val="both"/>
              <w:rPr>
                <w:rFonts w:hint="eastAsia"/>
                <w:lang w:eastAsia="zh-CN"/>
              </w:rPr>
            </w:pPr>
            <w:r>
              <w:rPr>
                <w:rFonts w:hint="eastAsia"/>
                <w:b w:val="0"/>
                <w:bCs/>
                <w:lang w:eastAsia="zh-CN"/>
              </w:rPr>
              <w:t>噪声：每季度在厂界监测一次</w:t>
            </w:r>
          </w:p>
        </w:tc>
        <w:tc>
          <w:tcPr>
            <w:tcW w:w="1186" w:type="dxa"/>
            <w:vAlign w:val="center"/>
          </w:tcPr>
          <w:p w14:paraId="0FF91740">
            <w:pPr>
              <w:pStyle w:val="25"/>
              <w:spacing w:line="240" w:lineRule="auto"/>
              <w:jc w:val="both"/>
              <w:rPr>
                <w:rFonts w:hint="eastAsia"/>
                <w:b w:val="0"/>
                <w:bCs/>
                <w:lang w:eastAsia="zh-CN"/>
              </w:rPr>
            </w:pPr>
            <w:r>
              <w:rPr>
                <w:rFonts w:hint="eastAsia"/>
                <w:b w:val="0"/>
                <w:bCs/>
                <w:lang w:eastAsia="zh-CN"/>
              </w:rPr>
              <w:t>大气：</w:t>
            </w:r>
            <w:r>
              <w:rPr>
                <w:rFonts w:hint="eastAsia"/>
                <w:b w:val="0"/>
                <w:bCs/>
              </w:rPr>
              <w:t>《大气污染物综合排放标准》（G</w:t>
            </w:r>
            <w:r>
              <w:rPr>
                <w:b w:val="0"/>
                <w:bCs/>
              </w:rPr>
              <w:t>B16297</w:t>
            </w:r>
            <w:r>
              <w:rPr>
                <w:rFonts w:hint="eastAsia"/>
                <w:b w:val="0"/>
                <w:bCs/>
              </w:rPr>
              <w:t>-</w:t>
            </w:r>
            <w:r>
              <w:rPr>
                <w:b w:val="0"/>
                <w:bCs/>
              </w:rPr>
              <w:t>1996</w:t>
            </w:r>
            <w:r>
              <w:rPr>
                <w:rFonts w:hint="eastAsia"/>
                <w:b w:val="0"/>
                <w:bCs/>
              </w:rPr>
              <w:t>）表2标准限制</w:t>
            </w:r>
            <w:r>
              <w:rPr>
                <w:rFonts w:hint="eastAsia"/>
                <w:b w:val="0"/>
                <w:bCs/>
                <w:lang w:eastAsia="zh-CN"/>
              </w:rPr>
              <w:t>；</w:t>
            </w:r>
          </w:p>
          <w:p w14:paraId="08844BDE">
            <w:pPr>
              <w:spacing w:line="240" w:lineRule="auto"/>
              <w:ind w:left="0" w:leftChars="0" w:firstLine="0" w:firstLineChars="0"/>
              <w:jc w:val="both"/>
              <w:rPr>
                <w:rFonts w:hint="eastAsia"/>
                <w:lang w:eastAsia="zh-CN"/>
              </w:rPr>
            </w:pPr>
            <w:r>
              <w:rPr>
                <w:rFonts w:hint="eastAsia" w:ascii="Times New Roman" w:hAnsi="Times New Roman" w:eastAsia="宋体" w:cstheme="minorBidi"/>
                <w:b w:val="0"/>
                <w:bCs/>
                <w:kern w:val="44"/>
                <w:sz w:val="21"/>
                <w:szCs w:val="24"/>
                <w:lang w:val="en-US" w:eastAsia="zh-CN" w:bidi="ar-SA"/>
              </w:rPr>
              <w:t>噪声：《工业企业厂界环境噪声排放标准》（GB12348-2008）2类标准限值</w:t>
            </w:r>
          </w:p>
        </w:tc>
      </w:tr>
      <w:tr w14:paraId="0878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174" w:type="dxa"/>
            <w:vAlign w:val="center"/>
          </w:tcPr>
          <w:p w14:paraId="3D771C36">
            <w:pPr>
              <w:pStyle w:val="25"/>
              <w:spacing w:line="240" w:lineRule="auto"/>
              <w:rPr>
                <w:b w:val="0"/>
                <w:bCs/>
              </w:rPr>
            </w:pPr>
            <w:r>
              <w:rPr>
                <w:rFonts w:hint="eastAsia"/>
                <w:b w:val="0"/>
                <w:bCs/>
              </w:rPr>
              <w:t>其他</w:t>
            </w:r>
          </w:p>
        </w:tc>
        <w:tc>
          <w:tcPr>
            <w:tcW w:w="3756" w:type="dxa"/>
            <w:vAlign w:val="center"/>
          </w:tcPr>
          <w:p w14:paraId="2E5CC9A3">
            <w:pPr>
              <w:pStyle w:val="25"/>
              <w:spacing w:line="240" w:lineRule="auto"/>
              <w:rPr>
                <w:b w:val="0"/>
                <w:bCs/>
              </w:rPr>
            </w:pPr>
            <w:r>
              <w:rPr>
                <w:rFonts w:hint="eastAsia"/>
                <w:b w:val="0"/>
                <w:bCs/>
              </w:rPr>
              <w:t>/</w:t>
            </w:r>
          </w:p>
        </w:tc>
        <w:tc>
          <w:tcPr>
            <w:tcW w:w="1237" w:type="dxa"/>
            <w:vAlign w:val="center"/>
          </w:tcPr>
          <w:p w14:paraId="764BAFCA">
            <w:pPr>
              <w:pStyle w:val="25"/>
              <w:spacing w:line="240" w:lineRule="auto"/>
              <w:rPr>
                <w:b w:val="0"/>
                <w:bCs/>
              </w:rPr>
            </w:pPr>
            <w:r>
              <w:rPr>
                <w:rFonts w:hint="eastAsia"/>
                <w:b w:val="0"/>
                <w:bCs/>
              </w:rPr>
              <w:t>/</w:t>
            </w:r>
          </w:p>
        </w:tc>
        <w:tc>
          <w:tcPr>
            <w:tcW w:w="1672" w:type="dxa"/>
            <w:vAlign w:val="center"/>
          </w:tcPr>
          <w:p w14:paraId="28F1BE00">
            <w:pPr>
              <w:pStyle w:val="25"/>
              <w:spacing w:line="240" w:lineRule="auto"/>
              <w:rPr>
                <w:b w:val="0"/>
                <w:bCs/>
              </w:rPr>
            </w:pPr>
            <w:r>
              <w:rPr>
                <w:rFonts w:hint="eastAsia"/>
                <w:b w:val="0"/>
                <w:bCs/>
              </w:rPr>
              <w:t>/</w:t>
            </w:r>
          </w:p>
        </w:tc>
        <w:tc>
          <w:tcPr>
            <w:tcW w:w="1186" w:type="dxa"/>
            <w:vAlign w:val="center"/>
          </w:tcPr>
          <w:p w14:paraId="314D3EDE">
            <w:pPr>
              <w:pStyle w:val="25"/>
              <w:spacing w:line="240" w:lineRule="auto"/>
              <w:rPr>
                <w:b w:val="0"/>
                <w:bCs/>
              </w:rPr>
            </w:pPr>
            <w:r>
              <w:rPr>
                <w:rFonts w:hint="eastAsia"/>
                <w:b w:val="0"/>
                <w:bCs/>
              </w:rPr>
              <w:t>/</w:t>
            </w:r>
          </w:p>
        </w:tc>
      </w:tr>
    </w:tbl>
    <w:p w14:paraId="3FF05AF2">
      <w:pPr>
        <w:ind w:firstLine="480"/>
      </w:pPr>
      <w:r>
        <w:rPr>
          <w:rFonts w:hint="eastAsia"/>
        </w:rPr>
        <w:br w:type="page"/>
      </w:r>
    </w:p>
    <w:p w14:paraId="1141E939">
      <w:pPr>
        <w:pStyle w:val="2"/>
        <w:numPr>
          <w:ilvl w:val="0"/>
          <w:numId w:val="0"/>
        </w:numPr>
        <w:jc w:val="center"/>
      </w:pPr>
      <w:r>
        <w:rPr>
          <w:rFonts w:hint="eastAsia" w:ascii="Times New Roman" w:hAnsi="Times New Roman" w:eastAsia="宋体" w:cstheme="minorBidi"/>
          <w:b/>
          <w:kern w:val="44"/>
          <w:sz w:val="30"/>
          <w:szCs w:val="24"/>
          <w:lang w:val="en-US" w:eastAsia="zh-CN" w:bidi="ar-SA"/>
        </w:rPr>
        <w:t>七、</w:t>
      </w:r>
      <w:r>
        <w:rPr>
          <w:rFonts w:hint="eastAsia"/>
        </w:rPr>
        <w:t>结论</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0"/>
      </w:tblGrid>
      <w:tr w14:paraId="23FA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8" w:hRule="atLeast"/>
        </w:trPr>
        <w:tc>
          <w:tcPr>
            <w:tcW w:w="8480" w:type="dxa"/>
          </w:tcPr>
          <w:p w14:paraId="16EBE41F">
            <w:pPr>
              <w:ind w:firstLine="480"/>
            </w:pPr>
            <w:r>
              <w:rPr>
                <w:rFonts w:hint="eastAsia"/>
              </w:rPr>
              <w:t>本项目建设满足“三线一单”要求，施工期落实本评价提出的污染防治措施和生态保护措施，认真履行“三同时”制度后，各项污染物均可实现达标排放，生态影响在可接受范围内。本项目建成后不会降低评价区域原有生态环境质量功能级别，可以实现其经济效益、社会效益和环境效益的协调发展。因而从环境保护的角度而言，该项目是可行的。</w:t>
            </w:r>
          </w:p>
        </w:tc>
      </w:tr>
    </w:tbl>
    <w:p w14:paraId="45067759">
      <w:pPr>
        <w:ind w:firstLine="480"/>
        <w:sectPr>
          <w:footerReference r:id="rId11" w:type="default"/>
          <w:pgSz w:w="11906" w:h="16838"/>
          <w:pgMar w:top="1440" w:right="1800" w:bottom="1440" w:left="1800" w:header="851" w:footer="992" w:gutter="0"/>
          <w:pgNumType w:fmt="decimal" w:start="1"/>
          <w:cols w:space="425" w:num="1"/>
          <w:docGrid w:type="lines" w:linePitch="312" w:charSpace="0"/>
        </w:sectPr>
      </w:pPr>
    </w:p>
    <w:p w14:paraId="7E287981">
      <w:pPr>
        <w:pStyle w:val="5"/>
        <w:ind w:left="0" w:leftChars="0" w:firstLine="0" w:firstLineChars="0"/>
        <w:rPr>
          <w:rFonts w:hint="eastAsia"/>
          <w:sz w:val="24"/>
          <w:szCs w:val="22"/>
          <w:lang w:eastAsia="zh-CN"/>
        </w:rPr>
      </w:pPr>
      <w:r>
        <w:drawing>
          <wp:anchor distT="0" distB="0" distL="114300" distR="114300" simplePos="0" relativeHeight="251670528" behindDoc="0" locked="0" layoutInCell="1" allowOverlap="1">
            <wp:simplePos x="0" y="0"/>
            <wp:positionH relativeFrom="column">
              <wp:posOffset>526415</wp:posOffset>
            </wp:positionH>
            <wp:positionV relativeFrom="paragraph">
              <wp:posOffset>466090</wp:posOffset>
            </wp:positionV>
            <wp:extent cx="4434840" cy="6452235"/>
            <wp:effectExtent l="0" t="0" r="0" b="9525"/>
            <wp:wrapTopAndBottom/>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5"/>
                    <a:stretch>
                      <a:fillRect/>
                    </a:stretch>
                  </pic:blipFill>
                  <pic:spPr>
                    <a:xfrm>
                      <a:off x="0" y="0"/>
                      <a:ext cx="4434840" cy="6452235"/>
                    </a:xfrm>
                    <a:prstGeom prst="rect">
                      <a:avLst/>
                    </a:prstGeom>
                    <a:noFill/>
                    <a:ln>
                      <a:noFill/>
                    </a:ln>
                  </pic:spPr>
                </pic:pic>
              </a:graphicData>
            </a:graphic>
          </wp:anchor>
        </w:drawing>
      </w:r>
      <w:r>
        <w:rPr>
          <w:rFonts w:hint="eastAsia"/>
          <w:sz w:val="24"/>
          <w:szCs w:val="22"/>
          <w:lang w:eastAsia="zh-CN"/>
        </w:rPr>
        <w:t>地理位置图</w:t>
      </w:r>
    </w:p>
    <w:p w14:paraId="5E61CECD">
      <w:pPr>
        <w:rPr>
          <w:rFonts w:hint="eastAsia"/>
          <w:lang w:eastAsia="zh-CN"/>
        </w:rPr>
        <w:sectPr>
          <w:footerReference r:id="rId12" w:type="default"/>
          <w:pgSz w:w="11906" w:h="16838"/>
          <w:pgMar w:top="1440" w:right="1800" w:bottom="1440" w:left="1800" w:header="851" w:footer="992" w:gutter="0"/>
          <w:pgNumType w:fmt="decimal"/>
          <w:cols w:space="425" w:num="1"/>
          <w:docGrid w:type="lines" w:linePitch="312" w:charSpace="0"/>
        </w:sectPr>
      </w:pPr>
      <w:r>
        <w:rPr>
          <w:rFonts w:hint="eastAsia"/>
          <w:sz w:val="24"/>
          <w:szCs w:val="22"/>
          <w:lang w:eastAsia="zh-CN"/>
        </w:rPr>
        <w:drawing>
          <wp:anchor distT="0" distB="0" distL="114300" distR="114300" simplePos="0" relativeHeight="251660288" behindDoc="0" locked="0" layoutInCell="1" allowOverlap="1">
            <wp:simplePos x="0" y="0"/>
            <wp:positionH relativeFrom="column">
              <wp:posOffset>7429500</wp:posOffset>
            </wp:positionH>
            <wp:positionV relativeFrom="paragraph">
              <wp:posOffset>111760</wp:posOffset>
            </wp:positionV>
            <wp:extent cx="381000" cy="525780"/>
            <wp:effectExtent l="0" t="0" r="0" b="7620"/>
            <wp:wrapNone/>
            <wp:docPr id="1" name="图片 1"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指北针"/>
                    <pic:cNvPicPr>
                      <a:picLocks noChangeAspect="1"/>
                    </pic:cNvPicPr>
                  </pic:nvPicPr>
                  <pic:blipFill>
                    <a:blip r:embed="rId36"/>
                    <a:stretch>
                      <a:fillRect/>
                    </a:stretch>
                  </pic:blipFill>
                  <pic:spPr>
                    <a:xfrm>
                      <a:off x="0" y="0"/>
                      <a:ext cx="381000" cy="525780"/>
                    </a:xfrm>
                    <a:prstGeom prst="rect">
                      <a:avLst/>
                    </a:prstGeom>
                  </pic:spPr>
                </pic:pic>
              </a:graphicData>
            </a:graphic>
          </wp:anchor>
        </w:drawing>
      </w:r>
    </w:p>
    <w:p w14:paraId="06F5B742">
      <w:pPr>
        <w:pStyle w:val="5"/>
        <w:ind w:left="0" w:leftChars="0" w:firstLine="0" w:firstLineChars="0"/>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r>
        <w:rPr>
          <w:rFonts w:hint="eastAsia"/>
          <w:sz w:val="24"/>
          <w:szCs w:val="22"/>
          <w:lang w:eastAsia="zh-CN"/>
        </w:rPr>
        <w:drawing>
          <wp:anchor distT="0" distB="0" distL="114300" distR="114300" simplePos="0" relativeHeight="251661312" behindDoc="0" locked="0" layoutInCell="1" allowOverlap="1">
            <wp:simplePos x="0" y="0"/>
            <wp:positionH relativeFrom="column">
              <wp:posOffset>4798060</wp:posOffset>
            </wp:positionH>
            <wp:positionV relativeFrom="paragraph">
              <wp:posOffset>603250</wp:posOffset>
            </wp:positionV>
            <wp:extent cx="381000" cy="525780"/>
            <wp:effectExtent l="0" t="0" r="0" b="7620"/>
            <wp:wrapNone/>
            <wp:docPr id="19" name="图片 1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指北针"/>
                    <pic:cNvPicPr>
                      <a:picLocks noChangeAspect="1"/>
                    </pic:cNvPicPr>
                  </pic:nvPicPr>
                  <pic:blipFill>
                    <a:blip r:embed="rId36"/>
                    <a:stretch>
                      <a:fillRect/>
                    </a:stretch>
                  </pic:blipFill>
                  <pic:spPr>
                    <a:xfrm>
                      <a:off x="0" y="0"/>
                      <a:ext cx="381000" cy="525780"/>
                    </a:xfrm>
                    <a:prstGeom prst="rect">
                      <a:avLst/>
                    </a:prstGeom>
                  </pic:spPr>
                </pic:pic>
              </a:graphicData>
            </a:graphic>
          </wp:anchor>
        </w:drawing>
      </w:r>
      <w:r>
        <w:rPr>
          <w:rFonts w:hint="eastAsia"/>
          <w:sz w:val="24"/>
          <w:szCs w:val="22"/>
          <w:lang w:eastAsia="zh-CN"/>
        </w:rPr>
        <w:drawing>
          <wp:anchor distT="0" distB="0" distL="114300" distR="114300" simplePos="0" relativeHeight="251670528" behindDoc="1" locked="0" layoutInCell="1" allowOverlap="1">
            <wp:simplePos x="0" y="0"/>
            <wp:positionH relativeFrom="column">
              <wp:posOffset>151765</wp:posOffset>
            </wp:positionH>
            <wp:positionV relativeFrom="paragraph">
              <wp:posOffset>382270</wp:posOffset>
            </wp:positionV>
            <wp:extent cx="5146675" cy="7200900"/>
            <wp:effectExtent l="0" t="0" r="4445" b="7620"/>
            <wp:wrapNone/>
            <wp:docPr id="29" name="图片 29" descr="创业(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创业(CJ)"/>
                    <pic:cNvPicPr>
                      <a:picLocks noChangeAspect="1"/>
                    </pic:cNvPicPr>
                  </pic:nvPicPr>
                  <pic:blipFill>
                    <a:blip r:embed="rId37"/>
                    <a:stretch>
                      <a:fillRect/>
                    </a:stretch>
                  </pic:blipFill>
                  <pic:spPr>
                    <a:xfrm>
                      <a:off x="0" y="0"/>
                      <a:ext cx="5146675" cy="7200900"/>
                    </a:xfrm>
                    <a:prstGeom prst="rect">
                      <a:avLst/>
                    </a:prstGeom>
                  </pic:spPr>
                </pic:pic>
              </a:graphicData>
            </a:graphic>
          </wp:anchor>
        </w:drawing>
      </w:r>
      <w:r>
        <w:rPr>
          <w:rFonts w:hint="eastAsia"/>
          <w:sz w:val="24"/>
          <w:szCs w:val="22"/>
          <w:lang w:eastAsia="zh-CN"/>
        </w:rPr>
        <w:t>平面布置图</w:t>
      </w:r>
    </w:p>
    <w:p w14:paraId="12ADE7DB">
      <w:pPr>
        <w:pStyle w:val="5"/>
        <w:ind w:left="0" w:leftChars="0" w:firstLine="0" w:firstLineChars="0"/>
        <w:rPr>
          <w:rFonts w:hint="eastAsia"/>
          <w:sz w:val="24"/>
          <w:szCs w:val="22"/>
          <w:lang w:eastAsia="zh-CN"/>
        </w:rPr>
      </w:pPr>
      <w:r>
        <w:rPr>
          <w:rFonts w:hint="eastAsia"/>
          <w:sz w:val="24"/>
          <w:szCs w:val="22"/>
          <w:lang w:eastAsia="zh-CN"/>
        </w:rPr>
        <w:t>土壤类型分布图</w:t>
      </w:r>
    </w:p>
    <w:p w14:paraId="5AAB7A4F">
      <w:pPr>
        <w:bidi w:val="0"/>
      </w:pPr>
      <w:r>
        <w:rPr>
          <w:rFonts w:hint="eastAsia" w:ascii="宋体" w:hAnsi="宋体" w:eastAsia="宋体" w:cs="宋体"/>
          <w:bCs/>
          <w:i w:val="0"/>
          <w:iCs w:val="0"/>
          <w:kern w:val="2"/>
          <w:sz w:val="24"/>
          <w:szCs w:val="24"/>
          <w:lang w:val="en-US" w:eastAsia="zh-CN" w:bidi="ar-SA"/>
        </w:rPr>
        <w:drawing>
          <wp:anchor distT="0" distB="0" distL="114300" distR="114300" simplePos="0" relativeHeight="251671552" behindDoc="0" locked="0" layoutInCell="1" allowOverlap="1">
            <wp:simplePos x="0" y="0"/>
            <wp:positionH relativeFrom="column">
              <wp:posOffset>422275</wp:posOffset>
            </wp:positionH>
            <wp:positionV relativeFrom="paragraph">
              <wp:posOffset>286385</wp:posOffset>
            </wp:positionV>
            <wp:extent cx="4545965" cy="6146165"/>
            <wp:effectExtent l="0" t="0" r="10795" b="10795"/>
            <wp:wrapTopAndBottom/>
            <wp:docPr id="31" name="图片 31" descr="cb5962df4437a4985cd0e78071d0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b5962df4437a4985cd0e78071d0f51"/>
                    <pic:cNvPicPr>
                      <a:picLocks noChangeAspect="1"/>
                    </pic:cNvPicPr>
                  </pic:nvPicPr>
                  <pic:blipFill>
                    <a:blip r:embed="rId38"/>
                    <a:stretch>
                      <a:fillRect/>
                    </a:stretch>
                  </pic:blipFill>
                  <pic:spPr>
                    <a:xfrm>
                      <a:off x="0" y="0"/>
                      <a:ext cx="4545965" cy="6146165"/>
                    </a:xfrm>
                    <a:prstGeom prst="rect">
                      <a:avLst/>
                    </a:prstGeom>
                  </pic:spPr>
                </pic:pic>
              </a:graphicData>
            </a:graphic>
          </wp:anchor>
        </w:drawing>
      </w:r>
    </w:p>
    <w:p w14:paraId="3BD54697">
      <w:pPr>
        <w:bidi w:val="0"/>
        <w:sectPr>
          <w:pgSz w:w="11906" w:h="16838"/>
          <w:pgMar w:top="1440" w:right="1800" w:bottom="1440" w:left="1800" w:header="851" w:footer="992" w:gutter="0"/>
          <w:pgNumType w:fmt="decimal"/>
          <w:cols w:space="425" w:num="1"/>
          <w:docGrid w:type="lines" w:linePitch="312" w:charSpace="0"/>
        </w:sectPr>
      </w:pPr>
    </w:p>
    <w:p w14:paraId="68129E9D">
      <w:pPr>
        <w:pStyle w:val="5"/>
        <w:ind w:left="0" w:leftChars="0" w:firstLine="0" w:firstLineChars="0"/>
        <w:rPr>
          <w:rFonts w:hint="eastAsia"/>
          <w:sz w:val="24"/>
          <w:szCs w:val="22"/>
          <w:lang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sz w:val="24"/>
          <w:szCs w:val="22"/>
          <w:lang w:val="en-US" w:eastAsia="zh-CN"/>
        </w:rPr>
        <w:drawing>
          <wp:anchor distT="0" distB="0" distL="114300" distR="114300" simplePos="0" relativeHeight="251672576" behindDoc="0" locked="0" layoutInCell="1" allowOverlap="1">
            <wp:simplePos x="0" y="0"/>
            <wp:positionH relativeFrom="column">
              <wp:posOffset>429895</wp:posOffset>
            </wp:positionH>
            <wp:positionV relativeFrom="paragraph">
              <wp:posOffset>487045</wp:posOffset>
            </wp:positionV>
            <wp:extent cx="7021195" cy="3916680"/>
            <wp:effectExtent l="0" t="0" r="4445" b="0"/>
            <wp:wrapTopAndBottom/>
            <wp:docPr id="32" name="图片 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
                    <pic:cNvPicPr>
                      <a:picLocks noChangeAspect="1"/>
                    </pic:cNvPicPr>
                  </pic:nvPicPr>
                  <pic:blipFill>
                    <a:blip r:embed="rId39"/>
                    <a:stretch>
                      <a:fillRect/>
                    </a:stretch>
                  </pic:blipFill>
                  <pic:spPr>
                    <a:xfrm>
                      <a:off x="0" y="0"/>
                      <a:ext cx="7021195" cy="3916680"/>
                    </a:xfrm>
                    <a:prstGeom prst="rect">
                      <a:avLst/>
                    </a:prstGeom>
                  </pic:spPr>
                </pic:pic>
              </a:graphicData>
            </a:graphic>
          </wp:anchor>
        </w:drawing>
      </w:r>
      <w:r>
        <w:rPr>
          <w:rFonts w:hint="eastAsia"/>
          <w:sz w:val="24"/>
          <w:szCs w:val="22"/>
          <w:lang w:eastAsia="zh-CN"/>
        </w:rPr>
        <w:t>地形剖面图</w:t>
      </w:r>
    </w:p>
    <w:p w14:paraId="358B74EB">
      <w:pPr>
        <w:bidi w:val="0"/>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66877">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56527">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0815F">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33CFC">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4F81F">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334F81F">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2B5FE">
    <w:pPr>
      <w:pStyle w:val="1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0F53">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6CCC7">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27A9">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467363"/>
    <w:multiLevelType w:val="singleLevel"/>
    <w:tmpl w:val="99467363"/>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1">
    <w:nsid w:val="F4687CCB"/>
    <w:multiLevelType w:val="singleLevel"/>
    <w:tmpl w:val="F4687CCB"/>
    <w:lvl w:ilvl="0" w:tentative="0">
      <w:start w:val="1"/>
      <w:numFmt w:val="chineseCounting"/>
      <w:pStyle w:val="2"/>
      <w:suff w:val="nothing"/>
      <w:lvlText w:val="%1、"/>
      <w:lvlJc w:val="left"/>
      <w:pPr>
        <w:ind w:left="4320" w:firstLine="420"/>
      </w:pPr>
      <w:rPr>
        <w:rFonts w:hint="eastAsia"/>
      </w:rPr>
    </w:lvl>
  </w:abstractNum>
  <w:abstractNum w:abstractNumId="2">
    <w:nsid w:val="37CD2D62"/>
    <w:multiLevelType w:val="multilevel"/>
    <w:tmpl w:val="37CD2D62"/>
    <w:lvl w:ilvl="0" w:tentative="0">
      <w:start w:val="1"/>
      <w:numFmt w:val="decimal"/>
      <w:pStyle w:val="3"/>
      <w:suff w:val="space"/>
      <w:lvlText w:val="%1."/>
      <w:lvlJc w:val="left"/>
      <w:pPr>
        <w:tabs>
          <w:tab w:val="left" w:pos="0"/>
        </w:tabs>
        <w:ind w:left="0" w:firstLine="0"/>
      </w:pPr>
      <w:rPr>
        <w:rFonts w:hint="default" w:ascii="宋体" w:hAnsi="宋体" w:eastAsia="宋体" w:cs="宋体"/>
        <w:sz w:val="24"/>
      </w:rPr>
    </w:lvl>
    <w:lvl w:ilvl="1" w:tentative="0">
      <w:start w:val="1"/>
      <w:numFmt w:val="decimal"/>
      <w:pStyle w:val="4"/>
      <w:suff w:val="space"/>
      <w:lvlText w:val="%1.%2."/>
      <w:lvlJc w:val="left"/>
      <w:pPr>
        <w:tabs>
          <w:tab w:val="left" w:pos="0"/>
        </w:tabs>
        <w:ind w:left="0" w:firstLine="0"/>
      </w:pPr>
      <w:rPr>
        <w:rFonts w:hint="default" w:ascii="宋体" w:hAnsi="宋体" w:eastAsia="宋体" w:cs="宋体"/>
        <w:sz w:val="24"/>
      </w:rPr>
    </w:lvl>
    <w:lvl w:ilvl="2" w:tentative="0">
      <w:start w:val="1"/>
      <w:numFmt w:val="decimal"/>
      <w:suff w:val="space"/>
      <w:lvlText w:val="%1.%2.%3."/>
      <w:lvlJc w:val="left"/>
      <w:pPr>
        <w:tabs>
          <w:tab w:val="left" w:pos="0"/>
        </w:tabs>
        <w:ind w:left="0" w:firstLine="0"/>
      </w:pPr>
      <w:rPr>
        <w:rFonts w:hint="default" w:ascii="宋体" w:hAnsi="宋体" w:eastAsia="宋体" w:cs="宋体"/>
        <w:sz w:val="24"/>
      </w:rPr>
    </w:lvl>
    <w:lvl w:ilvl="3" w:tentative="0">
      <w:start w:val="1"/>
      <w:numFmt w:val="decimal"/>
      <w:lvlText w:val="%1.%2.%3.%4."/>
      <w:lvlJc w:val="left"/>
      <w:pPr>
        <w:tabs>
          <w:tab w:val="left" w:pos="420"/>
        </w:tabs>
        <w:ind w:left="0" w:firstLine="0"/>
      </w:pPr>
      <w:rPr>
        <w:rFonts w:hint="default" w:ascii="Times New Roman" w:hAnsi="Times New Roman" w:eastAsia="宋体" w:cs="Arial"/>
        <w:sz w:val="24"/>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mMjg3MDQ2MzExNDk0OWY5M2UwNzBmOWViMDBkMGMifQ=="/>
  </w:docVars>
  <w:rsids>
    <w:rsidRoot w:val="1D4D510F"/>
    <w:rsid w:val="00034553"/>
    <w:rsid w:val="000371AD"/>
    <w:rsid w:val="000B6E7E"/>
    <w:rsid w:val="001C4295"/>
    <w:rsid w:val="002B247F"/>
    <w:rsid w:val="00355CBC"/>
    <w:rsid w:val="00387CA6"/>
    <w:rsid w:val="004536E8"/>
    <w:rsid w:val="004C08CD"/>
    <w:rsid w:val="004F0388"/>
    <w:rsid w:val="00530216"/>
    <w:rsid w:val="005F59F3"/>
    <w:rsid w:val="006C77D7"/>
    <w:rsid w:val="007316CE"/>
    <w:rsid w:val="007427C6"/>
    <w:rsid w:val="00747646"/>
    <w:rsid w:val="0083034F"/>
    <w:rsid w:val="00853A9A"/>
    <w:rsid w:val="008734C0"/>
    <w:rsid w:val="00A91EA7"/>
    <w:rsid w:val="00B93A86"/>
    <w:rsid w:val="00D05117"/>
    <w:rsid w:val="00F654CB"/>
    <w:rsid w:val="01993D60"/>
    <w:rsid w:val="020B4F28"/>
    <w:rsid w:val="020F1E60"/>
    <w:rsid w:val="022B63FB"/>
    <w:rsid w:val="02DE7C7D"/>
    <w:rsid w:val="03E07A24"/>
    <w:rsid w:val="04141B3B"/>
    <w:rsid w:val="041F60D6"/>
    <w:rsid w:val="04786625"/>
    <w:rsid w:val="052878D5"/>
    <w:rsid w:val="06592FB9"/>
    <w:rsid w:val="06804F30"/>
    <w:rsid w:val="06C13B3D"/>
    <w:rsid w:val="078F6C01"/>
    <w:rsid w:val="07A27B30"/>
    <w:rsid w:val="07B40FAC"/>
    <w:rsid w:val="08AC6127"/>
    <w:rsid w:val="08B922C0"/>
    <w:rsid w:val="08D8516E"/>
    <w:rsid w:val="08DE298C"/>
    <w:rsid w:val="08FA50E4"/>
    <w:rsid w:val="091A5AFF"/>
    <w:rsid w:val="09750C0F"/>
    <w:rsid w:val="09EC6BE2"/>
    <w:rsid w:val="0A380BA6"/>
    <w:rsid w:val="0A59408D"/>
    <w:rsid w:val="0C166546"/>
    <w:rsid w:val="0C4D7C21"/>
    <w:rsid w:val="0CC04897"/>
    <w:rsid w:val="0DB22432"/>
    <w:rsid w:val="0E686F94"/>
    <w:rsid w:val="0F757C27"/>
    <w:rsid w:val="0FDD12BC"/>
    <w:rsid w:val="1109680C"/>
    <w:rsid w:val="114A2083"/>
    <w:rsid w:val="11A44FAA"/>
    <w:rsid w:val="11D76D51"/>
    <w:rsid w:val="11DE251A"/>
    <w:rsid w:val="12380A2C"/>
    <w:rsid w:val="123F7D8F"/>
    <w:rsid w:val="13863D22"/>
    <w:rsid w:val="1393060F"/>
    <w:rsid w:val="13CC3B21"/>
    <w:rsid w:val="14613F13"/>
    <w:rsid w:val="149951B7"/>
    <w:rsid w:val="14E770DA"/>
    <w:rsid w:val="15994DE8"/>
    <w:rsid w:val="161A6DC6"/>
    <w:rsid w:val="167069E6"/>
    <w:rsid w:val="16BC177A"/>
    <w:rsid w:val="16BC60CF"/>
    <w:rsid w:val="16E7156F"/>
    <w:rsid w:val="178D35C8"/>
    <w:rsid w:val="17A05C0A"/>
    <w:rsid w:val="17C4348D"/>
    <w:rsid w:val="181A42A2"/>
    <w:rsid w:val="18483F57"/>
    <w:rsid w:val="189E383E"/>
    <w:rsid w:val="19B968F6"/>
    <w:rsid w:val="19F56F8B"/>
    <w:rsid w:val="1A09162B"/>
    <w:rsid w:val="1A20638B"/>
    <w:rsid w:val="1A393593"/>
    <w:rsid w:val="1A4C1518"/>
    <w:rsid w:val="1A670100"/>
    <w:rsid w:val="1C774A8F"/>
    <w:rsid w:val="1CE43C8A"/>
    <w:rsid w:val="1D4D510F"/>
    <w:rsid w:val="1D70377E"/>
    <w:rsid w:val="1DE010FB"/>
    <w:rsid w:val="1E4C3260"/>
    <w:rsid w:val="1E7D7EF2"/>
    <w:rsid w:val="1ECE2198"/>
    <w:rsid w:val="1F5A0AF8"/>
    <w:rsid w:val="20125565"/>
    <w:rsid w:val="204A474C"/>
    <w:rsid w:val="205547C5"/>
    <w:rsid w:val="20671765"/>
    <w:rsid w:val="207A17F5"/>
    <w:rsid w:val="208A6CE1"/>
    <w:rsid w:val="222351CF"/>
    <w:rsid w:val="22EB365A"/>
    <w:rsid w:val="239857FE"/>
    <w:rsid w:val="23D2198E"/>
    <w:rsid w:val="24765A82"/>
    <w:rsid w:val="247F56FE"/>
    <w:rsid w:val="24A759DB"/>
    <w:rsid w:val="24D506FE"/>
    <w:rsid w:val="24D875FD"/>
    <w:rsid w:val="24E46F1D"/>
    <w:rsid w:val="252062D9"/>
    <w:rsid w:val="25270BB7"/>
    <w:rsid w:val="26263565"/>
    <w:rsid w:val="28A644E9"/>
    <w:rsid w:val="29D85AE2"/>
    <w:rsid w:val="2A1A0CEB"/>
    <w:rsid w:val="2A293624"/>
    <w:rsid w:val="2A9D36CA"/>
    <w:rsid w:val="2B910D93"/>
    <w:rsid w:val="2BD355F5"/>
    <w:rsid w:val="2BFE03C9"/>
    <w:rsid w:val="2CD45F89"/>
    <w:rsid w:val="2CD70A7D"/>
    <w:rsid w:val="2D9E5425"/>
    <w:rsid w:val="2DB91AE0"/>
    <w:rsid w:val="2DFC7CFE"/>
    <w:rsid w:val="2E0622F6"/>
    <w:rsid w:val="2E24038A"/>
    <w:rsid w:val="2E24482E"/>
    <w:rsid w:val="2E620EB2"/>
    <w:rsid w:val="2E743721"/>
    <w:rsid w:val="2E7B1F74"/>
    <w:rsid w:val="2E9C6A50"/>
    <w:rsid w:val="2EA43508"/>
    <w:rsid w:val="2F9B28CE"/>
    <w:rsid w:val="2FF67C20"/>
    <w:rsid w:val="305F1B4D"/>
    <w:rsid w:val="31F273F9"/>
    <w:rsid w:val="323B0398"/>
    <w:rsid w:val="326571C3"/>
    <w:rsid w:val="329864C4"/>
    <w:rsid w:val="32C6008A"/>
    <w:rsid w:val="337E22EA"/>
    <w:rsid w:val="33AE6187"/>
    <w:rsid w:val="33B95A18"/>
    <w:rsid w:val="3474193F"/>
    <w:rsid w:val="349B6ECC"/>
    <w:rsid w:val="35926521"/>
    <w:rsid w:val="36075DA5"/>
    <w:rsid w:val="36341386"/>
    <w:rsid w:val="364A44B7"/>
    <w:rsid w:val="390C2146"/>
    <w:rsid w:val="39161217"/>
    <w:rsid w:val="3929365D"/>
    <w:rsid w:val="39311BAD"/>
    <w:rsid w:val="394E0561"/>
    <w:rsid w:val="396E1053"/>
    <w:rsid w:val="39893797"/>
    <w:rsid w:val="399953B2"/>
    <w:rsid w:val="39B27192"/>
    <w:rsid w:val="39B50A30"/>
    <w:rsid w:val="3A033549"/>
    <w:rsid w:val="3A8057CA"/>
    <w:rsid w:val="3A83468A"/>
    <w:rsid w:val="3ACD05B6"/>
    <w:rsid w:val="3B325DC0"/>
    <w:rsid w:val="3B506C62"/>
    <w:rsid w:val="3C9E30AB"/>
    <w:rsid w:val="3CD4410D"/>
    <w:rsid w:val="3D0C6BB9"/>
    <w:rsid w:val="3D456615"/>
    <w:rsid w:val="3D794247"/>
    <w:rsid w:val="3E494CAD"/>
    <w:rsid w:val="3E5A1BA6"/>
    <w:rsid w:val="3F1735F3"/>
    <w:rsid w:val="3FBB48C6"/>
    <w:rsid w:val="40CA1FEE"/>
    <w:rsid w:val="410C7808"/>
    <w:rsid w:val="412A1D04"/>
    <w:rsid w:val="420F409B"/>
    <w:rsid w:val="422C6F6D"/>
    <w:rsid w:val="42701998"/>
    <w:rsid w:val="42CF2B62"/>
    <w:rsid w:val="430D368B"/>
    <w:rsid w:val="43DC569E"/>
    <w:rsid w:val="44E81AD2"/>
    <w:rsid w:val="455A3F34"/>
    <w:rsid w:val="45723C79"/>
    <w:rsid w:val="45E020FB"/>
    <w:rsid w:val="461D1E37"/>
    <w:rsid w:val="469F0A9E"/>
    <w:rsid w:val="46F1509D"/>
    <w:rsid w:val="473D1DB7"/>
    <w:rsid w:val="474C7FA6"/>
    <w:rsid w:val="47A04ACD"/>
    <w:rsid w:val="47B655B2"/>
    <w:rsid w:val="47D429C9"/>
    <w:rsid w:val="47F4316C"/>
    <w:rsid w:val="47FD1CA9"/>
    <w:rsid w:val="48A57EC2"/>
    <w:rsid w:val="495F4514"/>
    <w:rsid w:val="49A10689"/>
    <w:rsid w:val="49B02FC2"/>
    <w:rsid w:val="4A5F5A11"/>
    <w:rsid w:val="4ABC3301"/>
    <w:rsid w:val="4B010016"/>
    <w:rsid w:val="4B0344D7"/>
    <w:rsid w:val="4B9225EF"/>
    <w:rsid w:val="4C583BC9"/>
    <w:rsid w:val="4D342260"/>
    <w:rsid w:val="4D3D691B"/>
    <w:rsid w:val="4DDE1EAC"/>
    <w:rsid w:val="4DFE1F2D"/>
    <w:rsid w:val="4E4D2FFF"/>
    <w:rsid w:val="4F68711A"/>
    <w:rsid w:val="4FA62E9D"/>
    <w:rsid w:val="506D39BB"/>
    <w:rsid w:val="507E6391"/>
    <w:rsid w:val="50847BD3"/>
    <w:rsid w:val="509A7775"/>
    <w:rsid w:val="50D17AA6"/>
    <w:rsid w:val="50FC089B"/>
    <w:rsid w:val="517448D5"/>
    <w:rsid w:val="51962A9D"/>
    <w:rsid w:val="51DF4444"/>
    <w:rsid w:val="51F6353C"/>
    <w:rsid w:val="5268268C"/>
    <w:rsid w:val="53096A57"/>
    <w:rsid w:val="53605111"/>
    <w:rsid w:val="53CB21B1"/>
    <w:rsid w:val="5472334E"/>
    <w:rsid w:val="550815AF"/>
    <w:rsid w:val="55A95A08"/>
    <w:rsid w:val="55BA31FE"/>
    <w:rsid w:val="55E8317F"/>
    <w:rsid w:val="55EC3543"/>
    <w:rsid w:val="56021134"/>
    <w:rsid w:val="5664316A"/>
    <w:rsid w:val="56E65BB4"/>
    <w:rsid w:val="570010E5"/>
    <w:rsid w:val="57EB618B"/>
    <w:rsid w:val="58727DC0"/>
    <w:rsid w:val="59A24F8C"/>
    <w:rsid w:val="5A956D79"/>
    <w:rsid w:val="5ABA77FD"/>
    <w:rsid w:val="5AD52888"/>
    <w:rsid w:val="5AFA22EF"/>
    <w:rsid w:val="5B8D4F11"/>
    <w:rsid w:val="5BAD5810"/>
    <w:rsid w:val="5BED3C02"/>
    <w:rsid w:val="5D124EDC"/>
    <w:rsid w:val="5D8A32F2"/>
    <w:rsid w:val="5D9119F0"/>
    <w:rsid w:val="5D9C143B"/>
    <w:rsid w:val="5DF838CD"/>
    <w:rsid w:val="5EF62DCD"/>
    <w:rsid w:val="5F30008D"/>
    <w:rsid w:val="5FBF146B"/>
    <w:rsid w:val="613C540F"/>
    <w:rsid w:val="61F51F86"/>
    <w:rsid w:val="62306F99"/>
    <w:rsid w:val="62E008BD"/>
    <w:rsid w:val="63A25373"/>
    <w:rsid w:val="64055F8C"/>
    <w:rsid w:val="646D58E0"/>
    <w:rsid w:val="64D15E6F"/>
    <w:rsid w:val="64E6295F"/>
    <w:rsid w:val="66157FDD"/>
    <w:rsid w:val="66562603"/>
    <w:rsid w:val="667657BC"/>
    <w:rsid w:val="670855E5"/>
    <w:rsid w:val="673F55E2"/>
    <w:rsid w:val="68A97A41"/>
    <w:rsid w:val="693B29F9"/>
    <w:rsid w:val="695D4175"/>
    <w:rsid w:val="696F3372"/>
    <w:rsid w:val="699345C0"/>
    <w:rsid w:val="69CE1B88"/>
    <w:rsid w:val="69F36843"/>
    <w:rsid w:val="6A042842"/>
    <w:rsid w:val="6A3824EC"/>
    <w:rsid w:val="6A8C56F6"/>
    <w:rsid w:val="6B8F73FB"/>
    <w:rsid w:val="6EB1286D"/>
    <w:rsid w:val="6EBA7973"/>
    <w:rsid w:val="6FCD1928"/>
    <w:rsid w:val="6FE949B4"/>
    <w:rsid w:val="71DE3A18"/>
    <w:rsid w:val="722D66AE"/>
    <w:rsid w:val="723F6B0D"/>
    <w:rsid w:val="72480C77"/>
    <w:rsid w:val="73927111"/>
    <w:rsid w:val="73970283"/>
    <w:rsid w:val="739F538A"/>
    <w:rsid w:val="73DF0907"/>
    <w:rsid w:val="74564BF7"/>
    <w:rsid w:val="75430C38"/>
    <w:rsid w:val="75A67BFC"/>
    <w:rsid w:val="75CD53FF"/>
    <w:rsid w:val="75E33C54"/>
    <w:rsid w:val="763E310C"/>
    <w:rsid w:val="76DC4753"/>
    <w:rsid w:val="76F105F2"/>
    <w:rsid w:val="777E7F8D"/>
    <w:rsid w:val="77961E75"/>
    <w:rsid w:val="78C47320"/>
    <w:rsid w:val="794B3FEA"/>
    <w:rsid w:val="797863A1"/>
    <w:rsid w:val="7A4E3666"/>
    <w:rsid w:val="7C06244A"/>
    <w:rsid w:val="7C53287A"/>
    <w:rsid w:val="7DC97BD3"/>
    <w:rsid w:val="7E12157A"/>
    <w:rsid w:val="7E501061"/>
    <w:rsid w:val="7E5E656D"/>
    <w:rsid w:val="7ED57018"/>
    <w:rsid w:val="7FCA19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2"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34"/>
    <w:qFormat/>
    <w:uiPriority w:val="0"/>
    <w:pPr>
      <w:keepNext/>
      <w:keepLines/>
      <w:numPr>
        <w:ilvl w:val="0"/>
        <w:numId w:val="1"/>
      </w:numPr>
      <w:spacing w:line="240" w:lineRule="auto"/>
      <w:ind w:firstLine="0" w:firstLineChars="0"/>
      <w:jc w:val="center"/>
      <w:outlineLvl w:val="0"/>
    </w:pPr>
    <w:rPr>
      <w:b/>
      <w:kern w:val="44"/>
      <w:sz w:val="30"/>
    </w:rPr>
  </w:style>
  <w:style w:type="paragraph" w:styleId="3">
    <w:name w:val="heading 2"/>
    <w:basedOn w:val="1"/>
    <w:next w:val="1"/>
    <w:unhideWhenUsed/>
    <w:qFormat/>
    <w:uiPriority w:val="0"/>
    <w:pPr>
      <w:keepNext/>
      <w:keepLines/>
      <w:numPr>
        <w:ilvl w:val="0"/>
        <w:numId w:val="2"/>
      </w:numPr>
      <w:spacing w:beforeLines="50" w:afterLines="50" w:line="240" w:lineRule="auto"/>
      <w:outlineLvl w:val="1"/>
    </w:pPr>
    <w:rPr>
      <w:rFonts w:ascii="Arial" w:hAnsi="Arial"/>
      <w:b/>
    </w:rPr>
  </w:style>
  <w:style w:type="paragraph" w:styleId="4">
    <w:name w:val="heading 3"/>
    <w:basedOn w:val="1"/>
    <w:next w:val="1"/>
    <w:unhideWhenUsed/>
    <w:qFormat/>
    <w:uiPriority w:val="0"/>
    <w:pPr>
      <w:keepNext/>
      <w:keepLines/>
      <w:numPr>
        <w:ilvl w:val="1"/>
        <w:numId w:val="2"/>
      </w:numPr>
      <w:spacing w:line="240" w:lineRule="auto"/>
      <w:outlineLvl w:val="2"/>
    </w:pPr>
    <w:rPr>
      <w:b/>
    </w:rPr>
  </w:style>
  <w:style w:type="paragraph" w:styleId="5">
    <w:name w:val="heading 4"/>
    <w:basedOn w:val="1"/>
    <w:next w:val="1"/>
    <w:autoRedefine/>
    <w:unhideWhenUsed/>
    <w:qFormat/>
    <w:uiPriority w:val="0"/>
    <w:pPr>
      <w:keepNext/>
      <w:keepLines/>
      <w:spacing w:line="372" w:lineRule="auto"/>
      <w:outlineLvl w:val="3"/>
    </w:pPr>
    <w:rPr>
      <w:rFonts w:ascii="Arial" w:hAnsi="Arial" w:eastAsia="黑体"/>
      <w:b/>
      <w:sz w:val="28"/>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32"/>
    <w:autoRedefine/>
    <w:qFormat/>
    <w:uiPriority w:val="0"/>
    <w:rPr>
      <w:rFonts w:ascii="宋体"/>
      <w:sz w:val="18"/>
      <w:szCs w:val="18"/>
    </w:rPr>
  </w:style>
  <w:style w:type="paragraph" w:styleId="7">
    <w:name w:val="toa heading"/>
    <w:basedOn w:val="1"/>
    <w:next w:val="1"/>
    <w:autoRedefine/>
    <w:qFormat/>
    <w:uiPriority w:val="0"/>
    <w:pPr>
      <w:spacing w:before="120"/>
    </w:pPr>
    <w:rPr>
      <w:rFonts w:ascii="Arial" w:hAnsi="Arial" w:cs="Arial"/>
    </w:rPr>
  </w:style>
  <w:style w:type="paragraph" w:styleId="8">
    <w:name w:val="Body Text"/>
    <w:basedOn w:val="1"/>
    <w:next w:val="1"/>
    <w:link w:val="29"/>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
    <w:autoRedefine/>
    <w:qFormat/>
    <w:uiPriority w:val="0"/>
    <w:pPr>
      <w:spacing w:after="100"/>
      <w:ind w:firstLine="720"/>
    </w:pPr>
    <w:rPr>
      <w:kern w:val="0"/>
      <w:szCs w:val="20"/>
    </w:rPr>
  </w:style>
  <w:style w:type="paragraph" w:styleId="10">
    <w:name w:val="Plain Text"/>
    <w:basedOn w:val="1"/>
    <w:next w:val="1"/>
    <w:autoRedefine/>
    <w:qFormat/>
    <w:uiPriority w:val="0"/>
    <w:rPr>
      <w:rFonts w:ascii="宋体" w:hAnsi="Courier New" w:cs="Courier New"/>
      <w:sz w:val="21"/>
      <w:szCs w:val="21"/>
    </w:rPr>
  </w:style>
  <w:style w:type="paragraph" w:styleId="11">
    <w:name w:val="List Bullet 5"/>
    <w:basedOn w:val="1"/>
    <w:autoRedefine/>
    <w:qFormat/>
    <w:uiPriority w:val="0"/>
    <w:pPr>
      <w:numPr>
        <w:ilvl w:val="0"/>
        <w:numId w:val="3"/>
      </w:numPr>
    </w:pPr>
  </w:style>
  <w:style w:type="paragraph" w:styleId="12">
    <w:name w:val="Body Text Indent 2"/>
    <w:basedOn w:val="1"/>
    <w:qFormat/>
    <w:uiPriority w:val="0"/>
    <w:pPr>
      <w:spacing w:line="480" w:lineRule="auto"/>
      <w:ind w:left="420" w:leftChars="200"/>
    </w:pPr>
  </w:style>
  <w:style w:type="paragraph" w:styleId="13">
    <w:name w:val="Balloon Text"/>
    <w:basedOn w:val="1"/>
    <w:link w:val="33"/>
    <w:autoRedefine/>
    <w:qFormat/>
    <w:uiPriority w:val="0"/>
    <w:pPr>
      <w:spacing w:line="240" w:lineRule="auto"/>
    </w:pPr>
    <w:rPr>
      <w:sz w:val="18"/>
      <w:szCs w:val="18"/>
    </w:rPr>
  </w:style>
  <w:style w:type="paragraph" w:styleId="14">
    <w:name w:val="footer"/>
    <w:basedOn w:val="1"/>
    <w:autoRedefine/>
    <w:unhideWhenUsed/>
    <w:qFormat/>
    <w:uiPriority w:val="99"/>
    <w:pPr>
      <w:tabs>
        <w:tab w:val="center" w:pos="4153"/>
        <w:tab w:val="right" w:pos="8306"/>
      </w:tabs>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List"/>
    <w:basedOn w:val="1"/>
    <w:autoRedefine/>
    <w:qFormat/>
    <w:uiPriority w:val="0"/>
    <w:pPr>
      <w:ind w:left="200" w:hanging="200" w:hangingChars="200"/>
    </w:pPr>
  </w:style>
  <w:style w:type="paragraph" w:styleId="17">
    <w:name w:val="Body Text 2"/>
    <w:basedOn w:val="1"/>
    <w:unhideWhenUsed/>
    <w:qFormat/>
    <w:uiPriority w:val="99"/>
    <w:pPr>
      <w:spacing w:after="120" w:line="480" w:lineRule="auto"/>
    </w:pPr>
  </w:style>
  <w:style w:type="paragraph" w:styleId="18">
    <w:name w:val="Normal (Web)"/>
    <w:basedOn w:val="1"/>
    <w:autoRedefine/>
    <w:qFormat/>
    <w:uiPriority w:val="0"/>
    <w:pPr>
      <w:spacing w:beforeAutospacing="1" w:afterAutospacing="1"/>
      <w:jc w:val="left"/>
    </w:pPr>
    <w:rPr>
      <w:rFonts w:cs="Times New Roman"/>
      <w:kern w:val="0"/>
    </w:rPr>
  </w:style>
  <w:style w:type="paragraph" w:styleId="19">
    <w:name w:val="Body Text First Indent"/>
    <w:basedOn w:val="8"/>
    <w:next w:val="1"/>
    <w:autoRedefine/>
    <w:qFormat/>
    <w:uiPriority w:val="99"/>
    <w:pPr>
      <w:spacing w:line="360" w:lineRule="auto"/>
      <w:ind w:firstLine="643"/>
      <w:jc w:val="left"/>
    </w:pPr>
    <w:rPr>
      <w:sz w:val="28"/>
    </w:rPr>
  </w:style>
  <w:style w:type="paragraph" w:styleId="20">
    <w:name w:val="Body Text First Indent 2"/>
    <w:basedOn w:val="9"/>
    <w:next w:val="1"/>
    <w:autoRedefine/>
    <w:qFormat/>
    <w:uiPriority w:val="0"/>
    <w:pPr>
      <w:spacing w:after="120" w:line="240" w:lineRule="auto"/>
      <w:ind w:left="420" w:leftChars="200" w:firstLine="420"/>
    </w:pPr>
    <w:rPr>
      <w:rFonts w:eastAsia="宋体"/>
      <w:kern w:val="2"/>
      <w:sz w:val="21"/>
      <w:szCs w:val="24"/>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paragraph" w:customStyle="1" w:styleId="25">
    <w:name w:val="表内字体"/>
    <w:basedOn w:val="1"/>
    <w:next w:val="1"/>
    <w:autoRedefine/>
    <w:qFormat/>
    <w:uiPriority w:val="0"/>
    <w:pPr>
      <w:keepNext/>
      <w:keepLines/>
      <w:spacing w:line="240" w:lineRule="auto"/>
      <w:ind w:firstLine="0" w:firstLineChars="0"/>
      <w:jc w:val="center"/>
      <w:outlineLvl w:val="0"/>
    </w:pPr>
    <w:rPr>
      <w:b/>
      <w:kern w:val="44"/>
      <w:sz w:val="21"/>
    </w:rPr>
  </w:style>
  <w:style w:type="paragraph" w:customStyle="1" w:styleId="26">
    <w:name w:val="表头"/>
    <w:basedOn w:val="27"/>
    <w:next w:val="1"/>
    <w:autoRedefine/>
    <w:qFormat/>
    <w:uiPriority w:val="0"/>
    <w:pPr>
      <w:keepNext/>
      <w:keepLines/>
      <w:spacing w:beforeLines="50"/>
      <w:outlineLvl w:val="0"/>
    </w:pPr>
    <w:rPr>
      <w:kern w:val="44"/>
    </w:rPr>
  </w:style>
  <w:style w:type="paragraph" w:customStyle="1" w:styleId="27">
    <w:name w:val="表格"/>
    <w:basedOn w:val="16"/>
    <w:next w:val="1"/>
    <w:autoRedefine/>
    <w:qFormat/>
    <w:uiPriority w:val="0"/>
    <w:pPr>
      <w:adjustRightInd w:val="0"/>
      <w:snapToGrid w:val="0"/>
      <w:spacing w:line="240" w:lineRule="auto"/>
      <w:ind w:left="0" w:firstLine="0" w:firstLineChars="0"/>
      <w:jc w:val="center"/>
    </w:pPr>
    <w:rPr>
      <w:kern w:val="0"/>
      <w:sz w:val="21"/>
      <w:szCs w:val="21"/>
    </w:rPr>
  </w:style>
  <w:style w:type="paragraph" w:customStyle="1" w:styleId="28">
    <w:name w:val="样式1"/>
    <w:basedOn w:val="1"/>
    <w:autoRedefine/>
    <w:qFormat/>
    <w:uiPriority w:val="0"/>
    <w:pPr>
      <w:keepNext/>
      <w:keepLines/>
      <w:spacing w:line="240" w:lineRule="auto"/>
      <w:ind w:firstLine="0" w:firstLineChars="0"/>
      <w:jc w:val="center"/>
      <w:outlineLvl w:val="0"/>
    </w:pPr>
    <w:rPr>
      <w:rFonts w:hint="eastAsia"/>
      <w:kern w:val="44"/>
    </w:rPr>
  </w:style>
  <w:style w:type="character" w:customStyle="1" w:styleId="29">
    <w:name w:val="正文文本 Char"/>
    <w:link w:val="8"/>
    <w:autoRedefine/>
    <w:qFormat/>
    <w:uiPriority w:val="0"/>
    <w:rPr>
      <w:kern w:val="0"/>
      <w:sz w:val="18"/>
      <w:szCs w:val="20"/>
    </w:rPr>
  </w:style>
  <w:style w:type="character" w:customStyle="1" w:styleId="30">
    <w:name w:val="font21"/>
    <w:basedOn w:val="23"/>
    <w:autoRedefine/>
    <w:qFormat/>
    <w:uiPriority w:val="0"/>
    <w:rPr>
      <w:rFonts w:ascii="宋体" w:hAnsi="宋体" w:eastAsia="宋体" w:cs="宋体"/>
      <w:b/>
      <w:bCs/>
      <w:color w:val="000000"/>
      <w:sz w:val="40"/>
      <w:szCs w:val="40"/>
      <w:u w:val="none"/>
    </w:rPr>
  </w:style>
  <w:style w:type="character" w:customStyle="1" w:styleId="31">
    <w:name w:val="font31"/>
    <w:basedOn w:val="23"/>
    <w:autoRedefine/>
    <w:qFormat/>
    <w:uiPriority w:val="0"/>
    <w:rPr>
      <w:rFonts w:ascii="宋体" w:hAnsi="宋体" w:eastAsia="宋体" w:cs="宋体"/>
      <w:color w:val="000000"/>
      <w:sz w:val="40"/>
      <w:szCs w:val="40"/>
      <w:u w:val="none"/>
    </w:rPr>
  </w:style>
  <w:style w:type="character" w:customStyle="1" w:styleId="32">
    <w:name w:val="文档结构图 Char"/>
    <w:basedOn w:val="23"/>
    <w:link w:val="6"/>
    <w:autoRedefine/>
    <w:qFormat/>
    <w:uiPriority w:val="0"/>
    <w:rPr>
      <w:rFonts w:ascii="宋体" w:cstheme="minorBidi"/>
      <w:kern w:val="2"/>
      <w:sz w:val="18"/>
      <w:szCs w:val="18"/>
    </w:rPr>
  </w:style>
  <w:style w:type="character" w:customStyle="1" w:styleId="33">
    <w:name w:val="批注框文本 Char"/>
    <w:basedOn w:val="23"/>
    <w:link w:val="13"/>
    <w:autoRedefine/>
    <w:qFormat/>
    <w:uiPriority w:val="0"/>
    <w:rPr>
      <w:rFonts w:cstheme="minorBidi"/>
      <w:kern w:val="2"/>
      <w:sz w:val="18"/>
      <w:szCs w:val="18"/>
    </w:rPr>
  </w:style>
  <w:style w:type="character" w:customStyle="1" w:styleId="34">
    <w:name w:val="标题 1 Char"/>
    <w:link w:val="2"/>
    <w:autoRedefine/>
    <w:qFormat/>
    <w:uiPriority w:val="0"/>
    <w:rPr>
      <w:b/>
      <w:kern w:val="44"/>
      <w:sz w:val="30"/>
    </w:rPr>
  </w:style>
  <w:style w:type="paragraph" w:customStyle="1" w:styleId="35">
    <w:name w:val="【标题3】"/>
    <w:basedOn w:val="4"/>
    <w:autoRedefine/>
    <w:qFormat/>
    <w:uiPriority w:val="0"/>
    <w:pPr>
      <w:keepNext w:val="0"/>
      <w:numPr>
        <w:ilvl w:val="0"/>
        <w:numId w:val="0"/>
      </w:numPr>
      <w:tabs>
        <w:tab w:val="clear" w:pos="0"/>
      </w:tabs>
      <w:spacing w:line="500" w:lineRule="exact"/>
    </w:pPr>
    <w:rPr>
      <w:rFonts w:eastAsia="黑体" w:cs="Times New Roman"/>
      <w:b w:val="0"/>
      <w:bCs/>
      <w:szCs w:val="20"/>
    </w:rPr>
  </w:style>
  <w:style w:type="paragraph" w:customStyle="1" w:styleId="36">
    <w:name w:val="表格标题"/>
    <w:basedOn w:val="1"/>
    <w:next w:val="1"/>
    <w:autoRedefine/>
    <w:qFormat/>
    <w:uiPriority w:val="0"/>
    <w:pPr>
      <w:spacing w:line="240" w:lineRule="auto"/>
      <w:ind w:firstLine="0" w:firstLineChars="0"/>
      <w:jc w:val="left"/>
    </w:pPr>
    <w:rPr>
      <w:rFonts w:hint="eastAsia" w:ascii="Times New Roman" w:hAnsi="Times New Roman" w:eastAsia="宋体"/>
      <w:b/>
      <w:sz w:val="21"/>
    </w:rPr>
  </w:style>
  <w:style w:type="paragraph" w:customStyle="1" w:styleId="37">
    <w:name w:val="表格文字"/>
    <w:basedOn w:val="1"/>
    <w:next w:val="1"/>
    <w:autoRedefine/>
    <w:qFormat/>
    <w:uiPriority w:val="0"/>
    <w:pPr>
      <w:spacing w:line="240" w:lineRule="auto"/>
      <w:ind w:firstLine="0" w:firstLineChars="0"/>
      <w:jc w:val="center"/>
    </w:pPr>
    <w:rPr>
      <w:rFonts w:hint="eastAsia" w:ascii="Times New Roman" w:hAnsi="Times New Roman" w:eastAsia="宋体" w:cs="Times New Roman"/>
      <w:sz w:val="21"/>
      <w:szCs w:val="22"/>
    </w:rPr>
  </w:style>
  <w:style w:type="paragraph" w:customStyle="1" w:styleId="38">
    <w:name w:val="正文-欣欣"/>
    <w:basedOn w:val="1"/>
    <w:autoRedefine/>
    <w:qFormat/>
    <w:uiPriority w:val="0"/>
    <w:pPr>
      <w:adjustRightInd w:val="0"/>
      <w:spacing w:line="360" w:lineRule="auto"/>
      <w:ind w:firstLine="200" w:firstLineChars="200"/>
      <w:jc w:val="both"/>
    </w:pPr>
    <w:rPr>
      <w:rFonts w:cs="Courier New"/>
      <w:szCs w:val="21"/>
    </w:rPr>
  </w:style>
  <w:style w:type="paragraph" w:customStyle="1" w:styleId="39">
    <w:name w:val="正文样式1"/>
    <w:autoRedefine/>
    <w:qFormat/>
    <w:uiPriority w:val="0"/>
    <w:pPr>
      <w:widowControl w:val="0"/>
      <w:spacing w:line="500" w:lineRule="exact"/>
      <w:ind w:firstLine="200" w:firstLineChars="200"/>
      <w:jc w:val="both"/>
    </w:pPr>
    <w:rPr>
      <w:rFonts w:ascii="Times New Roman" w:hAnsi="Times New Roman" w:eastAsia="宋体" w:cs="Times New Roman"/>
      <w:color w:val="000000"/>
      <w:sz w:val="24"/>
      <w:lang w:val="en-US" w:eastAsia="zh-CN" w:bidi="ar-SA"/>
    </w:rPr>
  </w:style>
  <w:style w:type="paragraph" w:customStyle="1" w:styleId="40">
    <w:name w:val="样式 纯文本 + Times New Roman 四号 左 行距: 1.5 倍行距"/>
    <w:basedOn w:val="10"/>
    <w:autoRedefine/>
    <w:qFormat/>
    <w:uiPriority w:val="0"/>
    <w:pPr>
      <w:spacing w:line="360" w:lineRule="auto"/>
      <w:ind w:firstLine="560" w:firstLineChars="200"/>
    </w:pPr>
    <w:rPr>
      <w:rFonts w:ascii="Times New Roman" w:hAnsi="宋体" w:cs="Times New Roman"/>
      <w:sz w:val="28"/>
      <w:lang w:val="zh-CN"/>
    </w:rPr>
  </w:style>
  <w:style w:type="paragraph" w:customStyle="1" w:styleId="41">
    <w:name w:val="表内111"/>
    <w:autoRedefine/>
    <w:qFormat/>
    <w:uiPriority w:val="0"/>
    <w:pPr>
      <w:widowControl w:val="0"/>
      <w:pBdr>
        <w:top w:val="none" w:color="auto" w:sz="0" w:space="1"/>
        <w:left w:val="none" w:color="auto" w:sz="0" w:space="4"/>
        <w:bottom w:val="none" w:color="auto" w:sz="0" w:space="1"/>
        <w:right w:val="none" w:color="auto" w:sz="0" w:space="4"/>
      </w:pBdr>
      <w:adjustRightInd w:val="0"/>
      <w:snapToGrid w:val="0"/>
      <w:spacing w:line="360" w:lineRule="auto"/>
      <w:jc w:val="center"/>
    </w:pPr>
    <w:rPr>
      <w:rFonts w:ascii="Times New Roman" w:hAnsi="Times New Roman" w:eastAsia="宋体" w:cs="Times New Roman"/>
      <w:snapToGrid w:val="0"/>
      <w:sz w:val="21"/>
      <w:szCs w:val="21"/>
      <w:lang w:val="en-US" w:eastAsia="zh-CN" w:bidi="ar-SA"/>
    </w:rPr>
  </w:style>
  <w:style w:type="paragraph" w:customStyle="1" w:styleId="42">
    <w:name w:val="表样式1"/>
    <w:autoRedefine/>
    <w:qFormat/>
    <w:uiPriority w:val="0"/>
    <w:pPr>
      <w:widowControl w:val="0"/>
      <w:spacing w:line="500" w:lineRule="exact"/>
      <w:jc w:val="center"/>
    </w:pPr>
    <w:rPr>
      <w:rFonts w:ascii="Times New Roman" w:hAnsi="Times New Roman" w:eastAsia="宋体" w:cs="Times New Roman"/>
      <w:b/>
      <w:color w:val="000000"/>
      <w:sz w:val="24"/>
      <w:lang w:val="en-US" w:eastAsia="zh-CN" w:bidi="ar-SA"/>
    </w:rPr>
  </w:style>
  <w:style w:type="paragraph" w:customStyle="1" w:styleId="43">
    <w:name w:val="Table Text"/>
    <w:basedOn w:val="1"/>
    <w:autoRedefine/>
    <w:semiHidden/>
    <w:qFormat/>
    <w:uiPriority w:val="0"/>
    <w:rPr>
      <w:rFonts w:ascii="宋体" w:hAnsi="宋体" w:eastAsia="宋体" w:cs="宋体"/>
      <w:sz w:val="19"/>
      <w:szCs w:val="19"/>
      <w:lang w:val="en-US" w:eastAsia="en-US" w:bidi="ar-SA"/>
    </w:rPr>
  </w:style>
  <w:style w:type="table" w:customStyle="1" w:styleId="44">
    <w:name w:val="Table Normal"/>
    <w:autoRedefine/>
    <w:semiHidden/>
    <w:unhideWhenUsed/>
    <w:qFormat/>
    <w:uiPriority w:val="0"/>
    <w:tblPr>
      <w:tblCellMar>
        <w:top w:w="0" w:type="dxa"/>
        <w:left w:w="0" w:type="dxa"/>
        <w:bottom w:w="0" w:type="dxa"/>
        <w:right w:w="0" w:type="dxa"/>
      </w:tblCellMar>
    </w:tblPr>
  </w:style>
  <w:style w:type="paragraph" w:customStyle="1" w:styleId="45">
    <w:name w:val="Table Paragraph"/>
    <w:basedOn w:val="1"/>
    <w:autoRedefine/>
    <w:qFormat/>
    <w:uiPriority w:val="1"/>
    <w:pPr>
      <w:jc w:val="center"/>
    </w:pPr>
    <w:rPr>
      <w:rFonts w:ascii="宋体" w:hAnsi="宋体" w:cs="宋体"/>
      <w:lang w:val="zh-CN" w:bidi="zh-CN"/>
    </w:rPr>
  </w:style>
  <w:style w:type="paragraph" w:customStyle="1" w:styleId="46">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styleId="47">
    <w:name w:val="List Paragraph"/>
    <w:basedOn w:val="1"/>
    <w:qFormat/>
    <w:uiPriority w:val="99"/>
    <w:pPr>
      <w:ind w:firstLine="420" w:firstLineChars="200"/>
    </w:pPr>
  </w:style>
  <w:style w:type="paragraph" w:customStyle="1" w:styleId="48">
    <w:name w:val="正文文本2"/>
    <w:basedOn w:val="8"/>
    <w:autoRedefine/>
    <w:qFormat/>
    <w:uiPriority w:val="0"/>
    <w:pPr>
      <w:spacing w:after="0" w:line="360" w:lineRule="auto"/>
      <w:ind w:firstLine="480" w:firstLineChars="200"/>
    </w:pPr>
    <w:rPr>
      <w:rFonts w:ascii="宋体" w:hAnsi="Calibri"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40741</Words>
  <Characters>44403</Characters>
  <Lines>195</Lines>
  <Paragraphs>54</Paragraphs>
  <TotalTime>41</TotalTime>
  <ScaleCrop>false</ScaleCrop>
  <LinksUpToDate>false</LinksUpToDate>
  <CharactersWithSpaces>44543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2023-02-10T02:58:00Z</dcterms:created>
  <dc:creator>Administrator</dc:creator>
  <cp:lastModifiedBy>小麦啾</cp:lastModifiedBy>
  <cp:lastPrinted>2023-09-14T02:10:00Z</cp:lastPrinted>
  <dcterms:modified xsi:type="dcterms:W3CDTF">2024-07-26T02:54:25Z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123FFC59382F493A906DA427F0585FFD_13</vt:lpwstr>
  </property>
</Properties>
</file>