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80334">
      <w:pPr>
        <w:pStyle w:val="26"/>
        <w:jc w:val="center"/>
        <w:outlineLvl w:val="0"/>
        <w:rPr>
          <w:rFonts w:ascii="黑体" w:hAnsi="黑体" w:eastAsia="黑体"/>
          <w:snapToGrid w:val="0"/>
          <w:sz w:val="30"/>
          <w:szCs w:val="30"/>
        </w:rPr>
      </w:pPr>
      <w:bookmarkStart w:id="9" w:name="_GoBack"/>
      <w:bookmarkEnd w:id="9"/>
      <w:r>
        <w:rPr>
          <w:rFonts w:hint="eastAsia" w:ascii="黑体" w:hAnsi="黑体" w:eastAsia="黑体"/>
          <w:snapToGrid w:val="0"/>
          <w:sz w:val="30"/>
          <w:szCs w:val="30"/>
        </w:rPr>
        <w:t>一、建设项目基本情况</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73"/>
        <w:gridCol w:w="2108"/>
        <w:gridCol w:w="2012"/>
        <w:gridCol w:w="3077"/>
      </w:tblGrid>
      <w:tr w14:paraId="6223F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0" w:type="dxa"/>
            <w:tcMar>
              <w:top w:w="16" w:type="dxa"/>
              <w:left w:w="16" w:type="dxa"/>
              <w:right w:w="16" w:type="dxa"/>
            </w:tcMar>
            <w:vAlign w:val="center"/>
          </w:tcPr>
          <w:p w14:paraId="01CF89E8">
            <w:pPr>
              <w:adjustRightInd w:val="0"/>
              <w:jc w:val="center"/>
              <w:rPr>
                <w:sz w:val="24"/>
              </w:rPr>
            </w:pPr>
            <w:r>
              <w:rPr>
                <w:sz w:val="24"/>
              </w:rPr>
              <w:t>建设项目名称</w:t>
            </w:r>
          </w:p>
        </w:tc>
        <w:tc>
          <w:tcPr>
            <w:tcW w:w="6660" w:type="dxa"/>
            <w:gridSpan w:val="3"/>
            <w:vAlign w:val="center"/>
          </w:tcPr>
          <w:p w14:paraId="11EA3C9C">
            <w:pPr>
              <w:adjustRightInd w:val="0"/>
              <w:jc w:val="center"/>
              <w:rPr>
                <w:sz w:val="24"/>
              </w:rPr>
            </w:pPr>
            <w:r>
              <w:rPr>
                <w:sz w:val="24"/>
              </w:rPr>
              <w:t>新疆宏鸟节水材料有限公司年产2万吨全塑管道建设项目</w:t>
            </w:r>
          </w:p>
        </w:tc>
      </w:tr>
      <w:tr w14:paraId="59714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0" w:type="dxa"/>
            <w:tcMar>
              <w:top w:w="16" w:type="dxa"/>
              <w:left w:w="16" w:type="dxa"/>
              <w:right w:w="16" w:type="dxa"/>
            </w:tcMar>
            <w:vAlign w:val="center"/>
          </w:tcPr>
          <w:p w14:paraId="17CABE6B">
            <w:pPr>
              <w:adjustRightInd w:val="0"/>
              <w:jc w:val="center"/>
              <w:rPr>
                <w:sz w:val="24"/>
              </w:rPr>
            </w:pPr>
            <w:r>
              <w:rPr>
                <w:sz w:val="24"/>
              </w:rPr>
              <w:t>项目代码</w:t>
            </w:r>
          </w:p>
        </w:tc>
        <w:tc>
          <w:tcPr>
            <w:tcW w:w="6660" w:type="dxa"/>
            <w:gridSpan w:val="3"/>
            <w:vAlign w:val="center"/>
          </w:tcPr>
          <w:p w14:paraId="57F7D348">
            <w:pPr>
              <w:pStyle w:val="29"/>
              <w:spacing w:after="0"/>
              <w:ind w:left="0" w:leftChars="0" w:firstLine="0" w:firstLineChars="0"/>
              <w:jc w:val="center"/>
            </w:pPr>
            <w:r>
              <w:rPr>
                <w:kern w:val="2"/>
                <w:szCs w:val="24"/>
              </w:rPr>
              <w:t>/</w:t>
            </w:r>
          </w:p>
        </w:tc>
      </w:tr>
      <w:tr w14:paraId="1D7BF5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0" w:type="dxa"/>
            <w:tcMar>
              <w:top w:w="16" w:type="dxa"/>
              <w:left w:w="16" w:type="dxa"/>
              <w:right w:w="16" w:type="dxa"/>
            </w:tcMar>
            <w:vAlign w:val="center"/>
          </w:tcPr>
          <w:p w14:paraId="6968550A">
            <w:pPr>
              <w:adjustRightInd w:val="0"/>
              <w:jc w:val="center"/>
              <w:rPr>
                <w:sz w:val="24"/>
              </w:rPr>
            </w:pPr>
            <w:r>
              <w:rPr>
                <w:sz w:val="24"/>
              </w:rPr>
              <w:t>建设单位联系人</w:t>
            </w:r>
          </w:p>
        </w:tc>
        <w:tc>
          <w:tcPr>
            <w:tcW w:w="1930" w:type="dxa"/>
            <w:vAlign w:val="center"/>
          </w:tcPr>
          <w:p w14:paraId="62935D29">
            <w:pPr>
              <w:adjustRightInd w:val="0"/>
              <w:jc w:val="center"/>
              <w:rPr>
                <w:sz w:val="24"/>
              </w:rPr>
            </w:pPr>
            <w:r>
              <w:rPr>
                <w:sz w:val="24"/>
              </w:rPr>
              <w:t>张</w:t>
            </w:r>
            <w:r>
              <w:rPr>
                <w:rFonts w:hint="eastAsia"/>
                <w:sz w:val="24"/>
              </w:rPr>
              <w:t>*</w:t>
            </w:r>
          </w:p>
        </w:tc>
        <w:tc>
          <w:tcPr>
            <w:tcW w:w="1950" w:type="dxa"/>
            <w:vAlign w:val="center"/>
          </w:tcPr>
          <w:p w14:paraId="4A69E9C0">
            <w:pPr>
              <w:adjustRightInd w:val="0"/>
              <w:jc w:val="center"/>
              <w:rPr>
                <w:sz w:val="24"/>
              </w:rPr>
            </w:pPr>
            <w:r>
              <w:rPr>
                <w:sz w:val="24"/>
              </w:rPr>
              <w:t>联系方式</w:t>
            </w:r>
          </w:p>
        </w:tc>
        <w:tc>
          <w:tcPr>
            <w:tcW w:w="2780" w:type="dxa"/>
            <w:vAlign w:val="center"/>
          </w:tcPr>
          <w:p w14:paraId="5C394E41">
            <w:pPr>
              <w:adjustRightInd w:val="0"/>
              <w:jc w:val="center"/>
              <w:rPr>
                <w:sz w:val="24"/>
              </w:rPr>
            </w:pPr>
            <w:r>
              <w:rPr>
                <w:sz w:val="24"/>
              </w:rPr>
              <w:t>139</w:t>
            </w:r>
            <w:r>
              <w:rPr>
                <w:rFonts w:hint="eastAsia"/>
                <w:sz w:val="24"/>
              </w:rPr>
              <w:t>****</w:t>
            </w:r>
            <w:r>
              <w:rPr>
                <w:sz w:val="24"/>
              </w:rPr>
              <w:t>0890</w:t>
            </w:r>
          </w:p>
        </w:tc>
      </w:tr>
      <w:tr w14:paraId="531A9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0" w:type="dxa"/>
            <w:tcMar>
              <w:top w:w="16" w:type="dxa"/>
              <w:left w:w="16" w:type="dxa"/>
              <w:right w:w="16" w:type="dxa"/>
            </w:tcMar>
            <w:vAlign w:val="center"/>
          </w:tcPr>
          <w:p w14:paraId="37933E54">
            <w:pPr>
              <w:adjustRightInd w:val="0"/>
              <w:jc w:val="center"/>
              <w:rPr>
                <w:sz w:val="24"/>
              </w:rPr>
            </w:pPr>
            <w:r>
              <w:rPr>
                <w:sz w:val="24"/>
              </w:rPr>
              <w:t>建设地点</w:t>
            </w:r>
          </w:p>
        </w:tc>
        <w:tc>
          <w:tcPr>
            <w:tcW w:w="6660" w:type="dxa"/>
            <w:gridSpan w:val="3"/>
            <w:vAlign w:val="center"/>
          </w:tcPr>
          <w:p w14:paraId="26CAF4B5">
            <w:pPr>
              <w:adjustRightInd w:val="0"/>
              <w:jc w:val="center"/>
              <w:rPr>
                <w:sz w:val="24"/>
              </w:rPr>
            </w:pPr>
            <w:r>
              <w:rPr>
                <w:sz w:val="24"/>
              </w:rPr>
              <w:t>新疆</w:t>
            </w:r>
            <w:r>
              <w:rPr>
                <w:rFonts w:hint="eastAsia"/>
                <w:sz w:val="24"/>
              </w:rPr>
              <w:t>维吾尔自治区</w:t>
            </w:r>
            <w:r>
              <w:rPr>
                <w:sz w:val="24"/>
              </w:rPr>
              <w:t>昌吉州阜康市产业园阜西区苏通小微创业园内（阜康市金钢耐火材料有限公司北侧）</w:t>
            </w:r>
          </w:p>
        </w:tc>
      </w:tr>
      <w:tr w14:paraId="643389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0" w:type="dxa"/>
            <w:tcMar>
              <w:top w:w="16" w:type="dxa"/>
              <w:left w:w="16" w:type="dxa"/>
              <w:right w:w="16" w:type="dxa"/>
            </w:tcMar>
            <w:vAlign w:val="center"/>
          </w:tcPr>
          <w:p w14:paraId="3DE90FBB">
            <w:pPr>
              <w:adjustRightInd w:val="0"/>
              <w:jc w:val="center"/>
              <w:rPr>
                <w:sz w:val="24"/>
              </w:rPr>
            </w:pPr>
            <w:r>
              <w:rPr>
                <w:sz w:val="24"/>
              </w:rPr>
              <w:t>地理坐标</w:t>
            </w:r>
          </w:p>
        </w:tc>
        <w:tc>
          <w:tcPr>
            <w:tcW w:w="6660" w:type="dxa"/>
            <w:gridSpan w:val="3"/>
            <w:vAlign w:val="center"/>
          </w:tcPr>
          <w:p w14:paraId="310D3EEB">
            <w:pPr>
              <w:jc w:val="center"/>
              <w:rPr>
                <w:sz w:val="24"/>
              </w:rPr>
            </w:pPr>
            <w:r>
              <w:rPr>
                <w:rFonts w:hint="eastAsia"/>
                <w:sz w:val="24"/>
              </w:rPr>
              <w:t>东经</w:t>
            </w:r>
            <w:r>
              <w:rPr>
                <w:sz w:val="24"/>
              </w:rPr>
              <w:t>：87</w:t>
            </w:r>
            <w:r>
              <w:rPr>
                <w:rFonts w:hint="eastAsia"/>
                <w:sz w:val="24"/>
              </w:rPr>
              <w:t>度</w:t>
            </w:r>
            <w:r>
              <w:rPr>
                <w:sz w:val="24"/>
              </w:rPr>
              <w:t>49</w:t>
            </w:r>
            <w:r>
              <w:rPr>
                <w:rFonts w:hint="eastAsia"/>
                <w:sz w:val="24"/>
              </w:rPr>
              <w:t>分</w:t>
            </w:r>
            <w:r>
              <w:rPr>
                <w:sz w:val="24"/>
              </w:rPr>
              <w:t>5.115</w:t>
            </w:r>
            <w:r>
              <w:rPr>
                <w:rFonts w:hint="eastAsia"/>
                <w:sz w:val="24"/>
              </w:rPr>
              <w:t>秒</w:t>
            </w:r>
            <w:r>
              <w:rPr>
                <w:sz w:val="24"/>
              </w:rPr>
              <w:t>，</w:t>
            </w:r>
            <w:r>
              <w:rPr>
                <w:rFonts w:hint="eastAsia"/>
                <w:sz w:val="24"/>
              </w:rPr>
              <w:t>北纬</w:t>
            </w:r>
            <w:r>
              <w:rPr>
                <w:sz w:val="24"/>
              </w:rPr>
              <w:t>：44</w:t>
            </w:r>
            <w:r>
              <w:rPr>
                <w:rFonts w:hint="eastAsia"/>
                <w:sz w:val="24"/>
              </w:rPr>
              <w:t>度0</w:t>
            </w:r>
            <w:r>
              <w:rPr>
                <w:sz w:val="24"/>
              </w:rPr>
              <w:t>9</w:t>
            </w:r>
            <w:r>
              <w:rPr>
                <w:rFonts w:hint="eastAsia"/>
                <w:sz w:val="24"/>
              </w:rPr>
              <w:t>分</w:t>
            </w:r>
            <w:r>
              <w:rPr>
                <w:sz w:val="24"/>
              </w:rPr>
              <w:t>53.467</w:t>
            </w:r>
            <w:r>
              <w:rPr>
                <w:rFonts w:hint="eastAsia"/>
                <w:sz w:val="24"/>
              </w:rPr>
              <w:t>秒</w:t>
            </w:r>
          </w:p>
        </w:tc>
      </w:tr>
      <w:tr w14:paraId="288CF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210" w:type="dxa"/>
            <w:tcMar>
              <w:top w:w="16" w:type="dxa"/>
              <w:left w:w="16" w:type="dxa"/>
              <w:right w:w="16" w:type="dxa"/>
            </w:tcMar>
            <w:vAlign w:val="center"/>
          </w:tcPr>
          <w:p w14:paraId="283D1B50">
            <w:pPr>
              <w:adjustRightInd w:val="0"/>
              <w:jc w:val="center"/>
              <w:rPr>
                <w:sz w:val="24"/>
              </w:rPr>
            </w:pPr>
            <w:r>
              <w:rPr>
                <w:sz w:val="24"/>
              </w:rPr>
              <w:t>国民经济</w:t>
            </w:r>
          </w:p>
          <w:p w14:paraId="4B4D83BC">
            <w:pPr>
              <w:adjustRightInd w:val="0"/>
              <w:jc w:val="center"/>
              <w:rPr>
                <w:sz w:val="24"/>
              </w:rPr>
            </w:pPr>
            <w:r>
              <w:rPr>
                <w:sz w:val="24"/>
              </w:rPr>
              <w:t>行业类别</w:t>
            </w:r>
          </w:p>
        </w:tc>
        <w:tc>
          <w:tcPr>
            <w:tcW w:w="1930" w:type="dxa"/>
            <w:vAlign w:val="center"/>
          </w:tcPr>
          <w:p w14:paraId="77C39B8F">
            <w:pPr>
              <w:adjustRightInd w:val="0"/>
              <w:rPr>
                <w:sz w:val="24"/>
              </w:rPr>
            </w:pPr>
            <w:r>
              <w:rPr>
                <w:sz w:val="24"/>
              </w:rPr>
              <w:t>C2922塑料板、管、型材制造</w:t>
            </w:r>
          </w:p>
        </w:tc>
        <w:tc>
          <w:tcPr>
            <w:tcW w:w="1950" w:type="dxa"/>
            <w:vAlign w:val="center"/>
          </w:tcPr>
          <w:p w14:paraId="2633BC1B">
            <w:pPr>
              <w:jc w:val="center"/>
              <w:rPr>
                <w:sz w:val="24"/>
              </w:rPr>
            </w:pPr>
            <w:bookmarkStart w:id="0" w:name="_Hlk49843745"/>
            <w:r>
              <w:rPr>
                <w:sz w:val="24"/>
              </w:rPr>
              <w:t>建设项目</w:t>
            </w:r>
          </w:p>
          <w:p w14:paraId="29C414BA">
            <w:pPr>
              <w:jc w:val="center"/>
              <w:rPr>
                <w:sz w:val="24"/>
              </w:rPr>
            </w:pPr>
            <w:r>
              <w:rPr>
                <w:sz w:val="24"/>
              </w:rPr>
              <w:t>行业类别</w:t>
            </w:r>
            <w:bookmarkEnd w:id="0"/>
          </w:p>
        </w:tc>
        <w:tc>
          <w:tcPr>
            <w:tcW w:w="2780" w:type="dxa"/>
            <w:vAlign w:val="center"/>
          </w:tcPr>
          <w:p w14:paraId="625BF0E5">
            <w:pPr>
              <w:adjustRightInd w:val="0"/>
              <w:snapToGrid w:val="0"/>
              <w:rPr>
                <w:sz w:val="24"/>
              </w:rPr>
            </w:pPr>
            <w:r>
              <w:rPr>
                <w:rFonts w:hint="eastAsia"/>
                <w:sz w:val="24"/>
              </w:rPr>
              <w:t>二十六、橡胶和塑料制品业29；</w:t>
            </w:r>
          </w:p>
          <w:p w14:paraId="7C356C69">
            <w:pPr>
              <w:rPr>
                <w:sz w:val="24"/>
              </w:rPr>
            </w:pPr>
            <w:r>
              <w:rPr>
                <w:rFonts w:hint="eastAsia"/>
                <w:sz w:val="24"/>
              </w:rPr>
              <w:t>53.塑料制品业292</w:t>
            </w:r>
          </w:p>
        </w:tc>
      </w:tr>
      <w:tr w14:paraId="71921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10" w:type="dxa"/>
            <w:tcMar>
              <w:top w:w="16" w:type="dxa"/>
              <w:left w:w="16" w:type="dxa"/>
              <w:right w:w="16" w:type="dxa"/>
            </w:tcMar>
            <w:vAlign w:val="center"/>
          </w:tcPr>
          <w:p w14:paraId="42B5E4F0">
            <w:pPr>
              <w:adjustRightInd w:val="0"/>
              <w:jc w:val="center"/>
              <w:rPr>
                <w:sz w:val="24"/>
              </w:rPr>
            </w:pPr>
            <w:r>
              <w:rPr>
                <w:sz w:val="24"/>
              </w:rPr>
              <w:t>建设性质</w:t>
            </w:r>
          </w:p>
        </w:tc>
        <w:tc>
          <w:tcPr>
            <w:tcW w:w="1930" w:type="dxa"/>
            <w:vAlign w:val="center"/>
          </w:tcPr>
          <w:p w14:paraId="571CB18A">
            <w:pPr>
              <w:jc w:val="left"/>
              <w:rPr>
                <w:sz w:val="24"/>
              </w:rPr>
            </w:pPr>
            <w:r>
              <w:rPr>
                <w:rFonts w:hint="eastAsia"/>
                <w:sz w:val="24"/>
              </w:rPr>
              <w:t>□</w:t>
            </w:r>
            <w:r>
              <w:rPr>
                <w:sz w:val="24"/>
              </w:rPr>
              <w:t>新建（迁建）</w:t>
            </w:r>
          </w:p>
          <w:p w14:paraId="02D3D99F">
            <w:pPr>
              <w:jc w:val="left"/>
              <w:rPr>
                <w:sz w:val="24"/>
              </w:rPr>
            </w:pPr>
            <w:r>
              <w:rPr>
                <w:rFonts w:hint="eastAsia"/>
                <w:sz w:val="24"/>
              </w:rPr>
              <w:t>□</w:t>
            </w:r>
            <w:r>
              <w:rPr>
                <w:sz w:val="24"/>
              </w:rPr>
              <w:t>改建</w:t>
            </w:r>
          </w:p>
          <w:p w14:paraId="14505E1D">
            <w:pPr>
              <w:jc w:val="left"/>
              <w:rPr>
                <w:sz w:val="24"/>
              </w:rPr>
            </w:pPr>
            <w:r>
              <w:rPr>
                <w:sz w:val="24"/>
              </w:rPr>
              <w:t>☑扩建</w:t>
            </w:r>
          </w:p>
          <w:p w14:paraId="6A373E99">
            <w:pPr>
              <w:jc w:val="left"/>
              <w:rPr>
                <w:sz w:val="24"/>
              </w:rPr>
            </w:pPr>
            <w:r>
              <w:rPr>
                <w:rFonts w:hint="eastAsia"/>
                <w:sz w:val="24"/>
              </w:rPr>
              <w:t>□</w:t>
            </w:r>
            <w:r>
              <w:rPr>
                <w:sz w:val="24"/>
              </w:rPr>
              <w:t>技术改造</w:t>
            </w:r>
          </w:p>
        </w:tc>
        <w:tc>
          <w:tcPr>
            <w:tcW w:w="1950" w:type="dxa"/>
            <w:vAlign w:val="center"/>
          </w:tcPr>
          <w:p w14:paraId="64697009">
            <w:pPr>
              <w:adjustRightInd w:val="0"/>
              <w:jc w:val="center"/>
              <w:rPr>
                <w:sz w:val="24"/>
              </w:rPr>
            </w:pPr>
            <w:r>
              <w:rPr>
                <w:sz w:val="24"/>
              </w:rPr>
              <w:t>建设项目</w:t>
            </w:r>
          </w:p>
          <w:p w14:paraId="3BFBFE29">
            <w:pPr>
              <w:adjustRightInd w:val="0"/>
              <w:jc w:val="center"/>
              <w:rPr>
                <w:sz w:val="24"/>
              </w:rPr>
            </w:pPr>
            <w:r>
              <w:rPr>
                <w:sz w:val="24"/>
              </w:rPr>
              <w:t>申报情形</w:t>
            </w:r>
          </w:p>
        </w:tc>
        <w:tc>
          <w:tcPr>
            <w:tcW w:w="2780" w:type="dxa"/>
            <w:vAlign w:val="center"/>
          </w:tcPr>
          <w:p w14:paraId="4D522C28">
            <w:pPr>
              <w:jc w:val="left"/>
              <w:rPr>
                <w:sz w:val="24"/>
              </w:rPr>
            </w:pPr>
            <w:r>
              <w:rPr>
                <w:sz w:val="24"/>
              </w:rPr>
              <w:t>☑首次申报项目</w:t>
            </w:r>
          </w:p>
          <w:p w14:paraId="6474DC63">
            <w:pPr>
              <w:jc w:val="left"/>
              <w:rPr>
                <w:sz w:val="24"/>
              </w:rPr>
            </w:pPr>
            <w:r>
              <w:rPr>
                <w:rFonts w:hint="eastAsia"/>
                <w:sz w:val="24"/>
              </w:rPr>
              <w:t>□</w:t>
            </w:r>
            <w:r>
              <w:rPr>
                <w:sz w:val="24"/>
              </w:rPr>
              <w:t>不予批准后再次申报项目</w:t>
            </w:r>
          </w:p>
          <w:p w14:paraId="7237A458">
            <w:pPr>
              <w:jc w:val="left"/>
              <w:rPr>
                <w:sz w:val="24"/>
              </w:rPr>
            </w:pPr>
            <w:r>
              <w:rPr>
                <w:rFonts w:hint="eastAsia"/>
                <w:sz w:val="24"/>
              </w:rPr>
              <w:t>□</w:t>
            </w:r>
            <w:r>
              <w:rPr>
                <w:sz w:val="24"/>
              </w:rPr>
              <w:t xml:space="preserve">超五年重新审核项目     </w:t>
            </w:r>
          </w:p>
          <w:p w14:paraId="5BA8B0C3">
            <w:pPr>
              <w:jc w:val="left"/>
              <w:rPr>
                <w:sz w:val="24"/>
              </w:rPr>
            </w:pPr>
            <w:r>
              <w:rPr>
                <w:rFonts w:hint="eastAsia"/>
                <w:sz w:val="24"/>
              </w:rPr>
              <w:t>□</w:t>
            </w:r>
            <w:r>
              <w:rPr>
                <w:sz w:val="24"/>
              </w:rPr>
              <w:t>重大变动重新报批项目</w:t>
            </w:r>
          </w:p>
        </w:tc>
      </w:tr>
      <w:tr w14:paraId="6ACF4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10" w:type="dxa"/>
            <w:tcMar>
              <w:top w:w="16" w:type="dxa"/>
              <w:left w:w="16" w:type="dxa"/>
              <w:right w:w="16" w:type="dxa"/>
            </w:tcMar>
            <w:vAlign w:val="center"/>
          </w:tcPr>
          <w:p w14:paraId="0DC1EDBE">
            <w:pPr>
              <w:adjustRightInd w:val="0"/>
              <w:jc w:val="center"/>
              <w:rPr>
                <w:sz w:val="24"/>
              </w:rPr>
            </w:pPr>
            <w:r>
              <w:rPr>
                <w:sz w:val="24"/>
              </w:rPr>
              <w:t>项目审批（核准/</w:t>
            </w:r>
          </w:p>
          <w:p w14:paraId="63CA4C17">
            <w:pPr>
              <w:adjustRightInd w:val="0"/>
              <w:jc w:val="center"/>
              <w:rPr>
                <w:sz w:val="24"/>
              </w:rPr>
            </w:pPr>
            <w:r>
              <w:rPr>
                <w:sz w:val="24"/>
              </w:rPr>
              <w:t>备案）部门（选填）</w:t>
            </w:r>
          </w:p>
        </w:tc>
        <w:tc>
          <w:tcPr>
            <w:tcW w:w="1930" w:type="dxa"/>
            <w:vAlign w:val="center"/>
          </w:tcPr>
          <w:p w14:paraId="62D605CA">
            <w:pPr>
              <w:adjustRightInd w:val="0"/>
              <w:jc w:val="center"/>
              <w:rPr>
                <w:sz w:val="24"/>
              </w:rPr>
            </w:pPr>
            <w:r>
              <w:rPr>
                <w:sz w:val="24"/>
              </w:rPr>
              <w:t>阜康市发展和改革委员会</w:t>
            </w:r>
          </w:p>
        </w:tc>
        <w:tc>
          <w:tcPr>
            <w:tcW w:w="1950" w:type="dxa"/>
            <w:vAlign w:val="center"/>
          </w:tcPr>
          <w:p w14:paraId="47A904C1">
            <w:pPr>
              <w:adjustRightInd w:val="0"/>
              <w:jc w:val="center"/>
              <w:rPr>
                <w:sz w:val="24"/>
              </w:rPr>
            </w:pPr>
            <w:r>
              <w:rPr>
                <w:sz w:val="24"/>
              </w:rPr>
              <w:t>项目审批（核准/</w:t>
            </w:r>
          </w:p>
          <w:p w14:paraId="3A2828F2">
            <w:pPr>
              <w:adjustRightInd w:val="0"/>
              <w:jc w:val="center"/>
              <w:rPr>
                <w:sz w:val="24"/>
              </w:rPr>
            </w:pPr>
            <w:r>
              <w:rPr>
                <w:sz w:val="24"/>
              </w:rPr>
              <w:t>备案）文号（选填）</w:t>
            </w:r>
          </w:p>
        </w:tc>
        <w:tc>
          <w:tcPr>
            <w:tcW w:w="2780" w:type="dxa"/>
            <w:vAlign w:val="center"/>
          </w:tcPr>
          <w:p w14:paraId="31B794AC">
            <w:pPr>
              <w:adjustRightInd w:val="0"/>
              <w:jc w:val="center"/>
              <w:rPr>
                <w:sz w:val="24"/>
              </w:rPr>
            </w:pPr>
            <w:r>
              <w:rPr>
                <w:sz w:val="24"/>
              </w:rPr>
              <w:t>阜发改投资〔2021〕42号</w:t>
            </w:r>
          </w:p>
        </w:tc>
      </w:tr>
      <w:tr w14:paraId="0B854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0" w:type="dxa"/>
            <w:tcMar>
              <w:top w:w="16" w:type="dxa"/>
              <w:left w:w="16" w:type="dxa"/>
              <w:right w:w="16" w:type="dxa"/>
            </w:tcMar>
            <w:vAlign w:val="center"/>
          </w:tcPr>
          <w:p w14:paraId="2DADDF57">
            <w:pPr>
              <w:adjustRightInd w:val="0"/>
              <w:jc w:val="center"/>
              <w:rPr>
                <w:sz w:val="24"/>
              </w:rPr>
            </w:pPr>
            <w:r>
              <w:rPr>
                <w:sz w:val="24"/>
              </w:rPr>
              <w:t>总投资（万元）</w:t>
            </w:r>
          </w:p>
        </w:tc>
        <w:tc>
          <w:tcPr>
            <w:tcW w:w="1930" w:type="dxa"/>
            <w:vAlign w:val="center"/>
          </w:tcPr>
          <w:p w14:paraId="025DD238">
            <w:pPr>
              <w:adjustRightInd w:val="0"/>
              <w:jc w:val="center"/>
              <w:rPr>
                <w:sz w:val="24"/>
              </w:rPr>
            </w:pPr>
            <w:r>
              <w:rPr>
                <w:sz w:val="24"/>
              </w:rPr>
              <w:t>2800.00</w:t>
            </w:r>
          </w:p>
        </w:tc>
        <w:tc>
          <w:tcPr>
            <w:tcW w:w="1950" w:type="dxa"/>
            <w:tcMar>
              <w:top w:w="16" w:type="dxa"/>
              <w:left w:w="16" w:type="dxa"/>
              <w:right w:w="16" w:type="dxa"/>
            </w:tcMar>
            <w:vAlign w:val="center"/>
          </w:tcPr>
          <w:p w14:paraId="64565801">
            <w:pPr>
              <w:adjustRightInd w:val="0"/>
              <w:jc w:val="center"/>
              <w:rPr>
                <w:sz w:val="24"/>
              </w:rPr>
            </w:pPr>
            <w:r>
              <w:rPr>
                <w:sz w:val="24"/>
              </w:rPr>
              <w:t>环保投资（万元）</w:t>
            </w:r>
          </w:p>
        </w:tc>
        <w:tc>
          <w:tcPr>
            <w:tcW w:w="2780" w:type="dxa"/>
            <w:vAlign w:val="center"/>
          </w:tcPr>
          <w:p w14:paraId="5F7AF7E7">
            <w:pPr>
              <w:adjustRightInd w:val="0"/>
              <w:jc w:val="center"/>
              <w:rPr>
                <w:sz w:val="24"/>
              </w:rPr>
            </w:pPr>
            <w:r>
              <w:rPr>
                <w:sz w:val="24"/>
              </w:rPr>
              <w:t>52</w:t>
            </w:r>
          </w:p>
        </w:tc>
      </w:tr>
      <w:tr w14:paraId="31D880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0" w:type="dxa"/>
            <w:tcMar>
              <w:top w:w="16" w:type="dxa"/>
              <w:left w:w="16" w:type="dxa"/>
              <w:right w:w="16" w:type="dxa"/>
            </w:tcMar>
            <w:vAlign w:val="center"/>
          </w:tcPr>
          <w:p w14:paraId="13C4A270">
            <w:pPr>
              <w:adjustRightInd w:val="0"/>
              <w:jc w:val="center"/>
              <w:rPr>
                <w:sz w:val="24"/>
              </w:rPr>
            </w:pPr>
            <w:r>
              <w:rPr>
                <w:sz w:val="24"/>
              </w:rPr>
              <w:t>环保投资占比（%）</w:t>
            </w:r>
          </w:p>
        </w:tc>
        <w:tc>
          <w:tcPr>
            <w:tcW w:w="1930" w:type="dxa"/>
            <w:vAlign w:val="center"/>
          </w:tcPr>
          <w:p w14:paraId="7998703C">
            <w:pPr>
              <w:adjustRightInd w:val="0"/>
              <w:jc w:val="center"/>
              <w:rPr>
                <w:sz w:val="24"/>
              </w:rPr>
            </w:pPr>
            <w:r>
              <w:rPr>
                <w:rFonts w:hint="eastAsia"/>
                <w:sz w:val="24"/>
              </w:rPr>
              <w:t>1</w:t>
            </w:r>
            <w:r>
              <w:rPr>
                <w:sz w:val="24"/>
              </w:rPr>
              <w:t>.86</w:t>
            </w:r>
          </w:p>
        </w:tc>
        <w:tc>
          <w:tcPr>
            <w:tcW w:w="1950" w:type="dxa"/>
            <w:tcMar>
              <w:top w:w="16" w:type="dxa"/>
              <w:left w:w="16" w:type="dxa"/>
              <w:right w:w="16" w:type="dxa"/>
            </w:tcMar>
            <w:vAlign w:val="center"/>
          </w:tcPr>
          <w:p w14:paraId="6816ADEC">
            <w:pPr>
              <w:adjustRightInd w:val="0"/>
              <w:jc w:val="center"/>
              <w:rPr>
                <w:sz w:val="24"/>
              </w:rPr>
            </w:pPr>
            <w:r>
              <w:rPr>
                <w:sz w:val="24"/>
              </w:rPr>
              <w:t>施工工期</w:t>
            </w:r>
          </w:p>
        </w:tc>
        <w:tc>
          <w:tcPr>
            <w:tcW w:w="2780" w:type="dxa"/>
            <w:vAlign w:val="center"/>
          </w:tcPr>
          <w:p w14:paraId="491B27F3">
            <w:pPr>
              <w:adjustRightInd w:val="0"/>
              <w:jc w:val="center"/>
              <w:rPr>
                <w:sz w:val="24"/>
              </w:rPr>
            </w:pPr>
            <w:r>
              <w:rPr>
                <w:sz w:val="24"/>
              </w:rPr>
              <w:t>3月</w:t>
            </w:r>
          </w:p>
        </w:tc>
      </w:tr>
      <w:tr w14:paraId="70F20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10" w:type="dxa"/>
            <w:tcMar>
              <w:top w:w="16" w:type="dxa"/>
              <w:left w:w="16" w:type="dxa"/>
              <w:right w:w="16" w:type="dxa"/>
            </w:tcMar>
            <w:vAlign w:val="center"/>
          </w:tcPr>
          <w:p w14:paraId="59CF252D">
            <w:pPr>
              <w:adjustRightInd w:val="0"/>
              <w:jc w:val="center"/>
              <w:rPr>
                <w:sz w:val="24"/>
              </w:rPr>
            </w:pPr>
            <w:r>
              <w:rPr>
                <w:sz w:val="24"/>
              </w:rPr>
              <w:t>是否开工建设</w:t>
            </w:r>
          </w:p>
        </w:tc>
        <w:tc>
          <w:tcPr>
            <w:tcW w:w="1930" w:type="dxa"/>
            <w:vAlign w:val="center"/>
          </w:tcPr>
          <w:p w14:paraId="7AD225BB">
            <w:pPr>
              <w:adjustRightInd w:val="0"/>
              <w:rPr>
                <w:sz w:val="24"/>
              </w:rPr>
            </w:pPr>
            <w:r>
              <w:rPr>
                <w:rFonts w:hint="eastAsia"/>
                <w:sz w:val="24"/>
              </w:rPr>
              <w:t>□</w:t>
            </w:r>
            <w:r>
              <w:rPr>
                <w:sz w:val="24"/>
              </w:rPr>
              <w:t>否</w:t>
            </w:r>
          </w:p>
          <w:p w14:paraId="17B58C1A">
            <w:pPr>
              <w:adjustRightInd w:val="0"/>
              <w:rPr>
                <w:sz w:val="24"/>
              </w:rPr>
            </w:pPr>
            <w:r>
              <w:rPr>
                <w:sz w:val="24"/>
              </w:rPr>
              <w:t>☑是：</w:t>
            </w:r>
            <w:r>
              <w:rPr>
                <w:rFonts w:hint="eastAsia"/>
                <w:sz w:val="24"/>
              </w:rPr>
              <w:t>已建成1</w:t>
            </w:r>
            <w:r>
              <w:rPr>
                <w:sz w:val="24"/>
              </w:rPr>
              <w:t>0</w:t>
            </w:r>
            <w:r>
              <w:rPr>
                <w:rFonts w:hint="eastAsia"/>
                <w:sz w:val="24"/>
              </w:rPr>
              <w:t>条全塑管道生产线</w:t>
            </w:r>
          </w:p>
          <w:p w14:paraId="6AFE76D5">
            <w:pPr>
              <w:pStyle w:val="2"/>
              <w:spacing w:before="0" w:after="0" w:line="240" w:lineRule="auto"/>
              <w:ind w:left="0" w:firstLine="0"/>
              <w:rPr>
                <w:rFonts w:eastAsia="宋体"/>
                <w:b w:val="0"/>
                <w:bCs w:val="0"/>
                <w:color w:val="auto"/>
                <w:kern w:val="2"/>
                <w:sz w:val="24"/>
                <w:szCs w:val="24"/>
              </w:rPr>
            </w:pPr>
            <w:r>
              <w:rPr>
                <w:rFonts w:hint="eastAsia" w:eastAsia="宋体"/>
                <w:b w:val="0"/>
                <w:bCs w:val="0"/>
                <w:color w:val="auto"/>
                <w:kern w:val="2"/>
                <w:sz w:val="24"/>
                <w:szCs w:val="24"/>
              </w:rPr>
              <w:t>处罚情况：根据昌吉州生态环境局阜康市分局的阜环委办发[2023]61号文件，不对本项目进行行政处罚。（见附件）</w:t>
            </w:r>
          </w:p>
        </w:tc>
        <w:tc>
          <w:tcPr>
            <w:tcW w:w="1950" w:type="dxa"/>
            <w:tcMar>
              <w:top w:w="16" w:type="dxa"/>
              <w:left w:w="16" w:type="dxa"/>
              <w:right w:w="16" w:type="dxa"/>
            </w:tcMar>
            <w:vAlign w:val="center"/>
          </w:tcPr>
          <w:p w14:paraId="3F21CBFB">
            <w:pPr>
              <w:adjustRightInd w:val="0"/>
              <w:jc w:val="center"/>
              <w:rPr>
                <w:spacing w:val="-6"/>
                <w:sz w:val="24"/>
              </w:rPr>
            </w:pPr>
            <w:r>
              <w:rPr>
                <w:spacing w:val="-6"/>
                <w:sz w:val="24"/>
              </w:rPr>
              <w:t>用地（用海）</w:t>
            </w:r>
          </w:p>
          <w:p w14:paraId="0E9B26BE">
            <w:pPr>
              <w:adjustRightInd w:val="0"/>
              <w:jc w:val="center"/>
              <w:rPr>
                <w:sz w:val="24"/>
              </w:rPr>
            </w:pPr>
            <w:r>
              <w:rPr>
                <w:spacing w:val="-6"/>
                <w:sz w:val="24"/>
              </w:rPr>
              <w:t>面积（m</w:t>
            </w:r>
            <w:r>
              <w:rPr>
                <w:spacing w:val="-6"/>
                <w:sz w:val="24"/>
                <w:vertAlign w:val="superscript"/>
              </w:rPr>
              <w:t>2</w:t>
            </w:r>
            <w:r>
              <w:rPr>
                <w:spacing w:val="-6"/>
                <w:sz w:val="24"/>
              </w:rPr>
              <w:t>）</w:t>
            </w:r>
          </w:p>
        </w:tc>
        <w:tc>
          <w:tcPr>
            <w:tcW w:w="2780" w:type="dxa"/>
            <w:vAlign w:val="center"/>
          </w:tcPr>
          <w:p w14:paraId="7129F03B">
            <w:pPr>
              <w:adjustRightInd w:val="0"/>
              <w:jc w:val="center"/>
              <w:rPr>
                <w:sz w:val="24"/>
              </w:rPr>
            </w:pPr>
            <w:r>
              <w:rPr>
                <w:sz w:val="24"/>
              </w:rPr>
              <w:t>8000</w:t>
            </w:r>
          </w:p>
        </w:tc>
      </w:tr>
      <w:tr w14:paraId="599959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210" w:type="dxa"/>
            <w:vAlign w:val="center"/>
          </w:tcPr>
          <w:p w14:paraId="0F8C106E">
            <w:pPr>
              <w:autoSpaceDE w:val="0"/>
              <w:autoSpaceDN w:val="0"/>
              <w:adjustRightInd w:val="0"/>
              <w:snapToGrid w:val="0"/>
              <w:jc w:val="center"/>
              <w:rPr>
                <w:kern w:val="0"/>
                <w:sz w:val="24"/>
              </w:rPr>
            </w:pPr>
            <w:r>
              <w:rPr>
                <w:kern w:val="0"/>
                <w:sz w:val="24"/>
              </w:rPr>
              <w:t>专项评价设置情况</w:t>
            </w:r>
          </w:p>
        </w:tc>
        <w:tc>
          <w:tcPr>
            <w:tcW w:w="6660" w:type="dxa"/>
            <w:gridSpan w:val="3"/>
            <w:vAlign w:val="center"/>
          </w:tcPr>
          <w:p w14:paraId="0B5F1445">
            <w:pPr>
              <w:pStyle w:val="55"/>
              <w:ind w:firstLine="480"/>
              <w:jc w:val="center"/>
            </w:pPr>
            <w:r>
              <w:t>无</w:t>
            </w:r>
          </w:p>
        </w:tc>
      </w:tr>
      <w:tr w14:paraId="71EA79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210" w:type="dxa"/>
            <w:vAlign w:val="center"/>
          </w:tcPr>
          <w:p w14:paraId="6B07C96A">
            <w:pPr>
              <w:autoSpaceDE w:val="0"/>
              <w:autoSpaceDN w:val="0"/>
              <w:adjustRightInd w:val="0"/>
              <w:snapToGrid w:val="0"/>
              <w:jc w:val="center"/>
              <w:rPr>
                <w:kern w:val="0"/>
                <w:sz w:val="24"/>
              </w:rPr>
            </w:pPr>
            <w:r>
              <w:rPr>
                <w:sz w:val="24"/>
              </w:rPr>
              <w:t>规划情况</w:t>
            </w:r>
          </w:p>
        </w:tc>
        <w:tc>
          <w:tcPr>
            <w:tcW w:w="6660" w:type="dxa"/>
            <w:gridSpan w:val="3"/>
            <w:vAlign w:val="center"/>
          </w:tcPr>
          <w:p w14:paraId="24C6D129">
            <w:pPr>
              <w:autoSpaceDE w:val="0"/>
              <w:autoSpaceDN w:val="0"/>
              <w:spacing w:line="360" w:lineRule="auto"/>
              <w:rPr>
                <w:kern w:val="0"/>
                <w:sz w:val="24"/>
              </w:rPr>
            </w:pPr>
            <w:r>
              <w:rPr>
                <w:rFonts w:hint="eastAsia"/>
                <w:b/>
                <w:bCs/>
                <w:kern w:val="0"/>
                <w:sz w:val="24"/>
              </w:rPr>
              <w:t>规划文件：</w:t>
            </w:r>
            <w:r>
              <w:rPr>
                <w:rFonts w:hint="eastAsia"/>
                <w:kern w:val="0"/>
                <w:sz w:val="24"/>
              </w:rPr>
              <w:t>《甘泉堡工业园总体规划（2016-2030年）（2016修订稿）》</w:t>
            </w:r>
          </w:p>
          <w:p w14:paraId="7A52C9DD">
            <w:pPr>
              <w:autoSpaceDE w:val="0"/>
              <w:autoSpaceDN w:val="0"/>
              <w:spacing w:line="360" w:lineRule="auto"/>
              <w:rPr>
                <w:kern w:val="0"/>
                <w:sz w:val="24"/>
              </w:rPr>
            </w:pPr>
            <w:r>
              <w:rPr>
                <w:rFonts w:hint="eastAsia"/>
                <w:b/>
                <w:bCs/>
                <w:kern w:val="0"/>
                <w:sz w:val="24"/>
              </w:rPr>
              <w:t>审批机关：</w:t>
            </w:r>
            <w:r>
              <w:rPr>
                <w:rFonts w:hint="eastAsia"/>
                <w:kern w:val="0"/>
                <w:sz w:val="24"/>
              </w:rPr>
              <w:t>新疆维吾尔自治区人民政府</w:t>
            </w:r>
          </w:p>
          <w:p w14:paraId="5517176C">
            <w:pPr>
              <w:pStyle w:val="55"/>
              <w:ind w:firstLine="0" w:firstLineChars="0"/>
            </w:pPr>
            <w:r>
              <w:rPr>
                <w:rFonts w:hint="eastAsia"/>
                <w:b/>
                <w:bCs/>
                <w:snapToGrid/>
                <w:szCs w:val="24"/>
              </w:rPr>
              <w:t>审批文件名称及文号：</w:t>
            </w:r>
            <w:r>
              <w:rPr>
                <w:rFonts w:hint="eastAsia"/>
                <w:snapToGrid/>
                <w:szCs w:val="24"/>
              </w:rPr>
              <w:t>《关于甘泉堡工业园总体规划（2016-2030年）的批复》（新政函〔2017〕42号）</w:t>
            </w:r>
          </w:p>
        </w:tc>
      </w:tr>
      <w:tr w14:paraId="033A1C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10" w:type="dxa"/>
            <w:vAlign w:val="center"/>
          </w:tcPr>
          <w:p w14:paraId="4B32DA5D">
            <w:pPr>
              <w:adjustRightInd w:val="0"/>
              <w:snapToGrid w:val="0"/>
              <w:jc w:val="center"/>
              <w:rPr>
                <w:kern w:val="0"/>
                <w:sz w:val="24"/>
              </w:rPr>
            </w:pPr>
            <w:r>
              <w:rPr>
                <w:sz w:val="24"/>
              </w:rPr>
              <w:t>规划环境影响评价情况</w:t>
            </w:r>
          </w:p>
        </w:tc>
        <w:tc>
          <w:tcPr>
            <w:tcW w:w="6660" w:type="dxa"/>
            <w:gridSpan w:val="3"/>
            <w:vAlign w:val="center"/>
          </w:tcPr>
          <w:p w14:paraId="78EFF853">
            <w:pPr>
              <w:spacing w:line="360" w:lineRule="auto"/>
              <w:jc w:val="left"/>
              <w:rPr>
                <w:bCs/>
                <w:sz w:val="24"/>
              </w:rPr>
            </w:pPr>
            <w:r>
              <w:rPr>
                <w:b/>
                <w:kern w:val="0"/>
                <w:sz w:val="24"/>
              </w:rPr>
              <w:t>规划环境影响评价文件：</w:t>
            </w:r>
            <w:r>
              <w:rPr>
                <w:bCs/>
                <w:sz w:val="24"/>
              </w:rPr>
              <w:t>《甘泉堡工业园总体规划（2016-2030年）环境影响报告书》</w:t>
            </w:r>
          </w:p>
          <w:p w14:paraId="2916807D">
            <w:pPr>
              <w:spacing w:line="360" w:lineRule="auto"/>
              <w:jc w:val="left"/>
              <w:rPr>
                <w:bCs/>
                <w:sz w:val="24"/>
              </w:rPr>
            </w:pPr>
            <w:r>
              <w:rPr>
                <w:b/>
                <w:kern w:val="0"/>
                <w:sz w:val="24"/>
              </w:rPr>
              <w:t>召集审查机关：</w:t>
            </w:r>
            <w:r>
              <w:rPr>
                <w:bCs/>
                <w:kern w:val="0"/>
                <w:sz w:val="24"/>
              </w:rPr>
              <w:t>原新疆维吾尔自治区环境保护厅</w:t>
            </w:r>
          </w:p>
          <w:p w14:paraId="5F4C0A75">
            <w:pPr>
              <w:pStyle w:val="55"/>
              <w:ind w:firstLine="0" w:firstLineChars="0"/>
              <w:rPr>
                <w:szCs w:val="24"/>
              </w:rPr>
            </w:pPr>
            <w:r>
              <w:rPr>
                <w:b/>
                <w:snapToGrid/>
                <w:szCs w:val="24"/>
              </w:rPr>
              <w:t>审查文件名称及文号：</w:t>
            </w:r>
            <w:r>
              <w:rPr>
                <w:bCs/>
                <w:snapToGrid/>
                <w:kern w:val="2"/>
                <w:szCs w:val="24"/>
              </w:rPr>
              <w:t>《关于甘泉堡工业园总体规划（2016-2030年）环境影响报告书的审查意见》（新环函〔2018〕368号）</w:t>
            </w:r>
          </w:p>
        </w:tc>
      </w:tr>
      <w:tr w14:paraId="26530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10" w:type="dxa"/>
            <w:vAlign w:val="center"/>
          </w:tcPr>
          <w:p w14:paraId="6765EBDE">
            <w:pPr>
              <w:autoSpaceDE w:val="0"/>
              <w:autoSpaceDN w:val="0"/>
              <w:adjustRightInd w:val="0"/>
              <w:snapToGrid w:val="0"/>
              <w:jc w:val="center"/>
              <w:rPr>
                <w:kern w:val="0"/>
                <w:sz w:val="24"/>
              </w:rPr>
            </w:pPr>
            <w:r>
              <w:rPr>
                <w:kern w:val="0"/>
                <w:sz w:val="24"/>
              </w:rPr>
              <w:t>规划及规划环境影响评价符合性分析</w:t>
            </w:r>
          </w:p>
        </w:tc>
        <w:tc>
          <w:tcPr>
            <w:tcW w:w="6660" w:type="dxa"/>
            <w:gridSpan w:val="3"/>
            <w:vAlign w:val="center"/>
          </w:tcPr>
          <w:p w14:paraId="4C1688A7">
            <w:pPr>
              <w:spacing w:line="360" w:lineRule="auto"/>
              <w:ind w:firstLine="480" w:firstLineChars="200"/>
              <w:rPr>
                <w:sz w:val="24"/>
              </w:rPr>
            </w:pPr>
            <w:r>
              <w:rPr>
                <w:rFonts w:hint="eastAsia"/>
                <w:sz w:val="24"/>
              </w:rPr>
              <w:t>本项目所在阜康苏通小微创业园隶属于甘泉堡工业园。</w:t>
            </w:r>
          </w:p>
          <w:p w14:paraId="178559D1">
            <w:pPr>
              <w:spacing w:line="360" w:lineRule="auto"/>
              <w:rPr>
                <w:b/>
                <w:kern w:val="0"/>
                <w:sz w:val="24"/>
              </w:rPr>
            </w:pPr>
            <w:r>
              <w:rPr>
                <w:rFonts w:hint="eastAsia"/>
                <w:b/>
                <w:kern w:val="0"/>
                <w:sz w:val="24"/>
              </w:rPr>
              <w:t>1.与甘泉堡工业园区规划符合性分析</w:t>
            </w:r>
          </w:p>
          <w:p w14:paraId="71D37705">
            <w:pPr>
              <w:spacing w:line="360" w:lineRule="auto"/>
              <w:ind w:firstLine="480" w:firstLineChars="200"/>
              <w:rPr>
                <w:sz w:val="24"/>
              </w:rPr>
            </w:pPr>
            <w:r>
              <w:rPr>
                <w:rFonts w:hint="eastAsia"/>
                <w:sz w:val="24"/>
              </w:rPr>
              <w:t>根据《甘泉堡工业园总体规划（2016-2030年）（2016修订稿）》及其批复园区功能定位为：以实施优势资源转化战略为基础，以高新技术创新研发为先导的新兴战略产业基地，以新能源和优势资源深度开发利用为主，具有循环经济特色，面向中亚和东欧市场的出口加工基地，形成重点发展产业、补充发展产业和配套发展产业“7+3+2”的产业体系。即7种重点发展产业，确保现有煤电煤化工产业以及精细化工业的有序建设、重点发展新能源与新材料工业、先进装备制造业、机电工业（主要是电气设备和通讯设备），积极开拓生物医药、电子信息产业；3种补充发展产业，即新型建材业、有色金属加工业，鼓励发展众筹等小微企业；2种配套发展产业，即生产性服务业和消费性服务业，其中生产性服务业是指以铁路、高速公路为主动脉的物流运输产业，金融服务、信息技术、咨询、教育、产业研发、会展业等；生活性服务业是指商业、文化、休闲、居住等。</w:t>
            </w:r>
          </w:p>
          <w:p w14:paraId="588A01B0">
            <w:pPr>
              <w:spacing w:line="360" w:lineRule="auto"/>
              <w:ind w:firstLine="480" w:firstLineChars="200"/>
              <w:rPr>
                <w:sz w:val="24"/>
              </w:rPr>
            </w:pPr>
            <w:r>
              <w:rPr>
                <w:rFonts w:hint="eastAsia"/>
                <w:sz w:val="24"/>
              </w:rPr>
              <w:t>园区产业空间布局为：规划区划分为十个功能区，即优势资源转化区、经济合作与产业孵化区、新能源工业区、高新技术产业区、科教综合服务新区、物流仓储区、小微企业创新区、商贸物流区、生态保育区和协调发展区。</w:t>
            </w:r>
          </w:p>
          <w:p w14:paraId="416F94FA">
            <w:pPr>
              <w:spacing w:line="360" w:lineRule="auto"/>
              <w:ind w:firstLine="480" w:firstLineChars="200"/>
              <w:rPr>
                <w:sz w:val="24"/>
              </w:rPr>
            </w:pPr>
            <w:r>
              <w:rPr>
                <w:rFonts w:hint="eastAsia"/>
                <w:sz w:val="24"/>
              </w:rPr>
              <w:t>本项目为塑料制品业，属于园区功能定位中鼓励发展的小微企业，项目位于苏通小微产业园，符合园区产业空间布局，因此项目符合园区规划要求。</w:t>
            </w:r>
          </w:p>
          <w:p w14:paraId="70B32511">
            <w:pPr>
              <w:spacing w:line="360" w:lineRule="auto"/>
              <w:rPr>
                <w:b/>
                <w:kern w:val="0"/>
                <w:sz w:val="24"/>
              </w:rPr>
            </w:pPr>
            <w:r>
              <w:rPr>
                <w:rFonts w:hint="eastAsia"/>
                <w:b/>
                <w:kern w:val="0"/>
                <w:sz w:val="24"/>
              </w:rPr>
              <w:t>2. 甘泉堡工业园总体规划修编及规划环评符合性分析</w:t>
            </w:r>
          </w:p>
          <w:p w14:paraId="23A1ECBF">
            <w:pPr>
              <w:spacing w:line="360" w:lineRule="auto"/>
              <w:ind w:firstLine="480" w:firstLineChars="200"/>
              <w:rPr>
                <w:sz w:val="24"/>
              </w:rPr>
            </w:pPr>
            <w:r>
              <w:rPr>
                <w:rFonts w:hint="eastAsia"/>
                <w:sz w:val="24"/>
              </w:rPr>
              <w:t>甘泉堡工业园地处乌鲁木齐市与昌吉州的交界地带，东接准东石油基地，南临小黄山铁路和216国道，西接乌鲁木齐米东区，北至兵团农六师102团（五家渠）。区域中心距乌鲁木齐市中心区45公里，米东新区中心区20公，阜康市中心15公里，准东石油基地5公里。东西跨长约21公里，南北约23公里，周围被五家渠、昌吉、乌鲁木齐、阜康等城市和准东石油基地、农六师102团包围。</w:t>
            </w:r>
          </w:p>
          <w:p w14:paraId="160420B3">
            <w:pPr>
              <w:spacing w:line="360" w:lineRule="auto"/>
              <w:ind w:firstLine="480" w:firstLineChars="200"/>
              <w:rPr>
                <w:sz w:val="24"/>
              </w:rPr>
            </w:pPr>
            <w:r>
              <w:rPr>
                <w:rFonts w:hint="eastAsia"/>
                <w:sz w:val="24"/>
              </w:rPr>
              <w:t>甘泉堡工业园（2012年9月国务院批复了《国务院办公厅关于设立新疆乌鲁木齐甘泉堡经济技术开发区的复函》（国办函﹝2012﹞163号），同意乌鲁木齐甘泉堡工业区更名为甘泉堡经济技术开发区，以下简称甘泉堡工业园）的工业用地；根据《甘泉堡工业园总体规划（2016-2030年）》，乌昌地区未来以实施优势资源转化战略为基础，以高新技术创新研发为先导的新兴战略产业基地，以新能源和优势资源深度开发利用为主，具有循环经济特色，面向中亚和东欧市场的出口加工基地，形成重点发展产业、补充发展产业和配套发展产业“7+3+2”的产业体系。</w:t>
            </w:r>
          </w:p>
          <w:p w14:paraId="3767272E">
            <w:pPr>
              <w:spacing w:line="360" w:lineRule="auto"/>
              <w:ind w:firstLine="480" w:firstLineChars="200"/>
              <w:rPr>
                <w:sz w:val="24"/>
              </w:rPr>
            </w:pPr>
            <w:r>
              <w:rPr>
                <w:rFonts w:hint="eastAsia"/>
                <w:sz w:val="24"/>
              </w:rPr>
              <w:t>（1）重点发展产业：确保现有煤电煤化工产业和精细化工业有序建设，重点发展新能源与新材料工业、先进装备制造业和机电工业（主要是电气设备和通讯设备），积极开拓生物医药、电子信息产业。</w:t>
            </w:r>
          </w:p>
          <w:p w14:paraId="0B56D360">
            <w:pPr>
              <w:spacing w:line="360" w:lineRule="auto"/>
              <w:ind w:firstLine="480" w:firstLineChars="200"/>
              <w:rPr>
                <w:sz w:val="24"/>
              </w:rPr>
            </w:pPr>
            <w:r>
              <w:rPr>
                <w:rFonts w:hint="eastAsia"/>
                <w:sz w:val="24"/>
              </w:rPr>
              <w:t>（2）补充发展产业：合理发展新型建材业和有色金属加工业，鼓励发展众创众筹等小微产业。</w:t>
            </w:r>
          </w:p>
          <w:p w14:paraId="1CF7BE2D">
            <w:pPr>
              <w:spacing w:line="360" w:lineRule="auto"/>
              <w:ind w:firstLine="480" w:firstLineChars="200"/>
              <w:rPr>
                <w:sz w:val="24"/>
              </w:rPr>
            </w:pPr>
            <w:r>
              <w:rPr>
                <w:rFonts w:hint="eastAsia"/>
                <w:sz w:val="24"/>
              </w:rPr>
              <w:t>（3）配套发展产业：包括为生产性服务业和消费性服务业。其中，生产性服务业指以铁路、高速公路为主动脉的物流运输产业，金融服务、信息技术、咨询、教育、产业研发、会展业等；生活性服务业指商业、文化、休闲、居住等。</w:t>
            </w:r>
          </w:p>
          <w:p w14:paraId="674795F1">
            <w:pPr>
              <w:spacing w:line="360" w:lineRule="auto"/>
              <w:ind w:firstLine="480" w:firstLineChars="200"/>
              <w:rPr>
                <w:sz w:val="24"/>
              </w:rPr>
            </w:pPr>
            <w:r>
              <w:rPr>
                <w:rFonts w:hint="eastAsia"/>
                <w:sz w:val="24"/>
              </w:rPr>
              <w:t>规划区划分为十个功能区，即优势资源转化区、经济合作与产业孵化区、新能源工业区、高新技术产业区、科教综合服务新区、物流仓储区、小微企业创新区、商贸物流区、生态保育区和协调发展区。根据图1.1-1园区功能区划图，本项目位于甘泉堡工业园中小微企业创新区。</w:t>
            </w:r>
          </w:p>
          <w:p w14:paraId="40503756">
            <w:pPr>
              <w:spacing w:line="360" w:lineRule="auto"/>
              <w:ind w:firstLine="480" w:firstLineChars="200"/>
              <w:rPr>
                <w:sz w:val="24"/>
              </w:rPr>
            </w:pPr>
            <w:r>
              <w:rPr>
                <w:rFonts w:hint="eastAsia"/>
                <w:sz w:val="24"/>
              </w:rPr>
              <w:t>小微创新区属于阜康市城市总体规划中的阜西工业园区，阜西工业园区总体规划内容包含于《甘泉堡工业园区总体规划（2016- 2030年）》中。小微企业创新区以新型建材产业为主导的集研发孵化、生产加工、商贸交易、物流配送为一体的小微新兴产业企业园。本项目位于小微企业创新区，属于小微产业，与园区产业布局相符。</w:t>
            </w:r>
          </w:p>
          <w:p w14:paraId="6067B096">
            <w:pPr>
              <w:spacing w:line="360" w:lineRule="auto"/>
              <w:ind w:firstLine="480" w:firstLineChars="200"/>
              <w:rPr>
                <w:sz w:val="24"/>
              </w:rPr>
            </w:pPr>
            <w:r>
              <w:rPr>
                <w:rFonts w:hint="eastAsia"/>
                <w:sz w:val="24"/>
              </w:rPr>
              <w:t>根据《关于甘泉堡工业园总体规划（2016-2030年）环境影响报告书的审查意见》（新环函〔2018〕368号）：“园区位于乌鲁木齐、昌吉、石河子、五家渠区域环境同防同治区的重点区域，不宜布局建设煤化工、电解铝、燃煤纯发电机组、金属硅、碳化硅、聚氯乙烯（电石法）、焦炭（含半焦）等行业的新增产能项目，加快钢铁、水泥、焦炭、玻璃、煤炭等行业落后产能淘汰力度”，本项目为砖瓦、石材等建筑材料制造，不属于钢铁、水泥、焦炭、玻璃、煤炭等行业落后产能，符合产业政策、相关规划、规划环境影响评价结论及审查意见要求。</w:t>
            </w:r>
          </w:p>
          <w:p w14:paraId="4755394C">
            <w:pPr>
              <w:spacing w:line="360" w:lineRule="auto"/>
              <w:ind w:firstLine="480" w:firstLineChars="200"/>
              <w:rPr>
                <w:sz w:val="24"/>
              </w:rPr>
            </w:pPr>
            <w:r>
              <w:rPr>
                <w:rFonts w:hint="eastAsia"/>
                <w:sz w:val="24"/>
              </w:rPr>
              <w:t>《关于甘泉堡工业园总体规划（2016-2030年）环境影响报告书的审查意见》（新环函〔2018〕368号）提出“坚守环境质量底线，严格污染物总量管控。根据规划区域及周边环境质量现状和目标，确定区域污染物排放总量上限，落实园区煤炭及其他颗粒状物料储运全封闭防尘措施，采取有效措施减少二氧化硫、氮氧化物、挥发性有机物、颗粒物、化学需氧量、氨氮、重金属等污染物的排放量，落实国家和自治区重点区域污染物特别排放限值。</w:t>
            </w:r>
          </w:p>
          <w:p w14:paraId="2B83E7BC">
            <w:pPr>
              <w:spacing w:line="360" w:lineRule="auto"/>
              <w:ind w:firstLine="480" w:firstLineChars="200"/>
              <w:rPr>
                <w:color w:val="FF0000"/>
                <w:sz w:val="24"/>
              </w:rPr>
            </w:pPr>
            <w:r>
              <w:rPr>
                <w:rFonts w:hint="eastAsia"/>
                <w:sz w:val="24"/>
              </w:rPr>
              <w:t>本项目生产均在封闭厂房内进行，非甲烷总烃由集气罩收集后经活性炭吸附+催化燃烧装置处理后，最终通过15m高的排气筒排放，可满足《合成树脂工业污染物排放标准》（GB31572-2015）表5限值要求。</w:t>
            </w:r>
          </w:p>
          <w:p w14:paraId="7E5DE9F0">
            <w:pPr>
              <w:spacing w:line="360" w:lineRule="auto"/>
              <w:ind w:firstLine="480" w:firstLineChars="200"/>
              <w:rPr>
                <w:sz w:val="24"/>
              </w:rPr>
            </w:pPr>
            <w:r>
              <w:rPr>
                <w:rFonts w:hint="eastAsia"/>
                <w:sz w:val="24"/>
              </w:rPr>
              <w:t>本项目严格控制用水量，新鲜水仅用于冷却用水，符合《关于甘泉堡工业园总体规划（2016-2030年）环境影响报告书的审查意见》（新环函〔2018〕368号）提出“严格控制用水总量，提高用水效率，合理控制排污，严守水资源‘三条红线’”等要求。</w:t>
            </w:r>
          </w:p>
          <w:p w14:paraId="73E4A9CD">
            <w:pPr>
              <w:spacing w:line="360" w:lineRule="auto"/>
              <w:ind w:firstLine="480" w:firstLineChars="200"/>
            </w:pPr>
            <w:r>
              <w:rPr>
                <w:rFonts w:hint="eastAsia"/>
                <w:sz w:val="24"/>
              </w:rPr>
              <w:t>因此，本项目符合甘泉堡工业园产业布局、园区规划以及规划环评审查意见。</w:t>
            </w:r>
          </w:p>
        </w:tc>
      </w:tr>
      <w:tr w14:paraId="0FC2F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10" w:type="dxa"/>
            <w:vAlign w:val="center"/>
          </w:tcPr>
          <w:p w14:paraId="59A6F5A2">
            <w:pPr>
              <w:autoSpaceDE w:val="0"/>
              <w:autoSpaceDN w:val="0"/>
              <w:adjustRightInd w:val="0"/>
              <w:snapToGrid w:val="0"/>
              <w:jc w:val="center"/>
              <w:rPr>
                <w:color w:val="000000"/>
                <w:kern w:val="0"/>
                <w:szCs w:val="21"/>
              </w:rPr>
            </w:pPr>
            <w:r>
              <w:rPr>
                <w:color w:val="000000"/>
                <w:kern w:val="0"/>
                <w:sz w:val="24"/>
              </w:rPr>
              <w:t>其他符合性分析</w:t>
            </w:r>
          </w:p>
        </w:tc>
        <w:tc>
          <w:tcPr>
            <w:tcW w:w="6660" w:type="dxa"/>
            <w:gridSpan w:val="3"/>
            <w:vAlign w:val="center"/>
          </w:tcPr>
          <w:p w14:paraId="752A317F">
            <w:pPr>
              <w:pStyle w:val="3"/>
              <w:rPr>
                <w:sz w:val="24"/>
                <w:szCs w:val="24"/>
              </w:rPr>
            </w:pPr>
            <w:r>
              <w:rPr>
                <w:sz w:val="24"/>
                <w:szCs w:val="24"/>
              </w:rPr>
              <w:t>1.政策</w:t>
            </w:r>
            <w:r>
              <w:rPr>
                <w:rFonts w:hint="eastAsia"/>
                <w:sz w:val="24"/>
                <w:szCs w:val="24"/>
              </w:rPr>
              <w:t>符合性分析</w:t>
            </w:r>
          </w:p>
          <w:p w14:paraId="6EB9D9AF">
            <w:pPr>
              <w:pStyle w:val="55"/>
              <w:ind w:firstLine="480"/>
            </w:pPr>
            <w:r>
              <w:t>根据国家发展和改革委员会发布的《产业结构调整指导目录》（2019年本）</w:t>
            </w:r>
            <w:r>
              <w:rPr>
                <w:rFonts w:hint="eastAsia"/>
                <w:spacing w:val="-2"/>
              </w:rPr>
              <w:t>（2021年</w:t>
            </w:r>
            <w:r>
              <w:rPr>
                <w:spacing w:val="-2"/>
              </w:rPr>
              <w:t>修订</w:t>
            </w:r>
            <w:r>
              <w:rPr>
                <w:rFonts w:hint="eastAsia"/>
                <w:spacing w:val="-2"/>
              </w:rPr>
              <w:t>）</w:t>
            </w:r>
            <w:r>
              <w:t>，本项目不属于鼓励类、限制类和淘汰类项目</w:t>
            </w:r>
            <w:r>
              <w:rPr>
                <w:rFonts w:hint="eastAsia"/>
              </w:rPr>
              <w:t>，</w:t>
            </w:r>
            <w:r>
              <w:t>为允许类，符合国家的产业政策。</w:t>
            </w:r>
          </w:p>
          <w:p w14:paraId="6AE0F4D9">
            <w:pPr>
              <w:pStyle w:val="3"/>
              <w:rPr>
                <w:sz w:val="24"/>
                <w:szCs w:val="24"/>
              </w:rPr>
            </w:pPr>
            <w:r>
              <w:rPr>
                <w:sz w:val="24"/>
                <w:szCs w:val="24"/>
              </w:rPr>
              <w:t>2.“三线一单”</w:t>
            </w:r>
            <w:r>
              <w:rPr>
                <w:rFonts w:hint="eastAsia"/>
                <w:sz w:val="24"/>
                <w:szCs w:val="24"/>
              </w:rPr>
              <w:t>符合性</w:t>
            </w:r>
            <w:r>
              <w:rPr>
                <w:sz w:val="24"/>
                <w:szCs w:val="24"/>
              </w:rPr>
              <w:t>分析</w:t>
            </w:r>
          </w:p>
          <w:p w14:paraId="531E26C9">
            <w:pPr>
              <w:pStyle w:val="3"/>
              <w:rPr>
                <w:sz w:val="24"/>
                <w:szCs w:val="24"/>
              </w:rPr>
            </w:pPr>
            <w:r>
              <w:rPr>
                <w:sz w:val="24"/>
                <w:szCs w:val="24"/>
              </w:rPr>
              <w:t>2.1</w:t>
            </w:r>
            <w:r>
              <w:rPr>
                <w:rFonts w:hint="eastAsia"/>
                <w:sz w:val="24"/>
                <w:szCs w:val="24"/>
              </w:rPr>
              <w:t>与《新疆维吾尔自治区“三线一单”生态环境分区管控要求》（新环环评发〔2021〕18号）的符合性分析</w:t>
            </w:r>
          </w:p>
          <w:p w14:paraId="46C2D3E5">
            <w:pPr>
              <w:pStyle w:val="6"/>
              <w:rPr>
                <w:rFonts w:ascii="Times New Roman" w:hAnsi="Times New Roman" w:eastAsia="宋体"/>
              </w:rPr>
            </w:pPr>
            <w:r>
              <w:rPr>
                <w:rFonts w:ascii="Times New Roman" w:hAnsi="Times New Roman" w:eastAsia="宋体"/>
              </w:rPr>
              <w:t xml:space="preserve">表1-1   </w:t>
            </w:r>
            <w:r>
              <w:rPr>
                <w:rFonts w:hint="eastAsia" w:ascii="Times New Roman" w:hAnsi="Times New Roman" w:eastAsia="宋体"/>
              </w:rPr>
              <w:t>《新疆维吾尔自治区“三线一单”生态环境分区管控要求》</w:t>
            </w:r>
          </w:p>
          <w:p w14:paraId="3B47E117">
            <w:pPr>
              <w:pStyle w:val="6"/>
              <w:rPr>
                <w:rFonts w:ascii="Times New Roman" w:hAnsi="Times New Roman" w:eastAsia="宋体"/>
              </w:rPr>
            </w:pPr>
            <w:r>
              <w:rPr>
                <w:rFonts w:ascii="Times New Roman" w:hAnsi="Times New Roman" w:eastAsia="宋体"/>
              </w:rPr>
              <w:t>符合性分析</w:t>
            </w:r>
          </w:p>
          <w:tbl>
            <w:tblPr>
              <w:tblStyle w:val="30"/>
              <w:tblW w:w="6937"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39"/>
              <w:gridCol w:w="3191"/>
              <w:gridCol w:w="2410"/>
              <w:gridCol w:w="897"/>
            </w:tblGrid>
            <w:tr w14:paraId="1ED1CE9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439" w:type="dxa"/>
                  <w:vAlign w:val="center"/>
                </w:tcPr>
                <w:p w14:paraId="4F931495">
                  <w:pPr>
                    <w:jc w:val="center"/>
                    <w:rPr>
                      <w:b/>
                      <w:bCs/>
                      <w:szCs w:val="21"/>
                    </w:rPr>
                  </w:pPr>
                  <w:r>
                    <w:rPr>
                      <w:b/>
                      <w:bCs/>
                      <w:szCs w:val="21"/>
                    </w:rPr>
                    <w:t>内容</w:t>
                  </w:r>
                </w:p>
              </w:tc>
              <w:tc>
                <w:tcPr>
                  <w:tcW w:w="3191" w:type="dxa"/>
                  <w:vAlign w:val="center"/>
                </w:tcPr>
                <w:p w14:paraId="5889812D">
                  <w:pPr>
                    <w:pStyle w:val="116"/>
                    <w:spacing w:line="240" w:lineRule="auto"/>
                    <w:rPr>
                      <w:b/>
                    </w:rPr>
                  </w:pPr>
                  <w:r>
                    <w:rPr>
                      <w:b/>
                    </w:rPr>
                    <w:t>具体要求</w:t>
                  </w:r>
                </w:p>
              </w:tc>
              <w:tc>
                <w:tcPr>
                  <w:tcW w:w="2410" w:type="dxa"/>
                  <w:vAlign w:val="center"/>
                </w:tcPr>
                <w:p w14:paraId="2E2D8E84">
                  <w:pPr>
                    <w:jc w:val="center"/>
                    <w:rPr>
                      <w:b/>
                      <w:bCs/>
                      <w:szCs w:val="21"/>
                    </w:rPr>
                  </w:pPr>
                  <w:r>
                    <w:rPr>
                      <w:b/>
                      <w:bCs/>
                      <w:szCs w:val="21"/>
                    </w:rPr>
                    <w:t>本项目建设内容</w:t>
                  </w:r>
                </w:p>
              </w:tc>
              <w:tc>
                <w:tcPr>
                  <w:tcW w:w="897" w:type="dxa"/>
                  <w:vAlign w:val="center"/>
                </w:tcPr>
                <w:p w14:paraId="24C11866">
                  <w:pPr>
                    <w:jc w:val="center"/>
                    <w:rPr>
                      <w:b/>
                      <w:bCs/>
                      <w:szCs w:val="21"/>
                    </w:rPr>
                  </w:pPr>
                  <w:r>
                    <w:rPr>
                      <w:b/>
                      <w:bCs/>
                      <w:szCs w:val="21"/>
                    </w:rPr>
                    <w:t>符合性</w:t>
                  </w:r>
                </w:p>
              </w:tc>
            </w:tr>
            <w:tr w14:paraId="7BCD54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439" w:type="dxa"/>
                  <w:vAlign w:val="center"/>
                </w:tcPr>
                <w:p w14:paraId="71EFEA12">
                  <w:pPr>
                    <w:wordWrap w:val="0"/>
                    <w:topLinePunct/>
                    <w:snapToGrid w:val="0"/>
                    <w:jc w:val="center"/>
                    <w:rPr>
                      <w:szCs w:val="21"/>
                    </w:rPr>
                  </w:pPr>
                  <w:r>
                    <w:rPr>
                      <w:szCs w:val="21"/>
                    </w:rPr>
                    <w:t>生态保护红线</w:t>
                  </w:r>
                </w:p>
              </w:tc>
              <w:tc>
                <w:tcPr>
                  <w:tcW w:w="3191" w:type="dxa"/>
                  <w:vAlign w:val="center"/>
                </w:tcPr>
                <w:p w14:paraId="1BF3A59C">
                  <w:pPr>
                    <w:adjustRightInd w:val="0"/>
                    <w:snapToGrid w:val="0"/>
                    <w:rPr>
                      <w:kern w:val="0"/>
                      <w:szCs w:val="21"/>
                    </w:rPr>
                  </w:pPr>
                  <w:r>
                    <w:rPr>
                      <w:kern w:val="0"/>
                      <w:szCs w:val="21"/>
                    </w:rPr>
                    <w:t>生态保护红线是生态空间范围内具有特殊重要生态功能必须实行强制性保护的区域。相关规划环评将生态空间管控作为重要内容，规划区涉及生态保护红线的，在规划环评结论和审查意见中落实生态保护红线的管理要求，提出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2410" w:type="dxa"/>
                  <w:vAlign w:val="center"/>
                </w:tcPr>
                <w:p w14:paraId="6D2508E4">
                  <w:pPr>
                    <w:topLinePunct/>
                    <w:snapToGrid w:val="0"/>
                    <w:rPr>
                      <w:szCs w:val="21"/>
                    </w:rPr>
                  </w:pPr>
                  <w:r>
                    <w:rPr>
                      <w:rFonts w:hint="eastAsia"/>
                      <w:szCs w:val="21"/>
                    </w:rPr>
                    <w:t>项目位于阜康市苏通小微创业园，不涉及生态红线保护区域，不会影响所在区域内生态服务功能</w:t>
                  </w:r>
                  <w:r>
                    <w:rPr>
                      <w:szCs w:val="21"/>
                    </w:rPr>
                    <w:t>。</w:t>
                  </w:r>
                </w:p>
              </w:tc>
              <w:tc>
                <w:tcPr>
                  <w:tcW w:w="897" w:type="dxa"/>
                  <w:vAlign w:val="center"/>
                </w:tcPr>
                <w:p w14:paraId="40D30E03">
                  <w:pPr>
                    <w:wordWrap w:val="0"/>
                    <w:topLinePunct/>
                    <w:snapToGrid w:val="0"/>
                    <w:jc w:val="center"/>
                    <w:rPr>
                      <w:kern w:val="0"/>
                      <w:szCs w:val="21"/>
                    </w:rPr>
                  </w:pPr>
                  <w:r>
                    <w:rPr>
                      <w:szCs w:val="21"/>
                    </w:rPr>
                    <w:t>符合</w:t>
                  </w:r>
                </w:p>
              </w:tc>
            </w:tr>
            <w:tr w14:paraId="1338BA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439" w:type="dxa"/>
                  <w:vAlign w:val="center"/>
                </w:tcPr>
                <w:p w14:paraId="0F25AF7C">
                  <w:pPr>
                    <w:wordWrap w:val="0"/>
                    <w:topLinePunct/>
                    <w:snapToGrid w:val="0"/>
                    <w:jc w:val="center"/>
                    <w:rPr>
                      <w:szCs w:val="21"/>
                    </w:rPr>
                  </w:pPr>
                  <w:r>
                    <w:rPr>
                      <w:szCs w:val="21"/>
                    </w:rPr>
                    <w:t>资源利用上线</w:t>
                  </w:r>
                </w:p>
              </w:tc>
              <w:tc>
                <w:tcPr>
                  <w:tcW w:w="3191" w:type="dxa"/>
                  <w:vAlign w:val="center"/>
                </w:tcPr>
                <w:p w14:paraId="33C9DD52">
                  <w:pPr>
                    <w:adjustRightInd w:val="0"/>
                    <w:snapToGrid w:val="0"/>
                    <w:jc w:val="center"/>
                    <w:rPr>
                      <w:kern w:val="0"/>
                      <w:szCs w:val="21"/>
                    </w:rPr>
                  </w:pPr>
                  <w:r>
                    <w:rPr>
                      <w:szCs w:val="21"/>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2410" w:type="dxa"/>
                  <w:vAlign w:val="center"/>
                </w:tcPr>
                <w:p w14:paraId="623C723F">
                  <w:pPr>
                    <w:topLinePunct/>
                    <w:snapToGrid w:val="0"/>
                    <w:rPr>
                      <w:kern w:val="0"/>
                      <w:szCs w:val="21"/>
                      <w:lang w:bidi="ar"/>
                    </w:rPr>
                  </w:pPr>
                  <w:r>
                    <w:rPr>
                      <w:rFonts w:hint="eastAsia"/>
                      <w:szCs w:val="21"/>
                    </w:rPr>
                    <w:t>本项目生产工艺主要消耗电能、水，项目用地为原有已建好的厂房，属于工业用地。项目资源、能源消耗满足国家、自治区下达的总量和强度控制目标。</w:t>
                  </w:r>
                </w:p>
              </w:tc>
              <w:tc>
                <w:tcPr>
                  <w:tcW w:w="897" w:type="dxa"/>
                  <w:vAlign w:val="center"/>
                </w:tcPr>
                <w:p w14:paraId="43F7C476">
                  <w:pPr>
                    <w:wordWrap w:val="0"/>
                    <w:topLinePunct/>
                    <w:snapToGrid w:val="0"/>
                    <w:jc w:val="center"/>
                    <w:rPr>
                      <w:szCs w:val="21"/>
                    </w:rPr>
                  </w:pPr>
                  <w:r>
                    <w:rPr>
                      <w:szCs w:val="21"/>
                    </w:rPr>
                    <w:t>符合</w:t>
                  </w:r>
                </w:p>
              </w:tc>
            </w:tr>
            <w:tr w14:paraId="28F4E7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439" w:type="dxa"/>
                  <w:vAlign w:val="center"/>
                </w:tcPr>
                <w:p w14:paraId="0247A1F5">
                  <w:pPr>
                    <w:wordWrap w:val="0"/>
                    <w:topLinePunct/>
                    <w:snapToGrid w:val="0"/>
                    <w:jc w:val="center"/>
                    <w:rPr>
                      <w:kern w:val="0"/>
                      <w:szCs w:val="21"/>
                    </w:rPr>
                  </w:pPr>
                  <w:r>
                    <w:rPr>
                      <w:szCs w:val="21"/>
                    </w:rPr>
                    <w:t>环境质量底线</w:t>
                  </w:r>
                </w:p>
              </w:tc>
              <w:tc>
                <w:tcPr>
                  <w:tcW w:w="3191" w:type="dxa"/>
                  <w:vAlign w:val="center"/>
                </w:tcPr>
                <w:p w14:paraId="111CDDD1">
                  <w:pPr>
                    <w:pStyle w:val="116"/>
                    <w:spacing w:line="240" w:lineRule="auto"/>
                    <w:ind w:firstLine="420"/>
                    <w:jc w:val="both"/>
                  </w:pPr>
                  <w: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总量控制要求。</w:t>
                  </w:r>
                </w:p>
              </w:tc>
              <w:tc>
                <w:tcPr>
                  <w:tcW w:w="2410" w:type="dxa"/>
                  <w:vAlign w:val="center"/>
                </w:tcPr>
                <w:p w14:paraId="1B765C0B">
                  <w:pPr>
                    <w:wordWrap w:val="0"/>
                    <w:topLinePunct/>
                    <w:snapToGrid w:val="0"/>
                    <w:rPr>
                      <w:szCs w:val="21"/>
                    </w:rPr>
                  </w:pPr>
                  <w:r>
                    <w:rPr>
                      <w:rFonts w:hint="eastAsia"/>
                      <w:szCs w:val="21"/>
                    </w:rPr>
                    <w:t>项目运营期无生产废水，生活污水排入市政管网，进入阜康市西部城区污水处理厂处置，项目为扩建项目，不新增劳动定员，无新增生活污水，不会对地表水系产生影响；项目产生的有机废气经集气罩收集后经活性炭吸附+催化燃烧装置处理后，最终通过15m高的排气筒排放；粉尘经集气罩收集经布袋除尘器处理后由1</w:t>
                  </w:r>
                  <w:r>
                    <w:rPr>
                      <w:szCs w:val="21"/>
                    </w:rPr>
                    <w:t>5</w:t>
                  </w:r>
                  <w:r>
                    <w:rPr>
                      <w:rFonts w:hint="eastAsia"/>
                      <w:szCs w:val="21"/>
                    </w:rPr>
                    <w:t>m高排气筒排放。固废合理贮存、处置并配套相关防止污染环境的措施；上述措施能确保本项目污染物对环境质量的影响降到最小，不突破所在区域环境质量底线。</w:t>
                  </w:r>
                </w:p>
              </w:tc>
              <w:tc>
                <w:tcPr>
                  <w:tcW w:w="897" w:type="dxa"/>
                  <w:vAlign w:val="center"/>
                </w:tcPr>
                <w:p w14:paraId="26B5D68F">
                  <w:pPr>
                    <w:wordWrap w:val="0"/>
                    <w:topLinePunct/>
                    <w:snapToGrid w:val="0"/>
                    <w:jc w:val="center"/>
                    <w:rPr>
                      <w:szCs w:val="21"/>
                    </w:rPr>
                  </w:pPr>
                  <w:r>
                    <w:rPr>
                      <w:szCs w:val="21"/>
                    </w:rPr>
                    <w:t>符合</w:t>
                  </w:r>
                </w:p>
              </w:tc>
            </w:tr>
            <w:tr w14:paraId="4660A4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439" w:type="dxa"/>
                  <w:vAlign w:val="center"/>
                </w:tcPr>
                <w:p w14:paraId="56543CF3">
                  <w:pPr>
                    <w:wordWrap w:val="0"/>
                    <w:topLinePunct/>
                    <w:snapToGrid w:val="0"/>
                    <w:jc w:val="center"/>
                    <w:rPr>
                      <w:szCs w:val="21"/>
                    </w:rPr>
                  </w:pPr>
                  <w:r>
                    <w:rPr>
                      <w:szCs w:val="21"/>
                    </w:rPr>
                    <w:t>环境准入清单</w:t>
                  </w:r>
                </w:p>
              </w:tc>
              <w:tc>
                <w:tcPr>
                  <w:tcW w:w="3191" w:type="dxa"/>
                  <w:vAlign w:val="center"/>
                </w:tcPr>
                <w:p w14:paraId="78B30D31">
                  <w:pPr>
                    <w:adjustRightInd w:val="0"/>
                    <w:snapToGrid w:val="0"/>
                    <w:jc w:val="center"/>
                    <w:rPr>
                      <w:kern w:val="0"/>
                      <w:szCs w:val="21"/>
                    </w:rPr>
                  </w:pPr>
                  <w:r>
                    <w:rPr>
                      <w:kern w:val="0"/>
                      <w:szCs w:val="21"/>
                    </w:rPr>
                    <w:t>环境准入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清单，充分发挥清单对产业发展和项目准入的指导和约束作用。</w:t>
                  </w:r>
                </w:p>
              </w:tc>
              <w:tc>
                <w:tcPr>
                  <w:tcW w:w="2410" w:type="dxa"/>
                  <w:vAlign w:val="center"/>
                </w:tcPr>
                <w:p w14:paraId="080E059E">
                  <w:pPr>
                    <w:topLinePunct/>
                    <w:snapToGrid w:val="0"/>
                    <w:rPr>
                      <w:szCs w:val="21"/>
                      <w:highlight w:val="yellow"/>
                    </w:rPr>
                  </w:pPr>
                  <w:r>
                    <w:rPr>
                      <w:szCs w:val="21"/>
                    </w:rPr>
                    <w:t>建设项目位于</w:t>
                  </w:r>
                  <w:r>
                    <w:rPr>
                      <w:rFonts w:hint="eastAsia"/>
                      <w:szCs w:val="21"/>
                    </w:rPr>
                    <w:t>阜康苏通小微创业园</w:t>
                  </w:r>
                  <w:r>
                    <w:rPr>
                      <w:szCs w:val="21"/>
                    </w:rPr>
                    <w:t>，项目区不涉及生态保护红线，选址较为合理；资源利用量较少；项目未列入《新疆重点生态功能区产业准入清单》中限制类和禁止类。</w:t>
                  </w:r>
                </w:p>
              </w:tc>
              <w:tc>
                <w:tcPr>
                  <w:tcW w:w="897" w:type="dxa"/>
                  <w:vAlign w:val="center"/>
                </w:tcPr>
                <w:p w14:paraId="1CFA38C5">
                  <w:pPr>
                    <w:wordWrap w:val="0"/>
                    <w:topLinePunct/>
                    <w:snapToGrid w:val="0"/>
                    <w:jc w:val="center"/>
                    <w:rPr>
                      <w:szCs w:val="21"/>
                    </w:rPr>
                  </w:pPr>
                  <w:r>
                    <w:rPr>
                      <w:szCs w:val="21"/>
                    </w:rPr>
                    <w:t>符合</w:t>
                  </w:r>
                </w:p>
              </w:tc>
            </w:tr>
          </w:tbl>
          <w:p w14:paraId="048623B2">
            <w:pPr>
              <w:pStyle w:val="3"/>
              <w:rPr>
                <w:sz w:val="24"/>
                <w:szCs w:val="24"/>
              </w:rPr>
            </w:pPr>
            <w:r>
              <w:rPr>
                <w:sz w:val="24"/>
                <w:szCs w:val="24"/>
              </w:rPr>
              <w:t>2.2</w:t>
            </w:r>
            <w:r>
              <w:rPr>
                <w:rFonts w:hint="eastAsia"/>
                <w:sz w:val="24"/>
                <w:szCs w:val="24"/>
              </w:rPr>
              <w:t>与《</w:t>
            </w:r>
            <w:r>
              <w:rPr>
                <w:sz w:val="24"/>
                <w:szCs w:val="24"/>
              </w:rPr>
              <w:t>昌吉回族自治州“三线一单”生态环境分区管控方案及生态环境准入清单</w:t>
            </w:r>
            <w:r>
              <w:rPr>
                <w:rFonts w:hint="eastAsia"/>
                <w:sz w:val="24"/>
                <w:szCs w:val="24"/>
              </w:rPr>
              <w:t>》（昌州政办发〔2021〕41号）符合性分析</w:t>
            </w:r>
          </w:p>
          <w:p w14:paraId="291407A2">
            <w:pPr>
              <w:pStyle w:val="51"/>
              <w:spacing w:line="360" w:lineRule="auto"/>
              <w:ind w:firstLine="480"/>
              <w:jc w:val="both"/>
            </w:pPr>
            <w:r>
              <w:t>本项目位于</w:t>
            </w:r>
            <w:r>
              <w:rPr>
                <w:rFonts w:hint="eastAsia"/>
                <w:szCs w:val="24"/>
              </w:rPr>
              <w:t>阜康市产业园阜西区苏通小微创业园</w:t>
            </w:r>
            <w:r>
              <w:rPr>
                <w:szCs w:val="24"/>
              </w:rPr>
              <w:t>，根据《昌吉回族自治州“三线一单”生态环境分区管控方案及生态环境准入清单》本项目</w:t>
            </w:r>
            <w:r>
              <w:t>所属为文件中“</w:t>
            </w:r>
            <w:r>
              <w:rPr>
                <w:rFonts w:hint="eastAsia"/>
              </w:rPr>
              <w:t>阜康市重点</w:t>
            </w:r>
            <w:r>
              <w:t>管控单元”，环境管控单元编码：ZH65230220003。本项目与其符合情况见下表1-2，环境管控单元分类图见附图。</w:t>
            </w:r>
          </w:p>
          <w:p w14:paraId="00758C86">
            <w:pPr>
              <w:pStyle w:val="6"/>
              <w:rPr>
                <w:rFonts w:ascii="Times New Roman" w:hAnsi="Times New Roman"/>
              </w:rPr>
            </w:pPr>
            <w:r>
              <w:rPr>
                <w:rFonts w:ascii="Times New Roman" w:hAnsi="Times New Roman" w:eastAsia="宋体"/>
              </w:rPr>
              <w:t>表1-2  项目与</w:t>
            </w:r>
            <w:r>
              <w:rPr>
                <w:rFonts w:hint="eastAsia" w:ascii="Times New Roman" w:hAnsi="Times New Roman" w:eastAsia="宋体"/>
              </w:rPr>
              <w:t>《昌吉回族自治州“三线一单”生态环境分区管控方案及生态环境准入清单》</w:t>
            </w:r>
            <w:r>
              <w:rPr>
                <w:rFonts w:ascii="Times New Roman" w:hAnsi="Times New Roman" w:eastAsia="宋体"/>
              </w:rPr>
              <w:t>符合性分析</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626"/>
              <w:gridCol w:w="749"/>
              <w:gridCol w:w="3327"/>
              <w:gridCol w:w="1737"/>
              <w:gridCol w:w="539"/>
            </w:tblGrid>
            <w:tr w14:paraId="199B53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63" w:type="pct"/>
                  <w:vAlign w:val="center"/>
                </w:tcPr>
                <w:p w14:paraId="389CACC6">
                  <w:pPr>
                    <w:pStyle w:val="54"/>
                    <w:rPr>
                      <w:rFonts w:ascii="Times New Roman" w:hAnsi="Times New Roman"/>
                    </w:rPr>
                  </w:pPr>
                  <w:r>
                    <w:rPr>
                      <w:rFonts w:ascii="Times New Roman" w:hAnsi="Times New Roman"/>
                    </w:rPr>
                    <w:t>管控单元名称</w:t>
                  </w:r>
                </w:p>
              </w:tc>
              <w:tc>
                <w:tcPr>
                  <w:tcW w:w="2948" w:type="pct"/>
                  <w:gridSpan w:val="2"/>
                  <w:vAlign w:val="center"/>
                </w:tcPr>
                <w:p w14:paraId="6D9CF554">
                  <w:pPr>
                    <w:pStyle w:val="54"/>
                    <w:rPr>
                      <w:rFonts w:ascii="Times New Roman" w:hAnsi="Times New Roman"/>
                    </w:rPr>
                  </w:pPr>
                  <w:r>
                    <w:rPr>
                      <w:rFonts w:ascii="Times New Roman" w:hAnsi="Times New Roman"/>
                    </w:rPr>
                    <w:t>管控要求</w:t>
                  </w:r>
                </w:p>
              </w:tc>
              <w:tc>
                <w:tcPr>
                  <w:tcW w:w="1188" w:type="pct"/>
                  <w:vAlign w:val="center"/>
                </w:tcPr>
                <w:p w14:paraId="397C952C">
                  <w:pPr>
                    <w:pStyle w:val="54"/>
                    <w:rPr>
                      <w:rFonts w:ascii="Times New Roman" w:hAnsi="Times New Roman"/>
                    </w:rPr>
                  </w:pPr>
                  <w:r>
                    <w:rPr>
                      <w:rFonts w:ascii="Times New Roman" w:hAnsi="Times New Roman"/>
                    </w:rPr>
                    <w:t>项目情况</w:t>
                  </w:r>
                </w:p>
              </w:tc>
              <w:tc>
                <w:tcPr>
                  <w:tcW w:w="400" w:type="pct"/>
                  <w:vAlign w:val="center"/>
                </w:tcPr>
                <w:p w14:paraId="7B7383FC">
                  <w:pPr>
                    <w:pStyle w:val="54"/>
                    <w:rPr>
                      <w:rFonts w:ascii="Times New Roman" w:hAnsi="Times New Roman"/>
                    </w:rPr>
                  </w:pPr>
                  <w:r>
                    <w:rPr>
                      <w:rFonts w:ascii="Times New Roman" w:hAnsi="Times New Roman"/>
                    </w:rPr>
                    <w:t>符合性</w:t>
                  </w:r>
                </w:p>
              </w:tc>
            </w:tr>
            <w:tr w14:paraId="3BAD75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63" w:type="pct"/>
                  <w:vMerge w:val="restart"/>
                  <w:vAlign w:val="center"/>
                </w:tcPr>
                <w:p w14:paraId="76EFB530">
                  <w:pPr>
                    <w:pStyle w:val="54"/>
                    <w:rPr>
                      <w:rFonts w:ascii="Times New Roman" w:hAnsi="Times New Roman"/>
                    </w:rPr>
                  </w:pPr>
                  <w:r>
                    <w:rPr>
                      <w:rFonts w:ascii="Times New Roman" w:hAnsi="Times New Roman"/>
                    </w:rPr>
                    <w:t>阜康</w:t>
                  </w:r>
                  <w:r>
                    <w:rPr>
                      <w:rFonts w:hint="eastAsia" w:ascii="Times New Roman" w:hAnsi="Times New Roman"/>
                    </w:rPr>
                    <w:t>产业园区</w:t>
                  </w:r>
                  <w:r>
                    <w:rPr>
                      <w:rFonts w:ascii="Times New Roman" w:hAnsi="Times New Roman"/>
                    </w:rPr>
                    <w:t>区</w:t>
                  </w:r>
                </w:p>
              </w:tc>
              <w:tc>
                <w:tcPr>
                  <w:tcW w:w="551" w:type="pct"/>
                  <w:vAlign w:val="center"/>
                </w:tcPr>
                <w:p w14:paraId="6506E992">
                  <w:pPr>
                    <w:pStyle w:val="54"/>
                    <w:rPr>
                      <w:rFonts w:ascii="Times New Roman" w:hAnsi="Times New Roman"/>
                    </w:rPr>
                  </w:pPr>
                  <w:r>
                    <w:rPr>
                      <w:rFonts w:ascii="Times New Roman" w:hAnsi="Times New Roman"/>
                    </w:rPr>
                    <w:t>空间布局约束</w:t>
                  </w:r>
                </w:p>
              </w:tc>
              <w:tc>
                <w:tcPr>
                  <w:tcW w:w="2398" w:type="pct"/>
                  <w:vAlign w:val="center"/>
                </w:tcPr>
                <w:p w14:paraId="553B7F0C">
                  <w:pPr>
                    <w:pStyle w:val="54"/>
                    <w:rPr>
                      <w:rFonts w:ascii="Times New Roman" w:hAnsi="Times New Roman"/>
                    </w:rPr>
                  </w:pPr>
                  <w:r>
                    <w:rPr>
                      <w:rFonts w:hint="eastAsia" w:ascii="Times New Roman" w:hAnsi="Times New Roman"/>
                    </w:rPr>
                    <w:t>1、执行自治区、乌昌石片区总体准入要求中关于重点管控单元空间布局约束的准入要求（表2-3 A6.1、表3.4-2 B1）。</w:t>
                  </w:r>
                </w:p>
                <w:p w14:paraId="6685D69C">
                  <w:pPr>
                    <w:pStyle w:val="54"/>
                    <w:rPr>
                      <w:rFonts w:ascii="Times New Roman" w:hAnsi="Times New Roman"/>
                    </w:rPr>
                  </w:pPr>
                  <w:r>
                    <w:rPr>
                      <w:rFonts w:hint="eastAsia" w:ascii="Times New Roman" w:hAnsi="Times New Roman"/>
                    </w:rPr>
                    <w:t>2、入园企业需符合园区产业发展定位，产业发展以有色金属冶炼及精深加工、氯碱精细化工、煤电精细化工、新型建材产业、仓储物流及装备制造六大产业为主导。</w:t>
                  </w:r>
                </w:p>
                <w:p w14:paraId="3787040D">
                  <w:pPr>
                    <w:pStyle w:val="54"/>
                    <w:rPr>
                      <w:rFonts w:ascii="Times New Roman" w:hAnsi="Times New Roman"/>
                    </w:rPr>
                  </w:pPr>
                  <w:r>
                    <w:rPr>
                      <w:rFonts w:hint="eastAsia" w:ascii="Times New Roman" w:hAnsi="Times New Roman"/>
                    </w:rPr>
                    <w:t>3、根据国家法律法规和产业政策要求，优化焦化产业布局，促进焦化行业转型升级，提升改造现有焦化项目符合环保要求，推动焦化产品精深加工向高端发展。</w:t>
                  </w:r>
                </w:p>
                <w:p w14:paraId="51B33758">
                  <w:pPr>
                    <w:jc w:val="center"/>
                  </w:pPr>
                  <w:r>
                    <w:rPr>
                      <w:rFonts w:hint="eastAsia"/>
                    </w:rPr>
                    <w:t>4、禁止新建不符合国家产业政策的严重污染水环境的生产项目。</w:t>
                  </w:r>
                </w:p>
                <w:p w14:paraId="635F15E4">
                  <w:pPr>
                    <w:pStyle w:val="54"/>
                    <w:rPr>
                      <w:rFonts w:ascii="Times New Roman" w:hAnsi="Times New Roman"/>
                    </w:rPr>
                  </w:pPr>
                  <w:r>
                    <w:rPr>
                      <w:rFonts w:hint="eastAsia" w:ascii="Times New Roman" w:hAnsi="Times New Roman"/>
                    </w:rPr>
                    <w:t>5、严格按照“以水定产，量水而建”的原则建设，严格控制园区内现有的工业用水量，切实做好水资源利用工作，减少新鲜水用量，合理规划设计排水方案，切实做好排水方案和后续管理，杜绝水污染事故产生。</w:t>
                  </w:r>
                </w:p>
              </w:tc>
              <w:tc>
                <w:tcPr>
                  <w:tcW w:w="1188" w:type="pct"/>
                  <w:vAlign w:val="center"/>
                </w:tcPr>
                <w:p w14:paraId="51D7AD62">
                  <w:pPr>
                    <w:pStyle w:val="54"/>
                    <w:rPr>
                      <w:rFonts w:ascii="Times New Roman" w:hAnsi="Times New Roman"/>
                    </w:rPr>
                  </w:pPr>
                  <w:r>
                    <w:rPr>
                      <w:rFonts w:ascii="Times New Roman" w:hAnsi="Times New Roman"/>
                    </w:rPr>
                    <w:t>1、</w:t>
                  </w:r>
                  <w:r>
                    <w:rPr>
                      <w:rFonts w:hint="eastAsia" w:ascii="Times New Roman" w:hAnsi="Times New Roman"/>
                    </w:rPr>
                    <w:t>本项目严格执行自治区、乌昌石片区总体准入要求中关于重点管控单元空间布局约束的准入要求</w:t>
                  </w:r>
                  <w:r>
                    <w:rPr>
                      <w:rFonts w:ascii="Times New Roman" w:hAnsi="Times New Roman"/>
                    </w:rPr>
                    <w:t>。</w:t>
                  </w:r>
                </w:p>
                <w:p w14:paraId="5A237579">
                  <w:pPr>
                    <w:pStyle w:val="54"/>
                    <w:rPr>
                      <w:rFonts w:ascii="Times New Roman" w:hAnsi="Times New Roman"/>
                    </w:rPr>
                  </w:pPr>
                  <w:r>
                    <w:rPr>
                      <w:rFonts w:ascii="Times New Roman" w:hAnsi="Times New Roman"/>
                    </w:rPr>
                    <w:t>2、本项目</w:t>
                  </w:r>
                  <w:r>
                    <w:rPr>
                      <w:rFonts w:hint="eastAsia" w:ascii="Times New Roman" w:hAnsi="Times New Roman"/>
                    </w:rPr>
                    <w:t>为塑料制品业，</w:t>
                  </w:r>
                  <w:r>
                    <w:rPr>
                      <w:rFonts w:ascii="Times New Roman" w:hAnsi="Times New Roman"/>
                    </w:rPr>
                    <w:t>符合园区发展定位。</w:t>
                  </w:r>
                </w:p>
                <w:p w14:paraId="1D5E79E0">
                  <w:pPr>
                    <w:pStyle w:val="54"/>
                    <w:rPr>
                      <w:rFonts w:ascii="Times New Roman" w:hAnsi="Times New Roman"/>
                    </w:rPr>
                  </w:pPr>
                  <w:r>
                    <w:rPr>
                      <w:rFonts w:ascii="Times New Roman" w:hAnsi="Times New Roman"/>
                    </w:rPr>
                    <w:t>3</w:t>
                  </w:r>
                  <w:r>
                    <w:rPr>
                      <w:rFonts w:hint="eastAsia" w:ascii="Times New Roman" w:hAnsi="Times New Roman"/>
                    </w:rPr>
                    <w:t>、本项目为塑料制品业，不涉及焦化产业。</w:t>
                  </w:r>
                </w:p>
                <w:p w14:paraId="4C7654D3">
                  <w:pPr>
                    <w:pStyle w:val="54"/>
                    <w:rPr>
                      <w:rFonts w:ascii="Times New Roman" w:hAnsi="Times New Roman"/>
                    </w:rPr>
                  </w:pPr>
                  <w:r>
                    <w:rPr>
                      <w:rFonts w:hint="eastAsia" w:ascii="Times New Roman" w:hAnsi="Times New Roman"/>
                    </w:rPr>
                    <w:t>4、本项目符合国家政策，不涉及水环境的污染。</w:t>
                  </w:r>
                </w:p>
                <w:p w14:paraId="72A1034F">
                  <w:pPr>
                    <w:pStyle w:val="54"/>
                    <w:rPr>
                      <w:rFonts w:ascii="Times New Roman" w:hAnsi="Times New Roman"/>
                    </w:rPr>
                  </w:pPr>
                  <w:r>
                    <w:rPr>
                      <w:rFonts w:hint="eastAsia" w:ascii="Times New Roman" w:hAnsi="Times New Roman"/>
                    </w:rPr>
                    <w:t>5、本项目用水量较少，生产用水循环使用，不外排，杜绝了水污染事故的发生。</w:t>
                  </w:r>
                </w:p>
              </w:tc>
              <w:tc>
                <w:tcPr>
                  <w:tcW w:w="400" w:type="pct"/>
                  <w:vAlign w:val="center"/>
                </w:tcPr>
                <w:p w14:paraId="2608D3AE">
                  <w:pPr>
                    <w:pStyle w:val="54"/>
                    <w:rPr>
                      <w:rFonts w:ascii="Times New Roman" w:hAnsi="Times New Roman"/>
                    </w:rPr>
                  </w:pPr>
                  <w:r>
                    <w:rPr>
                      <w:rFonts w:ascii="Times New Roman" w:hAnsi="Times New Roman"/>
                    </w:rPr>
                    <w:t>符合</w:t>
                  </w:r>
                </w:p>
              </w:tc>
            </w:tr>
            <w:tr w14:paraId="3E7396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63" w:type="pct"/>
                  <w:vMerge w:val="continue"/>
                  <w:vAlign w:val="center"/>
                </w:tcPr>
                <w:p w14:paraId="0891FC63">
                  <w:pPr>
                    <w:pStyle w:val="54"/>
                    <w:rPr>
                      <w:rFonts w:ascii="Times New Roman" w:hAnsi="Times New Roman"/>
                    </w:rPr>
                  </w:pPr>
                </w:p>
              </w:tc>
              <w:tc>
                <w:tcPr>
                  <w:tcW w:w="551" w:type="pct"/>
                  <w:vAlign w:val="center"/>
                </w:tcPr>
                <w:p w14:paraId="638C1C08">
                  <w:pPr>
                    <w:pStyle w:val="54"/>
                    <w:rPr>
                      <w:rFonts w:ascii="Times New Roman" w:hAnsi="Times New Roman"/>
                    </w:rPr>
                  </w:pPr>
                  <w:r>
                    <w:rPr>
                      <w:rFonts w:ascii="Times New Roman" w:hAnsi="Times New Roman"/>
                    </w:rPr>
                    <w:t>污染物排放管控</w:t>
                  </w:r>
                </w:p>
              </w:tc>
              <w:tc>
                <w:tcPr>
                  <w:tcW w:w="2398" w:type="pct"/>
                  <w:vAlign w:val="center"/>
                </w:tcPr>
                <w:p w14:paraId="111C5658">
                  <w:pPr>
                    <w:pStyle w:val="54"/>
                    <w:rPr>
                      <w:rFonts w:ascii="Times New Roman" w:hAnsi="Times New Roman"/>
                    </w:rPr>
                  </w:pPr>
                  <w:r>
                    <w:rPr>
                      <w:rFonts w:hint="eastAsia" w:ascii="Times New Roman" w:hAnsi="Times New Roman"/>
                    </w:rPr>
                    <w:t>1、执行自治区、乌昌石片区总体准入要求中关于重点管控单元污染物排放管控的准入要求（表2-3 A6.2、表3.4-2 B2）。</w:t>
                  </w:r>
                </w:p>
                <w:p w14:paraId="072935FB">
                  <w:pPr>
                    <w:pStyle w:val="54"/>
                    <w:rPr>
                      <w:rFonts w:ascii="Times New Roman" w:hAnsi="Times New Roman"/>
                    </w:rPr>
                  </w:pPr>
                  <w:r>
                    <w:rPr>
                      <w:rFonts w:hint="eastAsia" w:ascii="Times New Roman" w:hAnsi="Times New Roman"/>
                    </w:rPr>
                    <w:t>2、新（改、扩）建项目应执行最严格的大气污染物排放标准。</w:t>
                  </w:r>
                </w:p>
                <w:p w14:paraId="530880A6">
                  <w:pPr>
                    <w:pStyle w:val="54"/>
                    <w:rPr>
                      <w:rFonts w:ascii="Times New Roman" w:hAnsi="Times New Roman"/>
                    </w:rPr>
                  </w:pPr>
                  <w:r>
                    <w:rPr>
                      <w:rFonts w:hint="eastAsia" w:ascii="Times New Roman" w:hAnsi="Times New Roman"/>
                    </w:rPr>
                    <w:t>3、PM2.5年平均浓度不达标县市（园区），禁止新（改、扩）建未落实SO2、NOx、烟粉尘、挥发性有机物（VOCs）等四项大气污染物总量指标昌吉州区域内倍量替代的项目</w:t>
                  </w:r>
                  <w:r>
                    <w:rPr>
                      <w:rFonts w:ascii="Times New Roman" w:hAnsi="Times New Roman"/>
                    </w:rPr>
                    <w:t>。</w:t>
                  </w:r>
                </w:p>
              </w:tc>
              <w:tc>
                <w:tcPr>
                  <w:tcW w:w="1188" w:type="pct"/>
                  <w:vAlign w:val="center"/>
                </w:tcPr>
                <w:p w14:paraId="083C4F6D">
                  <w:pPr>
                    <w:pStyle w:val="54"/>
                    <w:jc w:val="both"/>
                    <w:rPr>
                      <w:rFonts w:ascii="Times New Roman" w:hAnsi="Times New Roman"/>
                    </w:rPr>
                  </w:pPr>
                  <w:r>
                    <w:rPr>
                      <w:rFonts w:hint="eastAsia" w:ascii="Times New Roman" w:hAnsi="Times New Roman"/>
                    </w:rPr>
                    <w:t>1</w:t>
                  </w:r>
                  <w:r>
                    <w:rPr>
                      <w:rFonts w:ascii="Times New Roman" w:hAnsi="Times New Roman"/>
                    </w:rPr>
                    <w:t>.本项目</w:t>
                  </w:r>
                  <w:r>
                    <w:rPr>
                      <w:rFonts w:hint="eastAsia" w:ascii="Times New Roman" w:hAnsi="Times New Roman"/>
                    </w:rPr>
                    <w:t>严格执行自治区、乌昌石片区总体准入要求中关于重点管控单元污染物排放管控的准入要求</w:t>
                  </w:r>
                  <w:r>
                    <w:rPr>
                      <w:rFonts w:ascii="Times New Roman" w:hAnsi="Times New Roman"/>
                    </w:rPr>
                    <w:t>。</w:t>
                  </w:r>
                </w:p>
                <w:p w14:paraId="0CBFCA63">
                  <w:pPr>
                    <w:pStyle w:val="54"/>
                    <w:rPr>
                      <w:rFonts w:ascii="Times New Roman" w:hAnsi="Times New Roman"/>
                    </w:rPr>
                  </w:pPr>
                  <w:r>
                    <w:rPr>
                      <w:rFonts w:ascii="Times New Roman" w:hAnsi="Times New Roman"/>
                    </w:rPr>
                    <w:t>2</w:t>
                  </w:r>
                  <w:r>
                    <w:rPr>
                      <w:rFonts w:hint="eastAsia" w:ascii="Times New Roman" w:hAnsi="Times New Roman"/>
                    </w:rPr>
                    <w:t>.</w:t>
                  </w:r>
                  <w:r>
                    <w:rPr>
                      <w:rFonts w:ascii="Times New Roman" w:hAnsi="Times New Roman"/>
                    </w:rPr>
                    <w:t>本项目</w:t>
                  </w:r>
                  <w:r>
                    <w:rPr>
                      <w:rFonts w:hint="eastAsia" w:ascii="Times New Roman" w:hAnsi="Times New Roman"/>
                    </w:rPr>
                    <w:t>产生的废气</w:t>
                  </w:r>
                  <w:r>
                    <w:rPr>
                      <w:rFonts w:ascii="Times New Roman" w:hAnsi="Times New Roman"/>
                    </w:rPr>
                    <w:t>已执行最严格的大气污染物排放标准</w:t>
                  </w:r>
                  <w:r>
                    <w:rPr>
                      <w:rFonts w:hint="eastAsia" w:ascii="Times New Roman" w:hAnsi="Times New Roman"/>
                    </w:rPr>
                    <w:t>：有组织非甲烷总烃、颗粒物执行《合成树脂工业污染物排放标准》（GB31572-2015）表5的排放限值；无组织非甲烷总烃、颗粒物执行《合成树脂工业污染物排放标准》（GB31572-2015）表9的排放限值。</w:t>
                  </w:r>
                </w:p>
                <w:p w14:paraId="34C3FDE0">
                  <w:pPr>
                    <w:pStyle w:val="54"/>
                    <w:rPr>
                      <w:rFonts w:ascii="Times New Roman" w:hAnsi="Times New Roman"/>
                    </w:rPr>
                  </w:pPr>
                  <w:r>
                    <w:rPr>
                      <w:rFonts w:ascii="Times New Roman" w:hAnsi="Times New Roman"/>
                    </w:rPr>
                    <w:t>3</w:t>
                  </w:r>
                  <w:r>
                    <w:rPr>
                      <w:rFonts w:hint="eastAsia" w:ascii="Times New Roman" w:hAnsi="Times New Roman"/>
                    </w:rPr>
                    <w:t>.</w:t>
                  </w:r>
                  <w:r>
                    <w:rPr>
                      <w:rFonts w:ascii="Times New Roman" w:hAnsi="Times New Roman"/>
                    </w:rPr>
                    <w:t>本项目挥发性有机物（VOCs）大气污染物总量指标</w:t>
                  </w:r>
                  <w:r>
                    <w:rPr>
                      <w:rFonts w:hint="eastAsia" w:ascii="Times New Roman" w:hAnsi="Times New Roman"/>
                    </w:rPr>
                    <w:t>实行</w:t>
                  </w:r>
                  <w:r>
                    <w:rPr>
                      <w:rFonts w:ascii="Times New Roman" w:hAnsi="Times New Roman"/>
                    </w:rPr>
                    <w:t>倍量替代</w:t>
                  </w:r>
                  <w:r>
                    <w:rPr>
                      <w:rFonts w:hint="eastAsia" w:ascii="Times New Roman" w:hAnsi="Times New Roman"/>
                    </w:rPr>
                    <w:t>。</w:t>
                  </w:r>
                </w:p>
              </w:tc>
              <w:tc>
                <w:tcPr>
                  <w:tcW w:w="400" w:type="pct"/>
                  <w:vAlign w:val="center"/>
                </w:tcPr>
                <w:p w14:paraId="5DEF3FE8">
                  <w:pPr>
                    <w:pStyle w:val="54"/>
                    <w:rPr>
                      <w:rFonts w:ascii="Times New Roman" w:hAnsi="Times New Roman"/>
                    </w:rPr>
                  </w:pPr>
                  <w:r>
                    <w:rPr>
                      <w:rFonts w:hint="eastAsia" w:ascii="Times New Roman" w:hAnsi="Times New Roman"/>
                    </w:rPr>
                    <w:t>符合</w:t>
                  </w:r>
                </w:p>
              </w:tc>
            </w:tr>
            <w:tr w14:paraId="3DD0C8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63" w:type="pct"/>
                  <w:vMerge w:val="continue"/>
                  <w:vAlign w:val="center"/>
                </w:tcPr>
                <w:p w14:paraId="73692EAF">
                  <w:pPr>
                    <w:pStyle w:val="54"/>
                    <w:rPr>
                      <w:rFonts w:ascii="Times New Roman" w:hAnsi="Times New Roman"/>
                    </w:rPr>
                  </w:pPr>
                </w:p>
              </w:tc>
              <w:tc>
                <w:tcPr>
                  <w:tcW w:w="551" w:type="pct"/>
                  <w:vAlign w:val="center"/>
                </w:tcPr>
                <w:p w14:paraId="2530F1BA">
                  <w:pPr>
                    <w:pStyle w:val="54"/>
                    <w:rPr>
                      <w:rFonts w:ascii="Times New Roman" w:hAnsi="Times New Roman"/>
                    </w:rPr>
                  </w:pPr>
                  <w:r>
                    <w:rPr>
                      <w:rFonts w:ascii="Times New Roman" w:hAnsi="Times New Roman"/>
                    </w:rPr>
                    <w:t>环境风险防控</w:t>
                  </w:r>
                </w:p>
              </w:tc>
              <w:tc>
                <w:tcPr>
                  <w:tcW w:w="2398" w:type="pct"/>
                  <w:vAlign w:val="center"/>
                </w:tcPr>
                <w:p w14:paraId="61B633AD">
                  <w:pPr>
                    <w:pStyle w:val="54"/>
                    <w:rPr>
                      <w:rFonts w:ascii="Times New Roman" w:hAnsi="Times New Roman"/>
                    </w:rPr>
                  </w:pPr>
                  <w:r>
                    <w:rPr>
                      <w:rFonts w:hint="eastAsia" w:ascii="Times New Roman" w:hAnsi="Times New Roman"/>
                    </w:rPr>
                    <w:t>1、执行自治区、乌昌石片区总体准入要求中关于重点管控单元环境风险防控的准入要求（表2-3 A6.3、表3.4-2 B3）。</w:t>
                  </w:r>
                </w:p>
                <w:p w14:paraId="25E95C26">
                  <w:pPr>
                    <w:pStyle w:val="54"/>
                    <w:rPr>
                      <w:rFonts w:ascii="Times New Roman" w:hAnsi="Times New Roman"/>
                    </w:rPr>
                  </w:pPr>
                  <w:r>
                    <w:rPr>
                      <w:rFonts w:hint="eastAsia" w:ascii="Times New Roman" w:hAnsi="Times New Roman"/>
                    </w:rPr>
                    <w:t>2、做好污水和废水等的地下管槽防渗工作，防止污染地下水。</w:t>
                  </w:r>
                </w:p>
                <w:p w14:paraId="0480F1A7">
                  <w:pPr>
                    <w:pStyle w:val="54"/>
                    <w:rPr>
                      <w:rFonts w:ascii="Times New Roman" w:hAnsi="Times New Roman"/>
                    </w:rPr>
                  </w:pPr>
                  <w:r>
                    <w:rPr>
                      <w:rFonts w:hint="eastAsia" w:ascii="Times New Roman" w:hAnsi="Times New Roman"/>
                    </w:rPr>
                    <w:t>3、严格落实错峰生产方案和重污染天气应急响应措施。</w:t>
                  </w:r>
                </w:p>
                <w:p w14:paraId="61C350F5">
                  <w:pPr>
                    <w:pStyle w:val="54"/>
                    <w:rPr>
                      <w:rFonts w:ascii="Times New Roman" w:hAnsi="Times New Roman"/>
                    </w:rPr>
                  </w:pPr>
                  <w:r>
                    <w:rPr>
                      <w:rFonts w:hint="eastAsia" w:ascii="Times New Roman" w:hAnsi="Times New Roman"/>
                    </w:rPr>
                    <w:t>4、生产、使用、贮存、运输、回收、处置、排放有毒有害物质的单位和个人，应当采取措施，防止有毒有害物质渗漏、流失、扬散，避免土壤受到污染</w:t>
                  </w:r>
                  <w:r>
                    <w:rPr>
                      <w:rFonts w:ascii="Times New Roman" w:hAnsi="Times New Roman"/>
                    </w:rPr>
                    <w:t>。</w:t>
                  </w:r>
                </w:p>
              </w:tc>
              <w:tc>
                <w:tcPr>
                  <w:tcW w:w="1188" w:type="pct"/>
                  <w:vAlign w:val="center"/>
                </w:tcPr>
                <w:p w14:paraId="1D05B72D">
                  <w:pPr>
                    <w:pStyle w:val="54"/>
                    <w:rPr>
                      <w:rFonts w:ascii="Times New Roman" w:hAnsi="Times New Roman"/>
                    </w:rPr>
                  </w:pPr>
                  <w:r>
                    <w:rPr>
                      <w:rFonts w:hint="eastAsia" w:ascii="Times New Roman" w:hAnsi="Times New Roman"/>
                    </w:rPr>
                    <w:t>1</w:t>
                  </w:r>
                  <w:r>
                    <w:rPr>
                      <w:rFonts w:ascii="Times New Roman" w:hAnsi="Times New Roman"/>
                    </w:rPr>
                    <w:t>.本项目</w:t>
                  </w:r>
                  <w:r>
                    <w:rPr>
                      <w:rFonts w:hint="eastAsia" w:ascii="Times New Roman" w:hAnsi="Times New Roman"/>
                    </w:rPr>
                    <w:t>严格执行自治区、乌昌石片区总体准入要求中关于重点管控单元环境风险防控的准入要求</w:t>
                  </w:r>
                  <w:r>
                    <w:rPr>
                      <w:rFonts w:ascii="Times New Roman" w:hAnsi="Times New Roman"/>
                    </w:rPr>
                    <w:t>。</w:t>
                  </w:r>
                </w:p>
                <w:p w14:paraId="7F50E999">
                  <w:pPr>
                    <w:pStyle w:val="54"/>
                    <w:rPr>
                      <w:rFonts w:ascii="Times New Roman" w:hAnsi="Times New Roman"/>
                    </w:rPr>
                  </w:pPr>
                  <w:r>
                    <w:rPr>
                      <w:rFonts w:hint="eastAsia" w:ascii="Times New Roman" w:hAnsi="Times New Roman"/>
                    </w:rPr>
                    <w:t>2</w:t>
                  </w:r>
                  <w:r>
                    <w:rPr>
                      <w:rFonts w:ascii="Times New Roman" w:hAnsi="Times New Roman"/>
                    </w:rPr>
                    <w:t>.</w:t>
                  </w:r>
                  <w:r>
                    <w:rPr>
                      <w:rFonts w:hint="eastAsia" w:ascii="Times New Roman" w:hAnsi="Times New Roman"/>
                    </w:rPr>
                    <w:t>本项目为扩建项目，生产废水循环使用，不外排；不新增劳动定员，无新增生活污水。</w:t>
                  </w:r>
                </w:p>
                <w:p w14:paraId="5E1E91E2">
                  <w:pPr>
                    <w:pStyle w:val="54"/>
                    <w:rPr>
                      <w:rFonts w:ascii="Times New Roman" w:hAnsi="Times New Roman"/>
                    </w:rPr>
                  </w:pPr>
                  <w:r>
                    <w:rPr>
                      <w:rFonts w:hint="eastAsia" w:ascii="Times New Roman" w:hAnsi="Times New Roman"/>
                    </w:rPr>
                    <w:t>3</w:t>
                  </w:r>
                  <w:r>
                    <w:rPr>
                      <w:rFonts w:ascii="Times New Roman" w:hAnsi="Times New Roman"/>
                    </w:rPr>
                    <w:t>.</w:t>
                  </w:r>
                  <w:r>
                    <w:rPr>
                      <w:rFonts w:hint="eastAsia" w:ascii="Times New Roman" w:hAnsi="Times New Roman"/>
                    </w:rPr>
                    <w:t>本项目严格落实错峰生产方案和重污染天气应急响应措施。</w:t>
                  </w:r>
                </w:p>
                <w:p w14:paraId="55CF7C51">
                  <w:pPr>
                    <w:pStyle w:val="54"/>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本项目产生的危险废物为废活性炭、废催化剂、废机油，均在危废间暂存，定期委托有资质单位处理，危废间已采取防渗，杜绝了对土壤造成污染。</w:t>
                  </w:r>
                </w:p>
              </w:tc>
              <w:tc>
                <w:tcPr>
                  <w:tcW w:w="400" w:type="pct"/>
                  <w:vAlign w:val="center"/>
                </w:tcPr>
                <w:p w14:paraId="13E11AE0">
                  <w:pPr>
                    <w:pStyle w:val="54"/>
                    <w:rPr>
                      <w:rFonts w:ascii="Times New Roman" w:hAnsi="Times New Roman"/>
                    </w:rPr>
                  </w:pPr>
                  <w:r>
                    <w:rPr>
                      <w:rFonts w:hint="eastAsia" w:ascii="Times New Roman" w:hAnsi="Times New Roman"/>
                    </w:rPr>
                    <w:t>符合</w:t>
                  </w:r>
                </w:p>
              </w:tc>
            </w:tr>
            <w:tr w14:paraId="5AA5A8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463" w:type="pct"/>
                  <w:vMerge w:val="continue"/>
                  <w:vAlign w:val="center"/>
                </w:tcPr>
                <w:p w14:paraId="0DBB3B93">
                  <w:pPr>
                    <w:pStyle w:val="54"/>
                    <w:rPr>
                      <w:rFonts w:ascii="Times New Roman" w:hAnsi="Times New Roman"/>
                    </w:rPr>
                  </w:pPr>
                </w:p>
              </w:tc>
              <w:tc>
                <w:tcPr>
                  <w:tcW w:w="551" w:type="pct"/>
                  <w:vAlign w:val="center"/>
                </w:tcPr>
                <w:p w14:paraId="62E92994">
                  <w:pPr>
                    <w:pStyle w:val="54"/>
                    <w:rPr>
                      <w:rFonts w:ascii="Times New Roman" w:hAnsi="Times New Roman"/>
                    </w:rPr>
                  </w:pPr>
                  <w:r>
                    <w:rPr>
                      <w:rFonts w:ascii="Times New Roman" w:hAnsi="Times New Roman"/>
                    </w:rPr>
                    <w:t>资源利用效率</w:t>
                  </w:r>
                </w:p>
              </w:tc>
              <w:tc>
                <w:tcPr>
                  <w:tcW w:w="2398" w:type="pct"/>
                  <w:vAlign w:val="center"/>
                </w:tcPr>
                <w:p w14:paraId="25ECEEEE">
                  <w:pPr>
                    <w:pStyle w:val="54"/>
                    <w:rPr>
                      <w:rFonts w:ascii="Times New Roman" w:hAnsi="Times New Roman"/>
                    </w:rPr>
                  </w:pPr>
                  <w:r>
                    <w:rPr>
                      <w:rFonts w:hint="eastAsia" w:ascii="Times New Roman" w:hAnsi="Times New Roman"/>
                    </w:rPr>
                    <w:t>1、执行自治区、乌昌石片区总体准入要求中关于重点管控单元资源利用效率的准入要求（表2-3A6.4、表3.4-2 B4）</w:t>
                  </w:r>
                  <w:r>
                    <w:rPr>
                      <w:rFonts w:ascii="Times New Roman" w:hAnsi="Times New Roman"/>
                    </w:rPr>
                    <w:t>。</w:t>
                  </w:r>
                </w:p>
              </w:tc>
              <w:tc>
                <w:tcPr>
                  <w:tcW w:w="1188" w:type="pct"/>
                  <w:vAlign w:val="center"/>
                </w:tcPr>
                <w:p w14:paraId="0D96E3FA">
                  <w:pPr>
                    <w:pStyle w:val="54"/>
                    <w:rPr>
                      <w:rFonts w:ascii="Times New Roman" w:hAnsi="Times New Roman"/>
                    </w:rPr>
                  </w:pPr>
                  <w:r>
                    <w:rPr>
                      <w:rFonts w:ascii="Times New Roman" w:hAnsi="Times New Roman"/>
                    </w:rPr>
                    <w:t>本项目</w:t>
                  </w:r>
                  <w:r>
                    <w:rPr>
                      <w:rFonts w:hint="eastAsia" w:ascii="Times New Roman" w:hAnsi="Times New Roman"/>
                    </w:rPr>
                    <w:t>严格执行自治区、乌昌石片区总体准入要求中关于重点管控单元资源利用效率的准入要求</w:t>
                  </w:r>
                  <w:r>
                    <w:rPr>
                      <w:rFonts w:ascii="Times New Roman" w:hAnsi="Times New Roman"/>
                    </w:rPr>
                    <w:t>。</w:t>
                  </w:r>
                </w:p>
              </w:tc>
              <w:tc>
                <w:tcPr>
                  <w:tcW w:w="400" w:type="pct"/>
                  <w:vAlign w:val="center"/>
                </w:tcPr>
                <w:p w14:paraId="70B4942E">
                  <w:pPr>
                    <w:pStyle w:val="54"/>
                    <w:rPr>
                      <w:rFonts w:ascii="Times New Roman" w:hAnsi="Times New Roman"/>
                    </w:rPr>
                  </w:pPr>
                  <w:r>
                    <w:rPr>
                      <w:rFonts w:hint="eastAsia" w:ascii="Times New Roman" w:hAnsi="Times New Roman"/>
                    </w:rPr>
                    <w:t>符合</w:t>
                  </w:r>
                </w:p>
              </w:tc>
            </w:tr>
          </w:tbl>
          <w:p w14:paraId="204DEAC2">
            <w:pPr>
              <w:adjustRightInd w:val="0"/>
              <w:snapToGrid w:val="0"/>
              <w:spacing w:line="360" w:lineRule="auto"/>
              <w:rPr>
                <w:b/>
                <w:bCs/>
                <w:snapToGrid w:val="0"/>
                <w:kern w:val="0"/>
                <w:sz w:val="24"/>
              </w:rPr>
            </w:pPr>
            <w:r>
              <w:rPr>
                <w:b/>
                <w:bCs/>
                <w:snapToGrid w:val="0"/>
                <w:kern w:val="0"/>
                <w:sz w:val="24"/>
              </w:rPr>
              <w:t>3.与《新疆维吾尔自治区七大片区“三线一单”生态环境分区管控要求》（新环环评发[2021]162号）符合性分析</w:t>
            </w:r>
          </w:p>
          <w:p w14:paraId="6833CE78">
            <w:pPr>
              <w:adjustRightInd w:val="0"/>
              <w:snapToGrid w:val="0"/>
              <w:spacing w:line="360" w:lineRule="auto"/>
              <w:ind w:firstLine="480" w:firstLineChars="200"/>
              <w:rPr>
                <w:snapToGrid w:val="0"/>
                <w:kern w:val="0"/>
                <w:sz w:val="24"/>
              </w:rPr>
            </w:pPr>
            <w:r>
              <w:rPr>
                <w:snapToGrid w:val="0"/>
                <w:kern w:val="0"/>
                <w:sz w:val="24"/>
              </w:rPr>
              <w:t>据《新疆维吾尔自治区七大片区“三线一单”生态环境分区管控要求》文件要求：“除国家规划项目外,乌鲁木齐市七区一县、昌吉市、阜康市玛纳斯县、呼图壁县、沙湾市建成区及周边敏感区域内不再布局建设煤化工、电解铝、燃煤纯发电机组、金属硅、碳化硅、聚氯乙烯（电石法)、焦炭(含半焦）等新增产能项目。具备风光电清洁供暖建设条件的区域原则上不新批热电联产项目。坚持属地负责与区域大气污染联防联控相结合,以明显降低细颗粒物浓度为重点,协同推进“乌-昌-石”同防同治区域大气环境治理。所有新建、改建、扩建工业项目执行最严格的大气污染物排放标准,强化氮氧化物深度治理,确保区域环境空气质量持续改善。强化挥发性有机物防治措施。”</w:t>
            </w:r>
          </w:p>
          <w:p w14:paraId="2684C210">
            <w:pPr>
              <w:pStyle w:val="55"/>
              <w:ind w:firstLine="480"/>
            </w:pPr>
            <w:r>
              <w:rPr>
                <w:snapToGrid/>
                <w:szCs w:val="24"/>
              </w:rPr>
              <w:t>本项目属于</w:t>
            </w:r>
            <w:r>
              <w:rPr>
                <w:rFonts w:hint="eastAsia"/>
                <w:snapToGrid/>
                <w:kern w:val="2"/>
                <w:szCs w:val="24"/>
              </w:rPr>
              <w:t>塑料制品</w:t>
            </w:r>
            <w:r>
              <w:rPr>
                <w:snapToGrid/>
                <w:kern w:val="2"/>
                <w:szCs w:val="24"/>
              </w:rPr>
              <w:t>业</w:t>
            </w:r>
            <w:r>
              <w:rPr>
                <w:snapToGrid/>
                <w:szCs w:val="24"/>
              </w:rPr>
              <w:t>，不属于煤化工、电解铝、燃煤纯发电机组、金属硅、碳化硅、聚氯乙烯（电石法)、焦炭(含半焦）等项目，本项目产生的废气主要污染因子为</w:t>
            </w:r>
            <w:r>
              <w:rPr>
                <w:rFonts w:hint="eastAsia"/>
                <w:snapToGrid/>
                <w:szCs w:val="24"/>
              </w:rPr>
              <w:t>非甲烷总烃与颗粒物</w:t>
            </w:r>
            <w:r>
              <w:rPr>
                <w:snapToGrid/>
                <w:szCs w:val="24"/>
              </w:rPr>
              <w:t>，</w:t>
            </w:r>
            <w:r>
              <w:rPr>
                <w:rFonts w:hint="eastAsia"/>
                <w:snapToGrid/>
                <w:szCs w:val="24"/>
              </w:rPr>
              <w:t>非甲烷总烃由集气罩收集后经活性炭吸附+催化燃烧装置处理后，最终通过15m高的排气筒排放；粉尘由集气罩收集经布袋除尘器处理后由15m高排气筒排放</w:t>
            </w:r>
            <w:r>
              <w:rPr>
                <w:snapToGrid/>
                <w:kern w:val="2"/>
                <w:szCs w:val="24"/>
              </w:rPr>
              <w:t>。因此，</w:t>
            </w:r>
            <w:r>
              <w:rPr>
                <w:snapToGrid/>
                <w:szCs w:val="24"/>
              </w:rPr>
              <w:t>符合《新疆维吾尔自治区七大片区“三线一单”生态环境分区管控要求》相关要求</w:t>
            </w:r>
            <w:r>
              <w:t>。</w:t>
            </w:r>
          </w:p>
          <w:p w14:paraId="4E15ABF0">
            <w:pPr>
              <w:spacing w:after="120"/>
              <w:rPr>
                <w:b/>
                <w:bCs/>
                <w:kern w:val="0"/>
                <w:sz w:val="24"/>
                <w:szCs w:val="22"/>
              </w:rPr>
            </w:pPr>
            <w:r>
              <w:rPr>
                <w:b/>
                <w:bCs/>
                <w:kern w:val="0"/>
                <w:sz w:val="24"/>
              </w:rPr>
              <w:t>4.与《</w:t>
            </w:r>
            <w:r>
              <w:rPr>
                <w:b/>
                <w:bCs/>
                <w:kern w:val="0"/>
                <w:sz w:val="24"/>
                <w:szCs w:val="22"/>
              </w:rPr>
              <w:t>昌吉回族自治州</w:t>
            </w:r>
            <w:r>
              <w:rPr>
                <w:b/>
                <w:bCs/>
                <w:kern w:val="0"/>
                <w:sz w:val="24"/>
              </w:rPr>
              <w:t>生态环境保护与建设“十四五”规划》的符合性分析</w:t>
            </w:r>
          </w:p>
          <w:p w14:paraId="30720502">
            <w:pPr>
              <w:spacing w:line="360" w:lineRule="auto"/>
              <w:ind w:firstLine="480" w:firstLineChars="200"/>
              <w:rPr>
                <w:kern w:val="0"/>
                <w:sz w:val="24"/>
              </w:rPr>
            </w:pPr>
            <w:r>
              <w:rPr>
                <w:kern w:val="0"/>
                <w:sz w:val="24"/>
              </w:rPr>
              <w:t>《昌吉回族自治州生态环境保护与建设“十四五”规划》指出：“</w:t>
            </w:r>
            <w:r>
              <w:rPr>
                <w:rFonts w:hint="eastAsia"/>
                <w:kern w:val="0"/>
                <w:sz w:val="24"/>
              </w:rPr>
              <w:t>推进石化、化工、工业涂装、家具制造、塑料、橡胶、包装印刷、汽修等重点行业领域VOCs整治，加强VOCs源头、过程、末端全流程控制，重点加强对光化学反应活性强的VOCs物质控制，开展企业深度治理和精细化管控</w:t>
            </w:r>
            <w:r>
              <w:rPr>
                <w:kern w:val="0"/>
                <w:sz w:val="24"/>
              </w:rPr>
              <w:t>。”</w:t>
            </w:r>
          </w:p>
          <w:p w14:paraId="2136EA01">
            <w:pPr>
              <w:spacing w:line="360" w:lineRule="auto"/>
              <w:ind w:firstLine="480" w:firstLineChars="200"/>
              <w:rPr>
                <w:kern w:val="0"/>
                <w:sz w:val="24"/>
              </w:rPr>
            </w:pPr>
            <w:r>
              <w:rPr>
                <w:kern w:val="0"/>
                <w:sz w:val="24"/>
              </w:rPr>
              <w:t>本项目属于</w:t>
            </w:r>
            <w:r>
              <w:rPr>
                <w:rFonts w:hint="eastAsia"/>
                <w:kern w:val="0"/>
                <w:sz w:val="24"/>
              </w:rPr>
              <w:t>塑料制品</w:t>
            </w:r>
            <w:r>
              <w:rPr>
                <w:kern w:val="0"/>
                <w:sz w:val="24"/>
              </w:rPr>
              <w:t>业，项目产生的废气主要污染因子为</w:t>
            </w:r>
            <w:r>
              <w:rPr>
                <w:rFonts w:hint="eastAsia"/>
                <w:kern w:val="0"/>
                <w:sz w:val="24"/>
              </w:rPr>
              <w:t>挥发性有机物</w:t>
            </w:r>
            <w:r>
              <w:rPr>
                <w:kern w:val="0"/>
                <w:sz w:val="24"/>
              </w:rPr>
              <w:t>，</w:t>
            </w:r>
            <w:r>
              <w:rPr>
                <w:rFonts w:hint="eastAsia"/>
                <w:kern w:val="0"/>
                <w:sz w:val="24"/>
              </w:rPr>
              <w:t>非甲烷总烃由集气罩收集后经活性炭吸附+催化燃烧装置处理后，最终通过15m高的排气筒排放，</w:t>
            </w:r>
            <w:r>
              <w:rPr>
                <w:kern w:val="0"/>
                <w:sz w:val="24"/>
              </w:rPr>
              <w:t>可满足</w:t>
            </w:r>
            <w:r>
              <w:rPr>
                <w:rFonts w:hint="eastAsia"/>
                <w:kern w:val="0"/>
                <w:sz w:val="24"/>
              </w:rPr>
              <w:t>《合成树脂工业污染物排放标准》（GB31572-2015）表5限值</w:t>
            </w:r>
            <w:r>
              <w:rPr>
                <w:kern w:val="0"/>
                <w:sz w:val="24"/>
              </w:rPr>
              <w:t>要求，对周围环境影响较小。因此，与《昌吉回族自治州生态环境保护与建设“十四五”规划》相符合。</w:t>
            </w:r>
          </w:p>
          <w:p w14:paraId="52BBFEC1">
            <w:pPr>
              <w:autoSpaceDE w:val="0"/>
              <w:autoSpaceDN w:val="0"/>
              <w:adjustRightInd w:val="0"/>
              <w:snapToGrid w:val="0"/>
              <w:spacing w:line="360" w:lineRule="auto"/>
              <w:rPr>
                <w:b/>
                <w:kern w:val="0"/>
                <w:sz w:val="24"/>
              </w:rPr>
            </w:pPr>
            <w:r>
              <w:rPr>
                <w:b/>
                <w:kern w:val="0"/>
                <w:sz w:val="24"/>
              </w:rPr>
              <w:t>5.与《挥发性有机物(VOCs)污染防治技术政策》的符合性分析</w:t>
            </w:r>
          </w:p>
          <w:p w14:paraId="11291C84">
            <w:pPr>
              <w:widowControl/>
              <w:kinsoku w:val="0"/>
              <w:autoSpaceDE w:val="0"/>
              <w:autoSpaceDN w:val="0"/>
              <w:adjustRightInd w:val="0"/>
              <w:snapToGrid w:val="0"/>
              <w:spacing w:before="7"/>
              <w:ind w:left="107"/>
              <w:jc w:val="center"/>
              <w:textAlignment w:val="baseline"/>
              <w:rPr>
                <w:b/>
                <w:bCs/>
                <w:color w:val="000000"/>
                <w:kern w:val="0"/>
                <w:szCs w:val="21"/>
              </w:rPr>
            </w:pPr>
            <w:r>
              <w:rPr>
                <w:b/>
                <w:bCs/>
                <w:color w:val="000000"/>
                <w:spacing w:val="-8"/>
                <w:kern w:val="0"/>
                <w:szCs w:val="21"/>
              </w:rPr>
              <w:t>表</w:t>
            </w:r>
            <w:r>
              <w:rPr>
                <w:b/>
                <w:bCs/>
                <w:color w:val="000000"/>
                <w:spacing w:val="-6"/>
                <w:kern w:val="0"/>
                <w:szCs w:val="21"/>
              </w:rPr>
              <w:t xml:space="preserve"> 1-3   《挥发性有机物(VOCs)污染防治技术政策》的符合性分析</w:t>
            </w:r>
          </w:p>
          <w:tbl>
            <w:tblPr>
              <w:tblStyle w:val="30"/>
              <w:tblW w:w="6981" w:type="dxa"/>
              <w:tblInd w:w="2" w:type="dxa"/>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645"/>
              <w:gridCol w:w="3844"/>
              <w:gridCol w:w="2492"/>
            </w:tblGrid>
            <w:tr w14:paraId="3805E944">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79" w:hRule="atLeast"/>
              </w:trPr>
              <w:tc>
                <w:tcPr>
                  <w:tcW w:w="645" w:type="dxa"/>
                  <w:shd w:val="clear" w:color="auto" w:fill="auto"/>
                </w:tcPr>
                <w:p w14:paraId="7137A4BB">
                  <w:pPr>
                    <w:adjustRightInd w:val="0"/>
                    <w:snapToGrid w:val="0"/>
                    <w:rPr>
                      <w:b/>
                      <w:bCs/>
                      <w:kern w:val="0"/>
                      <w:szCs w:val="21"/>
                    </w:rPr>
                  </w:pPr>
                  <w:r>
                    <w:rPr>
                      <w:rFonts w:hint="eastAsia"/>
                      <w:b/>
                      <w:bCs/>
                      <w:kern w:val="0"/>
                      <w:szCs w:val="21"/>
                    </w:rPr>
                    <w:t>序号</w:t>
                  </w:r>
                </w:p>
              </w:tc>
              <w:tc>
                <w:tcPr>
                  <w:tcW w:w="3844" w:type="dxa"/>
                  <w:shd w:val="clear" w:color="auto" w:fill="auto"/>
                </w:tcPr>
                <w:p w14:paraId="7EB77D49">
                  <w:pPr>
                    <w:adjustRightInd w:val="0"/>
                    <w:snapToGrid w:val="0"/>
                    <w:jc w:val="center"/>
                    <w:rPr>
                      <w:b/>
                      <w:bCs/>
                      <w:kern w:val="0"/>
                      <w:szCs w:val="21"/>
                    </w:rPr>
                  </w:pPr>
                  <w:r>
                    <w:rPr>
                      <w:rFonts w:hint="eastAsia"/>
                      <w:b/>
                      <w:bCs/>
                      <w:kern w:val="0"/>
                      <w:szCs w:val="21"/>
                    </w:rPr>
                    <w:t>规范条件中要求</w:t>
                  </w:r>
                </w:p>
              </w:tc>
              <w:tc>
                <w:tcPr>
                  <w:tcW w:w="2492" w:type="dxa"/>
                  <w:shd w:val="clear" w:color="auto" w:fill="auto"/>
                </w:tcPr>
                <w:p w14:paraId="604E5453">
                  <w:pPr>
                    <w:adjustRightInd w:val="0"/>
                    <w:snapToGrid w:val="0"/>
                    <w:jc w:val="center"/>
                    <w:rPr>
                      <w:b/>
                      <w:bCs/>
                      <w:kern w:val="0"/>
                      <w:szCs w:val="21"/>
                    </w:rPr>
                  </w:pPr>
                  <w:r>
                    <w:rPr>
                      <w:rFonts w:hint="eastAsia"/>
                      <w:b/>
                      <w:bCs/>
                      <w:kern w:val="0"/>
                      <w:szCs w:val="21"/>
                    </w:rPr>
                    <w:t>拟建项目情况</w:t>
                  </w:r>
                </w:p>
              </w:tc>
            </w:tr>
            <w:tr w14:paraId="2E64E761">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544" w:hRule="atLeast"/>
              </w:trPr>
              <w:tc>
                <w:tcPr>
                  <w:tcW w:w="645" w:type="dxa"/>
                  <w:shd w:val="clear" w:color="auto" w:fill="auto"/>
                  <w:vAlign w:val="center"/>
                </w:tcPr>
                <w:p w14:paraId="55D2ABDF">
                  <w:pPr>
                    <w:adjustRightInd w:val="0"/>
                    <w:snapToGrid w:val="0"/>
                    <w:jc w:val="center"/>
                    <w:rPr>
                      <w:kern w:val="0"/>
                      <w:szCs w:val="21"/>
                    </w:rPr>
                  </w:pPr>
                  <w:r>
                    <w:rPr>
                      <w:kern w:val="0"/>
                      <w:szCs w:val="21"/>
                    </w:rPr>
                    <w:t>1</w:t>
                  </w:r>
                </w:p>
              </w:tc>
              <w:tc>
                <w:tcPr>
                  <w:tcW w:w="3844" w:type="dxa"/>
                  <w:shd w:val="clear" w:color="auto" w:fill="auto"/>
                </w:tcPr>
                <w:p w14:paraId="0E185F82">
                  <w:pPr>
                    <w:adjustRightInd w:val="0"/>
                    <w:snapToGrid w:val="0"/>
                    <w:spacing w:before="69"/>
                    <w:rPr>
                      <w:kern w:val="0"/>
                      <w:szCs w:val="21"/>
                    </w:rPr>
                  </w:pPr>
                  <w:r>
                    <w:rPr>
                      <w:kern w:val="0"/>
                      <w:szCs w:val="21"/>
                    </w:rPr>
                    <w:t>（十）在涂装、印刷、粘合、工业清洗等含VOCs产品的使用过程中的VOCs污染防治技术措施包括：根据涂装工艺的不同，鼓励使用水性涂料、高固份涂料、粉末涂料、紫外光固化(UV)涂料等环保型涂料；应尽量避免无VOCs净化、回收措施的露天喷涂作业</w:t>
                  </w:r>
                  <w:r>
                    <w:rPr>
                      <w:rFonts w:hint="eastAsia"/>
                      <w:kern w:val="0"/>
                      <w:szCs w:val="21"/>
                    </w:rPr>
                    <w:t>。</w:t>
                  </w:r>
                </w:p>
              </w:tc>
              <w:tc>
                <w:tcPr>
                  <w:tcW w:w="2492" w:type="dxa"/>
                  <w:shd w:val="clear" w:color="auto" w:fill="auto"/>
                </w:tcPr>
                <w:p w14:paraId="5814BB5E">
                  <w:pPr>
                    <w:adjustRightInd w:val="0"/>
                    <w:snapToGrid w:val="0"/>
                    <w:spacing w:before="69"/>
                    <w:rPr>
                      <w:kern w:val="0"/>
                      <w:szCs w:val="21"/>
                    </w:rPr>
                  </w:pPr>
                  <w:r>
                    <w:rPr>
                      <w:rFonts w:hint="eastAsia"/>
                      <w:kern w:val="0"/>
                      <w:szCs w:val="21"/>
                    </w:rPr>
                    <w:t>本项目在加热挤出工序时产生的有机废气采用活性炭吸附+催化燃烧装置处理后由</w:t>
                  </w:r>
                  <w:r>
                    <w:rPr>
                      <w:kern w:val="0"/>
                      <w:szCs w:val="21"/>
                    </w:rPr>
                    <w:t>15m</w:t>
                  </w:r>
                  <w:r>
                    <w:rPr>
                      <w:rFonts w:hint="eastAsia"/>
                      <w:kern w:val="0"/>
                      <w:szCs w:val="21"/>
                    </w:rPr>
                    <w:t>高排气筒排放。</w:t>
                  </w:r>
                </w:p>
              </w:tc>
            </w:tr>
            <w:tr w14:paraId="12E73F73">
              <w:tblPrEx>
                <w:tblBorders>
                  <w:top w:val="single" w:color="000000" w:sz="2" w:space="0"/>
                  <w:left w:val="none" w:color="auto" w:sz="0" w:space="0"/>
                  <w:bottom w:val="single" w:color="000000" w:sz="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1672" w:hRule="atLeast"/>
              </w:trPr>
              <w:tc>
                <w:tcPr>
                  <w:tcW w:w="645" w:type="dxa"/>
                  <w:shd w:val="clear" w:color="auto" w:fill="auto"/>
                  <w:vAlign w:val="center"/>
                </w:tcPr>
                <w:p w14:paraId="700D5318">
                  <w:pPr>
                    <w:adjustRightInd w:val="0"/>
                    <w:snapToGrid w:val="0"/>
                    <w:jc w:val="center"/>
                    <w:rPr>
                      <w:kern w:val="0"/>
                      <w:szCs w:val="21"/>
                    </w:rPr>
                  </w:pPr>
                  <w:r>
                    <w:rPr>
                      <w:kern w:val="0"/>
                      <w:szCs w:val="21"/>
                    </w:rPr>
                    <w:t>2</w:t>
                  </w:r>
                </w:p>
              </w:tc>
              <w:tc>
                <w:tcPr>
                  <w:tcW w:w="3844" w:type="dxa"/>
                  <w:shd w:val="clear" w:color="auto" w:fill="auto"/>
                </w:tcPr>
                <w:p w14:paraId="4A39BE46">
                  <w:pPr>
                    <w:adjustRightInd w:val="0"/>
                    <w:snapToGrid w:val="0"/>
                    <w:rPr>
                      <w:kern w:val="0"/>
                      <w:szCs w:val="21"/>
                    </w:rPr>
                  </w:pPr>
                  <w:r>
                    <w:rPr>
                      <w:kern w:val="0"/>
                      <w:szCs w:val="21"/>
                    </w:rPr>
                    <w:t>（十五）对于含低浓度VOCs的废气，有回收价值时可采用吸附技术、吸收技术对有机溶剂回收后达标排放；不宜回收时，可采用吸附浓缩燃烧技术、生物技术、吸收技术、等离子体技术或紫外光高级氧化技术等净化后达标排放。</w:t>
                  </w:r>
                </w:p>
              </w:tc>
              <w:tc>
                <w:tcPr>
                  <w:tcW w:w="2492" w:type="dxa"/>
                  <w:shd w:val="clear" w:color="auto" w:fill="auto"/>
                </w:tcPr>
                <w:p w14:paraId="24455554">
                  <w:pPr>
                    <w:adjustRightInd w:val="0"/>
                    <w:snapToGrid w:val="0"/>
                    <w:rPr>
                      <w:kern w:val="0"/>
                      <w:szCs w:val="21"/>
                    </w:rPr>
                  </w:pPr>
                  <w:r>
                    <w:rPr>
                      <w:rFonts w:hint="eastAsia"/>
                      <w:kern w:val="0"/>
                      <w:szCs w:val="21"/>
                    </w:rPr>
                    <w:t>本项目加热挤出工序生产过程中会产生有机气体，产生浓度低且无回收价值，采用活性炭吸附+催化燃烧装置处理后由</w:t>
                  </w:r>
                  <w:r>
                    <w:rPr>
                      <w:kern w:val="0"/>
                      <w:szCs w:val="21"/>
                    </w:rPr>
                    <w:t>15m</w:t>
                  </w:r>
                  <w:r>
                    <w:rPr>
                      <w:rFonts w:hint="eastAsia"/>
                      <w:kern w:val="0"/>
                      <w:szCs w:val="21"/>
                    </w:rPr>
                    <w:t>高排气筒排放。</w:t>
                  </w:r>
                </w:p>
              </w:tc>
            </w:tr>
          </w:tbl>
          <w:p w14:paraId="4C79E0A4">
            <w:pPr>
              <w:autoSpaceDE w:val="0"/>
              <w:autoSpaceDN w:val="0"/>
              <w:adjustRightInd w:val="0"/>
              <w:snapToGrid w:val="0"/>
              <w:spacing w:line="360" w:lineRule="auto"/>
              <w:rPr>
                <w:rFonts w:cs="宋体"/>
                <w:b/>
                <w:kern w:val="0"/>
                <w:sz w:val="24"/>
                <w:szCs w:val="21"/>
              </w:rPr>
            </w:pPr>
            <w:r>
              <w:rPr>
                <w:rFonts w:cs="宋体"/>
                <w:b/>
                <w:kern w:val="0"/>
                <w:sz w:val="24"/>
                <w:szCs w:val="21"/>
              </w:rPr>
              <w:t>6.</w:t>
            </w:r>
            <w:r>
              <w:rPr>
                <w:rFonts w:hint="eastAsia" w:cs="宋体"/>
                <w:b/>
                <w:kern w:val="0"/>
                <w:sz w:val="24"/>
                <w:szCs w:val="21"/>
              </w:rPr>
              <w:t>与《重点行业挥发性有机物综合治理方案》（环大气[2019]53号）符合性分析</w:t>
            </w:r>
          </w:p>
          <w:p w14:paraId="7AABC074">
            <w:pPr>
              <w:autoSpaceDE w:val="0"/>
              <w:autoSpaceDN w:val="0"/>
              <w:adjustRightInd w:val="0"/>
              <w:snapToGrid w:val="0"/>
              <w:spacing w:line="360" w:lineRule="auto"/>
              <w:ind w:firstLine="480" w:firstLineChars="200"/>
              <w:rPr>
                <w:kern w:val="0"/>
                <w:sz w:val="24"/>
              </w:rPr>
            </w:pPr>
            <w:r>
              <w:rPr>
                <w:rFonts w:hint="eastAsia"/>
                <w:kern w:val="0"/>
                <w:sz w:val="24"/>
              </w:rPr>
              <w:t>根据《重点行业挥发性有机物综合治理方案》中“</w:t>
            </w:r>
            <w:r>
              <w:rPr>
                <w:kern w:val="0"/>
                <w:sz w:val="24"/>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提高废气收集率。遵循“应收尽收、分质收集”的原则，科学设计废气收集系统，将无组织排放转变为有组织排放进行控制</w:t>
            </w:r>
            <w:r>
              <w:rPr>
                <w:rFonts w:hint="eastAsia"/>
                <w:kern w:val="0"/>
                <w:sz w:val="24"/>
              </w:rPr>
              <w:t>。”</w:t>
            </w:r>
          </w:p>
          <w:p w14:paraId="2A0309EB">
            <w:pPr>
              <w:autoSpaceDE w:val="0"/>
              <w:autoSpaceDN w:val="0"/>
              <w:adjustRightInd w:val="0"/>
              <w:snapToGrid w:val="0"/>
              <w:spacing w:line="360" w:lineRule="auto"/>
              <w:ind w:firstLine="480" w:firstLineChars="200"/>
              <w:rPr>
                <w:kern w:val="0"/>
                <w:sz w:val="24"/>
              </w:rPr>
            </w:pPr>
            <w:r>
              <w:rPr>
                <w:rFonts w:hint="eastAsia"/>
                <w:kern w:val="0"/>
                <w:sz w:val="24"/>
              </w:rPr>
              <w:t>本项目</w:t>
            </w:r>
            <w:r>
              <w:rPr>
                <w:kern w:val="0"/>
                <w:sz w:val="24"/>
              </w:rPr>
              <w:t>通过采取设备与</w:t>
            </w:r>
            <w:r>
              <w:rPr>
                <w:rFonts w:hint="eastAsia"/>
                <w:kern w:val="0"/>
                <w:sz w:val="24"/>
              </w:rPr>
              <w:t>车间</w:t>
            </w:r>
            <w:r>
              <w:rPr>
                <w:kern w:val="0"/>
                <w:sz w:val="24"/>
              </w:rPr>
              <w:t>密闭</w:t>
            </w:r>
            <w:r>
              <w:rPr>
                <w:rFonts w:hint="eastAsia"/>
                <w:kern w:val="0"/>
                <w:sz w:val="24"/>
              </w:rPr>
              <w:t>设施，产生的有机废气通过活性炭吸附+催化燃烧装置处理后由1</w:t>
            </w:r>
            <w:r>
              <w:rPr>
                <w:kern w:val="0"/>
                <w:sz w:val="24"/>
              </w:rPr>
              <w:t>5</w:t>
            </w:r>
            <w:r>
              <w:rPr>
                <w:rFonts w:hint="eastAsia"/>
                <w:kern w:val="0"/>
                <w:sz w:val="24"/>
              </w:rPr>
              <w:t>m高排气筒排放，</w:t>
            </w:r>
            <w:r>
              <w:rPr>
                <w:kern w:val="0"/>
                <w:sz w:val="24"/>
              </w:rPr>
              <w:t>削减</w:t>
            </w:r>
            <w:r>
              <w:rPr>
                <w:rFonts w:hint="eastAsia"/>
                <w:kern w:val="0"/>
                <w:sz w:val="24"/>
              </w:rPr>
              <w:t>了</w:t>
            </w:r>
            <w:r>
              <w:rPr>
                <w:kern w:val="0"/>
                <w:sz w:val="24"/>
              </w:rPr>
              <w:t>VOCs无组织排放</w:t>
            </w:r>
            <w:r>
              <w:rPr>
                <w:rFonts w:hint="eastAsia"/>
                <w:kern w:val="0"/>
                <w:sz w:val="24"/>
              </w:rPr>
              <w:t>。符合《重点行业挥发性有机物综合治理方案》的相关要求。</w:t>
            </w:r>
          </w:p>
          <w:p w14:paraId="20EC8B67">
            <w:pPr>
              <w:pStyle w:val="3"/>
              <w:rPr>
                <w:rFonts w:cs="宋体"/>
                <w:sz w:val="24"/>
                <w:szCs w:val="21"/>
              </w:rPr>
            </w:pPr>
            <w:r>
              <w:rPr>
                <w:rFonts w:hint="eastAsia"/>
                <w:sz w:val="24"/>
                <w:szCs w:val="24"/>
              </w:rPr>
              <w:t>7</w:t>
            </w:r>
            <w:r>
              <w:rPr>
                <w:sz w:val="24"/>
                <w:szCs w:val="24"/>
              </w:rPr>
              <w:t>.</w:t>
            </w:r>
            <w:r>
              <w:rPr>
                <w:rFonts w:hint="eastAsia"/>
                <w:sz w:val="24"/>
                <w:szCs w:val="24"/>
              </w:rPr>
              <w:t>与《</w:t>
            </w:r>
            <w:r>
              <w:rPr>
                <w:sz w:val="24"/>
                <w:szCs w:val="24"/>
              </w:rPr>
              <w:t>关于加快解决当前挥发性有机物治理突出问题的通知</w:t>
            </w:r>
            <w:r>
              <w:rPr>
                <w:rFonts w:hint="eastAsia"/>
                <w:sz w:val="24"/>
                <w:szCs w:val="24"/>
              </w:rPr>
              <w:t>》</w:t>
            </w:r>
            <w:r>
              <w:rPr>
                <w:rFonts w:hint="eastAsia" w:cs="宋体"/>
                <w:sz w:val="24"/>
                <w:szCs w:val="21"/>
              </w:rPr>
              <w:t>符合性分析</w:t>
            </w:r>
          </w:p>
          <w:p w14:paraId="209FC2D1">
            <w:pPr>
              <w:pBdr>
                <w:top w:val="none" w:color="auto" w:sz="0" w:space="3"/>
                <w:left w:val="none" w:color="auto" w:sz="0" w:space="4"/>
                <w:bottom w:val="none" w:color="auto" w:sz="0" w:space="1"/>
                <w:right w:val="none" w:color="auto" w:sz="0" w:space="4"/>
              </w:pBdr>
              <w:spacing w:line="360" w:lineRule="auto"/>
              <w:ind w:firstLine="480" w:firstLineChars="200"/>
              <w:textAlignment w:val="baseline"/>
              <w:rPr>
                <w:sz w:val="24"/>
              </w:rPr>
            </w:pPr>
            <w:r>
              <w:rPr>
                <w:rFonts w:hint="eastAsia"/>
                <w:sz w:val="24"/>
              </w:rPr>
              <w:t>《关于加快解决当前挥发性有机物治理突出问题的通知》提到：产生 VOCs 的生产环节优先采用密闭设备、在密闭空间中操作或采用全密闭集气罩收集方式，并保持负压运行。无尘等级要求车间需设置成正压的，宜建设内层正压、外层微负压的双层整体密闭收集空间。对采用局部收集方式的企业，距废气收集系统排风罩开口面最远处的 VOCs 无组织排放位置控制风速不低于0.3m/s；推广以生产线或设备为单位设置隔间，收集风量应确保隔间保持微负压。加强运行维护管理，做到治理设施较生产设备“先启后停”，在治理设施达到正常运行条件后方可启动生产设备，在生产设备停止、残留 VOCs 废气收集处理完毕后，方可停运治理设施；及时清理、更换吸附剂、吸收剂、催化剂、蓄热体、过滤棉、灯管、电器元件等治理设施耗材，确保设施能够稳定高效运行；做好生产设备和治理设施启停机时间、检维修情况、治理设施耗材维护更换、处置情况等台账记录；对于 VOCs 治理设施产生的废过滤棉、废催化剂、废吸附剂、废吸收剂、废有机溶剂等，应及时清运，属于危险废物的应交有资质的单位处理处置。</w:t>
            </w:r>
          </w:p>
          <w:p w14:paraId="7B2E2EDE">
            <w:pPr>
              <w:pBdr>
                <w:top w:val="none" w:color="auto" w:sz="0" w:space="3"/>
                <w:left w:val="none" w:color="auto" w:sz="0" w:space="4"/>
                <w:bottom w:val="none" w:color="auto" w:sz="0" w:space="1"/>
                <w:right w:val="none" w:color="auto" w:sz="0" w:space="4"/>
              </w:pBdr>
              <w:spacing w:line="360" w:lineRule="auto"/>
              <w:ind w:firstLine="480" w:firstLineChars="200"/>
              <w:textAlignment w:val="baseline"/>
              <w:rPr>
                <w:sz w:val="24"/>
              </w:rPr>
            </w:pPr>
            <w:r>
              <w:rPr>
                <w:rFonts w:hint="eastAsia"/>
                <w:sz w:val="24"/>
              </w:rPr>
              <w:t>本项目生产采取全封闭，产生的有机废气通过至活性炭吸附+催化燃烧处理设备处理后，经15m高排气筒排放，有效降低了挥发性有机物的排放量，产生的危险废物暂存在危废暂存间，定期委托有相关资质的单位处置，符合《关于加快解决当前挥发性有机物治理突出问题的通知》的要求。</w:t>
            </w:r>
          </w:p>
          <w:p w14:paraId="76A8F8D7">
            <w:pPr>
              <w:pStyle w:val="3"/>
              <w:rPr>
                <w:sz w:val="24"/>
                <w:szCs w:val="24"/>
              </w:rPr>
            </w:pPr>
            <w:r>
              <w:rPr>
                <w:rFonts w:hint="eastAsia"/>
                <w:sz w:val="24"/>
                <w:szCs w:val="24"/>
              </w:rPr>
              <w:t>8</w:t>
            </w:r>
            <w:r>
              <w:rPr>
                <w:sz w:val="24"/>
                <w:szCs w:val="24"/>
              </w:rPr>
              <w:t>.</w:t>
            </w:r>
            <w:r>
              <w:rPr>
                <w:rFonts w:hint="eastAsia"/>
                <w:sz w:val="24"/>
                <w:szCs w:val="24"/>
              </w:rPr>
              <w:t>《新疆维吾尔自治区环境保护条例》的符合性分析</w:t>
            </w:r>
          </w:p>
          <w:p w14:paraId="3A18080B">
            <w:pPr>
              <w:spacing w:line="360" w:lineRule="auto"/>
              <w:ind w:firstLine="480" w:firstLineChars="200"/>
              <w:textAlignment w:val="baseline"/>
              <w:rPr>
                <w:sz w:val="24"/>
              </w:rPr>
            </w:pPr>
            <w:r>
              <w:rPr>
                <w:rFonts w:hint="eastAsia"/>
                <w:sz w:val="24"/>
              </w:rPr>
              <w:t>《新疆维吾尔自治区环境保护条例》指出：“行政区域内严格控制引进高排放、高污染、高耗能项目，禁止建设不符合国家和自治区环境保护标准的项目；工业园区排放大气污染物的工业企业应当按照规定配套建设大气污染处理设施，确保大气污染物排放达到国家或自治区污染物排放标准。”</w:t>
            </w:r>
          </w:p>
          <w:p w14:paraId="681CF968">
            <w:pPr>
              <w:spacing w:line="360" w:lineRule="auto"/>
              <w:ind w:firstLine="480" w:firstLineChars="200"/>
              <w:textAlignment w:val="baseline"/>
              <w:rPr>
                <w:sz w:val="24"/>
              </w:rPr>
            </w:pPr>
            <w:r>
              <w:rPr>
                <w:rFonts w:hint="eastAsia"/>
                <w:sz w:val="24"/>
              </w:rPr>
              <w:t>本项目属于塑料制品业，不属于“高排放、高污染、高耗能”项目，项目位于阜康市苏通小微创业园区，项目产生的废气主要污染因子为挥发性有机物和颗粒物，有机废气由集气罩收集后经活性炭吸附+催化燃烧装置处理后，最终通过15m高的排气筒排放，粉尘由集气罩收集经布袋除尘器处理后由15m高排气筒排放。可确保大气污染物排放达到国家或自治区污染物排放标准。符合《新疆维吾尔自治区环境保护条例》的要求。</w:t>
            </w:r>
          </w:p>
          <w:p w14:paraId="597CB0C0">
            <w:pPr>
              <w:pStyle w:val="3"/>
              <w:rPr>
                <w:sz w:val="24"/>
                <w:szCs w:val="24"/>
              </w:rPr>
            </w:pPr>
            <w:r>
              <w:rPr>
                <w:rFonts w:hint="eastAsia"/>
                <w:sz w:val="24"/>
                <w:szCs w:val="24"/>
              </w:rPr>
              <w:t>9</w:t>
            </w:r>
            <w:r>
              <w:rPr>
                <w:sz w:val="24"/>
                <w:szCs w:val="24"/>
              </w:rPr>
              <w:t>.与《关于加强乌鲁木齐、昌吉、石河子、五家渠区域环境同防同治的意见》相符性分析</w:t>
            </w:r>
          </w:p>
          <w:p w14:paraId="1F95AD1D">
            <w:pPr>
              <w:pStyle w:val="119"/>
              <w:ind w:firstLine="480"/>
            </w:pPr>
            <w:r>
              <w:t>乌昌石区域包括乌鲁木齐市七区一县、昌吉市、阜康市、石河子市、五家渠市、玛纳斯县、呼图壁县、沙湾县、生产建设兵团第六师、第八师、第十二师，总面积6.9万km</w:t>
            </w:r>
            <w:r>
              <w:rPr>
                <w:vertAlign w:val="superscript"/>
              </w:rPr>
              <w:t>2</w:t>
            </w:r>
            <w:r>
              <w:t>左右。区域内建成区及周边敏感区域为重点区域，总面积1.7万km</w:t>
            </w:r>
            <w:r>
              <w:rPr>
                <w:vertAlign w:val="superscript"/>
              </w:rPr>
              <w:t>2</w:t>
            </w:r>
            <w:r>
              <w:t>左右。</w:t>
            </w:r>
          </w:p>
          <w:p w14:paraId="4C1EF293">
            <w:pPr>
              <w:pStyle w:val="119"/>
              <w:ind w:firstLine="480"/>
            </w:pPr>
            <w:r>
              <w:t>意见要求严格污染物排放浓度，认真落实《重点区域大气污染物排放特别限值的公告》（</w:t>
            </w:r>
            <w:r>
              <w:rPr>
                <w:rFonts w:hint="eastAsia"/>
              </w:rPr>
              <w:t>公告[2023]20号</w:t>
            </w:r>
            <w:r>
              <w:t>），钢铁、石化、火电、水泥等行业和燃煤锅炉严格执行重点行业污染物排放特别限值要求。其他工业企业一律执行国家最新污染物排放标准，减少污染物排放总量。</w:t>
            </w:r>
          </w:p>
          <w:p w14:paraId="52C1378B">
            <w:pPr>
              <w:widowControl/>
              <w:adjustRightInd w:val="0"/>
              <w:snapToGrid w:val="0"/>
              <w:spacing w:line="360" w:lineRule="auto"/>
              <w:ind w:firstLine="480" w:firstLineChars="200"/>
              <w:rPr>
                <w:sz w:val="24"/>
              </w:rPr>
            </w:pPr>
            <w:r>
              <w:rPr>
                <w:sz w:val="24"/>
              </w:rPr>
              <w:t>本项目位于</w:t>
            </w:r>
            <w:r>
              <w:rPr>
                <w:rFonts w:hint="eastAsia"/>
                <w:sz w:val="24"/>
              </w:rPr>
              <w:t>阜康苏通小微创业园</w:t>
            </w:r>
            <w:r>
              <w:rPr>
                <w:sz w:val="24"/>
              </w:rPr>
              <w:t>，处于乌鲁木齐、昌吉、石河子、五家渠区域环境同防同治的重点区域。本项目为</w:t>
            </w:r>
            <w:r>
              <w:rPr>
                <w:rFonts w:hint="eastAsia"/>
                <w:sz w:val="24"/>
              </w:rPr>
              <w:t>塑料制品制造</w:t>
            </w:r>
            <w:r>
              <w:rPr>
                <w:sz w:val="24"/>
              </w:rPr>
              <w:t>生产项目，不属于钢铁、石化、火电</w:t>
            </w:r>
            <w:r>
              <w:rPr>
                <w:rFonts w:hint="eastAsia"/>
                <w:sz w:val="24"/>
              </w:rPr>
              <w:t>等</w:t>
            </w:r>
            <w:r>
              <w:rPr>
                <w:sz w:val="24"/>
              </w:rPr>
              <w:t>重点行业。项目排放的污染物均达到国家最新污染物排放标准，污染物排放量较少，符合《关于加强乌鲁木齐、昌吉、石河子、五家渠区域环境同防同治的意见》相关要求。</w:t>
            </w:r>
          </w:p>
          <w:p w14:paraId="51A045E0">
            <w:pPr>
              <w:pStyle w:val="3"/>
              <w:rPr>
                <w:sz w:val="24"/>
                <w:szCs w:val="24"/>
              </w:rPr>
            </w:pPr>
            <w:r>
              <w:rPr>
                <w:sz w:val="24"/>
                <w:szCs w:val="24"/>
              </w:rPr>
              <w:t>10.项目选址</w:t>
            </w:r>
            <w:r>
              <w:rPr>
                <w:rFonts w:hint="eastAsia"/>
                <w:sz w:val="24"/>
                <w:szCs w:val="24"/>
              </w:rPr>
              <w:t>合理性分析</w:t>
            </w:r>
          </w:p>
          <w:p w14:paraId="459E314C">
            <w:pPr>
              <w:pStyle w:val="55"/>
              <w:ind w:firstLine="480"/>
              <w:rPr>
                <w:rFonts w:hint="eastAsia"/>
              </w:rPr>
            </w:pPr>
            <w:r>
              <w:t>本项目位于阜康苏通小微创业园。项目所在地为工业用地，符合苏通小微创业园区总体发展规划及环境保护的要求。厂区占地面积8000</w:t>
            </w:r>
            <w:r>
              <w:rPr>
                <w:rFonts w:hint="eastAsia"/>
              </w:rPr>
              <w:t>m</w:t>
            </w:r>
            <w:r>
              <w:rPr>
                <w:vertAlign w:val="superscript"/>
              </w:rPr>
              <w:t>2</w:t>
            </w:r>
            <w:r>
              <w:t>，项目区交通方便，公共设施等外部条件供给有保障，可满足本项目建设需求，产生的废水排入园区下水管网进入园区污水处理厂统一处理，建厂条件良好，同时，项目所在区域不属于特殊保护地区、社会关注区、生活脆弱区和特殊地貌景观区，地区无重点保护生态品种及濒危生物物种，也无文物古迹等人文景观。因此，从环保角度考虑，项目选址可行。</w:t>
            </w:r>
          </w:p>
          <w:p w14:paraId="60D613D0"/>
        </w:tc>
      </w:tr>
    </w:tbl>
    <w:p w14:paraId="2D8812FF">
      <w:pPr>
        <w:spacing w:line="360" w:lineRule="auto"/>
        <w:outlineLvl w:val="0"/>
        <w:rPr>
          <w:rFonts w:eastAsia="黑体"/>
          <w:color w:val="000000"/>
          <w:sz w:val="30"/>
        </w:rPr>
        <w:sectPr>
          <w:footerReference r:id="rId3" w:type="default"/>
          <w:pgSz w:w="11906" w:h="16838"/>
          <w:pgMar w:top="1701" w:right="1531" w:bottom="1701" w:left="1531" w:header="851" w:footer="1077" w:gutter="0"/>
          <w:pgNumType w:start="1"/>
          <w:cols w:space="720" w:num="1"/>
          <w:docGrid w:linePitch="312" w:charSpace="0"/>
        </w:sectPr>
      </w:pPr>
    </w:p>
    <w:p w14:paraId="0F917132">
      <w:pPr>
        <w:pStyle w:val="26"/>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二、建设项目工程分析</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68"/>
      </w:tblGrid>
      <w:tr w14:paraId="5D5CFE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23" w:type="dxa"/>
            <w:vAlign w:val="center"/>
          </w:tcPr>
          <w:p w14:paraId="59B044B5">
            <w:pPr>
              <w:pStyle w:val="26"/>
              <w:adjustRightInd w:val="0"/>
              <w:snapToGrid w:val="0"/>
              <w:spacing w:before="0" w:beforeAutospacing="0" w:after="0" w:afterAutospacing="0"/>
              <w:jc w:val="center"/>
              <w:rPr>
                <w:rFonts w:cs="宋体"/>
                <w:color w:val="000000"/>
                <w:sz w:val="21"/>
                <w:szCs w:val="21"/>
              </w:rPr>
            </w:pPr>
            <w:r>
              <w:rPr>
                <w:rFonts w:hint="eastAsia" w:cs="宋体"/>
                <w:color w:val="000000"/>
                <w:szCs w:val="24"/>
              </w:rPr>
              <w:t>建设内容</w:t>
            </w:r>
          </w:p>
        </w:tc>
        <w:tc>
          <w:tcPr>
            <w:tcW w:w="8161" w:type="dxa"/>
          </w:tcPr>
          <w:p w14:paraId="5A48C0C6">
            <w:pPr>
              <w:adjustRightInd w:val="0"/>
              <w:snapToGrid w:val="0"/>
              <w:spacing w:line="360" w:lineRule="auto"/>
              <w:jc w:val="left"/>
              <w:rPr>
                <w:b/>
                <w:sz w:val="24"/>
              </w:rPr>
            </w:pPr>
            <w:r>
              <w:rPr>
                <w:rFonts w:hint="eastAsia"/>
                <w:b/>
                <w:sz w:val="24"/>
              </w:rPr>
              <w:t>1.</w:t>
            </w:r>
            <w:r>
              <w:rPr>
                <w:b/>
                <w:sz w:val="24"/>
              </w:rPr>
              <w:t>项目</w:t>
            </w:r>
            <w:r>
              <w:rPr>
                <w:rFonts w:hint="eastAsia"/>
                <w:b/>
                <w:sz w:val="24"/>
              </w:rPr>
              <w:t>组成及规模</w:t>
            </w:r>
          </w:p>
          <w:p w14:paraId="341850C9">
            <w:pPr>
              <w:pStyle w:val="55"/>
              <w:ind w:firstLine="480"/>
            </w:pPr>
            <w:r>
              <w:rPr>
                <w:rFonts w:hint="eastAsia"/>
              </w:rPr>
              <w:t>本</w:t>
            </w:r>
            <w:r>
              <w:t>项目位于</w:t>
            </w:r>
            <w:r>
              <w:rPr>
                <w:rFonts w:hint="eastAsia"/>
              </w:rPr>
              <w:t>阜康苏通小微创业园</w:t>
            </w:r>
            <w:r>
              <w:t>内（阜康市金钢耐火材料有限公司北侧），中心地理坐标为E：87°49′5.115″，N：44°9′53.467″，</w:t>
            </w:r>
            <w:r>
              <w:rPr>
                <w:rFonts w:hint="eastAsia"/>
              </w:rPr>
              <w:t>在原有8000m</w:t>
            </w:r>
            <w:r>
              <w:rPr>
                <w:rFonts w:hint="eastAsia"/>
                <w:vertAlign w:val="superscript"/>
              </w:rPr>
              <w:t>2</w:t>
            </w:r>
            <w:r>
              <w:rPr>
                <w:rFonts w:hint="eastAsia"/>
              </w:rPr>
              <w:t>已建厂房内，新建15条全塑管道生产线，项目建成后年产PVC管材1.5万吨，年产PE管材0.5万吨。</w:t>
            </w:r>
          </w:p>
          <w:p w14:paraId="23DFF53B">
            <w:pPr>
              <w:pStyle w:val="55"/>
              <w:ind w:firstLine="480"/>
            </w:pPr>
            <w:bookmarkStart w:id="1" w:name="_Hlk153187938"/>
            <w:r>
              <w:rPr>
                <w:rFonts w:hint="eastAsia"/>
              </w:rPr>
              <w:t>本项目工程组成见表2-1。</w:t>
            </w:r>
          </w:p>
          <w:p w14:paraId="61CF937A">
            <w:pPr>
              <w:pStyle w:val="6"/>
              <w:rPr>
                <w:rFonts w:ascii="Times New Roman" w:hAnsi="Times New Roman" w:eastAsia="宋体"/>
              </w:rPr>
            </w:pPr>
            <w:r>
              <w:rPr>
                <w:rFonts w:hint="eastAsia" w:ascii="Times New Roman" w:hAnsi="Times New Roman" w:eastAsia="宋体"/>
              </w:rPr>
              <w:t>表2-1  项目组成情况表</w:t>
            </w:r>
          </w:p>
          <w:tbl>
            <w:tblPr>
              <w:tblStyle w:val="30"/>
              <w:tblW w:w="7937"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108" w:type="dxa"/>
                <w:bottom w:w="0" w:type="dxa"/>
                <w:right w:w="108" w:type="dxa"/>
              </w:tblCellMar>
            </w:tblPr>
            <w:tblGrid>
              <w:gridCol w:w="678"/>
              <w:gridCol w:w="1311"/>
              <w:gridCol w:w="4655"/>
              <w:gridCol w:w="1293"/>
            </w:tblGrid>
            <w:tr w14:paraId="0382D13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tcBorders>
                    <w:bottom w:val="single" w:color="000000" w:sz="12" w:space="0"/>
                  </w:tcBorders>
                  <w:vAlign w:val="center"/>
                </w:tcPr>
                <w:p w14:paraId="73598E40">
                  <w:pPr>
                    <w:pStyle w:val="90"/>
                    <w:tabs>
                      <w:tab w:val="left" w:pos="1535"/>
                      <w:tab w:val="left" w:pos="3105"/>
                      <w:tab w:val="left" w:pos="4676"/>
                      <w:tab w:val="left" w:pos="6247"/>
                      <w:tab w:val="left" w:pos="7740"/>
                      <w:tab w:val="left" w:pos="9288"/>
                    </w:tabs>
                    <w:rPr>
                      <w:b/>
                      <w:bCs/>
                    </w:rPr>
                  </w:pPr>
                  <w:r>
                    <w:rPr>
                      <w:b/>
                      <w:bCs/>
                    </w:rPr>
                    <w:t>工程类别</w:t>
                  </w:r>
                </w:p>
              </w:tc>
              <w:tc>
                <w:tcPr>
                  <w:tcW w:w="1311" w:type="dxa"/>
                  <w:tcBorders>
                    <w:bottom w:val="single" w:color="000000" w:sz="12" w:space="0"/>
                  </w:tcBorders>
                  <w:vAlign w:val="center"/>
                </w:tcPr>
                <w:p w14:paraId="4DB332C6">
                  <w:pPr>
                    <w:pStyle w:val="90"/>
                    <w:tabs>
                      <w:tab w:val="left" w:pos="1535"/>
                      <w:tab w:val="left" w:pos="3105"/>
                      <w:tab w:val="left" w:pos="4676"/>
                      <w:tab w:val="left" w:pos="6247"/>
                      <w:tab w:val="left" w:pos="7740"/>
                      <w:tab w:val="left" w:pos="9288"/>
                    </w:tabs>
                    <w:rPr>
                      <w:b/>
                      <w:bCs/>
                    </w:rPr>
                  </w:pPr>
                  <w:r>
                    <w:rPr>
                      <w:b/>
                      <w:bCs/>
                    </w:rPr>
                    <w:t>名称</w:t>
                  </w:r>
                </w:p>
              </w:tc>
              <w:tc>
                <w:tcPr>
                  <w:tcW w:w="4655" w:type="dxa"/>
                  <w:tcBorders>
                    <w:bottom w:val="single" w:color="000000" w:sz="12" w:space="0"/>
                  </w:tcBorders>
                  <w:vAlign w:val="center"/>
                </w:tcPr>
                <w:p w14:paraId="6EAFA3C7">
                  <w:pPr>
                    <w:pStyle w:val="90"/>
                    <w:tabs>
                      <w:tab w:val="left" w:pos="1535"/>
                      <w:tab w:val="left" w:pos="3105"/>
                      <w:tab w:val="left" w:pos="4676"/>
                      <w:tab w:val="left" w:pos="6247"/>
                      <w:tab w:val="left" w:pos="7740"/>
                      <w:tab w:val="left" w:pos="9288"/>
                    </w:tabs>
                    <w:rPr>
                      <w:b/>
                      <w:bCs/>
                    </w:rPr>
                  </w:pPr>
                  <w:r>
                    <w:rPr>
                      <w:b/>
                      <w:bCs/>
                    </w:rPr>
                    <w:t>建设规模</w:t>
                  </w:r>
                </w:p>
              </w:tc>
              <w:tc>
                <w:tcPr>
                  <w:tcW w:w="1293" w:type="dxa"/>
                  <w:tcBorders>
                    <w:bottom w:val="single" w:color="000000" w:sz="12" w:space="0"/>
                  </w:tcBorders>
                  <w:vAlign w:val="center"/>
                </w:tcPr>
                <w:p w14:paraId="632AFEEE">
                  <w:pPr>
                    <w:pStyle w:val="90"/>
                    <w:tabs>
                      <w:tab w:val="left" w:pos="1535"/>
                      <w:tab w:val="left" w:pos="3105"/>
                      <w:tab w:val="left" w:pos="4676"/>
                      <w:tab w:val="left" w:pos="6247"/>
                      <w:tab w:val="left" w:pos="7740"/>
                      <w:tab w:val="left" w:pos="9288"/>
                    </w:tabs>
                    <w:rPr>
                      <w:b/>
                      <w:bCs/>
                    </w:rPr>
                  </w:pPr>
                  <w:r>
                    <w:rPr>
                      <w:b/>
                      <w:bCs/>
                    </w:rPr>
                    <w:t>备注</w:t>
                  </w:r>
                </w:p>
              </w:tc>
            </w:tr>
            <w:tr w14:paraId="3C17D5A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tcBorders>
                    <w:top w:val="single" w:color="000000" w:sz="12" w:space="0"/>
                    <w:tl2br w:val="nil"/>
                    <w:tr2bl w:val="nil"/>
                  </w:tcBorders>
                  <w:vAlign w:val="center"/>
                </w:tcPr>
                <w:p w14:paraId="4CA031BF">
                  <w:pPr>
                    <w:pStyle w:val="90"/>
                    <w:tabs>
                      <w:tab w:val="left" w:pos="1535"/>
                      <w:tab w:val="left" w:pos="3105"/>
                      <w:tab w:val="left" w:pos="4676"/>
                      <w:tab w:val="left" w:pos="6247"/>
                      <w:tab w:val="left" w:pos="7740"/>
                      <w:tab w:val="left" w:pos="9288"/>
                    </w:tabs>
                  </w:pPr>
                  <w:r>
                    <w:t>主体工程</w:t>
                  </w:r>
                </w:p>
              </w:tc>
              <w:tc>
                <w:tcPr>
                  <w:tcW w:w="1311" w:type="dxa"/>
                  <w:tcBorders>
                    <w:top w:val="single" w:color="000000" w:sz="12" w:space="0"/>
                    <w:tl2br w:val="nil"/>
                    <w:tr2bl w:val="nil"/>
                  </w:tcBorders>
                  <w:vAlign w:val="center"/>
                </w:tcPr>
                <w:p w14:paraId="38A14A46">
                  <w:pPr>
                    <w:pStyle w:val="90"/>
                  </w:pPr>
                  <w:r>
                    <w:t>生产车间</w:t>
                  </w:r>
                </w:p>
              </w:tc>
              <w:tc>
                <w:tcPr>
                  <w:tcW w:w="4655" w:type="dxa"/>
                  <w:tcBorders>
                    <w:top w:val="single" w:color="000000" w:sz="12" w:space="0"/>
                    <w:tl2br w:val="nil"/>
                    <w:tr2bl w:val="nil"/>
                  </w:tcBorders>
                  <w:vAlign w:val="center"/>
                </w:tcPr>
                <w:p w14:paraId="1EAB29C3">
                  <w:pPr>
                    <w:pStyle w:val="90"/>
                  </w:pPr>
                  <w:r>
                    <w:rPr>
                      <w:rFonts w:hint="eastAsia"/>
                    </w:rPr>
                    <w:t>在原有8000m</w:t>
                  </w:r>
                  <w:r>
                    <w:rPr>
                      <w:rFonts w:hint="eastAsia"/>
                      <w:vertAlign w:val="superscript"/>
                    </w:rPr>
                    <w:t>2</w:t>
                  </w:r>
                  <w:r>
                    <w:rPr>
                      <w:rFonts w:hint="eastAsia"/>
                    </w:rPr>
                    <w:t>已建厂房内，新建15条全塑管道生产线，年产PVC管材1.5万吨，年产PE管材0.5万吨</w:t>
                  </w:r>
                </w:p>
              </w:tc>
              <w:tc>
                <w:tcPr>
                  <w:tcW w:w="1293" w:type="dxa"/>
                  <w:tcBorders>
                    <w:top w:val="single" w:color="000000" w:sz="12" w:space="0"/>
                    <w:tl2br w:val="nil"/>
                    <w:tr2bl w:val="nil"/>
                  </w:tcBorders>
                  <w:vAlign w:val="center"/>
                </w:tcPr>
                <w:p w14:paraId="276DD883">
                  <w:pPr>
                    <w:pStyle w:val="90"/>
                    <w:tabs>
                      <w:tab w:val="left" w:pos="1535"/>
                      <w:tab w:val="left" w:pos="3105"/>
                      <w:tab w:val="left" w:pos="4676"/>
                      <w:tab w:val="left" w:pos="6247"/>
                      <w:tab w:val="left" w:pos="7740"/>
                      <w:tab w:val="left" w:pos="9288"/>
                    </w:tabs>
                  </w:pPr>
                  <w:r>
                    <w:rPr>
                      <w:rFonts w:hint="eastAsia"/>
                    </w:rPr>
                    <w:t>厂房依托原有，仅进行设备安装</w:t>
                  </w:r>
                </w:p>
              </w:tc>
            </w:tr>
            <w:tr w14:paraId="327E37D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tcBorders>
                    <w:tl2br w:val="nil"/>
                    <w:tr2bl w:val="nil"/>
                  </w:tcBorders>
                  <w:vAlign w:val="center"/>
                </w:tcPr>
                <w:p w14:paraId="796D67F9">
                  <w:pPr>
                    <w:pStyle w:val="90"/>
                    <w:tabs>
                      <w:tab w:val="left" w:pos="1535"/>
                      <w:tab w:val="left" w:pos="3105"/>
                      <w:tab w:val="left" w:pos="4676"/>
                      <w:tab w:val="left" w:pos="6247"/>
                      <w:tab w:val="left" w:pos="7740"/>
                      <w:tab w:val="left" w:pos="9288"/>
                    </w:tabs>
                  </w:pPr>
                  <w:r>
                    <w:t>辅助工程</w:t>
                  </w:r>
                </w:p>
              </w:tc>
              <w:tc>
                <w:tcPr>
                  <w:tcW w:w="1311" w:type="dxa"/>
                  <w:tcBorders>
                    <w:tl2br w:val="nil"/>
                    <w:tr2bl w:val="nil"/>
                  </w:tcBorders>
                  <w:vAlign w:val="center"/>
                </w:tcPr>
                <w:p w14:paraId="753AADA5">
                  <w:pPr>
                    <w:pStyle w:val="90"/>
                    <w:tabs>
                      <w:tab w:val="left" w:pos="1535"/>
                      <w:tab w:val="left" w:pos="3105"/>
                      <w:tab w:val="left" w:pos="4676"/>
                      <w:tab w:val="left" w:pos="6247"/>
                      <w:tab w:val="left" w:pos="7740"/>
                      <w:tab w:val="left" w:pos="9288"/>
                    </w:tabs>
                  </w:pPr>
                  <w:r>
                    <w:t>办公</w:t>
                  </w:r>
                  <w:r>
                    <w:rPr>
                      <w:rFonts w:hint="eastAsia"/>
                    </w:rPr>
                    <w:t>楼</w:t>
                  </w:r>
                </w:p>
              </w:tc>
              <w:tc>
                <w:tcPr>
                  <w:tcW w:w="4655" w:type="dxa"/>
                  <w:tcBorders>
                    <w:tl2br w:val="nil"/>
                    <w:tr2bl w:val="nil"/>
                  </w:tcBorders>
                  <w:vAlign w:val="center"/>
                </w:tcPr>
                <w:p w14:paraId="67248C40">
                  <w:pPr>
                    <w:pStyle w:val="90"/>
                    <w:tabs>
                      <w:tab w:val="left" w:pos="1535"/>
                      <w:tab w:val="left" w:pos="3105"/>
                      <w:tab w:val="left" w:pos="4676"/>
                      <w:tab w:val="left" w:pos="6247"/>
                      <w:tab w:val="left" w:pos="7740"/>
                      <w:tab w:val="left" w:pos="9288"/>
                    </w:tabs>
                  </w:pPr>
                  <w:r>
                    <w:t>已建成，依托原有</w:t>
                  </w:r>
                </w:p>
              </w:tc>
              <w:tc>
                <w:tcPr>
                  <w:tcW w:w="1293" w:type="dxa"/>
                  <w:tcBorders>
                    <w:tl2br w:val="nil"/>
                    <w:tr2bl w:val="nil"/>
                  </w:tcBorders>
                  <w:vAlign w:val="center"/>
                </w:tcPr>
                <w:p w14:paraId="00255017">
                  <w:pPr>
                    <w:pStyle w:val="90"/>
                    <w:tabs>
                      <w:tab w:val="left" w:pos="1535"/>
                      <w:tab w:val="left" w:pos="3105"/>
                      <w:tab w:val="left" w:pos="4676"/>
                      <w:tab w:val="left" w:pos="6247"/>
                      <w:tab w:val="left" w:pos="7740"/>
                      <w:tab w:val="left" w:pos="9288"/>
                    </w:tabs>
                  </w:pPr>
                  <w:r>
                    <w:t>依托原有</w:t>
                  </w:r>
                </w:p>
              </w:tc>
            </w:tr>
            <w:tr w14:paraId="13876C9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vMerge w:val="restart"/>
                  <w:tcBorders>
                    <w:tl2br w:val="nil"/>
                    <w:tr2bl w:val="nil"/>
                  </w:tcBorders>
                  <w:vAlign w:val="center"/>
                </w:tcPr>
                <w:p w14:paraId="2F319A90">
                  <w:pPr>
                    <w:pStyle w:val="90"/>
                    <w:tabs>
                      <w:tab w:val="left" w:pos="1535"/>
                      <w:tab w:val="left" w:pos="3105"/>
                      <w:tab w:val="left" w:pos="4676"/>
                      <w:tab w:val="left" w:pos="6247"/>
                      <w:tab w:val="left" w:pos="7740"/>
                      <w:tab w:val="left" w:pos="9288"/>
                    </w:tabs>
                  </w:pPr>
                  <w:r>
                    <w:rPr>
                      <w:rFonts w:hint="eastAsia"/>
                    </w:rPr>
                    <w:t>储运工程</w:t>
                  </w:r>
                </w:p>
              </w:tc>
              <w:tc>
                <w:tcPr>
                  <w:tcW w:w="1311" w:type="dxa"/>
                  <w:tcBorders>
                    <w:tl2br w:val="nil"/>
                    <w:tr2bl w:val="nil"/>
                  </w:tcBorders>
                  <w:vAlign w:val="center"/>
                </w:tcPr>
                <w:p w14:paraId="1D034B8C">
                  <w:pPr>
                    <w:pStyle w:val="90"/>
                    <w:tabs>
                      <w:tab w:val="left" w:pos="1535"/>
                      <w:tab w:val="left" w:pos="3105"/>
                      <w:tab w:val="left" w:pos="4676"/>
                      <w:tab w:val="left" w:pos="6247"/>
                      <w:tab w:val="left" w:pos="7740"/>
                      <w:tab w:val="left" w:pos="9288"/>
                    </w:tabs>
                  </w:pPr>
                  <w:r>
                    <w:rPr>
                      <w:rFonts w:hint="eastAsia"/>
                    </w:rPr>
                    <w:t>成品堆场</w:t>
                  </w:r>
                </w:p>
              </w:tc>
              <w:tc>
                <w:tcPr>
                  <w:tcW w:w="4655" w:type="dxa"/>
                  <w:tcBorders>
                    <w:tl2br w:val="nil"/>
                    <w:tr2bl w:val="nil"/>
                  </w:tcBorders>
                  <w:vAlign w:val="center"/>
                </w:tcPr>
                <w:p w14:paraId="22760D68">
                  <w:pPr>
                    <w:pStyle w:val="90"/>
                    <w:tabs>
                      <w:tab w:val="left" w:pos="1535"/>
                      <w:tab w:val="left" w:pos="3105"/>
                      <w:tab w:val="left" w:pos="4676"/>
                      <w:tab w:val="left" w:pos="6247"/>
                      <w:tab w:val="left" w:pos="7740"/>
                      <w:tab w:val="left" w:pos="9288"/>
                    </w:tabs>
                  </w:pPr>
                  <w:r>
                    <w:rPr>
                      <w:rFonts w:hint="eastAsia"/>
                    </w:rPr>
                    <w:t>位于厂区南侧，占地面积1</w:t>
                  </w:r>
                  <w:r>
                    <w:t>000</w:t>
                  </w:r>
                  <w:r>
                    <w:rPr>
                      <w:rFonts w:hint="eastAsia"/>
                    </w:rPr>
                    <w:t xml:space="preserve"> m</w:t>
                  </w:r>
                  <w:r>
                    <w:rPr>
                      <w:rFonts w:hint="eastAsia"/>
                      <w:vertAlign w:val="superscript"/>
                    </w:rPr>
                    <w:t>2</w:t>
                  </w:r>
                </w:p>
              </w:tc>
              <w:tc>
                <w:tcPr>
                  <w:tcW w:w="1293" w:type="dxa"/>
                  <w:vMerge w:val="restart"/>
                  <w:tcBorders>
                    <w:tl2br w:val="nil"/>
                    <w:tr2bl w:val="nil"/>
                  </w:tcBorders>
                  <w:vAlign w:val="center"/>
                </w:tcPr>
                <w:p w14:paraId="25ED1691">
                  <w:pPr>
                    <w:pStyle w:val="90"/>
                    <w:tabs>
                      <w:tab w:val="left" w:pos="1535"/>
                      <w:tab w:val="left" w:pos="3105"/>
                      <w:tab w:val="left" w:pos="4676"/>
                      <w:tab w:val="left" w:pos="6247"/>
                      <w:tab w:val="left" w:pos="7740"/>
                      <w:tab w:val="left" w:pos="9288"/>
                    </w:tabs>
                  </w:pPr>
                  <w:r>
                    <w:t>依托原有</w:t>
                  </w:r>
                </w:p>
              </w:tc>
            </w:tr>
            <w:tr w14:paraId="475E5B0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vMerge w:val="continue"/>
                  <w:tcBorders>
                    <w:tl2br w:val="nil"/>
                    <w:tr2bl w:val="nil"/>
                  </w:tcBorders>
                  <w:vAlign w:val="center"/>
                </w:tcPr>
                <w:p w14:paraId="6F004CB2">
                  <w:pPr>
                    <w:pStyle w:val="90"/>
                    <w:tabs>
                      <w:tab w:val="left" w:pos="1535"/>
                      <w:tab w:val="left" w:pos="3105"/>
                      <w:tab w:val="left" w:pos="4676"/>
                      <w:tab w:val="left" w:pos="6247"/>
                      <w:tab w:val="left" w:pos="7740"/>
                      <w:tab w:val="left" w:pos="9288"/>
                    </w:tabs>
                  </w:pPr>
                </w:p>
              </w:tc>
              <w:tc>
                <w:tcPr>
                  <w:tcW w:w="1311" w:type="dxa"/>
                  <w:tcBorders>
                    <w:tl2br w:val="nil"/>
                    <w:tr2bl w:val="nil"/>
                  </w:tcBorders>
                  <w:vAlign w:val="center"/>
                </w:tcPr>
                <w:p w14:paraId="798B3CCD">
                  <w:pPr>
                    <w:pStyle w:val="90"/>
                    <w:tabs>
                      <w:tab w:val="left" w:pos="1535"/>
                      <w:tab w:val="left" w:pos="3105"/>
                      <w:tab w:val="left" w:pos="4676"/>
                      <w:tab w:val="left" w:pos="6247"/>
                      <w:tab w:val="left" w:pos="7740"/>
                      <w:tab w:val="left" w:pos="9288"/>
                    </w:tabs>
                  </w:pPr>
                  <w:r>
                    <w:rPr>
                      <w:rFonts w:hint="eastAsia"/>
                    </w:rPr>
                    <w:t>原料堆场</w:t>
                  </w:r>
                </w:p>
              </w:tc>
              <w:tc>
                <w:tcPr>
                  <w:tcW w:w="4655" w:type="dxa"/>
                  <w:tcBorders>
                    <w:tl2br w:val="nil"/>
                    <w:tr2bl w:val="nil"/>
                  </w:tcBorders>
                  <w:vAlign w:val="center"/>
                </w:tcPr>
                <w:p w14:paraId="6DA8734A">
                  <w:pPr>
                    <w:pStyle w:val="90"/>
                    <w:tabs>
                      <w:tab w:val="left" w:pos="1535"/>
                      <w:tab w:val="left" w:pos="3105"/>
                      <w:tab w:val="left" w:pos="4676"/>
                      <w:tab w:val="left" w:pos="6247"/>
                      <w:tab w:val="left" w:pos="7740"/>
                      <w:tab w:val="left" w:pos="9288"/>
                    </w:tabs>
                  </w:pPr>
                  <w:r>
                    <w:rPr>
                      <w:rFonts w:hint="eastAsia"/>
                    </w:rPr>
                    <w:t>位于生产车间西侧</w:t>
                  </w:r>
                </w:p>
              </w:tc>
              <w:tc>
                <w:tcPr>
                  <w:tcW w:w="1293" w:type="dxa"/>
                  <w:vMerge w:val="continue"/>
                  <w:tcBorders>
                    <w:tl2br w:val="nil"/>
                    <w:tr2bl w:val="nil"/>
                  </w:tcBorders>
                  <w:vAlign w:val="center"/>
                </w:tcPr>
                <w:p w14:paraId="725BD098">
                  <w:pPr>
                    <w:pStyle w:val="90"/>
                    <w:tabs>
                      <w:tab w:val="left" w:pos="1535"/>
                      <w:tab w:val="left" w:pos="3105"/>
                      <w:tab w:val="left" w:pos="4676"/>
                      <w:tab w:val="left" w:pos="6247"/>
                      <w:tab w:val="left" w:pos="7740"/>
                      <w:tab w:val="left" w:pos="9288"/>
                    </w:tabs>
                  </w:pPr>
                </w:p>
              </w:tc>
            </w:tr>
            <w:tr w14:paraId="010F4A8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vMerge w:val="restart"/>
                  <w:tcBorders>
                    <w:tl2br w:val="nil"/>
                    <w:tr2bl w:val="nil"/>
                  </w:tcBorders>
                  <w:vAlign w:val="center"/>
                </w:tcPr>
                <w:p w14:paraId="4D5E2510">
                  <w:pPr>
                    <w:pStyle w:val="90"/>
                    <w:tabs>
                      <w:tab w:val="left" w:pos="1535"/>
                      <w:tab w:val="left" w:pos="3105"/>
                      <w:tab w:val="left" w:pos="4676"/>
                      <w:tab w:val="left" w:pos="6247"/>
                      <w:tab w:val="left" w:pos="7740"/>
                      <w:tab w:val="left" w:pos="9288"/>
                    </w:tabs>
                  </w:pPr>
                  <w:r>
                    <w:t>公用工程</w:t>
                  </w:r>
                </w:p>
              </w:tc>
              <w:tc>
                <w:tcPr>
                  <w:tcW w:w="1311" w:type="dxa"/>
                  <w:tcBorders>
                    <w:tl2br w:val="nil"/>
                    <w:tr2bl w:val="nil"/>
                  </w:tcBorders>
                  <w:vAlign w:val="center"/>
                </w:tcPr>
                <w:p w14:paraId="2FC0BDD7">
                  <w:pPr>
                    <w:pStyle w:val="90"/>
                  </w:pPr>
                  <w:r>
                    <w:t>供水</w:t>
                  </w:r>
                </w:p>
              </w:tc>
              <w:tc>
                <w:tcPr>
                  <w:tcW w:w="4655" w:type="dxa"/>
                  <w:tcBorders>
                    <w:tl2br w:val="nil"/>
                    <w:tr2bl w:val="nil"/>
                  </w:tcBorders>
                  <w:vAlign w:val="center"/>
                </w:tcPr>
                <w:p w14:paraId="103FB195">
                  <w:pPr>
                    <w:pStyle w:val="90"/>
                  </w:pPr>
                  <w:r>
                    <w:t>园区供水管网</w:t>
                  </w:r>
                </w:p>
              </w:tc>
              <w:tc>
                <w:tcPr>
                  <w:tcW w:w="1293" w:type="dxa"/>
                  <w:tcBorders>
                    <w:tl2br w:val="nil"/>
                    <w:tr2bl w:val="nil"/>
                  </w:tcBorders>
                  <w:vAlign w:val="center"/>
                </w:tcPr>
                <w:p w14:paraId="768C57C0">
                  <w:pPr>
                    <w:pStyle w:val="90"/>
                  </w:pPr>
                  <w:r>
                    <w:t>依托原有</w:t>
                  </w:r>
                </w:p>
              </w:tc>
            </w:tr>
            <w:tr w14:paraId="56490B2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vMerge w:val="continue"/>
                  <w:tcBorders>
                    <w:tl2br w:val="nil"/>
                    <w:tr2bl w:val="nil"/>
                  </w:tcBorders>
                  <w:vAlign w:val="center"/>
                </w:tcPr>
                <w:p w14:paraId="42ABC8FB">
                  <w:pPr>
                    <w:pStyle w:val="90"/>
                    <w:tabs>
                      <w:tab w:val="left" w:pos="1535"/>
                      <w:tab w:val="left" w:pos="3105"/>
                      <w:tab w:val="left" w:pos="4676"/>
                      <w:tab w:val="left" w:pos="6247"/>
                      <w:tab w:val="left" w:pos="7740"/>
                      <w:tab w:val="left" w:pos="9288"/>
                    </w:tabs>
                  </w:pPr>
                </w:p>
              </w:tc>
              <w:tc>
                <w:tcPr>
                  <w:tcW w:w="1311" w:type="dxa"/>
                  <w:tcBorders>
                    <w:tl2br w:val="nil"/>
                    <w:tr2bl w:val="nil"/>
                  </w:tcBorders>
                  <w:vAlign w:val="center"/>
                </w:tcPr>
                <w:p w14:paraId="534A2325">
                  <w:pPr>
                    <w:pStyle w:val="90"/>
                  </w:pPr>
                  <w:r>
                    <w:t>排水</w:t>
                  </w:r>
                </w:p>
              </w:tc>
              <w:tc>
                <w:tcPr>
                  <w:tcW w:w="4655" w:type="dxa"/>
                  <w:tcBorders>
                    <w:tl2br w:val="nil"/>
                    <w:tr2bl w:val="nil"/>
                  </w:tcBorders>
                  <w:vAlign w:val="center"/>
                </w:tcPr>
                <w:p w14:paraId="5E331F33">
                  <w:pPr>
                    <w:pStyle w:val="90"/>
                  </w:pPr>
                  <w:r>
                    <w:t>园区排水管网</w:t>
                  </w:r>
                </w:p>
              </w:tc>
              <w:tc>
                <w:tcPr>
                  <w:tcW w:w="1293" w:type="dxa"/>
                  <w:tcBorders>
                    <w:tl2br w:val="nil"/>
                    <w:tr2bl w:val="nil"/>
                  </w:tcBorders>
                  <w:vAlign w:val="center"/>
                </w:tcPr>
                <w:p w14:paraId="6A40E2C8">
                  <w:pPr>
                    <w:pStyle w:val="90"/>
                  </w:pPr>
                  <w:r>
                    <w:t>依托原有</w:t>
                  </w:r>
                </w:p>
              </w:tc>
            </w:tr>
            <w:tr w14:paraId="753F0F4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vMerge w:val="continue"/>
                  <w:tcBorders>
                    <w:tl2br w:val="nil"/>
                    <w:tr2bl w:val="nil"/>
                  </w:tcBorders>
                  <w:vAlign w:val="center"/>
                </w:tcPr>
                <w:p w14:paraId="4B3D40EA">
                  <w:pPr>
                    <w:pStyle w:val="90"/>
                    <w:tabs>
                      <w:tab w:val="left" w:pos="1535"/>
                      <w:tab w:val="left" w:pos="3105"/>
                      <w:tab w:val="left" w:pos="4676"/>
                      <w:tab w:val="left" w:pos="6247"/>
                      <w:tab w:val="left" w:pos="7740"/>
                      <w:tab w:val="left" w:pos="9288"/>
                    </w:tabs>
                  </w:pPr>
                </w:p>
              </w:tc>
              <w:tc>
                <w:tcPr>
                  <w:tcW w:w="1311" w:type="dxa"/>
                  <w:tcBorders>
                    <w:tl2br w:val="nil"/>
                    <w:tr2bl w:val="nil"/>
                  </w:tcBorders>
                  <w:vAlign w:val="center"/>
                </w:tcPr>
                <w:p w14:paraId="07F02CE0">
                  <w:pPr>
                    <w:pStyle w:val="90"/>
                  </w:pPr>
                  <w:r>
                    <w:t>供电</w:t>
                  </w:r>
                </w:p>
              </w:tc>
              <w:tc>
                <w:tcPr>
                  <w:tcW w:w="4655" w:type="dxa"/>
                  <w:tcBorders>
                    <w:tl2br w:val="nil"/>
                    <w:tr2bl w:val="nil"/>
                  </w:tcBorders>
                  <w:vAlign w:val="center"/>
                </w:tcPr>
                <w:p w14:paraId="23F63504">
                  <w:pPr>
                    <w:pStyle w:val="90"/>
                  </w:pPr>
                  <w:r>
                    <w:t>园区电网</w:t>
                  </w:r>
                </w:p>
              </w:tc>
              <w:tc>
                <w:tcPr>
                  <w:tcW w:w="1293" w:type="dxa"/>
                  <w:tcBorders>
                    <w:tl2br w:val="nil"/>
                    <w:tr2bl w:val="nil"/>
                  </w:tcBorders>
                  <w:vAlign w:val="center"/>
                </w:tcPr>
                <w:p w14:paraId="375C914D">
                  <w:pPr>
                    <w:pStyle w:val="90"/>
                  </w:pPr>
                  <w:r>
                    <w:t>依托原有</w:t>
                  </w:r>
                </w:p>
              </w:tc>
            </w:tr>
            <w:tr w14:paraId="55186B9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vMerge w:val="continue"/>
                  <w:tcBorders>
                    <w:tl2br w:val="nil"/>
                    <w:tr2bl w:val="nil"/>
                  </w:tcBorders>
                  <w:vAlign w:val="center"/>
                </w:tcPr>
                <w:p w14:paraId="0F3B4FD3">
                  <w:pPr>
                    <w:pStyle w:val="90"/>
                    <w:tabs>
                      <w:tab w:val="left" w:pos="1535"/>
                      <w:tab w:val="left" w:pos="3105"/>
                      <w:tab w:val="left" w:pos="4676"/>
                      <w:tab w:val="left" w:pos="6247"/>
                      <w:tab w:val="left" w:pos="7740"/>
                      <w:tab w:val="left" w:pos="9288"/>
                    </w:tabs>
                  </w:pPr>
                </w:p>
              </w:tc>
              <w:tc>
                <w:tcPr>
                  <w:tcW w:w="1311" w:type="dxa"/>
                  <w:tcBorders>
                    <w:tl2br w:val="nil"/>
                    <w:tr2bl w:val="nil"/>
                  </w:tcBorders>
                  <w:vAlign w:val="center"/>
                </w:tcPr>
                <w:p w14:paraId="71720A85">
                  <w:pPr>
                    <w:pStyle w:val="90"/>
                  </w:pPr>
                  <w:r>
                    <w:t>供暖</w:t>
                  </w:r>
                </w:p>
              </w:tc>
              <w:tc>
                <w:tcPr>
                  <w:tcW w:w="4655" w:type="dxa"/>
                  <w:tcBorders>
                    <w:tl2br w:val="nil"/>
                    <w:tr2bl w:val="nil"/>
                  </w:tcBorders>
                  <w:vAlign w:val="center"/>
                </w:tcPr>
                <w:p w14:paraId="3F0A8B59">
                  <w:pPr>
                    <w:pStyle w:val="90"/>
                  </w:pPr>
                  <w:r>
                    <w:t>园区集中供热</w:t>
                  </w:r>
                </w:p>
              </w:tc>
              <w:tc>
                <w:tcPr>
                  <w:tcW w:w="1293" w:type="dxa"/>
                  <w:tcBorders>
                    <w:tl2br w:val="nil"/>
                    <w:tr2bl w:val="nil"/>
                  </w:tcBorders>
                  <w:vAlign w:val="center"/>
                </w:tcPr>
                <w:p w14:paraId="1290B911">
                  <w:pPr>
                    <w:pStyle w:val="90"/>
                  </w:pPr>
                  <w:r>
                    <w:t>依托原有</w:t>
                  </w:r>
                </w:p>
              </w:tc>
            </w:tr>
            <w:tr w14:paraId="12D6F7E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vMerge w:val="restart"/>
                  <w:tcBorders>
                    <w:tl2br w:val="nil"/>
                    <w:tr2bl w:val="nil"/>
                  </w:tcBorders>
                  <w:vAlign w:val="center"/>
                </w:tcPr>
                <w:p w14:paraId="24E42BFD">
                  <w:pPr>
                    <w:pStyle w:val="90"/>
                    <w:tabs>
                      <w:tab w:val="left" w:pos="1535"/>
                      <w:tab w:val="left" w:pos="3105"/>
                      <w:tab w:val="left" w:pos="4676"/>
                      <w:tab w:val="left" w:pos="6247"/>
                      <w:tab w:val="left" w:pos="7740"/>
                      <w:tab w:val="left" w:pos="9288"/>
                    </w:tabs>
                  </w:pPr>
                  <w:r>
                    <w:t>环保工程</w:t>
                  </w:r>
                </w:p>
              </w:tc>
              <w:tc>
                <w:tcPr>
                  <w:tcW w:w="1311" w:type="dxa"/>
                  <w:tcBorders>
                    <w:tl2br w:val="nil"/>
                    <w:tr2bl w:val="nil"/>
                  </w:tcBorders>
                  <w:vAlign w:val="center"/>
                </w:tcPr>
                <w:p w14:paraId="60786239">
                  <w:pPr>
                    <w:pStyle w:val="90"/>
                  </w:pPr>
                  <w:r>
                    <w:t>废气处理</w:t>
                  </w:r>
                </w:p>
              </w:tc>
              <w:tc>
                <w:tcPr>
                  <w:tcW w:w="4655" w:type="dxa"/>
                  <w:tcBorders>
                    <w:tl2br w:val="nil"/>
                    <w:tr2bl w:val="nil"/>
                  </w:tcBorders>
                  <w:vAlign w:val="center"/>
                </w:tcPr>
                <w:p w14:paraId="055D1255">
                  <w:pPr>
                    <w:pStyle w:val="90"/>
                  </w:pPr>
                  <w:r>
                    <w:t>有机废气：在车间产生废气的各个工序上方设置集气装置，将有机废气收集后经一套“活性炭吸附脱附+催化燃烧处理”处理后通过一根15米高排气筒排放</w:t>
                  </w:r>
                  <w:r>
                    <w:rPr>
                      <w:rFonts w:hint="eastAsia"/>
                    </w:rPr>
                    <w:t>；粉尘经布袋除尘器处理后</w:t>
                  </w:r>
                  <w:r>
                    <w:t>通过一根15米高的排气筒排放</w:t>
                  </w:r>
                </w:p>
              </w:tc>
              <w:tc>
                <w:tcPr>
                  <w:tcW w:w="1293" w:type="dxa"/>
                  <w:tcBorders>
                    <w:tl2br w:val="nil"/>
                    <w:tr2bl w:val="nil"/>
                  </w:tcBorders>
                  <w:vAlign w:val="center"/>
                </w:tcPr>
                <w:p w14:paraId="5E94F063">
                  <w:pPr>
                    <w:pStyle w:val="90"/>
                  </w:pPr>
                  <w:r>
                    <w:rPr>
                      <w:rFonts w:hint="eastAsia"/>
                    </w:rPr>
                    <w:t>新建</w:t>
                  </w:r>
                </w:p>
              </w:tc>
            </w:tr>
            <w:tr w14:paraId="174E5655">
              <w:tblPrEx>
                <w:tblCellMar>
                  <w:top w:w="0" w:type="dxa"/>
                  <w:left w:w="108" w:type="dxa"/>
                  <w:bottom w:w="0" w:type="dxa"/>
                  <w:right w:w="108" w:type="dxa"/>
                </w:tblCellMar>
              </w:tblPrEx>
              <w:trPr>
                <w:trHeight w:val="340" w:hRule="atLeast"/>
                <w:jc w:val="center"/>
              </w:trPr>
              <w:tc>
                <w:tcPr>
                  <w:tcW w:w="678" w:type="dxa"/>
                  <w:vMerge w:val="continue"/>
                  <w:tcBorders>
                    <w:tl2br w:val="nil"/>
                    <w:tr2bl w:val="nil"/>
                  </w:tcBorders>
                  <w:vAlign w:val="center"/>
                </w:tcPr>
                <w:p w14:paraId="5BF249DD">
                  <w:pPr>
                    <w:pStyle w:val="90"/>
                    <w:tabs>
                      <w:tab w:val="left" w:pos="1535"/>
                      <w:tab w:val="left" w:pos="3105"/>
                      <w:tab w:val="left" w:pos="4676"/>
                      <w:tab w:val="left" w:pos="6247"/>
                      <w:tab w:val="left" w:pos="7740"/>
                      <w:tab w:val="left" w:pos="9288"/>
                    </w:tabs>
                  </w:pPr>
                </w:p>
              </w:tc>
              <w:tc>
                <w:tcPr>
                  <w:tcW w:w="1311" w:type="dxa"/>
                  <w:tcBorders>
                    <w:tl2br w:val="nil"/>
                    <w:tr2bl w:val="nil"/>
                  </w:tcBorders>
                  <w:vAlign w:val="center"/>
                </w:tcPr>
                <w:p w14:paraId="79088C68">
                  <w:pPr>
                    <w:pStyle w:val="90"/>
                  </w:pPr>
                  <w:r>
                    <w:t>废水处理</w:t>
                  </w:r>
                </w:p>
              </w:tc>
              <w:tc>
                <w:tcPr>
                  <w:tcW w:w="4655" w:type="dxa"/>
                  <w:tcBorders>
                    <w:tl2br w:val="nil"/>
                    <w:tr2bl w:val="nil"/>
                  </w:tcBorders>
                  <w:vAlign w:val="center"/>
                </w:tcPr>
                <w:p w14:paraId="57FF6BEA">
                  <w:pPr>
                    <w:widowControl/>
                    <w:jc w:val="left"/>
                    <w:rPr>
                      <w:szCs w:val="21"/>
                    </w:rPr>
                  </w:pPr>
                  <w:r>
                    <w:rPr>
                      <w:szCs w:val="21"/>
                    </w:rPr>
                    <w:t>生产用冷却水循环使用不外排，</w:t>
                  </w:r>
                  <w:r>
                    <w:rPr>
                      <w:rFonts w:hint="eastAsia"/>
                      <w:szCs w:val="21"/>
                    </w:rPr>
                    <w:t>本项目无新增员工，无生活污水产生。</w:t>
                  </w:r>
                </w:p>
              </w:tc>
              <w:tc>
                <w:tcPr>
                  <w:tcW w:w="1293" w:type="dxa"/>
                  <w:tcBorders>
                    <w:tl2br w:val="nil"/>
                    <w:tr2bl w:val="nil"/>
                  </w:tcBorders>
                  <w:vAlign w:val="center"/>
                </w:tcPr>
                <w:p w14:paraId="7CDBCCD7">
                  <w:pPr>
                    <w:pStyle w:val="90"/>
                  </w:pPr>
                  <w:r>
                    <w:t>依托原有</w:t>
                  </w:r>
                </w:p>
              </w:tc>
            </w:tr>
            <w:tr w14:paraId="0386C35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vMerge w:val="continue"/>
                  <w:tcBorders>
                    <w:tl2br w:val="nil"/>
                    <w:tr2bl w:val="nil"/>
                  </w:tcBorders>
                  <w:vAlign w:val="center"/>
                </w:tcPr>
                <w:p w14:paraId="3352C908">
                  <w:pPr>
                    <w:pStyle w:val="90"/>
                    <w:tabs>
                      <w:tab w:val="left" w:pos="1535"/>
                      <w:tab w:val="left" w:pos="3105"/>
                      <w:tab w:val="left" w:pos="4676"/>
                      <w:tab w:val="left" w:pos="6247"/>
                      <w:tab w:val="left" w:pos="7740"/>
                      <w:tab w:val="left" w:pos="9288"/>
                    </w:tabs>
                  </w:pPr>
                </w:p>
              </w:tc>
              <w:tc>
                <w:tcPr>
                  <w:tcW w:w="1311" w:type="dxa"/>
                  <w:tcBorders>
                    <w:tl2br w:val="nil"/>
                    <w:tr2bl w:val="nil"/>
                  </w:tcBorders>
                  <w:vAlign w:val="center"/>
                </w:tcPr>
                <w:p w14:paraId="09F6FCB2">
                  <w:pPr>
                    <w:pStyle w:val="90"/>
                  </w:pPr>
                  <w:r>
                    <w:rPr>
                      <w:rFonts w:hint="eastAsia"/>
                    </w:rPr>
                    <w:t>噪声处理</w:t>
                  </w:r>
                </w:p>
              </w:tc>
              <w:tc>
                <w:tcPr>
                  <w:tcW w:w="4655" w:type="dxa"/>
                  <w:tcBorders>
                    <w:tl2br w:val="nil"/>
                    <w:tr2bl w:val="nil"/>
                  </w:tcBorders>
                  <w:vAlign w:val="center"/>
                </w:tcPr>
                <w:p w14:paraId="6348E266">
                  <w:pPr>
                    <w:widowControl/>
                    <w:jc w:val="left"/>
                    <w:rPr>
                      <w:szCs w:val="21"/>
                    </w:rPr>
                  </w:pPr>
                  <w:r>
                    <w:rPr>
                      <w:rFonts w:hint="eastAsia"/>
                      <w:szCs w:val="21"/>
                    </w:rPr>
                    <w:t>选用低噪声设备，采取墙体隔声、基础减振装置和柔性连接等措施</w:t>
                  </w:r>
                </w:p>
              </w:tc>
              <w:tc>
                <w:tcPr>
                  <w:tcW w:w="1293" w:type="dxa"/>
                  <w:tcBorders>
                    <w:tl2br w:val="nil"/>
                    <w:tr2bl w:val="nil"/>
                  </w:tcBorders>
                  <w:vAlign w:val="center"/>
                </w:tcPr>
                <w:p w14:paraId="7E22438F">
                  <w:pPr>
                    <w:pStyle w:val="90"/>
                  </w:pPr>
                  <w:r>
                    <w:rPr>
                      <w:rFonts w:hint="eastAsia"/>
                    </w:rPr>
                    <w:t>已建</w:t>
                  </w:r>
                </w:p>
              </w:tc>
            </w:tr>
            <w:tr w14:paraId="43E3385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678" w:type="dxa"/>
                  <w:vMerge w:val="continue"/>
                  <w:tcBorders>
                    <w:tl2br w:val="nil"/>
                    <w:tr2bl w:val="nil"/>
                  </w:tcBorders>
                  <w:vAlign w:val="center"/>
                </w:tcPr>
                <w:p w14:paraId="64013E04">
                  <w:pPr>
                    <w:pStyle w:val="90"/>
                    <w:tabs>
                      <w:tab w:val="left" w:pos="1535"/>
                      <w:tab w:val="left" w:pos="3105"/>
                      <w:tab w:val="left" w:pos="4676"/>
                      <w:tab w:val="left" w:pos="6247"/>
                      <w:tab w:val="left" w:pos="7740"/>
                      <w:tab w:val="left" w:pos="9288"/>
                    </w:tabs>
                  </w:pPr>
                </w:p>
              </w:tc>
              <w:tc>
                <w:tcPr>
                  <w:tcW w:w="1311" w:type="dxa"/>
                  <w:tcBorders>
                    <w:tl2br w:val="nil"/>
                    <w:tr2bl w:val="nil"/>
                  </w:tcBorders>
                  <w:vAlign w:val="center"/>
                </w:tcPr>
                <w:p w14:paraId="1EB515FE">
                  <w:pPr>
                    <w:widowControl/>
                    <w:jc w:val="center"/>
                    <w:rPr>
                      <w:szCs w:val="21"/>
                    </w:rPr>
                  </w:pPr>
                  <w:r>
                    <w:rPr>
                      <w:szCs w:val="21"/>
                    </w:rPr>
                    <w:t>固废处理</w:t>
                  </w:r>
                </w:p>
              </w:tc>
              <w:tc>
                <w:tcPr>
                  <w:tcW w:w="4655" w:type="dxa"/>
                  <w:tcBorders>
                    <w:tl2br w:val="nil"/>
                    <w:tr2bl w:val="nil"/>
                  </w:tcBorders>
                  <w:vAlign w:val="center"/>
                </w:tcPr>
                <w:p w14:paraId="24197263">
                  <w:pPr>
                    <w:widowControl/>
                    <w:jc w:val="left"/>
                    <w:rPr>
                      <w:szCs w:val="21"/>
                    </w:rPr>
                  </w:pPr>
                  <w:r>
                    <w:rPr>
                      <w:szCs w:val="21"/>
                    </w:rPr>
                    <w:t>废边角料、</w:t>
                  </w:r>
                  <w:r>
                    <w:rPr>
                      <w:rFonts w:hint="eastAsia"/>
                      <w:szCs w:val="21"/>
                    </w:rPr>
                    <w:t>不合格</w:t>
                  </w:r>
                  <w:r>
                    <w:rPr>
                      <w:szCs w:val="21"/>
                    </w:rPr>
                    <w:t>品</w:t>
                  </w:r>
                  <w:r>
                    <w:rPr>
                      <w:rFonts w:hint="eastAsia"/>
                      <w:szCs w:val="21"/>
                    </w:rPr>
                    <w:t>、收集尘</w:t>
                  </w:r>
                  <w:r>
                    <w:rPr>
                      <w:szCs w:val="21"/>
                    </w:rPr>
                    <w:t>：集中回收返回破碎工序再利用，不外排；</w:t>
                  </w:r>
                </w:p>
                <w:p w14:paraId="7F4613E2">
                  <w:pPr>
                    <w:widowControl/>
                    <w:jc w:val="left"/>
                    <w:rPr>
                      <w:szCs w:val="21"/>
                    </w:rPr>
                  </w:pPr>
                  <w:r>
                    <w:rPr>
                      <w:rFonts w:hint="eastAsia"/>
                      <w:szCs w:val="21"/>
                    </w:rPr>
                    <w:t>废机油、废活性炭、废催化剂暂存于</w:t>
                  </w:r>
                  <w:r>
                    <w:rPr>
                      <w:szCs w:val="21"/>
                    </w:rPr>
                    <w:t>危废暂存间并由有危险废物处理资质的专业单位进行处理。</w:t>
                  </w:r>
                </w:p>
              </w:tc>
              <w:tc>
                <w:tcPr>
                  <w:tcW w:w="1293" w:type="dxa"/>
                  <w:tcBorders>
                    <w:tl2br w:val="nil"/>
                    <w:tr2bl w:val="nil"/>
                  </w:tcBorders>
                  <w:vAlign w:val="center"/>
                </w:tcPr>
                <w:p w14:paraId="3E75AFBA">
                  <w:pPr>
                    <w:pStyle w:val="90"/>
                  </w:pPr>
                  <w:r>
                    <w:t>依托原有</w:t>
                  </w:r>
                </w:p>
              </w:tc>
            </w:tr>
            <w:bookmarkEnd w:id="1"/>
          </w:tbl>
          <w:p w14:paraId="7EF4CC79">
            <w:pPr>
              <w:adjustRightInd w:val="0"/>
              <w:snapToGrid w:val="0"/>
              <w:spacing w:line="360" w:lineRule="auto"/>
              <w:jc w:val="left"/>
              <w:rPr>
                <w:b/>
                <w:sz w:val="24"/>
              </w:rPr>
            </w:pPr>
            <w:r>
              <w:rPr>
                <w:rFonts w:hint="eastAsia"/>
                <w:b/>
                <w:sz w:val="24"/>
              </w:rPr>
              <w:t>2.主要生产设备</w:t>
            </w:r>
          </w:p>
          <w:p w14:paraId="1055359F">
            <w:pPr>
              <w:pStyle w:val="55"/>
              <w:ind w:firstLine="480"/>
            </w:pPr>
            <w:r>
              <w:rPr>
                <w:rFonts w:hint="eastAsia"/>
              </w:rPr>
              <w:t>本项目主要生产设备见表2-2。</w:t>
            </w:r>
          </w:p>
          <w:p w14:paraId="6213392C">
            <w:pPr>
              <w:pStyle w:val="55"/>
              <w:ind w:firstLine="480"/>
            </w:pPr>
          </w:p>
          <w:p w14:paraId="2FF6CB63">
            <w:pPr>
              <w:pStyle w:val="59"/>
            </w:pPr>
            <w:r>
              <w:rPr>
                <w:rFonts w:hint="eastAsia"/>
              </w:rPr>
              <w:t>表2-2   主要生产设备一览表</w:t>
            </w:r>
          </w:p>
          <w:tbl>
            <w:tblPr>
              <w:tblStyle w:val="30"/>
              <w:tblW w:w="7942" w:type="dxa"/>
              <w:tblInd w:w="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39"/>
              <w:gridCol w:w="2676"/>
              <w:gridCol w:w="1347"/>
              <w:gridCol w:w="1347"/>
              <w:gridCol w:w="1633"/>
            </w:tblGrid>
            <w:tr w14:paraId="32B6C3A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exact"/>
                <w:tblHeader/>
              </w:trPr>
              <w:tc>
                <w:tcPr>
                  <w:tcW w:w="591" w:type="pct"/>
                  <w:tcBorders>
                    <w:bottom w:val="single" w:color="auto" w:sz="12" w:space="0"/>
                  </w:tcBorders>
                  <w:vAlign w:val="center"/>
                </w:tcPr>
                <w:p w14:paraId="29E55867">
                  <w:pPr>
                    <w:pStyle w:val="54"/>
                    <w:rPr>
                      <w:b/>
                      <w:bCs/>
                    </w:rPr>
                  </w:pPr>
                  <w:r>
                    <w:rPr>
                      <w:b/>
                      <w:bCs/>
                    </w:rPr>
                    <w:t>序号</w:t>
                  </w:r>
                </w:p>
              </w:tc>
              <w:tc>
                <w:tcPr>
                  <w:tcW w:w="1685" w:type="pct"/>
                  <w:tcBorders>
                    <w:bottom w:val="single" w:color="auto" w:sz="12" w:space="0"/>
                  </w:tcBorders>
                  <w:vAlign w:val="center"/>
                </w:tcPr>
                <w:p w14:paraId="5E7D2D2D">
                  <w:pPr>
                    <w:pStyle w:val="54"/>
                    <w:rPr>
                      <w:b/>
                      <w:bCs/>
                    </w:rPr>
                  </w:pPr>
                  <w:r>
                    <w:rPr>
                      <w:b/>
                      <w:bCs/>
                    </w:rPr>
                    <w:t>设备名称</w:t>
                  </w:r>
                </w:p>
              </w:tc>
              <w:tc>
                <w:tcPr>
                  <w:tcW w:w="848" w:type="pct"/>
                  <w:tcBorders>
                    <w:bottom w:val="single" w:color="auto" w:sz="12" w:space="0"/>
                  </w:tcBorders>
                  <w:vAlign w:val="center"/>
                </w:tcPr>
                <w:p w14:paraId="033AF550">
                  <w:pPr>
                    <w:pStyle w:val="54"/>
                    <w:rPr>
                      <w:b/>
                      <w:bCs/>
                    </w:rPr>
                  </w:pPr>
                  <w:r>
                    <w:rPr>
                      <w:rFonts w:hint="eastAsia"/>
                      <w:b/>
                      <w:bCs/>
                    </w:rPr>
                    <w:t>型号</w:t>
                  </w:r>
                </w:p>
              </w:tc>
              <w:tc>
                <w:tcPr>
                  <w:tcW w:w="848" w:type="pct"/>
                  <w:tcBorders>
                    <w:bottom w:val="single" w:color="auto" w:sz="12" w:space="0"/>
                  </w:tcBorders>
                  <w:vAlign w:val="center"/>
                </w:tcPr>
                <w:p w14:paraId="07E1A900">
                  <w:pPr>
                    <w:pStyle w:val="54"/>
                    <w:rPr>
                      <w:b/>
                      <w:bCs/>
                    </w:rPr>
                  </w:pPr>
                  <w:r>
                    <w:rPr>
                      <w:b/>
                      <w:bCs/>
                    </w:rPr>
                    <w:t>单位</w:t>
                  </w:r>
                </w:p>
              </w:tc>
              <w:tc>
                <w:tcPr>
                  <w:tcW w:w="1029" w:type="pct"/>
                  <w:tcBorders>
                    <w:bottom w:val="single" w:color="auto" w:sz="12" w:space="0"/>
                  </w:tcBorders>
                  <w:vAlign w:val="center"/>
                </w:tcPr>
                <w:p w14:paraId="771D1B8C">
                  <w:pPr>
                    <w:pStyle w:val="54"/>
                    <w:rPr>
                      <w:b/>
                      <w:bCs/>
                    </w:rPr>
                  </w:pPr>
                  <w:r>
                    <w:rPr>
                      <w:b/>
                      <w:bCs/>
                    </w:rPr>
                    <w:t>数量</w:t>
                  </w:r>
                </w:p>
              </w:tc>
            </w:tr>
            <w:tr w14:paraId="4841579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exact"/>
                <w:tblHeader/>
              </w:trPr>
              <w:tc>
                <w:tcPr>
                  <w:tcW w:w="591" w:type="pct"/>
                  <w:tcBorders>
                    <w:top w:val="single" w:color="auto" w:sz="12" w:space="0"/>
                    <w:tl2br w:val="nil"/>
                    <w:tr2bl w:val="nil"/>
                  </w:tcBorders>
                  <w:vAlign w:val="center"/>
                </w:tcPr>
                <w:p w14:paraId="287DE89E">
                  <w:pPr>
                    <w:pStyle w:val="54"/>
                    <w:rPr>
                      <w:rFonts w:ascii="Times New Roman" w:hAnsi="Times New Roman"/>
                    </w:rPr>
                  </w:pPr>
                  <w:r>
                    <w:rPr>
                      <w:rFonts w:ascii="Times New Roman" w:hAnsi="Times New Roman"/>
                    </w:rPr>
                    <w:t>1</w:t>
                  </w:r>
                </w:p>
              </w:tc>
              <w:tc>
                <w:tcPr>
                  <w:tcW w:w="1685" w:type="pct"/>
                  <w:tcBorders>
                    <w:top w:val="single" w:color="auto" w:sz="12" w:space="0"/>
                    <w:tl2br w:val="nil"/>
                    <w:tr2bl w:val="nil"/>
                  </w:tcBorders>
                  <w:vAlign w:val="center"/>
                </w:tcPr>
                <w:p w14:paraId="0151B94A">
                  <w:pPr>
                    <w:pStyle w:val="54"/>
                    <w:rPr>
                      <w:rFonts w:ascii="Times New Roman" w:hAnsi="Times New Roman"/>
                    </w:rPr>
                  </w:pPr>
                  <w:r>
                    <w:rPr>
                      <w:rFonts w:ascii="Times New Roman" w:hAnsi="Times New Roman"/>
                    </w:rPr>
                    <w:t>单螺杆挤出机</w:t>
                  </w:r>
                </w:p>
              </w:tc>
              <w:tc>
                <w:tcPr>
                  <w:tcW w:w="848" w:type="pct"/>
                  <w:tcBorders>
                    <w:top w:val="single" w:color="auto" w:sz="12" w:space="0"/>
                    <w:tl2br w:val="nil"/>
                    <w:tr2bl w:val="nil"/>
                  </w:tcBorders>
                  <w:vAlign w:val="center"/>
                </w:tcPr>
                <w:p w14:paraId="373DEEBA">
                  <w:pPr>
                    <w:pStyle w:val="54"/>
                    <w:rPr>
                      <w:rFonts w:ascii="Times New Roman" w:hAnsi="Times New Roman"/>
                    </w:rPr>
                  </w:pPr>
                  <w:r>
                    <w:rPr>
                      <w:rFonts w:ascii="Times New Roman" w:hAnsi="Times New Roman"/>
                    </w:rPr>
                    <w:t>80</w:t>
                  </w:r>
                </w:p>
              </w:tc>
              <w:tc>
                <w:tcPr>
                  <w:tcW w:w="848" w:type="pct"/>
                  <w:tcBorders>
                    <w:top w:val="single" w:color="auto" w:sz="12" w:space="0"/>
                    <w:tl2br w:val="nil"/>
                    <w:tr2bl w:val="nil"/>
                  </w:tcBorders>
                  <w:vAlign w:val="center"/>
                </w:tcPr>
                <w:p w14:paraId="5DFC1ACE">
                  <w:pPr>
                    <w:pStyle w:val="54"/>
                    <w:rPr>
                      <w:rFonts w:ascii="Times New Roman" w:hAnsi="Times New Roman"/>
                    </w:rPr>
                  </w:pPr>
                  <w:r>
                    <w:rPr>
                      <w:rFonts w:ascii="Times New Roman" w:hAnsi="Times New Roman"/>
                    </w:rPr>
                    <w:t>台</w:t>
                  </w:r>
                </w:p>
              </w:tc>
              <w:tc>
                <w:tcPr>
                  <w:tcW w:w="1029" w:type="pct"/>
                  <w:tcBorders>
                    <w:top w:val="single" w:color="auto" w:sz="12" w:space="0"/>
                    <w:tl2br w:val="nil"/>
                    <w:tr2bl w:val="nil"/>
                  </w:tcBorders>
                  <w:vAlign w:val="center"/>
                </w:tcPr>
                <w:p w14:paraId="2B9D2FD9">
                  <w:pPr>
                    <w:pStyle w:val="54"/>
                    <w:rPr>
                      <w:rFonts w:ascii="Times New Roman" w:hAnsi="Times New Roman"/>
                    </w:rPr>
                  </w:pPr>
                  <w:r>
                    <w:rPr>
                      <w:rFonts w:ascii="Times New Roman" w:hAnsi="Times New Roman"/>
                    </w:rPr>
                    <w:t>5</w:t>
                  </w:r>
                </w:p>
              </w:tc>
            </w:tr>
            <w:tr w14:paraId="34B9AC4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exact"/>
                <w:tblHeader/>
              </w:trPr>
              <w:tc>
                <w:tcPr>
                  <w:tcW w:w="591" w:type="pct"/>
                  <w:tcBorders>
                    <w:tl2br w:val="nil"/>
                    <w:tr2bl w:val="nil"/>
                  </w:tcBorders>
                  <w:vAlign w:val="center"/>
                </w:tcPr>
                <w:p w14:paraId="0DCA522A">
                  <w:pPr>
                    <w:pStyle w:val="54"/>
                    <w:rPr>
                      <w:rFonts w:ascii="Times New Roman" w:hAnsi="Times New Roman"/>
                    </w:rPr>
                  </w:pPr>
                  <w:r>
                    <w:rPr>
                      <w:rFonts w:ascii="Times New Roman" w:hAnsi="Times New Roman"/>
                    </w:rPr>
                    <w:t>2</w:t>
                  </w:r>
                </w:p>
              </w:tc>
              <w:tc>
                <w:tcPr>
                  <w:tcW w:w="1685" w:type="pct"/>
                  <w:tcBorders>
                    <w:tl2br w:val="nil"/>
                    <w:tr2bl w:val="nil"/>
                  </w:tcBorders>
                  <w:vAlign w:val="center"/>
                </w:tcPr>
                <w:p w14:paraId="25BED6F9">
                  <w:pPr>
                    <w:pStyle w:val="54"/>
                    <w:rPr>
                      <w:rFonts w:ascii="Times New Roman" w:hAnsi="Times New Roman"/>
                    </w:rPr>
                  </w:pPr>
                  <w:r>
                    <w:rPr>
                      <w:rFonts w:ascii="Times New Roman" w:hAnsi="Times New Roman"/>
                    </w:rPr>
                    <w:t>双螺杆挤出机</w:t>
                  </w:r>
                </w:p>
              </w:tc>
              <w:tc>
                <w:tcPr>
                  <w:tcW w:w="848" w:type="pct"/>
                  <w:tcBorders>
                    <w:tl2br w:val="nil"/>
                    <w:tr2bl w:val="nil"/>
                  </w:tcBorders>
                  <w:vAlign w:val="center"/>
                </w:tcPr>
                <w:p w14:paraId="2549CD66">
                  <w:pPr>
                    <w:pStyle w:val="54"/>
                    <w:rPr>
                      <w:rFonts w:ascii="Times New Roman" w:hAnsi="Times New Roman"/>
                    </w:rPr>
                  </w:pPr>
                  <w:r>
                    <w:rPr>
                      <w:rFonts w:ascii="Times New Roman" w:hAnsi="Times New Roman"/>
                    </w:rPr>
                    <w:t>51-65</w:t>
                  </w:r>
                </w:p>
              </w:tc>
              <w:tc>
                <w:tcPr>
                  <w:tcW w:w="848" w:type="pct"/>
                  <w:tcBorders>
                    <w:tl2br w:val="nil"/>
                    <w:tr2bl w:val="nil"/>
                  </w:tcBorders>
                  <w:vAlign w:val="center"/>
                </w:tcPr>
                <w:p w14:paraId="1B598BB6">
                  <w:pPr>
                    <w:pStyle w:val="54"/>
                    <w:rPr>
                      <w:rFonts w:ascii="Times New Roman" w:hAnsi="Times New Roman"/>
                    </w:rPr>
                  </w:pPr>
                  <w:r>
                    <w:rPr>
                      <w:rFonts w:ascii="Times New Roman" w:hAnsi="Times New Roman"/>
                    </w:rPr>
                    <w:t>台</w:t>
                  </w:r>
                </w:p>
              </w:tc>
              <w:tc>
                <w:tcPr>
                  <w:tcW w:w="1029" w:type="pct"/>
                  <w:tcBorders>
                    <w:tl2br w:val="nil"/>
                    <w:tr2bl w:val="nil"/>
                  </w:tcBorders>
                  <w:vAlign w:val="center"/>
                </w:tcPr>
                <w:p w14:paraId="55518DCC">
                  <w:pPr>
                    <w:pStyle w:val="54"/>
                    <w:rPr>
                      <w:rFonts w:ascii="Times New Roman" w:hAnsi="Times New Roman"/>
                    </w:rPr>
                  </w:pPr>
                  <w:r>
                    <w:rPr>
                      <w:rFonts w:ascii="Times New Roman" w:hAnsi="Times New Roman"/>
                    </w:rPr>
                    <w:t>10</w:t>
                  </w:r>
                </w:p>
              </w:tc>
            </w:tr>
            <w:tr w14:paraId="1C2A3A1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exact"/>
                <w:tblHeader/>
              </w:trPr>
              <w:tc>
                <w:tcPr>
                  <w:tcW w:w="591" w:type="pct"/>
                  <w:tcBorders>
                    <w:tl2br w:val="nil"/>
                    <w:tr2bl w:val="nil"/>
                  </w:tcBorders>
                  <w:vAlign w:val="center"/>
                </w:tcPr>
                <w:p w14:paraId="52138346">
                  <w:pPr>
                    <w:pStyle w:val="54"/>
                    <w:rPr>
                      <w:rFonts w:ascii="Times New Roman" w:hAnsi="Times New Roman"/>
                    </w:rPr>
                  </w:pPr>
                  <w:r>
                    <w:rPr>
                      <w:rFonts w:ascii="Times New Roman" w:hAnsi="Times New Roman"/>
                    </w:rPr>
                    <w:t>3</w:t>
                  </w:r>
                </w:p>
              </w:tc>
              <w:tc>
                <w:tcPr>
                  <w:tcW w:w="1685" w:type="pct"/>
                  <w:tcBorders>
                    <w:tl2br w:val="nil"/>
                    <w:tr2bl w:val="nil"/>
                  </w:tcBorders>
                  <w:vAlign w:val="center"/>
                </w:tcPr>
                <w:p w14:paraId="519FFFF3">
                  <w:pPr>
                    <w:pStyle w:val="54"/>
                    <w:rPr>
                      <w:rFonts w:ascii="Times New Roman" w:hAnsi="Times New Roman"/>
                    </w:rPr>
                  </w:pPr>
                  <w:r>
                    <w:rPr>
                      <w:rFonts w:ascii="Times New Roman" w:hAnsi="Times New Roman"/>
                    </w:rPr>
                    <w:t>混料机</w:t>
                  </w:r>
                </w:p>
              </w:tc>
              <w:tc>
                <w:tcPr>
                  <w:tcW w:w="848" w:type="pct"/>
                  <w:tcBorders>
                    <w:tl2br w:val="nil"/>
                    <w:tr2bl w:val="nil"/>
                  </w:tcBorders>
                  <w:vAlign w:val="center"/>
                </w:tcPr>
                <w:p w14:paraId="022B0039">
                  <w:pPr>
                    <w:pStyle w:val="54"/>
                    <w:rPr>
                      <w:rFonts w:ascii="Times New Roman" w:hAnsi="Times New Roman"/>
                    </w:rPr>
                  </w:pPr>
                  <w:r>
                    <w:rPr>
                      <w:rFonts w:ascii="Times New Roman" w:hAnsi="Times New Roman"/>
                    </w:rPr>
                    <w:t>500-1000</w:t>
                  </w:r>
                </w:p>
              </w:tc>
              <w:tc>
                <w:tcPr>
                  <w:tcW w:w="848" w:type="pct"/>
                  <w:tcBorders>
                    <w:tl2br w:val="nil"/>
                    <w:tr2bl w:val="nil"/>
                  </w:tcBorders>
                  <w:vAlign w:val="center"/>
                </w:tcPr>
                <w:p w14:paraId="46B4303F">
                  <w:pPr>
                    <w:pStyle w:val="54"/>
                    <w:rPr>
                      <w:rFonts w:ascii="Times New Roman" w:hAnsi="Times New Roman"/>
                    </w:rPr>
                  </w:pPr>
                  <w:r>
                    <w:rPr>
                      <w:rFonts w:ascii="Times New Roman" w:hAnsi="Times New Roman"/>
                    </w:rPr>
                    <w:t>台</w:t>
                  </w:r>
                </w:p>
              </w:tc>
              <w:tc>
                <w:tcPr>
                  <w:tcW w:w="1029" w:type="pct"/>
                  <w:tcBorders>
                    <w:tl2br w:val="nil"/>
                    <w:tr2bl w:val="nil"/>
                  </w:tcBorders>
                  <w:vAlign w:val="center"/>
                </w:tcPr>
                <w:p w14:paraId="09ABBACF">
                  <w:pPr>
                    <w:pStyle w:val="54"/>
                    <w:rPr>
                      <w:rFonts w:ascii="Times New Roman" w:hAnsi="Times New Roman"/>
                    </w:rPr>
                  </w:pPr>
                  <w:r>
                    <w:rPr>
                      <w:rFonts w:ascii="Times New Roman" w:hAnsi="Times New Roman"/>
                    </w:rPr>
                    <w:t>5</w:t>
                  </w:r>
                </w:p>
              </w:tc>
            </w:tr>
            <w:tr w14:paraId="2F9801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60" w:hRule="exact"/>
                <w:tblHeader/>
              </w:trPr>
              <w:tc>
                <w:tcPr>
                  <w:tcW w:w="591" w:type="pct"/>
                  <w:tcBorders>
                    <w:tl2br w:val="nil"/>
                    <w:tr2bl w:val="nil"/>
                  </w:tcBorders>
                  <w:vAlign w:val="center"/>
                </w:tcPr>
                <w:p w14:paraId="1B045D1A">
                  <w:pPr>
                    <w:pStyle w:val="54"/>
                    <w:rPr>
                      <w:rFonts w:ascii="Times New Roman" w:hAnsi="Times New Roman"/>
                    </w:rPr>
                  </w:pPr>
                  <w:r>
                    <w:rPr>
                      <w:rFonts w:ascii="Times New Roman" w:hAnsi="Times New Roman"/>
                    </w:rPr>
                    <w:t>4</w:t>
                  </w:r>
                </w:p>
              </w:tc>
              <w:tc>
                <w:tcPr>
                  <w:tcW w:w="1685" w:type="pct"/>
                  <w:tcBorders>
                    <w:tl2br w:val="nil"/>
                    <w:tr2bl w:val="nil"/>
                  </w:tcBorders>
                  <w:vAlign w:val="center"/>
                </w:tcPr>
                <w:p w14:paraId="11747DDF">
                  <w:pPr>
                    <w:pStyle w:val="54"/>
                    <w:rPr>
                      <w:rFonts w:ascii="Times New Roman" w:hAnsi="Times New Roman"/>
                    </w:rPr>
                  </w:pPr>
                  <w:r>
                    <w:rPr>
                      <w:rFonts w:hint="eastAsia" w:ascii="Times New Roman" w:hAnsi="Times New Roman"/>
                    </w:rPr>
                    <w:t>破碎机</w:t>
                  </w:r>
                </w:p>
              </w:tc>
              <w:tc>
                <w:tcPr>
                  <w:tcW w:w="848" w:type="pct"/>
                  <w:tcBorders>
                    <w:tl2br w:val="nil"/>
                    <w:tr2bl w:val="nil"/>
                  </w:tcBorders>
                  <w:vAlign w:val="center"/>
                </w:tcPr>
                <w:p w14:paraId="3D0D9C2B">
                  <w:pPr>
                    <w:pStyle w:val="54"/>
                    <w:rPr>
                      <w:rFonts w:ascii="Times New Roman" w:hAnsi="Times New Roman"/>
                    </w:rPr>
                  </w:pPr>
                  <w:r>
                    <w:rPr>
                      <w:rFonts w:hint="eastAsia" w:ascii="Times New Roman" w:hAnsi="Times New Roman"/>
                    </w:rPr>
                    <w:t>/</w:t>
                  </w:r>
                </w:p>
              </w:tc>
              <w:tc>
                <w:tcPr>
                  <w:tcW w:w="848" w:type="pct"/>
                  <w:tcBorders>
                    <w:tl2br w:val="nil"/>
                    <w:tr2bl w:val="nil"/>
                  </w:tcBorders>
                  <w:vAlign w:val="center"/>
                </w:tcPr>
                <w:p w14:paraId="4E2CF463">
                  <w:pPr>
                    <w:pStyle w:val="54"/>
                    <w:rPr>
                      <w:rFonts w:ascii="Times New Roman" w:hAnsi="Times New Roman"/>
                    </w:rPr>
                  </w:pPr>
                  <w:r>
                    <w:rPr>
                      <w:rFonts w:hint="eastAsia" w:ascii="Times New Roman" w:hAnsi="Times New Roman"/>
                    </w:rPr>
                    <w:t>台</w:t>
                  </w:r>
                </w:p>
              </w:tc>
              <w:tc>
                <w:tcPr>
                  <w:tcW w:w="1029" w:type="pct"/>
                  <w:tcBorders>
                    <w:tl2br w:val="nil"/>
                    <w:tr2bl w:val="nil"/>
                  </w:tcBorders>
                  <w:vAlign w:val="center"/>
                </w:tcPr>
                <w:p w14:paraId="2DA860D8">
                  <w:pPr>
                    <w:pStyle w:val="54"/>
                    <w:rPr>
                      <w:rFonts w:ascii="Times New Roman" w:hAnsi="Times New Roman"/>
                    </w:rPr>
                  </w:pPr>
                  <w:r>
                    <w:rPr>
                      <w:rFonts w:hint="eastAsia" w:ascii="Times New Roman" w:hAnsi="Times New Roman"/>
                    </w:rPr>
                    <w:t>1</w:t>
                  </w:r>
                </w:p>
              </w:tc>
            </w:tr>
          </w:tbl>
          <w:p w14:paraId="756B6897">
            <w:pPr>
              <w:adjustRightInd w:val="0"/>
              <w:snapToGrid w:val="0"/>
              <w:spacing w:line="360" w:lineRule="auto"/>
              <w:jc w:val="left"/>
              <w:rPr>
                <w:b/>
                <w:sz w:val="24"/>
              </w:rPr>
            </w:pPr>
            <w:bookmarkStart w:id="2" w:name="_Hlk153188086"/>
            <w:r>
              <w:rPr>
                <w:rFonts w:hint="eastAsia"/>
                <w:b/>
                <w:sz w:val="24"/>
              </w:rPr>
              <w:t>3</w:t>
            </w:r>
            <w:r>
              <w:rPr>
                <w:b/>
                <w:sz w:val="24"/>
              </w:rPr>
              <w:t>.</w:t>
            </w:r>
            <w:r>
              <w:rPr>
                <w:rFonts w:hint="eastAsia"/>
                <w:b/>
                <w:sz w:val="24"/>
              </w:rPr>
              <w:t>原辅材料使用情况</w:t>
            </w:r>
          </w:p>
          <w:p w14:paraId="349851E8">
            <w:pPr>
              <w:pStyle w:val="55"/>
              <w:ind w:firstLine="480"/>
            </w:pPr>
            <w:r>
              <w:rPr>
                <w:rFonts w:hint="eastAsia"/>
              </w:rPr>
              <w:t>本项目主要原辅材料使用情况见表2-</w:t>
            </w:r>
            <w:r>
              <w:t>3</w:t>
            </w:r>
            <w:r>
              <w:rPr>
                <w:rFonts w:hint="eastAsia"/>
              </w:rPr>
              <w:t>所示。</w:t>
            </w:r>
          </w:p>
          <w:p w14:paraId="7AD11358">
            <w:pPr>
              <w:ind w:left="180"/>
              <w:jc w:val="center"/>
              <w:rPr>
                <w:b/>
                <w:szCs w:val="21"/>
              </w:rPr>
            </w:pPr>
            <w:r>
              <w:rPr>
                <w:rFonts w:hint="eastAsia"/>
                <w:b/>
                <w:szCs w:val="21"/>
              </w:rPr>
              <w:t>表2-3    主要原辅材料用量一览表</w:t>
            </w:r>
          </w:p>
          <w:tbl>
            <w:tblPr>
              <w:tblStyle w:val="3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2194"/>
              <w:gridCol w:w="2269"/>
              <w:gridCol w:w="1699"/>
              <w:gridCol w:w="1067"/>
            </w:tblGrid>
            <w:tr w14:paraId="40BD07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53" w:type="pct"/>
                  <w:tcBorders>
                    <w:top w:val="single" w:color="auto" w:sz="12" w:space="0"/>
                    <w:bottom w:val="single" w:color="auto" w:sz="12" w:space="0"/>
                  </w:tcBorders>
                  <w:vAlign w:val="center"/>
                </w:tcPr>
                <w:p w14:paraId="41E0178C">
                  <w:pPr>
                    <w:jc w:val="center"/>
                    <w:rPr>
                      <w:b/>
                      <w:bCs/>
                    </w:rPr>
                  </w:pPr>
                  <w:r>
                    <w:rPr>
                      <w:rFonts w:hint="eastAsia"/>
                      <w:b/>
                      <w:bCs/>
                    </w:rPr>
                    <w:t>序号</w:t>
                  </w:r>
                </w:p>
              </w:tc>
              <w:tc>
                <w:tcPr>
                  <w:tcW w:w="1380" w:type="pct"/>
                  <w:tcBorders>
                    <w:top w:val="single" w:color="auto" w:sz="12" w:space="0"/>
                    <w:bottom w:val="single" w:color="auto" w:sz="12" w:space="0"/>
                  </w:tcBorders>
                  <w:vAlign w:val="center"/>
                </w:tcPr>
                <w:p w14:paraId="4CF42402">
                  <w:pPr>
                    <w:jc w:val="center"/>
                    <w:rPr>
                      <w:b/>
                      <w:bCs/>
                    </w:rPr>
                  </w:pPr>
                  <w:r>
                    <w:rPr>
                      <w:rFonts w:hint="eastAsia"/>
                      <w:b/>
                      <w:bCs/>
                    </w:rPr>
                    <w:t>项目名称</w:t>
                  </w:r>
                </w:p>
              </w:tc>
              <w:tc>
                <w:tcPr>
                  <w:tcW w:w="1427" w:type="pct"/>
                  <w:tcBorders>
                    <w:top w:val="single" w:color="auto" w:sz="12" w:space="0"/>
                    <w:bottom w:val="single" w:color="auto" w:sz="12" w:space="0"/>
                  </w:tcBorders>
                  <w:vAlign w:val="center"/>
                </w:tcPr>
                <w:p w14:paraId="4D164BE0">
                  <w:pPr>
                    <w:jc w:val="center"/>
                    <w:rPr>
                      <w:b/>
                      <w:bCs/>
                    </w:rPr>
                  </w:pPr>
                  <w:r>
                    <w:rPr>
                      <w:rFonts w:hint="eastAsia"/>
                      <w:b/>
                      <w:bCs/>
                    </w:rPr>
                    <w:t>原有项目年使用量</w:t>
                  </w:r>
                </w:p>
              </w:tc>
              <w:tc>
                <w:tcPr>
                  <w:tcW w:w="1069" w:type="pct"/>
                  <w:tcBorders>
                    <w:top w:val="single" w:color="auto" w:sz="12" w:space="0"/>
                    <w:bottom w:val="single" w:color="auto" w:sz="12" w:space="0"/>
                  </w:tcBorders>
                  <w:vAlign w:val="center"/>
                </w:tcPr>
                <w:p w14:paraId="6B69A079">
                  <w:pPr>
                    <w:jc w:val="center"/>
                    <w:rPr>
                      <w:b/>
                      <w:bCs/>
                    </w:rPr>
                  </w:pPr>
                  <w:r>
                    <w:rPr>
                      <w:rFonts w:hint="eastAsia"/>
                      <w:b/>
                      <w:bCs/>
                    </w:rPr>
                    <w:t>本项目新增用量</w:t>
                  </w:r>
                </w:p>
              </w:tc>
              <w:tc>
                <w:tcPr>
                  <w:tcW w:w="671" w:type="pct"/>
                  <w:tcBorders>
                    <w:top w:val="single" w:color="auto" w:sz="12" w:space="0"/>
                    <w:bottom w:val="single" w:color="auto" w:sz="12" w:space="0"/>
                  </w:tcBorders>
                  <w:vAlign w:val="center"/>
                </w:tcPr>
                <w:p w14:paraId="4E3E2277">
                  <w:pPr>
                    <w:jc w:val="center"/>
                    <w:rPr>
                      <w:b/>
                      <w:bCs/>
                    </w:rPr>
                  </w:pPr>
                  <w:r>
                    <w:rPr>
                      <w:rFonts w:hint="eastAsia"/>
                      <w:b/>
                      <w:bCs/>
                    </w:rPr>
                    <w:t>备注</w:t>
                  </w:r>
                </w:p>
              </w:tc>
            </w:tr>
            <w:tr w14:paraId="1D81FF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tcBorders>
                    <w:top w:val="single" w:color="auto" w:sz="12" w:space="0"/>
                    <w:bottom w:val="single" w:color="auto" w:sz="4" w:space="0"/>
                  </w:tcBorders>
                  <w:vAlign w:val="center"/>
                </w:tcPr>
                <w:p w14:paraId="2ECCCC51">
                  <w:pPr>
                    <w:jc w:val="center"/>
                  </w:pPr>
                  <w:r>
                    <w:rPr>
                      <w:rFonts w:hint="eastAsia"/>
                    </w:rPr>
                    <w:t>1</w:t>
                  </w:r>
                </w:p>
              </w:tc>
              <w:tc>
                <w:tcPr>
                  <w:tcW w:w="1380" w:type="pct"/>
                  <w:tcBorders>
                    <w:top w:val="single" w:color="auto" w:sz="12" w:space="0"/>
                    <w:bottom w:val="single" w:color="auto" w:sz="4" w:space="0"/>
                  </w:tcBorders>
                  <w:vAlign w:val="center"/>
                </w:tcPr>
                <w:p w14:paraId="01C708A3">
                  <w:pPr>
                    <w:jc w:val="center"/>
                  </w:pPr>
                  <w:r>
                    <w:rPr>
                      <w:rFonts w:hint="eastAsia"/>
                    </w:rPr>
                    <w:t>PVC颗粒</w:t>
                  </w:r>
                </w:p>
              </w:tc>
              <w:tc>
                <w:tcPr>
                  <w:tcW w:w="1427" w:type="pct"/>
                  <w:tcBorders>
                    <w:top w:val="single" w:color="auto" w:sz="12" w:space="0"/>
                    <w:bottom w:val="single" w:color="auto" w:sz="4" w:space="0"/>
                  </w:tcBorders>
                  <w:vAlign w:val="center"/>
                </w:tcPr>
                <w:p w14:paraId="4BA2F416">
                  <w:pPr>
                    <w:jc w:val="center"/>
                  </w:pPr>
                  <w:r>
                    <w:rPr>
                      <w:rFonts w:hint="eastAsia"/>
                    </w:rPr>
                    <w:t>2</w:t>
                  </w:r>
                  <w:r>
                    <w:t>800</w:t>
                  </w:r>
                  <w:r>
                    <w:rPr>
                      <w:rFonts w:hint="eastAsia"/>
                    </w:rPr>
                    <w:t>t</w:t>
                  </w:r>
                  <w:r>
                    <w:t>/a</w:t>
                  </w:r>
                </w:p>
              </w:tc>
              <w:tc>
                <w:tcPr>
                  <w:tcW w:w="1069" w:type="pct"/>
                  <w:tcBorders>
                    <w:top w:val="single" w:color="auto" w:sz="12" w:space="0"/>
                    <w:bottom w:val="single" w:color="auto" w:sz="4" w:space="0"/>
                  </w:tcBorders>
                  <w:vAlign w:val="center"/>
                </w:tcPr>
                <w:p w14:paraId="457AC38A">
                  <w:pPr>
                    <w:jc w:val="center"/>
                  </w:pPr>
                  <w:r>
                    <w:t>14020</w:t>
                  </w:r>
                  <w:r>
                    <w:rPr>
                      <w:rFonts w:hint="eastAsia"/>
                    </w:rPr>
                    <w:t xml:space="preserve"> t</w:t>
                  </w:r>
                  <w:r>
                    <w:t>/a</w:t>
                  </w:r>
                </w:p>
              </w:tc>
              <w:tc>
                <w:tcPr>
                  <w:tcW w:w="671" w:type="pct"/>
                  <w:tcBorders>
                    <w:top w:val="single" w:color="auto" w:sz="12" w:space="0"/>
                    <w:bottom w:val="single" w:color="auto" w:sz="4" w:space="0"/>
                  </w:tcBorders>
                  <w:vAlign w:val="center"/>
                </w:tcPr>
                <w:p w14:paraId="11AC63EC">
                  <w:pPr>
                    <w:jc w:val="center"/>
                  </w:pPr>
                  <w:r>
                    <w:rPr>
                      <w:rFonts w:hint="eastAsia"/>
                    </w:rPr>
                    <w:t>外购</w:t>
                  </w:r>
                  <w:r>
                    <w:t xml:space="preserve"> </w:t>
                  </w:r>
                </w:p>
              </w:tc>
            </w:tr>
            <w:tr w14:paraId="35ED63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tcBorders>
                    <w:bottom w:val="single" w:color="auto" w:sz="4" w:space="0"/>
                  </w:tcBorders>
                  <w:vAlign w:val="center"/>
                </w:tcPr>
                <w:p w14:paraId="1F37402A">
                  <w:pPr>
                    <w:jc w:val="center"/>
                  </w:pPr>
                  <w:r>
                    <w:rPr>
                      <w:rFonts w:hint="eastAsia"/>
                    </w:rPr>
                    <w:t>2</w:t>
                  </w:r>
                </w:p>
              </w:tc>
              <w:tc>
                <w:tcPr>
                  <w:tcW w:w="1380" w:type="pct"/>
                  <w:tcBorders>
                    <w:top w:val="single" w:color="auto" w:sz="4" w:space="0"/>
                    <w:bottom w:val="single" w:color="auto" w:sz="4" w:space="0"/>
                  </w:tcBorders>
                  <w:vAlign w:val="center"/>
                </w:tcPr>
                <w:p w14:paraId="25A54BD9">
                  <w:pPr>
                    <w:jc w:val="center"/>
                  </w:pPr>
                  <w:r>
                    <w:rPr>
                      <w:rFonts w:hint="eastAsia"/>
                    </w:rPr>
                    <w:t>PE颗粒</w:t>
                  </w:r>
                </w:p>
              </w:tc>
              <w:tc>
                <w:tcPr>
                  <w:tcW w:w="1427" w:type="pct"/>
                  <w:tcBorders>
                    <w:top w:val="single" w:color="auto" w:sz="4" w:space="0"/>
                    <w:bottom w:val="single" w:color="auto" w:sz="4" w:space="0"/>
                  </w:tcBorders>
                  <w:vAlign w:val="center"/>
                </w:tcPr>
                <w:p w14:paraId="515B8D56">
                  <w:pPr>
                    <w:jc w:val="center"/>
                  </w:pPr>
                  <w:r>
                    <w:rPr>
                      <w:rFonts w:hint="eastAsia"/>
                    </w:rPr>
                    <w:t>0 t</w:t>
                  </w:r>
                  <w:r>
                    <w:t>/a</w:t>
                  </w:r>
                </w:p>
              </w:tc>
              <w:tc>
                <w:tcPr>
                  <w:tcW w:w="1069" w:type="pct"/>
                  <w:tcBorders>
                    <w:top w:val="single" w:color="auto" w:sz="4" w:space="0"/>
                    <w:bottom w:val="single" w:color="auto" w:sz="4" w:space="0"/>
                  </w:tcBorders>
                  <w:vAlign w:val="center"/>
                </w:tcPr>
                <w:p w14:paraId="4049FD59">
                  <w:pPr>
                    <w:jc w:val="center"/>
                  </w:pPr>
                  <w:r>
                    <w:t>4518</w:t>
                  </w:r>
                  <w:r>
                    <w:rPr>
                      <w:rFonts w:hint="eastAsia"/>
                    </w:rPr>
                    <w:t xml:space="preserve"> t</w:t>
                  </w:r>
                  <w:r>
                    <w:t>/a</w:t>
                  </w:r>
                </w:p>
              </w:tc>
              <w:tc>
                <w:tcPr>
                  <w:tcW w:w="671" w:type="pct"/>
                  <w:tcBorders>
                    <w:top w:val="single" w:color="auto" w:sz="4" w:space="0"/>
                    <w:bottom w:val="single" w:color="auto" w:sz="4" w:space="0"/>
                  </w:tcBorders>
                  <w:vAlign w:val="center"/>
                </w:tcPr>
                <w:p w14:paraId="718928C1">
                  <w:pPr>
                    <w:jc w:val="center"/>
                  </w:pPr>
                  <w:r>
                    <w:t>外购</w:t>
                  </w:r>
                </w:p>
              </w:tc>
            </w:tr>
            <w:tr w14:paraId="2F15783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tcBorders>
                    <w:top w:val="single" w:color="auto" w:sz="4" w:space="0"/>
                    <w:bottom w:val="single" w:color="auto" w:sz="12" w:space="0"/>
                  </w:tcBorders>
                  <w:vAlign w:val="center"/>
                </w:tcPr>
                <w:p w14:paraId="6F18D5D3">
                  <w:pPr>
                    <w:jc w:val="center"/>
                  </w:pPr>
                  <w:r>
                    <w:rPr>
                      <w:rFonts w:hint="eastAsia"/>
                    </w:rPr>
                    <w:t>3</w:t>
                  </w:r>
                </w:p>
              </w:tc>
              <w:tc>
                <w:tcPr>
                  <w:tcW w:w="1380" w:type="pct"/>
                  <w:tcBorders>
                    <w:top w:val="single" w:color="auto" w:sz="4" w:space="0"/>
                    <w:bottom w:val="single" w:color="auto" w:sz="12" w:space="0"/>
                  </w:tcBorders>
                  <w:vAlign w:val="center"/>
                </w:tcPr>
                <w:p w14:paraId="26D00361">
                  <w:pPr>
                    <w:jc w:val="center"/>
                  </w:pPr>
                  <w:r>
                    <w:rPr>
                      <w:rFonts w:hint="eastAsia"/>
                    </w:rPr>
                    <w:t>钙粉、稳定剂等辅料</w:t>
                  </w:r>
                </w:p>
              </w:tc>
              <w:tc>
                <w:tcPr>
                  <w:tcW w:w="1427" w:type="pct"/>
                  <w:tcBorders>
                    <w:top w:val="single" w:color="auto" w:sz="4" w:space="0"/>
                    <w:bottom w:val="single" w:color="auto" w:sz="12" w:space="0"/>
                  </w:tcBorders>
                  <w:vAlign w:val="center"/>
                </w:tcPr>
                <w:p w14:paraId="151E604E">
                  <w:pPr>
                    <w:jc w:val="center"/>
                  </w:pPr>
                  <w:r>
                    <w:t>210</w:t>
                  </w:r>
                  <w:r>
                    <w:rPr>
                      <w:rFonts w:hint="eastAsia"/>
                    </w:rPr>
                    <w:t xml:space="preserve"> t</w:t>
                  </w:r>
                  <w:r>
                    <w:t>/a</w:t>
                  </w:r>
                </w:p>
              </w:tc>
              <w:tc>
                <w:tcPr>
                  <w:tcW w:w="1069" w:type="pct"/>
                  <w:tcBorders>
                    <w:top w:val="single" w:color="auto" w:sz="4" w:space="0"/>
                    <w:bottom w:val="single" w:color="auto" w:sz="12" w:space="0"/>
                  </w:tcBorders>
                  <w:vAlign w:val="center"/>
                </w:tcPr>
                <w:p w14:paraId="49614F6D">
                  <w:pPr>
                    <w:jc w:val="center"/>
                  </w:pPr>
                  <w:r>
                    <w:t>1500</w:t>
                  </w:r>
                  <w:r>
                    <w:rPr>
                      <w:rFonts w:hint="eastAsia"/>
                    </w:rPr>
                    <w:t xml:space="preserve"> t</w:t>
                  </w:r>
                  <w:r>
                    <w:t>/a</w:t>
                  </w:r>
                </w:p>
              </w:tc>
              <w:tc>
                <w:tcPr>
                  <w:tcW w:w="671" w:type="pct"/>
                  <w:tcBorders>
                    <w:top w:val="single" w:color="auto" w:sz="4" w:space="0"/>
                    <w:bottom w:val="single" w:color="auto" w:sz="12" w:space="0"/>
                  </w:tcBorders>
                  <w:vAlign w:val="center"/>
                </w:tcPr>
                <w:p w14:paraId="3530E031">
                  <w:pPr>
                    <w:jc w:val="center"/>
                  </w:pPr>
                  <w:r>
                    <w:t>外购</w:t>
                  </w:r>
                </w:p>
              </w:tc>
            </w:tr>
            <w:bookmarkEnd w:id="2"/>
          </w:tbl>
          <w:p w14:paraId="1DE1840E">
            <w:pPr>
              <w:pStyle w:val="55"/>
              <w:ind w:firstLine="480"/>
            </w:pPr>
            <w:r>
              <w:rPr>
                <w:rFonts w:hint="eastAsia"/>
              </w:rPr>
              <w:t>主要原辅材料理化性质：</w:t>
            </w:r>
          </w:p>
          <w:p w14:paraId="6F93DDDB">
            <w:pPr>
              <w:pStyle w:val="55"/>
              <w:ind w:firstLine="480"/>
            </w:pPr>
            <w:r>
              <w:rPr>
                <w:rFonts w:hint="eastAsia"/>
              </w:rPr>
              <w:t>（1）聚氯乙烯：英文简称PVC，是氯乙烯单体(简称VCM)在过氧化物、偶氮化合物等引发剂；或在光、热作用下按自由基聚合反应机理聚合而成的聚合物。最大特点是阻燃，因此被广泛用于防火应用。形态为微黄色半透明状粉末，有光泽；</w:t>
            </w:r>
          </w:p>
          <w:p w14:paraId="16B3136C">
            <w:pPr>
              <w:pStyle w:val="55"/>
              <w:ind w:firstLine="480"/>
            </w:pPr>
            <w:r>
              <w:rPr>
                <w:rFonts w:hint="eastAsia"/>
              </w:rPr>
              <w:t>稳定性：不易被酸、碱腐蚀，具有阻燃（阻燃值为40以上）、耐</w:t>
            </w:r>
            <w:r>
              <w:fldChar w:fldCharType="begin"/>
            </w:r>
            <w:r>
              <w:instrText xml:space="preserve">HYPERLINK "https://baike.so.com/doc/1931435-2043360.html" \t "https://baike.so.com/doc/_blank"</w:instrText>
            </w:r>
            <w:r>
              <w:fldChar w:fldCharType="separate"/>
            </w:r>
            <w:r>
              <w:rPr>
                <w:rFonts w:hint="eastAsia"/>
              </w:rPr>
              <w:t>化学药</w:t>
            </w:r>
            <w:r>
              <w:fldChar w:fldCharType="end"/>
            </w:r>
            <w:r>
              <w:rPr>
                <w:rFonts w:hint="eastAsia"/>
              </w:rPr>
              <w:t>品性高（耐浓</w:t>
            </w:r>
            <w:r>
              <w:fldChar w:fldCharType="begin"/>
            </w:r>
            <w:r>
              <w:instrText xml:space="preserve">HYPERLINK "https://baike.so.com/doc/1244651-7124863.html" \t "https://baike.so.com/doc/_blank"</w:instrText>
            </w:r>
            <w:r>
              <w:fldChar w:fldCharType="separate"/>
            </w:r>
            <w:r>
              <w:rPr>
                <w:rFonts w:hint="eastAsia"/>
              </w:rPr>
              <w:t>盐酸</w:t>
            </w:r>
            <w:r>
              <w:fldChar w:fldCharType="end"/>
            </w:r>
            <w:r>
              <w:rPr>
                <w:rFonts w:hint="eastAsia"/>
              </w:rPr>
              <w:t>、浓度为90%的</w:t>
            </w:r>
            <w:r>
              <w:fldChar w:fldCharType="begin"/>
            </w:r>
            <w:r>
              <w:instrText xml:space="preserve">HYPERLINK "https://baike.so.com/doc/1246072-1317817.html" \t "https://baike.so.com/doc/_blank"</w:instrText>
            </w:r>
            <w:r>
              <w:fldChar w:fldCharType="separate"/>
            </w:r>
            <w:r>
              <w:rPr>
                <w:rFonts w:hint="eastAsia"/>
              </w:rPr>
              <w:t>硫酸</w:t>
            </w:r>
            <w:r>
              <w:fldChar w:fldCharType="end"/>
            </w:r>
            <w:r>
              <w:rPr>
                <w:rFonts w:hint="eastAsia"/>
              </w:rPr>
              <w:t>、浓度为60%的硝酸和浓度20%的氢氧化钠）、</w:t>
            </w:r>
            <w:r>
              <w:fldChar w:fldCharType="begin"/>
            </w:r>
            <w:r>
              <w:instrText xml:space="preserve">HYPERLINK "https://baike.so.com/doc/6828111-7045306.html" \t "https://baike.so.com/doc/_blank"</w:instrText>
            </w:r>
            <w:r>
              <w:fldChar w:fldCharType="separate"/>
            </w:r>
            <w:r>
              <w:rPr>
                <w:rFonts w:hint="eastAsia"/>
              </w:rPr>
              <w:t>机械强度</w:t>
            </w:r>
            <w:r>
              <w:fldChar w:fldCharType="end"/>
            </w:r>
            <w:r>
              <w:rPr>
                <w:rFonts w:hint="eastAsia"/>
              </w:rPr>
              <w:t>及电绝缘性良好，但对光、热的稳定性较差。热变形温度（1.82MPa负荷下）为70-71℃，软化点为80~85℃，于130℃开始分解，在加压下150℃开始流动。在不加热稳定剂的情况下，聚氯乙烯100℃时即开始分解，在100℃以上或经长时间阳光曝晒，就会分解而产生氯化氢，并进一步自动催化分解，引起变色，物理机械性能也迅速下降。</w:t>
            </w:r>
          </w:p>
          <w:p w14:paraId="6EFCC942">
            <w:pPr>
              <w:pStyle w:val="55"/>
              <w:ind w:firstLine="480"/>
            </w:pPr>
            <w:r>
              <w:rPr>
                <w:rFonts w:hint="eastAsia"/>
              </w:rPr>
              <w:t>溶解性：不溶于水、酒精、</w:t>
            </w:r>
            <w:r>
              <w:fldChar w:fldCharType="begin"/>
            </w:r>
            <w:r>
              <w:instrText xml:space="preserve"> HYPERLINK "https://baike.so.com/doc/1617446-1709950.html" \t "https://baike.so.com/doc/_blank" </w:instrText>
            </w:r>
            <w:r>
              <w:fldChar w:fldCharType="separate"/>
            </w:r>
            <w:r>
              <w:rPr>
                <w:rFonts w:hint="eastAsia"/>
              </w:rPr>
              <w:t>汽油</w:t>
            </w:r>
            <w:r>
              <w:rPr>
                <w:rFonts w:hint="eastAsia"/>
              </w:rPr>
              <w:fldChar w:fldCharType="end"/>
            </w:r>
            <w:r>
              <w:rPr>
                <w:rFonts w:hint="eastAsia"/>
              </w:rPr>
              <w:t>，气体、水汽渗漏性低，但能够溶解于醚、酮、氯化</w:t>
            </w:r>
            <w:r>
              <w:fldChar w:fldCharType="begin"/>
            </w:r>
            <w:r>
              <w:instrText xml:space="preserve"> HYPERLINK "https://baike.so.com/doc/5327898-5563070.html" \t "https://baike.so.com/doc/_blank" </w:instrText>
            </w:r>
            <w:r>
              <w:fldChar w:fldCharType="separate"/>
            </w:r>
            <w:r>
              <w:rPr>
                <w:rFonts w:hint="eastAsia"/>
              </w:rPr>
              <w:t>脂肪烃</w:t>
            </w:r>
            <w:r>
              <w:rPr>
                <w:rFonts w:hint="eastAsia"/>
              </w:rPr>
              <w:fldChar w:fldCharType="end"/>
            </w:r>
            <w:r>
              <w:rPr>
                <w:rFonts w:hint="eastAsia"/>
              </w:rPr>
              <w:t>和芳香烃等</w:t>
            </w:r>
            <w:r>
              <w:fldChar w:fldCharType="begin"/>
            </w:r>
            <w:r>
              <w:instrText xml:space="preserve"> HYPERLINK "https://baike.so.com/doc/4792021-5008084.html" \t "https://baike.so.com/doc/_blank" </w:instrText>
            </w:r>
            <w:r>
              <w:fldChar w:fldCharType="separate"/>
            </w:r>
            <w:r>
              <w:rPr>
                <w:rFonts w:hint="eastAsia"/>
              </w:rPr>
              <w:t>有机溶剂</w:t>
            </w:r>
            <w:r>
              <w:rPr>
                <w:rFonts w:hint="eastAsia"/>
              </w:rPr>
              <w:fldChar w:fldCharType="end"/>
            </w:r>
            <w:r>
              <w:rPr>
                <w:rFonts w:hint="eastAsia"/>
              </w:rPr>
              <w:t>，对有机和无机酸、碱、盐均稳定，化学稳定性随使用温度的升高而降低；</w:t>
            </w:r>
            <w:r>
              <w:fldChar w:fldCharType="begin"/>
            </w:r>
            <w:r>
              <w:instrText xml:space="preserve"> HYPERLINK "https://baike.so.com/doc/367780-389604.html" \t "https://baike.so.com/doc/_blank" </w:instrText>
            </w:r>
            <w:r>
              <w:fldChar w:fldCharType="separate"/>
            </w:r>
            <w:r>
              <w:rPr>
                <w:rFonts w:hint="eastAsia"/>
              </w:rPr>
              <w:t>熔点</w:t>
            </w:r>
            <w:r>
              <w:rPr>
                <w:rFonts w:hint="eastAsia"/>
              </w:rPr>
              <w:fldChar w:fldCharType="end"/>
            </w:r>
            <w:r>
              <w:rPr>
                <w:rFonts w:hint="eastAsia"/>
              </w:rPr>
              <w:t>：212℃；</w:t>
            </w:r>
          </w:p>
          <w:p w14:paraId="72C1DD90">
            <w:pPr>
              <w:pStyle w:val="55"/>
              <w:ind w:firstLine="480"/>
            </w:pPr>
            <w:r>
              <w:rPr>
                <w:rFonts w:hint="eastAsia"/>
              </w:rPr>
              <w:t>危险性：聚氯乙烯在燃烧过程中会释放出氯化氢和其他有毒气体，例如</w:t>
            </w:r>
            <w:r>
              <w:fldChar w:fldCharType="begin"/>
            </w:r>
            <w:r>
              <w:instrText xml:space="preserve"> HYPERLINK "https://baike.so.com/doc/2002418-2118962.html" \t "https://baike.so.com/doc/_blank" </w:instrText>
            </w:r>
            <w:r>
              <w:fldChar w:fldCharType="separate"/>
            </w:r>
            <w:r>
              <w:rPr>
                <w:rFonts w:hint="eastAsia"/>
              </w:rPr>
              <w:t>二恶英</w:t>
            </w:r>
            <w:r>
              <w:rPr>
                <w:rFonts w:hint="eastAsia"/>
              </w:rPr>
              <w:fldChar w:fldCharType="end"/>
            </w:r>
            <w:r>
              <w:rPr>
                <w:rFonts w:hint="eastAsia"/>
              </w:rPr>
              <w:t>。聚氯乙烯的燃烧分为两步。先在240℃-340℃燃烧分解出氯化氢气体和含有</w:t>
            </w:r>
            <w:r>
              <w:fldChar w:fldCharType="begin"/>
            </w:r>
            <w:r>
              <w:instrText xml:space="preserve">HYPERLINK "https://baike.so.com/doc/4941217-5162070.html" \t "https://baike.so.com/doc/_blank"</w:instrText>
            </w:r>
            <w:r>
              <w:fldChar w:fldCharType="separate"/>
            </w:r>
            <w:r>
              <w:rPr>
                <w:rFonts w:hint="eastAsia"/>
              </w:rPr>
              <w:t>双键</w:t>
            </w:r>
            <w:r>
              <w:fldChar w:fldCharType="end"/>
            </w:r>
            <w:r>
              <w:rPr>
                <w:rFonts w:hint="eastAsia"/>
              </w:rPr>
              <w:t>的二烯烃，然后在400-470℃发生碳的燃烧。</w:t>
            </w:r>
          </w:p>
          <w:p w14:paraId="125DCF6E">
            <w:pPr>
              <w:pStyle w:val="55"/>
              <w:ind w:firstLine="480"/>
            </w:pPr>
            <w:r>
              <w:rPr>
                <w:rFonts w:hint="eastAsia"/>
              </w:rPr>
              <w:t>（2）聚乙烯：聚乙烯是乙烯经聚合制得的一种热塑性树脂。聚乙烯无臭，无毒，手感似蜡，具有优良的耐低温性能（最低使用温度可达-100~-70°C），化学稳定性好，能耐大多数酸碱的侵蚀（不耐具有氧化性质的酸）。常温下不溶于一般溶剂，吸水性小，电绝缘性优良。</w:t>
            </w:r>
          </w:p>
          <w:p w14:paraId="33EB7B04">
            <w:pPr>
              <w:pStyle w:val="55"/>
              <w:ind w:firstLine="480"/>
            </w:pPr>
            <w:r>
              <w:rPr>
                <w:rFonts w:hint="eastAsia"/>
              </w:rPr>
              <w:t>聚乙烯树脂为无毒、无味的白色粉末或颗粒，外观呈乳白色，有似蜡的手感，吸水率低，小于0.01%。聚乙烯膜透明，并随结晶度的提高而降低。易燃、氧指数为17.4，燃烧时低烟，有少量熔融落滴，火焰上黄下蓝，有石蜡气味。聚乙烯的耐水性较好。制品表面无极性，难以粘合和印刷，经表面处理有所改善。支链多其耐光降解和耐氧化能力差。</w:t>
            </w:r>
          </w:p>
          <w:p w14:paraId="6BDB09F0">
            <w:pPr>
              <w:pStyle w:val="55"/>
              <w:ind w:firstLine="480"/>
            </w:pPr>
            <w:r>
              <w:rPr>
                <w:rFonts w:hint="eastAsia"/>
              </w:rPr>
              <w:t>聚乙烯熔点为100～130℃其耐低温性能优良。在-60℃下仍可保持良好的力学性能，但使用温度在80~110℃。</w:t>
            </w:r>
          </w:p>
          <w:p w14:paraId="440E3C91">
            <w:pPr>
              <w:keepNext/>
              <w:keepLines/>
              <w:jc w:val="left"/>
              <w:outlineLvl w:val="1"/>
              <w:rPr>
                <w:b/>
                <w:sz w:val="24"/>
              </w:rPr>
            </w:pPr>
            <w:r>
              <w:rPr>
                <w:rFonts w:hint="eastAsia"/>
                <w:b/>
                <w:sz w:val="24"/>
              </w:rPr>
              <w:t>4</w:t>
            </w:r>
            <w:r>
              <w:rPr>
                <w:b/>
                <w:sz w:val="24"/>
              </w:rPr>
              <w:t>.</w:t>
            </w:r>
            <w:r>
              <w:rPr>
                <w:rFonts w:hint="eastAsia"/>
                <w:b/>
                <w:sz w:val="24"/>
              </w:rPr>
              <w:t>产品方案</w:t>
            </w:r>
          </w:p>
          <w:p w14:paraId="71364DDB">
            <w:pPr>
              <w:pStyle w:val="55"/>
              <w:ind w:firstLine="480"/>
            </w:pPr>
            <w:r>
              <w:rPr>
                <w:rFonts w:hint="eastAsia"/>
              </w:rPr>
              <w:t>本项目年产PVC管材1.5万吨，年产PE管材0.5万吨。</w:t>
            </w:r>
            <w:r>
              <w:t>项目产品方案见下表2-</w:t>
            </w:r>
            <w:r>
              <w:rPr>
                <w:rFonts w:hint="eastAsia"/>
              </w:rPr>
              <w:t>4</w:t>
            </w:r>
            <w:r>
              <w:t>。</w:t>
            </w:r>
          </w:p>
          <w:p w14:paraId="4B55B9D4">
            <w:pPr>
              <w:ind w:left="180"/>
              <w:jc w:val="center"/>
              <w:rPr>
                <w:b/>
                <w:szCs w:val="21"/>
              </w:rPr>
            </w:pPr>
            <w:r>
              <w:rPr>
                <w:b/>
                <w:szCs w:val="21"/>
              </w:rPr>
              <w:t>表2-</w:t>
            </w:r>
            <w:r>
              <w:rPr>
                <w:rFonts w:hint="eastAsia"/>
                <w:b/>
                <w:szCs w:val="21"/>
              </w:rPr>
              <w:t>4</w:t>
            </w:r>
            <w:r>
              <w:rPr>
                <w:b/>
                <w:szCs w:val="21"/>
              </w:rPr>
              <w:t xml:space="preserve">     产品方案一览表</w:t>
            </w:r>
          </w:p>
          <w:tbl>
            <w:tblPr>
              <w:tblStyle w:val="31"/>
              <w:tblW w:w="790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1489"/>
              <w:gridCol w:w="1338"/>
              <w:gridCol w:w="1491"/>
              <w:gridCol w:w="1706"/>
            </w:tblGrid>
            <w:tr w14:paraId="0C93A6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60" w:hRule="atLeast"/>
                <w:jc w:val="center"/>
              </w:trPr>
              <w:tc>
                <w:tcPr>
                  <w:tcW w:w="1190" w:type="pct"/>
                  <w:vMerge w:val="restart"/>
                  <w:tcBorders>
                    <w:top w:val="single" w:color="auto" w:sz="12" w:space="0"/>
                  </w:tcBorders>
                  <w:vAlign w:val="center"/>
                </w:tcPr>
                <w:p w14:paraId="32C6C9D1">
                  <w:pPr>
                    <w:jc w:val="center"/>
                    <w:rPr>
                      <w:b/>
                      <w:bCs/>
                    </w:rPr>
                  </w:pPr>
                  <w:r>
                    <w:rPr>
                      <w:b/>
                      <w:bCs/>
                    </w:rPr>
                    <w:t>名称</w:t>
                  </w:r>
                </w:p>
              </w:tc>
              <w:tc>
                <w:tcPr>
                  <w:tcW w:w="942" w:type="pct"/>
                  <w:vMerge w:val="restart"/>
                  <w:tcBorders>
                    <w:top w:val="single" w:color="auto" w:sz="12" w:space="0"/>
                  </w:tcBorders>
                  <w:vAlign w:val="center"/>
                </w:tcPr>
                <w:p w14:paraId="0F391B90">
                  <w:pPr>
                    <w:jc w:val="center"/>
                    <w:rPr>
                      <w:b/>
                      <w:bCs/>
                    </w:rPr>
                  </w:pPr>
                  <w:r>
                    <w:rPr>
                      <w:rFonts w:hint="eastAsia"/>
                      <w:b/>
                      <w:bCs/>
                    </w:rPr>
                    <w:t>原</w:t>
                  </w:r>
                  <w:r>
                    <w:rPr>
                      <w:b/>
                      <w:bCs/>
                    </w:rPr>
                    <w:t>有项目产量</w:t>
                  </w:r>
                  <w:r>
                    <w:rPr>
                      <w:rFonts w:hint="eastAsia"/>
                      <w:b/>
                      <w:bCs/>
                    </w:rPr>
                    <w:t>（t</w:t>
                  </w:r>
                  <w:r>
                    <w:rPr>
                      <w:b/>
                      <w:bCs/>
                    </w:rPr>
                    <w:t>/a</w:t>
                  </w:r>
                  <w:r>
                    <w:rPr>
                      <w:rFonts w:hint="eastAsia"/>
                      <w:b/>
                      <w:bCs/>
                    </w:rPr>
                    <w:t>）</w:t>
                  </w:r>
                </w:p>
              </w:tc>
              <w:tc>
                <w:tcPr>
                  <w:tcW w:w="1789" w:type="pct"/>
                  <w:gridSpan w:val="2"/>
                  <w:tcBorders>
                    <w:top w:val="single" w:color="auto" w:sz="12" w:space="0"/>
                  </w:tcBorders>
                  <w:vAlign w:val="center"/>
                </w:tcPr>
                <w:p w14:paraId="1CE3257A">
                  <w:pPr>
                    <w:jc w:val="center"/>
                    <w:rPr>
                      <w:b/>
                      <w:bCs/>
                    </w:rPr>
                  </w:pPr>
                  <w:r>
                    <w:rPr>
                      <w:b/>
                      <w:bCs/>
                    </w:rPr>
                    <w:t>本项目新增产量</w:t>
                  </w:r>
                  <w:r>
                    <w:rPr>
                      <w:rFonts w:hint="eastAsia"/>
                      <w:b/>
                      <w:bCs/>
                    </w:rPr>
                    <w:t>（t</w:t>
                  </w:r>
                  <w:r>
                    <w:rPr>
                      <w:b/>
                      <w:bCs/>
                    </w:rPr>
                    <w:t>/a</w:t>
                  </w:r>
                  <w:r>
                    <w:rPr>
                      <w:rFonts w:hint="eastAsia"/>
                      <w:b/>
                      <w:bCs/>
                    </w:rPr>
                    <w:t>）</w:t>
                  </w:r>
                </w:p>
              </w:tc>
              <w:tc>
                <w:tcPr>
                  <w:tcW w:w="1079" w:type="pct"/>
                  <w:vMerge w:val="restart"/>
                  <w:tcBorders>
                    <w:top w:val="single" w:color="auto" w:sz="12" w:space="0"/>
                    <w:bottom w:val="single" w:color="auto" w:sz="12" w:space="0"/>
                  </w:tcBorders>
                </w:tcPr>
                <w:p w14:paraId="51217BB5">
                  <w:pPr>
                    <w:jc w:val="center"/>
                    <w:rPr>
                      <w:b/>
                      <w:bCs/>
                    </w:rPr>
                  </w:pPr>
                  <w:r>
                    <w:rPr>
                      <w:rFonts w:hint="eastAsia"/>
                      <w:b/>
                      <w:bCs/>
                    </w:rPr>
                    <w:t>扩建后全厂总产量（t</w:t>
                  </w:r>
                  <w:r>
                    <w:rPr>
                      <w:b/>
                      <w:bCs/>
                    </w:rPr>
                    <w:t>/a</w:t>
                  </w:r>
                  <w:r>
                    <w:rPr>
                      <w:rFonts w:hint="eastAsia"/>
                      <w:b/>
                      <w:bCs/>
                    </w:rPr>
                    <w:t>）</w:t>
                  </w:r>
                </w:p>
              </w:tc>
            </w:tr>
            <w:tr w14:paraId="3D7079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190" w:type="pct"/>
                  <w:vMerge w:val="continue"/>
                  <w:tcBorders>
                    <w:bottom w:val="single" w:color="auto" w:sz="12" w:space="0"/>
                  </w:tcBorders>
                  <w:vAlign w:val="center"/>
                </w:tcPr>
                <w:p w14:paraId="1755E54A">
                  <w:pPr>
                    <w:jc w:val="center"/>
                    <w:rPr>
                      <w:b/>
                      <w:bCs/>
                    </w:rPr>
                  </w:pPr>
                </w:p>
              </w:tc>
              <w:tc>
                <w:tcPr>
                  <w:tcW w:w="942" w:type="pct"/>
                  <w:vMerge w:val="continue"/>
                  <w:tcBorders>
                    <w:bottom w:val="single" w:color="auto" w:sz="12" w:space="0"/>
                  </w:tcBorders>
                  <w:vAlign w:val="center"/>
                </w:tcPr>
                <w:p w14:paraId="554A13EF">
                  <w:pPr>
                    <w:jc w:val="center"/>
                    <w:rPr>
                      <w:b/>
                      <w:bCs/>
                    </w:rPr>
                  </w:pPr>
                </w:p>
              </w:tc>
              <w:tc>
                <w:tcPr>
                  <w:tcW w:w="846" w:type="pct"/>
                  <w:tcBorders>
                    <w:bottom w:val="single" w:color="auto" w:sz="12" w:space="0"/>
                  </w:tcBorders>
                  <w:vAlign w:val="center"/>
                </w:tcPr>
                <w:p w14:paraId="15EB9FAD">
                  <w:pPr>
                    <w:jc w:val="center"/>
                    <w:rPr>
                      <w:b/>
                      <w:bCs/>
                    </w:rPr>
                  </w:pPr>
                  <w:r>
                    <w:rPr>
                      <w:rFonts w:hint="eastAsia"/>
                      <w:b/>
                      <w:bCs/>
                    </w:rPr>
                    <w:t>已建</w:t>
                  </w:r>
                </w:p>
              </w:tc>
              <w:tc>
                <w:tcPr>
                  <w:tcW w:w="943" w:type="pct"/>
                  <w:tcBorders>
                    <w:bottom w:val="single" w:color="auto" w:sz="12" w:space="0"/>
                  </w:tcBorders>
                  <w:vAlign w:val="center"/>
                </w:tcPr>
                <w:p w14:paraId="0B598040">
                  <w:pPr>
                    <w:jc w:val="center"/>
                    <w:rPr>
                      <w:b/>
                      <w:bCs/>
                    </w:rPr>
                  </w:pPr>
                  <w:r>
                    <w:rPr>
                      <w:rFonts w:hint="eastAsia"/>
                      <w:b/>
                      <w:bCs/>
                    </w:rPr>
                    <w:t>未建</w:t>
                  </w:r>
                </w:p>
              </w:tc>
              <w:tc>
                <w:tcPr>
                  <w:tcW w:w="1079" w:type="pct"/>
                  <w:vMerge w:val="continue"/>
                  <w:tcBorders>
                    <w:bottom w:val="single" w:color="auto" w:sz="12" w:space="0"/>
                  </w:tcBorders>
                </w:tcPr>
                <w:p w14:paraId="0399C6E9">
                  <w:pPr>
                    <w:jc w:val="center"/>
                    <w:rPr>
                      <w:b/>
                      <w:bCs/>
                    </w:rPr>
                  </w:pPr>
                </w:p>
              </w:tc>
            </w:tr>
            <w:tr w14:paraId="4DFDC1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90" w:type="pct"/>
                  <w:tcBorders>
                    <w:top w:val="single" w:color="auto" w:sz="12" w:space="0"/>
                  </w:tcBorders>
                  <w:vAlign w:val="center"/>
                </w:tcPr>
                <w:p w14:paraId="1EFEF27E">
                  <w:pPr>
                    <w:jc w:val="center"/>
                  </w:pPr>
                  <w:r>
                    <w:rPr>
                      <w:rFonts w:hint="eastAsia"/>
                    </w:rPr>
                    <w:t>P</w:t>
                  </w:r>
                  <w:r>
                    <w:t>VC</w:t>
                  </w:r>
                  <w:r>
                    <w:rPr>
                      <w:rFonts w:hint="eastAsia"/>
                    </w:rPr>
                    <w:t>管材</w:t>
                  </w:r>
                </w:p>
              </w:tc>
              <w:tc>
                <w:tcPr>
                  <w:tcW w:w="942" w:type="pct"/>
                  <w:tcBorders>
                    <w:top w:val="single" w:color="auto" w:sz="12" w:space="0"/>
                  </w:tcBorders>
                  <w:vAlign w:val="center"/>
                </w:tcPr>
                <w:p w14:paraId="35A986E5">
                  <w:pPr>
                    <w:jc w:val="center"/>
                  </w:pPr>
                  <w:r>
                    <w:rPr>
                      <w:rFonts w:hint="eastAsia"/>
                    </w:rPr>
                    <w:t>3</w:t>
                  </w:r>
                  <w:r>
                    <w:t>000</w:t>
                  </w:r>
                </w:p>
              </w:tc>
              <w:tc>
                <w:tcPr>
                  <w:tcW w:w="846" w:type="pct"/>
                  <w:tcBorders>
                    <w:top w:val="single" w:color="auto" w:sz="12" w:space="0"/>
                  </w:tcBorders>
                  <w:vAlign w:val="center"/>
                </w:tcPr>
                <w:p w14:paraId="43A8BEBB">
                  <w:pPr>
                    <w:jc w:val="center"/>
                    <w:rPr>
                      <w:color w:val="FF0000"/>
                    </w:rPr>
                  </w:pPr>
                  <w:r>
                    <w:t>7500</w:t>
                  </w:r>
                </w:p>
              </w:tc>
              <w:tc>
                <w:tcPr>
                  <w:tcW w:w="943" w:type="pct"/>
                  <w:tcBorders>
                    <w:top w:val="single" w:color="auto" w:sz="12" w:space="0"/>
                  </w:tcBorders>
                  <w:vAlign w:val="center"/>
                </w:tcPr>
                <w:p w14:paraId="3BA9E6F9">
                  <w:pPr>
                    <w:jc w:val="center"/>
                    <w:rPr>
                      <w:color w:val="FF0000"/>
                    </w:rPr>
                  </w:pPr>
                  <w:r>
                    <w:t>7500</w:t>
                  </w:r>
                </w:p>
              </w:tc>
              <w:tc>
                <w:tcPr>
                  <w:tcW w:w="1079" w:type="pct"/>
                  <w:tcBorders>
                    <w:top w:val="single" w:color="auto" w:sz="12" w:space="0"/>
                  </w:tcBorders>
                  <w:vAlign w:val="center"/>
                </w:tcPr>
                <w:p w14:paraId="000EAC89">
                  <w:pPr>
                    <w:jc w:val="center"/>
                    <w:rPr>
                      <w:color w:val="FF0000"/>
                    </w:rPr>
                  </w:pPr>
                  <w:r>
                    <w:t>18000</w:t>
                  </w:r>
                </w:p>
              </w:tc>
            </w:tr>
            <w:tr w14:paraId="65C0CF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tcBorders>
                    <w:bottom w:val="single" w:color="auto" w:sz="4" w:space="0"/>
                  </w:tcBorders>
                  <w:vAlign w:val="center"/>
                </w:tcPr>
                <w:p w14:paraId="1AF86BB7">
                  <w:pPr>
                    <w:jc w:val="center"/>
                  </w:pPr>
                  <w:r>
                    <w:rPr>
                      <w:rFonts w:hint="eastAsia"/>
                    </w:rPr>
                    <w:t>P</w:t>
                  </w:r>
                  <w:r>
                    <w:t>E</w:t>
                  </w:r>
                  <w:r>
                    <w:rPr>
                      <w:rFonts w:hint="eastAsia"/>
                    </w:rPr>
                    <w:t>管材</w:t>
                  </w:r>
                </w:p>
              </w:tc>
              <w:tc>
                <w:tcPr>
                  <w:tcW w:w="942" w:type="pct"/>
                  <w:tcBorders>
                    <w:bottom w:val="single" w:color="auto" w:sz="4" w:space="0"/>
                  </w:tcBorders>
                  <w:vAlign w:val="center"/>
                </w:tcPr>
                <w:p w14:paraId="474912E3">
                  <w:pPr>
                    <w:jc w:val="center"/>
                  </w:pPr>
                  <w:r>
                    <w:rPr>
                      <w:rFonts w:hint="eastAsia"/>
                    </w:rPr>
                    <w:t>0</w:t>
                  </w:r>
                </w:p>
              </w:tc>
              <w:tc>
                <w:tcPr>
                  <w:tcW w:w="846" w:type="pct"/>
                  <w:tcBorders>
                    <w:bottom w:val="single" w:color="auto" w:sz="4" w:space="0"/>
                  </w:tcBorders>
                  <w:vAlign w:val="center"/>
                </w:tcPr>
                <w:p w14:paraId="59666C46">
                  <w:pPr>
                    <w:jc w:val="center"/>
                    <w:rPr>
                      <w:color w:val="FF0000"/>
                    </w:rPr>
                  </w:pPr>
                  <w:r>
                    <w:rPr>
                      <w:rFonts w:hint="eastAsia"/>
                    </w:rPr>
                    <w:t>5</w:t>
                  </w:r>
                  <w:r>
                    <w:t>000</w:t>
                  </w:r>
                </w:p>
              </w:tc>
              <w:tc>
                <w:tcPr>
                  <w:tcW w:w="943" w:type="pct"/>
                  <w:tcBorders>
                    <w:bottom w:val="single" w:color="auto" w:sz="4" w:space="0"/>
                  </w:tcBorders>
                  <w:vAlign w:val="center"/>
                </w:tcPr>
                <w:p w14:paraId="4954A327">
                  <w:pPr>
                    <w:jc w:val="center"/>
                    <w:rPr>
                      <w:color w:val="FF0000"/>
                    </w:rPr>
                  </w:pPr>
                  <w:r>
                    <w:rPr>
                      <w:rFonts w:hint="eastAsia"/>
                    </w:rPr>
                    <w:t>0</w:t>
                  </w:r>
                </w:p>
              </w:tc>
              <w:tc>
                <w:tcPr>
                  <w:tcW w:w="1079" w:type="pct"/>
                  <w:tcBorders>
                    <w:bottom w:val="single" w:color="auto" w:sz="4" w:space="0"/>
                  </w:tcBorders>
                  <w:vAlign w:val="center"/>
                </w:tcPr>
                <w:p w14:paraId="4F03F452">
                  <w:pPr>
                    <w:jc w:val="center"/>
                    <w:rPr>
                      <w:color w:val="FF0000"/>
                    </w:rPr>
                  </w:pPr>
                  <w:r>
                    <w:t>5000</w:t>
                  </w:r>
                </w:p>
              </w:tc>
            </w:tr>
            <w:tr w14:paraId="236BC7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0" w:type="pct"/>
                  <w:tcBorders>
                    <w:bottom w:val="single" w:color="auto" w:sz="12" w:space="0"/>
                  </w:tcBorders>
                  <w:vAlign w:val="center"/>
                </w:tcPr>
                <w:p w14:paraId="30F36EEF">
                  <w:pPr>
                    <w:jc w:val="center"/>
                    <w:rPr>
                      <w:lang w:val="zh-TW"/>
                    </w:rPr>
                  </w:pPr>
                  <w:r>
                    <w:rPr>
                      <w:rFonts w:hint="eastAsia"/>
                      <w:lang w:val="zh-TW"/>
                    </w:rPr>
                    <w:t>合计</w:t>
                  </w:r>
                </w:p>
              </w:tc>
              <w:tc>
                <w:tcPr>
                  <w:tcW w:w="942" w:type="pct"/>
                  <w:tcBorders>
                    <w:bottom w:val="single" w:color="auto" w:sz="12" w:space="0"/>
                  </w:tcBorders>
                  <w:vAlign w:val="center"/>
                </w:tcPr>
                <w:p w14:paraId="05F3A743">
                  <w:pPr>
                    <w:jc w:val="center"/>
                  </w:pPr>
                  <w:r>
                    <w:t>3000</w:t>
                  </w:r>
                </w:p>
              </w:tc>
              <w:tc>
                <w:tcPr>
                  <w:tcW w:w="846" w:type="pct"/>
                  <w:tcBorders>
                    <w:bottom w:val="single" w:color="auto" w:sz="12" w:space="0"/>
                  </w:tcBorders>
                  <w:vAlign w:val="center"/>
                </w:tcPr>
                <w:p w14:paraId="6F64600C">
                  <w:pPr>
                    <w:jc w:val="center"/>
                  </w:pPr>
                  <w:r>
                    <w:rPr>
                      <w:rFonts w:hint="eastAsia"/>
                    </w:rPr>
                    <w:t>1</w:t>
                  </w:r>
                  <w:r>
                    <w:t>2500</w:t>
                  </w:r>
                </w:p>
              </w:tc>
              <w:tc>
                <w:tcPr>
                  <w:tcW w:w="943" w:type="pct"/>
                  <w:tcBorders>
                    <w:bottom w:val="single" w:color="auto" w:sz="12" w:space="0"/>
                  </w:tcBorders>
                  <w:vAlign w:val="center"/>
                </w:tcPr>
                <w:p w14:paraId="78C59ABA">
                  <w:pPr>
                    <w:jc w:val="center"/>
                  </w:pPr>
                  <w:r>
                    <w:rPr>
                      <w:rFonts w:hint="eastAsia"/>
                    </w:rPr>
                    <w:t>7</w:t>
                  </w:r>
                  <w:r>
                    <w:t>500</w:t>
                  </w:r>
                </w:p>
              </w:tc>
              <w:tc>
                <w:tcPr>
                  <w:tcW w:w="1079" w:type="pct"/>
                  <w:tcBorders>
                    <w:bottom w:val="single" w:color="auto" w:sz="12" w:space="0"/>
                  </w:tcBorders>
                  <w:vAlign w:val="center"/>
                </w:tcPr>
                <w:p w14:paraId="4FCDC0D7">
                  <w:pPr>
                    <w:jc w:val="center"/>
                  </w:pPr>
                  <w:r>
                    <w:rPr>
                      <w:rFonts w:hint="eastAsia"/>
                    </w:rPr>
                    <w:t>2</w:t>
                  </w:r>
                  <w:r>
                    <w:t>3000</w:t>
                  </w:r>
                </w:p>
              </w:tc>
            </w:tr>
          </w:tbl>
          <w:p w14:paraId="3C318D0A">
            <w:pPr>
              <w:adjustRightInd w:val="0"/>
              <w:snapToGrid w:val="0"/>
              <w:spacing w:line="360" w:lineRule="auto"/>
              <w:ind w:firstLine="480" w:firstLineChars="200"/>
              <w:rPr>
                <w:sz w:val="24"/>
                <w:szCs w:val="32"/>
              </w:rPr>
            </w:pPr>
            <w:r>
              <w:rPr>
                <w:sz w:val="24"/>
                <w:szCs w:val="32"/>
              </w:rPr>
              <w:t>本项目物料平衡表见表2-5。</w:t>
            </w:r>
          </w:p>
          <w:p w14:paraId="53FC79E5">
            <w:pPr>
              <w:jc w:val="center"/>
              <w:rPr>
                <w:b/>
                <w:szCs w:val="21"/>
              </w:rPr>
            </w:pPr>
            <w:r>
              <w:rPr>
                <w:b/>
                <w:szCs w:val="21"/>
              </w:rPr>
              <w:t xml:space="preserve">表2-5    </w:t>
            </w:r>
            <w:r>
              <w:rPr>
                <w:rFonts w:hint="eastAsia"/>
                <w:b/>
                <w:szCs w:val="21"/>
              </w:rPr>
              <w:t>本</w:t>
            </w:r>
            <w:r>
              <w:rPr>
                <w:b/>
                <w:szCs w:val="21"/>
              </w:rPr>
              <w:t>项目物料平衡表</w:t>
            </w:r>
          </w:p>
          <w:tbl>
            <w:tblPr>
              <w:tblStyle w:val="30"/>
              <w:tblW w:w="795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1540"/>
              <w:gridCol w:w="2238"/>
              <w:gridCol w:w="1913"/>
            </w:tblGrid>
            <w:tr w14:paraId="787EDD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90" w:type="pct"/>
                  <w:gridSpan w:val="2"/>
                  <w:tcBorders>
                    <w:top w:val="single" w:color="auto" w:sz="12" w:space="0"/>
                    <w:bottom w:val="single" w:color="auto" w:sz="12" w:space="0"/>
                  </w:tcBorders>
                  <w:vAlign w:val="center"/>
                </w:tcPr>
                <w:p w14:paraId="17DD280D">
                  <w:pPr>
                    <w:widowControl/>
                    <w:jc w:val="center"/>
                    <w:rPr>
                      <w:b/>
                      <w:bCs/>
                      <w:lang w:val="zh-TW" w:eastAsia="zh-TW"/>
                    </w:rPr>
                  </w:pPr>
                  <w:r>
                    <w:rPr>
                      <w:b/>
                      <w:bCs/>
                      <w:lang w:val="zh-TW" w:eastAsia="zh-TW"/>
                    </w:rPr>
                    <w:t>入料</w:t>
                  </w:r>
                  <w:r>
                    <w:rPr>
                      <w:rFonts w:hint="eastAsia"/>
                      <w:b/>
                      <w:bCs/>
                      <w:lang w:val="zh-TW" w:eastAsia="zh-TW"/>
                    </w:rPr>
                    <w:t>（</w:t>
                  </w:r>
                  <w:r>
                    <w:rPr>
                      <w:b/>
                      <w:bCs/>
                      <w:lang w:val="zh-TW" w:eastAsia="zh-TW"/>
                    </w:rPr>
                    <w:t>t/a</w:t>
                  </w:r>
                  <w:r>
                    <w:rPr>
                      <w:rFonts w:hint="eastAsia"/>
                      <w:b/>
                      <w:bCs/>
                      <w:lang w:val="zh-TW" w:eastAsia="zh-TW"/>
                    </w:rPr>
                    <w:t>）</w:t>
                  </w:r>
                </w:p>
              </w:tc>
              <w:tc>
                <w:tcPr>
                  <w:tcW w:w="2610" w:type="pct"/>
                  <w:gridSpan w:val="2"/>
                  <w:tcBorders>
                    <w:top w:val="single" w:color="auto" w:sz="12" w:space="0"/>
                    <w:bottom w:val="single" w:color="auto" w:sz="12" w:space="0"/>
                  </w:tcBorders>
                  <w:vAlign w:val="center"/>
                </w:tcPr>
                <w:p w14:paraId="1A5636BE">
                  <w:pPr>
                    <w:widowControl/>
                    <w:jc w:val="center"/>
                    <w:rPr>
                      <w:b/>
                      <w:bCs/>
                      <w:lang w:val="zh-TW" w:eastAsia="zh-TW"/>
                    </w:rPr>
                  </w:pPr>
                  <w:r>
                    <w:rPr>
                      <w:b/>
                      <w:bCs/>
                      <w:lang w:val="zh-TW" w:eastAsia="zh-TW"/>
                    </w:rPr>
                    <w:t>出料</w:t>
                  </w:r>
                  <w:r>
                    <w:rPr>
                      <w:rFonts w:hint="eastAsia"/>
                      <w:b/>
                      <w:bCs/>
                      <w:lang w:val="zh-TW" w:eastAsia="zh-TW"/>
                    </w:rPr>
                    <w:t>（</w:t>
                  </w:r>
                  <w:r>
                    <w:rPr>
                      <w:b/>
                      <w:bCs/>
                      <w:lang w:val="zh-TW" w:eastAsia="zh-TW"/>
                    </w:rPr>
                    <w:t>t/a</w:t>
                  </w:r>
                  <w:r>
                    <w:rPr>
                      <w:rFonts w:hint="eastAsia"/>
                      <w:b/>
                      <w:bCs/>
                      <w:lang w:val="zh-TW" w:eastAsia="zh-TW"/>
                    </w:rPr>
                    <w:t>）</w:t>
                  </w:r>
                </w:p>
              </w:tc>
            </w:tr>
            <w:tr w14:paraId="3ACFDD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22" w:type="pct"/>
                  <w:tcBorders>
                    <w:top w:val="single" w:color="auto" w:sz="12" w:space="0"/>
                  </w:tcBorders>
                  <w:vAlign w:val="center"/>
                </w:tcPr>
                <w:p w14:paraId="3602A174">
                  <w:pPr>
                    <w:jc w:val="center"/>
                    <w:rPr>
                      <w:szCs w:val="21"/>
                    </w:rPr>
                  </w:pPr>
                  <w:r>
                    <w:rPr>
                      <w:rFonts w:hint="eastAsia"/>
                      <w:szCs w:val="21"/>
                    </w:rPr>
                    <w:t>P</w:t>
                  </w:r>
                  <w:r>
                    <w:rPr>
                      <w:szCs w:val="21"/>
                    </w:rPr>
                    <w:t>VC</w:t>
                  </w:r>
                  <w:r>
                    <w:rPr>
                      <w:rFonts w:hint="eastAsia"/>
                      <w:szCs w:val="21"/>
                    </w:rPr>
                    <w:t>颗粒</w:t>
                  </w:r>
                </w:p>
              </w:tc>
              <w:tc>
                <w:tcPr>
                  <w:tcW w:w="968" w:type="pct"/>
                  <w:tcBorders>
                    <w:top w:val="single" w:color="auto" w:sz="12" w:space="0"/>
                  </w:tcBorders>
                  <w:vAlign w:val="center"/>
                </w:tcPr>
                <w:p w14:paraId="1DF8B1CA">
                  <w:pPr>
                    <w:jc w:val="center"/>
                    <w:rPr>
                      <w:szCs w:val="21"/>
                    </w:rPr>
                  </w:pPr>
                  <w:r>
                    <w:rPr>
                      <w:rFonts w:hint="eastAsia"/>
                      <w:szCs w:val="21"/>
                    </w:rPr>
                    <w:t>1</w:t>
                  </w:r>
                  <w:r>
                    <w:rPr>
                      <w:szCs w:val="21"/>
                    </w:rPr>
                    <w:t>4020</w:t>
                  </w:r>
                </w:p>
              </w:tc>
              <w:tc>
                <w:tcPr>
                  <w:tcW w:w="1407" w:type="pct"/>
                  <w:tcBorders>
                    <w:top w:val="single" w:color="auto" w:sz="12" w:space="0"/>
                  </w:tcBorders>
                  <w:vAlign w:val="center"/>
                </w:tcPr>
                <w:p w14:paraId="68C95345">
                  <w:pPr>
                    <w:jc w:val="center"/>
                  </w:pPr>
                  <w:r>
                    <w:rPr>
                      <w:rFonts w:hint="eastAsia"/>
                    </w:rPr>
                    <w:t>PVC管材</w:t>
                  </w:r>
                </w:p>
              </w:tc>
              <w:tc>
                <w:tcPr>
                  <w:tcW w:w="1203" w:type="pct"/>
                  <w:tcBorders>
                    <w:top w:val="single" w:color="auto" w:sz="12" w:space="0"/>
                  </w:tcBorders>
                  <w:vAlign w:val="center"/>
                </w:tcPr>
                <w:p w14:paraId="0E8C6373">
                  <w:pPr>
                    <w:widowControl/>
                    <w:jc w:val="center"/>
                  </w:pPr>
                  <w:r>
                    <w:rPr>
                      <w:rFonts w:hint="eastAsia"/>
                    </w:rPr>
                    <w:t>1</w:t>
                  </w:r>
                  <w:r>
                    <w:t>5000</w:t>
                  </w:r>
                </w:p>
              </w:tc>
            </w:tr>
            <w:tr w14:paraId="34F7B5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22" w:type="pct"/>
                  <w:vAlign w:val="center"/>
                </w:tcPr>
                <w:p w14:paraId="535F8D31">
                  <w:pPr>
                    <w:jc w:val="center"/>
                    <w:rPr>
                      <w:szCs w:val="21"/>
                    </w:rPr>
                  </w:pPr>
                  <w:r>
                    <w:rPr>
                      <w:rFonts w:hint="eastAsia"/>
                      <w:szCs w:val="21"/>
                    </w:rPr>
                    <w:t>P</w:t>
                  </w:r>
                  <w:r>
                    <w:rPr>
                      <w:szCs w:val="21"/>
                    </w:rPr>
                    <w:t>E</w:t>
                  </w:r>
                  <w:r>
                    <w:rPr>
                      <w:rFonts w:hint="eastAsia"/>
                      <w:szCs w:val="21"/>
                    </w:rPr>
                    <w:t>颗粒</w:t>
                  </w:r>
                </w:p>
              </w:tc>
              <w:tc>
                <w:tcPr>
                  <w:tcW w:w="968" w:type="pct"/>
                  <w:vAlign w:val="center"/>
                </w:tcPr>
                <w:p w14:paraId="13B8725C">
                  <w:pPr>
                    <w:jc w:val="center"/>
                    <w:rPr>
                      <w:szCs w:val="21"/>
                    </w:rPr>
                  </w:pPr>
                  <w:r>
                    <w:rPr>
                      <w:rFonts w:hint="eastAsia"/>
                      <w:szCs w:val="21"/>
                    </w:rPr>
                    <w:t>4</w:t>
                  </w:r>
                  <w:r>
                    <w:rPr>
                      <w:szCs w:val="21"/>
                    </w:rPr>
                    <w:t>518</w:t>
                  </w:r>
                </w:p>
              </w:tc>
              <w:tc>
                <w:tcPr>
                  <w:tcW w:w="1407" w:type="pct"/>
                  <w:vAlign w:val="center"/>
                </w:tcPr>
                <w:p w14:paraId="2607F9EE">
                  <w:pPr>
                    <w:jc w:val="center"/>
                  </w:pPr>
                  <w:r>
                    <w:rPr>
                      <w:rFonts w:hint="eastAsia"/>
                    </w:rPr>
                    <w:t>PE管材</w:t>
                  </w:r>
                </w:p>
              </w:tc>
              <w:tc>
                <w:tcPr>
                  <w:tcW w:w="1203" w:type="pct"/>
                  <w:vAlign w:val="center"/>
                </w:tcPr>
                <w:p w14:paraId="1B0BF661">
                  <w:pPr>
                    <w:widowControl/>
                    <w:jc w:val="center"/>
                  </w:pPr>
                  <w:r>
                    <w:rPr>
                      <w:rFonts w:hint="eastAsia"/>
                    </w:rPr>
                    <w:t>5</w:t>
                  </w:r>
                  <w:r>
                    <w:t>000</w:t>
                  </w:r>
                </w:p>
              </w:tc>
            </w:tr>
            <w:tr w14:paraId="2B64AA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22" w:type="pct"/>
                  <w:vAlign w:val="center"/>
                </w:tcPr>
                <w:p w14:paraId="1E020199">
                  <w:pPr>
                    <w:jc w:val="center"/>
                    <w:rPr>
                      <w:szCs w:val="21"/>
                    </w:rPr>
                  </w:pPr>
                  <w:r>
                    <w:rPr>
                      <w:rFonts w:hint="eastAsia"/>
                    </w:rPr>
                    <w:t>钙粉、稳定剂等辅料</w:t>
                  </w:r>
                </w:p>
              </w:tc>
              <w:tc>
                <w:tcPr>
                  <w:tcW w:w="968" w:type="pct"/>
                  <w:vAlign w:val="center"/>
                </w:tcPr>
                <w:p w14:paraId="4E040A32">
                  <w:pPr>
                    <w:jc w:val="center"/>
                    <w:rPr>
                      <w:szCs w:val="21"/>
                    </w:rPr>
                  </w:pPr>
                  <w:r>
                    <w:rPr>
                      <w:rFonts w:hint="eastAsia"/>
                      <w:szCs w:val="21"/>
                    </w:rPr>
                    <w:t>1</w:t>
                  </w:r>
                  <w:r>
                    <w:rPr>
                      <w:szCs w:val="21"/>
                    </w:rPr>
                    <w:t>500</w:t>
                  </w:r>
                </w:p>
              </w:tc>
              <w:tc>
                <w:tcPr>
                  <w:tcW w:w="1407" w:type="pct"/>
                  <w:vAlign w:val="center"/>
                </w:tcPr>
                <w:p w14:paraId="0C08022C">
                  <w:pPr>
                    <w:widowControl/>
                    <w:adjustRightInd w:val="0"/>
                    <w:snapToGrid w:val="0"/>
                    <w:spacing w:before="24" w:beforeLines="10" w:beforeAutospacing="1" w:after="24" w:afterLines="10" w:afterAutospacing="1"/>
                    <w:jc w:val="center"/>
                  </w:pPr>
                  <w:r>
                    <w:t>废气产生量</w:t>
                  </w:r>
                </w:p>
              </w:tc>
              <w:tc>
                <w:tcPr>
                  <w:tcW w:w="1203" w:type="pct"/>
                  <w:vAlign w:val="center"/>
                </w:tcPr>
                <w:p w14:paraId="2A481BF1">
                  <w:pPr>
                    <w:widowControl/>
                    <w:adjustRightInd w:val="0"/>
                    <w:snapToGrid w:val="0"/>
                    <w:spacing w:before="24" w:beforeLines="10" w:beforeAutospacing="1" w:after="24" w:afterLines="10" w:afterAutospacing="1"/>
                    <w:jc w:val="center"/>
                    <w:rPr>
                      <w:kern w:val="0"/>
                      <w:szCs w:val="21"/>
                    </w:rPr>
                  </w:pPr>
                  <w:r>
                    <w:rPr>
                      <w:kern w:val="0"/>
                      <w:szCs w:val="21"/>
                    </w:rPr>
                    <w:t>33</w:t>
                  </w:r>
                </w:p>
              </w:tc>
            </w:tr>
            <w:tr w14:paraId="6BEA9F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22" w:type="pct"/>
                  <w:tcBorders>
                    <w:bottom w:val="single" w:color="auto" w:sz="4" w:space="0"/>
                  </w:tcBorders>
                  <w:vAlign w:val="center"/>
                </w:tcPr>
                <w:p w14:paraId="4FF70BB8">
                  <w:pPr>
                    <w:jc w:val="center"/>
                    <w:rPr>
                      <w:szCs w:val="21"/>
                    </w:rPr>
                  </w:pPr>
                </w:p>
              </w:tc>
              <w:tc>
                <w:tcPr>
                  <w:tcW w:w="968" w:type="pct"/>
                  <w:tcBorders>
                    <w:bottom w:val="single" w:color="auto" w:sz="4" w:space="0"/>
                  </w:tcBorders>
                  <w:vAlign w:val="center"/>
                </w:tcPr>
                <w:p w14:paraId="538983BC">
                  <w:pPr>
                    <w:jc w:val="center"/>
                    <w:rPr>
                      <w:szCs w:val="21"/>
                    </w:rPr>
                  </w:pPr>
                </w:p>
              </w:tc>
              <w:tc>
                <w:tcPr>
                  <w:tcW w:w="1407" w:type="pct"/>
                  <w:tcBorders>
                    <w:bottom w:val="single" w:color="auto" w:sz="4" w:space="0"/>
                  </w:tcBorders>
                  <w:vAlign w:val="center"/>
                </w:tcPr>
                <w:p w14:paraId="5D8FA0BB">
                  <w:pPr>
                    <w:widowControl/>
                    <w:adjustRightInd w:val="0"/>
                    <w:snapToGrid w:val="0"/>
                    <w:spacing w:before="24" w:beforeLines="10" w:beforeAutospacing="1" w:after="24" w:afterLines="10" w:afterAutospacing="1"/>
                    <w:jc w:val="center"/>
                  </w:pPr>
                  <w:r>
                    <w:t>边角料</w:t>
                  </w:r>
                  <w:r>
                    <w:rPr>
                      <w:rFonts w:hint="eastAsia"/>
                    </w:rPr>
                    <w:t>、不合格品</w:t>
                  </w:r>
                </w:p>
              </w:tc>
              <w:tc>
                <w:tcPr>
                  <w:tcW w:w="1203" w:type="pct"/>
                  <w:tcBorders>
                    <w:bottom w:val="single" w:color="auto" w:sz="4" w:space="0"/>
                  </w:tcBorders>
                  <w:vAlign w:val="center"/>
                </w:tcPr>
                <w:p w14:paraId="6A16132D">
                  <w:pPr>
                    <w:widowControl/>
                    <w:adjustRightInd w:val="0"/>
                    <w:snapToGrid w:val="0"/>
                    <w:spacing w:before="24" w:beforeLines="10" w:beforeAutospacing="1" w:after="24" w:afterLines="10" w:afterAutospacing="1"/>
                    <w:jc w:val="center"/>
                    <w:rPr>
                      <w:color w:val="FF0000"/>
                      <w:kern w:val="0"/>
                      <w:szCs w:val="21"/>
                    </w:rPr>
                  </w:pPr>
                  <w:r>
                    <w:rPr>
                      <w:rFonts w:hint="eastAsia"/>
                      <w:kern w:val="0"/>
                      <w:szCs w:val="21"/>
                    </w:rPr>
                    <w:t>5</w:t>
                  </w:r>
                </w:p>
              </w:tc>
            </w:tr>
            <w:tr w14:paraId="467E22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422" w:type="pct"/>
                  <w:tcBorders>
                    <w:top w:val="single" w:color="auto" w:sz="4" w:space="0"/>
                    <w:bottom w:val="single" w:color="auto" w:sz="12" w:space="0"/>
                  </w:tcBorders>
                  <w:vAlign w:val="center"/>
                </w:tcPr>
                <w:p w14:paraId="618835BB">
                  <w:pPr>
                    <w:widowControl/>
                    <w:jc w:val="center"/>
                    <w:rPr>
                      <w:lang w:val="zh-TW" w:eastAsia="zh-TW"/>
                    </w:rPr>
                  </w:pPr>
                  <w:r>
                    <w:rPr>
                      <w:lang w:val="zh-TW" w:eastAsia="zh-TW"/>
                    </w:rPr>
                    <w:t>共计</w:t>
                  </w:r>
                </w:p>
              </w:tc>
              <w:tc>
                <w:tcPr>
                  <w:tcW w:w="968" w:type="pct"/>
                  <w:tcBorders>
                    <w:top w:val="single" w:color="auto" w:sz="4" w:space="0"/>
                    <w:bottom w:val="single" w:color="auto" w:sz="12" w:space="0"/>
                  </w:tcBorders>
                  <w:vAlign w:val="center"/>
                </w:tcPr>
                <w:p w14:paraId="41822D96">
                  <w:pPr>
                    <w:widowControl/>
                    <w:jc w:val="center"/>
                    <w:rPr>
                      <w:rFonts w:eastAsia="PMingLiU"/>
                      <w:color w:val="FF0000"/>
                      <w:lang w:val="zh-TW" w:eastAsia="zh-TW"/>
                    </w:rPr>
                  </w:pPr>
                  <w:r>
                    <w:rPr>
                      <w:rFonts w:hint="eastAsia"/>
                      <w:lang w:val="zh-TW"/>
                    </w:rPr>
                    <w:t>2</w:t>
                  </w:r>
                  <w:r>
                    <w:rPr>
                      <w:rFonts w:eastAsia="PMingLiU"/>
                      <w:lang w:val="zh-TW" w:eastAsia="zh-TW"/>
                    </w:rPr>
                    <w:t>0038</w:t>
                  </w:r>
                </w:p>
              </w:tc>
              <w:tc>
                <w:tcPr>
                  <w:tcW w:w="1407" w:type="pct"/>
                  <w:tcBorders>
                    <w:top w:val="single" w:color="auto" w:sz="4" w:space="0"/>
                    <w:bottom w:val="single" w:color="auto" w:sz="12" w:space="0"/>
                  </w:tcBorders>
                  <w:vAlign w:val="center"/>
                </w:tcPr>
                <w:p w14:paraId="3A1BA77D">
                  <w:pPr>
                    <w:widowControl/>
                    <w:jc w:val="center"/>
                    <w:rPr>
                      <w:color w:val="FF0000"/>
                      <w:lang w:val="zh-TW" w:eastAsia="zh-TW"/>
                    </w:rPr>
                  </w:pPr>
                  <w:r>
                    <w:rPr>
                      <w:lang w:val="zh-TW" w:eastAsia="zh-TW"/>
                    </w:rPr>
                    <w:t>共计</w:t>
                  </w:r>
                </w:p>
              </w:tc>
              <w:tc>
                <w:tcPr>
                  <w:tcW w:w="1203" w:type="pct"/>
                  <w:tcBorders>
                    <w:top w:val="single" w:color="auto" w:sz="4" w:space="0"/>
                    <w:bottom w:val="single" w:color="auto" w:sz="12" w:space="0"/>
                  </w:tcBorders>
                  <w:vAlign w:val="center"/>
                </w:tcPr>
                <w:p w14:paraId="51F531A3">
                  <w:pPr>
                    <w:widowControl/>
                    <w:jc w:val="center"/>
                    <w:rPr>
                      <w:rFonts w:eastAsia="PMingLiU"/>
                      <w:color w:val="FF0000"/>
                      <w:lang w:val="zh-TW" w:eastAsia="zh-TW"/>
                    </w:rPr>
                  </w:pPr>
                  <w:r>
                    <w:rPr>
                      <w:rFonts w:hint="eastAsia"/>
                      <w:lang w:val="zh-TW"/>
                    </w:rPr>
                    <w:t>2</w:t>
                  </w:r>
                  <w:r>
                    <w:rPr>
                      <w:rFonts w:eastAsia="PMingLiU"/>
                      <w:lang w:val="zh-TW" w:eastAsia="zh-TW"/>
                    </w:rPr>
                    <w:t>0038</w:t>
                  </w:r>
                </w:p>
              </w:tc>
            </w:tr>
          </w:tbl>
          <w:p w14:paraId="7BC8654F">
            <w:pPr>
              <w:pStyle w:val="3"/>
              <w:rPr>
                <w:sz w:val="24"/>
                <w:szCs w:val="24"/>
              </w:rPr>
            </w:pPr>
            <w:r>
              <w:rPr>
                <w:rFonts w:hint="eastAsia"/>
                <w:sz w:val="24"/>
                <w:szCs w:val="24"/>
              </w:rPr>
              <w:t>5</w:t>
            </w:r>
            <w:r>
              <w:rPr>
                <w:sz w:val="24"/>
                <w:szCs w:val="24"/>
              </w:rPr>
              <w:t>.</w:t>
            </w:r>
            <w:r>
              <w:rPr>
                <w:rFonts w:hint="eastAsia"/>
                <w:sz w:val="24"/>
                <w:szCs w:val="24"/>
              </w:rPr>
              <w:t>劳动定员及工作制度</w:t>
            </w:r>
          </w:p>
          <w:p w14:paraId="51E37611">
            <w:pPr>
              <w:pStyle w:val="55"/>
              <w:ind w:firstLine="480"/>
            </w:pPr>
            <w:r>
              <w:rPr>
                <w:rFonts w:hint="eastAsia"/>
              </w:rPr>
              <w:t>项目总员工数约35人，年工作240天，每天12h，2班制，年工作2880h。本次不新增劳动定员。</w:t>
            </w:r>
          </w:p>
          <w:p w14:paraId="1E355972">
            <w:pPr>
              <w:pStyle w:val="3"/>
              <w:rPr>
                <w:sz w:val="24"/>
                <w:szCs w:val="24"/>
              </w:rPr>
            </w:pPr>
            <w:r>
              <w:rPr>
                <w:sz w:val="24"/>
                <w:szCs w:val="24"/>
              </w:rPr>
              <w:t>6</w:t>
            </w:r>
            <w:r>
              <w:rPr>
                <w:rFonts w:hint="eastAsia"/>
                <w:sz w:val="24"/>
                <w:szCs w:val="24"/>
              </w:rPr>
              <w:t>.公用工程</w:t>
            </w:r>
          </w:p>
          <w:p w14:paraId="7FB53A22">
            <w:pPr>
              <w:pStyle w:val="55"/>
              <w:ind w:firstLine="480"/>
            </w:pPr>
            <w:r>
              <w:rPr>
                <w:rFonts w:hint="eastAsia"/>
              </w:rPr>
              <w:t>（1）供电</w:t>
            </w:r>
          </w:p>
          <w:p w14:paraId="668434BE">
            <w:pPr>
              <w:pStyle w:val="55"/>
              <w:ind w:firstLine="480"/>
            </w:pPr>
            <w:r>
              <w:rPr>
                <w:rFonts w:hint="eastAsia"/>
              </w:rPr>
              <w:t>项目用电由园区电网供电，可以满足项目区用电。</w:t>
            </w:r>
          </w:p>
          <w:p w14:paraId="78E849BE">
            <w:pPr>
              <w:pStyle w:val="55"/>
              <w:ind w:firstLine="480"/>
            </w:pPr>
            <w:r>
              <w:rPr>
                <w:rFonts w:hint="eastAsia"/>
              </w:rPr>
              <w:t>（2）供热</w:t>
            </w:r>
          </w:p>
          <w:p w14:paraId="0261ED5F">
            <w:pPr>
              <w:pStyle w:val="55"/>
              <w:ind w:firstLine="480"/>
            </w:pPr>
            <w:r>
              <w:rPr>
                <w:rFonts w:hint="eastAsia"/>
              </w:rPr>
              <w:t>项目区冬季采暖由园区集中供给。</w:t>
            </w:r>
          </w:p>
          <w:p w14:paraId="01DC05FF">
            <w:pPr>
              <w:pStyle w:val="55"/>
              <w:ind w:firstLine="480"/>
            </w:pPr>
            <w:r>
              <w:rPr>
                <w:rFonts w:hint="eastAsia"/>
              </w:rPr>
              <w:t>（3）给水</w:t>
            </w:r>
          </w:p>
          <w:p w14:paraId="70DEA8C1">
            <w:pPr>
              <w:pStyle w:val="55"/>
              <w:ind w:firstLine="480"/>
            </w:pPr>
            <w:r>
              <w:rPr>
                <w:rFonts w:hint="eastAsia"/>
              </w:rPr>
              <w:t>本项目用水由园区供水管网供给，水质满足生活要求。</w:t>
            </w:r>
          </w:p>
          <w:p w14:paraId="28FCEFE4">
            <w:pPr>
              <w:pStyle w:val="55"/>
              <w:ind w:firstLine="480"/>
            </w:pPr>
            <w:r>
              <w:rPr>
                <w:rFonts w:hint="eastAsia"/>
              </w:rPr>
              <w:t>冷却用水：加热挤出工序冷却水循环使用，因不断蒸发，平均每天补充新水量为0.8m</w:t>
            </w:r>
            <w:r>
              <w:rPr>
                <w:rFonts w:hint="eastAsia"/>
                <w:vertAlign w:val="superscript"/>
              </w:rPr>
              <w:t>3</w:t>
            </w:r>
            <w:r>
              <w:rPr>
                <w:rFonts w:hint="eastAsia"/>
              </w:rPr>
              <w:t>/d（192m</w:t>
            </w:r>
            <w:r>
              <w:rPr>
                <w:rFonts w:hint="eastAsia"/>
                <w:vertAlign w:val="superscript"/>
              </w:rPr>
              <w:t>3</w:t>
            </w:r>
            <w:r>
              <w:rPr>
                <w:rFonts w:hint="eastAsia"/>
              </w:rPr>
              <w:t>/a），循环水量为15m</w:t>
            </w:r>
            <w:r>
              <w:rPr>
                <w:rFonts w:hint="eastAsia"/>
                <w:vertAlign w:val="superscript"/>
              </w:rPr>
              <w:t>3</w:t>
            </w:r>
            <w:r>
              <w:rPr>
                <w:rFonts w:hint="eastAsia"/>
              </w:rPr>
              <w:t>/a。</w:t>
            </w:r>
          </w:p>
          <w:p w14:paraId="0A8BD2E0">
            <w:pPr>
              <w:pStyle w:val="55"/>
              <w:ind w:firstLine="480"/>
            </w:pPr>
            <w:r>
              <w:rPr>
                <w:rFonts w:hint="eastAsia"/>
              </w:rPr>
              <w:t>生活用水：本项目无新增劳动定员，不新增生活用水。</w:t>
            </w:r>
          </w:p>
          <w:p w14:paraId="31259512">
            <w:pPr>
              <w:pStyle w:val="55"/>
              <w:ind w:firstLine="480"/>
            </w:pPr>
            <w:r>
              <w:rPr>
                <w:rFonts w:hint="eastAsia"/>
              </w:rPr>
              <w:t>（4）排水</w:t>
            </w:r>
          </w:p>
          <w:p w14:paraId="09D4A823">
            <w:pPr>
              <w:pStyle w:val="55"/>
              <w:ind w:firstLine="480"/>
            </w:pPr>
            <w:r>
              <w:t>生产废水：本项目生产用水为产品冷却水，冷却水循环利用不外排，只需定期补充即可。停产期循环水暂存水池内，等来年生产继续循环使用</w:t>
            </w:r>
            <w:r>
              <w:rPr>
                <w:rFonts w:hint="eastAsia"/>
              </w:rPr>
              <w:t>。</w:t>
            </w:r>
          </w:p>
          <w:p w14:paraId="3E42FCF7">
            <w:pPr>
              <w:pStyle w:val="55"/>
              <w:ind w:firstLine="480"/>
            </w:pPr>
            <w:r>
              <w:t>生活废水：本项目</w:t>
            </w:r>
            <w:r>
              <w:rPr>
                <w:rFonts w:hint="eastAsia"/>
              </w:rPr>
              <w:t>不新增劳动定员，不新增生活废水</w:t>
            </w:r>
            <w:r>
              <w:t>。</w:t>
            </w:r>
            <w:bookmarkStart w:id="3" w:name="1.5公用工程"/>
            <w:bookmarkEnd w:id="3"/>
          </w:p>
          <w:p w14:paraId="2AEF56B0">
            <w:pPr>
              <w:pStyle w:val="3"/>
              <w:rPr>
                <w:sz w:val="24"/>
                <w:szCs w:val="24"/>
              </w:rPr>
            </w:pPr>
            <w:r>
              <w:rPr>
                <w:rFonts w:hint="eastAsia"/>
                <w:sz w:val="24"/>
                <w:szCs w:val="24"/>
              </w:rPr>
              <w:t>7</w:t>
            </w:r>
            <w:r>
              <w:rPr>
                <w:sz w:val="24"/>
                <w:szCs w:val="24"/>
              </w:rPr>
              <w:t>.</w:t>
            </w:r>
            <w:r>
              <w:rPr>
                <w:rFonts w:hint="eastAsia"/>
                <w:sz w:val="24"/>
                <w:szCs w:val="24"/>
              </w:rPr>
              <w:t>总平面布置图</w:t>
            </w:r>
          </w:p>
          <w:p w14:paraId="3ADD784D">
            <w:pPr>
              <w:pStyle w:val="55"/>
              <w:ind w:firstLine="480"/>
            </w:pPr>
            <w:r>
              <w:rPr>
                <w:rFonts w:hint="eastAsia"/>
              </w:rPr>
              <w:t>本项目在原有厂房内建设，不新增用地。办公室、宿舍、门卫等均依托原有。生产线从南到北依次排列，项目区人货分流，功能分区明确，交通顺畅，其中生产加工区主要布置在厂房的中部，原料区位于厂房西侧，成品区位于厂区的东侧，危废间布置在厂区东侧，办公楼为上风向，可以有效地避免生产加工废气的影响。因此，本项目平面布置合理可行。（详见附图3）</w:t>
            </w:r>
          </w:p>
        </w:tc>
      </w:tr>
      <w:tr w14:paraId="49CBDD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538B685B">
            <w:pPr>
              <w:pStyle w:val="26"/>
              <w:adjustRightInd w:val="0"/>
              <w:snapToGrid w:val="0"/>
              <w:spacing w:before="0" w:beforeAutospacing="0" w:after="0" w:afterAutospacing="0"/>
              <w:jc w:val="center"/>
              <w:rPr>
                <w:rFonts w:cs="宋体"/>
                <w:color w:val="000000"/>
                <w:sz w:val="21"/>
                <w:szCs w:val="21"/>
              </w:rPr>
            </w:pPr>
            <w:r>
              <w:rPr>
                <w:rFonts w:hint="eastAsia" w:cs="宋体"/>
                <w:color w:val="000000"/>
                <w:szCs w:val="24"/>
              </w:rPr>
              <w:t>工艺流程和产排污环节</w:t>
            </w:r>
          </w:p>
        </w:tc>
        <w:tc>
          <w:tcPr>
            <w:tcW w:w="8161" w:type="dxa"/>
          </w:tcPr>
          <w:p w14:paraId="262F3BE8">
            <w:pPr>
              <w:pStyle w:val="3"/>
              <w:rPr>
                <w:sz w:val="24"/>
                <w:szCs w:val="24"/>
              </w:rPr>
            </w:pPr>
            <w:r>
              <w:rPr>
                <w:sz w:val="24"/>
                <w:szCs w:val="24"/>
              </w:rPr>
              <w:t>1.</w:t>
            </w:r>
            <w:r>
              <w:rPr>
                <w:rFonts w:hint="eastAsia"/>
                <w:sz w:val="24"/>
                <w:szCs w:val="24"/>
              </w:rPr>
              <w:t>施工期工艺流程及产排污环节</w:t>
            </w:r>
          </w:p>
          <w:p w14:paraId="7D1A0CBE">
            <w:pPr>
              <w:pStyle w:val="55"/>
              <w:ind w:firstLine="480"/>
              <w:rPr>
                <w:color w:val="000000"/>
              </w:rPr>
            </w:pPr>
            <w:r>
              <w:rPr>
                <w:rFonts w:hint="eastAsia"/>
                <w:color w:val="000000"/>
              </w:rPr>
              <w:t>本项目在原有厂房内建设，不新增用地，已完成设备安装，施工已结束，因此不在此进行详述。</w:t>
            </w:r>
          </w:p>
          <w:p w14:paraId="6B67D094">
            <w:pPr>
              <w:pStyle w:val="3"/>
              <w:rPr>
                <w:sz w:val="24"/>
                <w:szCs w:val="24"/>
              </w:rPr>
            </w:pPr>
            <w:r>
              <w:rPr>
                <w:rFonts w:hint="eastAsia"/>
                <w:sz w:val="24"/>
                <w:szCs w:val="24"/>
              </w:rPr>
              <w:t>2</w:t>
            </w:r>
            <w:r>
              <w:rPr>
                <w:sz w:val="24"/>
                <w:szCs w:val="24"/>
              </w:rPr>
              <w:t>.</w:t>
            </w:r>
            <w:r>
              <w:rPr>
                <w:rFonts w:hint="eastAsia"/>
                <w:sz w:val="24"/>
                <w:szCs w:val="24"/>
              </w:rPr>
              <w:t>运营期工艺流程及产排污环节</w:t>
            </w:r>
          </w:p>
          <w:p w14:paraId="08B9ABD7">
            <w:pPr>
              <w:rPr>
                <w:b/>
                <w:bCs/>
                <w:kern w:val="0"/>
                <w:sz w:val="24"/>
              </w:rPr>
            </w:pPr>
            <w:r>
              <w:rPr>
                <w:rFonts w:hint="eastAsia"/>
                <w:b/>
                <w:bCs/>
                <w:kern w:val="0"/>
                <w:sz w:val="24"/>
              </w:rPr>
              <w:t>2</w:t>
            </w:r>
            <w:r>
              <w:rPr>
                <w:b/>
                <w:bCs/>
                <w:kern w:val="0"/>
                <w:sz w:val="24"/>
              </w:rPr>
              <w:t>.1</w:t>
            </w:r>
            <w:r>
              <w:rPr>
                <w:rFonts w:hint="eastAsia"/>
                <w:b/>
                <w:bCs/>
                <w:kern w:val="0"/>
                <w:sz w:val="24"/>
              </w:rPr>
              <w:t>生产工艺流程</w:t>
            </w:r>
          </w:p>
          <w:p w14:paraId="56020423">
            <w:pPr>
              <w:pStyle w:val="2"/>
              <w:ind w:left="210" w:leftChars="100" w:firstLine="480" w:firstLineChars="200"/>
              <w:rPr>
                <w:rFonts w:eastAsia="宋体"/>
                <w:b w:val="0"/>
                <w:bCs w:val="0"/>
                <w:snapToGrid w:val="0"/>
                <w:color w:val="auto"/>
                <w:kern w:val="0"/>
                <w:sz w:val="24"/>
                <w:szCs w:val="28"/>
              </w:rPr>
            </w:pPr>
            <w:r>
              <w:rPr>
                <w:rFonts w:hint="eastAsia" w:eastAsia="宋体"/>
                <w:b w:val="0"/>
                <w:bCs w:val="0"/>
                <w:snapToGrid w:val="0"/>
                <w:color w:val="auto"/>
                <w:kern w:val="0"/>
                <w:sz w:val="24"/>
                <w:szCs w:val="28"/>
              </w:rPr>
              <w:t>生产工艺流程及产污环节见图2。</w:t>
            </w:r>
          </w:p>
          <w:p w14:paraId="266592ED">
            <w:pPr>
              <w:pStyle w:val="55"/>
              <w:ind w:firstLine="0" w:firstLineChars="0"/>
              <w:jc w:val="center"/>
            </w:pPr>
            <w:r>
              <w:drawing>
                <wp:inline distT="0" distB="0" distL="0" distR="0">
                  <wp:extent cx="3937000" cy="4201795"/>
                  <wp:effectExtent l="0" t="0" r="6350" b="8255"/>
                  <wp:docPr id="6603061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06177" name="图片 1"/>
                          <pic:cNvPicPr>
                            <a:picLocks noChangeAspect="1"/>
                          </pic:cNvPicPr>
                        </pic:nvPicPr>
                        <pic:blipFill>
                          <a:blip r:embed="rId6"/>
                          <a:stretch>
                            <a:fillRect/>
                          </a:stretch>
                        </pic:blipFill>
                        <pic:spPr>
                          <a:xfrm>
                            <a:off x="0" y="0"/>
                            <a:ext cx="3950938" cy="4217135"/>
                          </a:xfrm>
                          <a:prstGeom prst="rect">
                            <a:avLst/>
                          </a:prstGeom>
                        </pic:spPr>
                      </pic:pic>
                    </a:graphicData>
                  </a:graphic>
                </wp:inline>
              </w:drawing>
            </w:r>
          </w:p>
          <w:p w14:paraId="21C24A44">
            <w:pPr>
              <w:pStyle w:val="6"/>
              <w:rPr>
                <w:rFonts w:ascii="Times New Roman" w:hAnsi="Times New Roman" w:eastAsia="宋体"/>
                <w:color w:val="auto"/>
              </w:rPr>
            </w:pPr>
            <w:r>
              <w:rPr>
                <w:rFonts w:hint="eastAsia" w:ascii="Times New Roman" w:hAnsi="Times New Roman" w:eastAsia="宋体"/>
                <w:color w:val="auto"/>
              </w:rPr>
              <w:t>图2   运营期工艺流程及产污环节示意图</w:t>
            </w:r>
          </w:p>
          <w:p w14:paraId="35A7E713">
            <w:pPr>
              <w:pStyle w:val="3"/>
              <w:rPr>
                <w:sz w:val="24"/>
                <w:szCs w:val="24"/>
              </w:rPr>
            </w:pPr>
            <w:r>
              <w:rPr>
                <w:rFonts w:hint="eastAsia"/>
                <w:sz w:val="24"/>
                <w:szCs w:val="24"/>
              </w:rPr>
              <w:t>工艺流程说明：</w:t>
            </w:r>
          </w:p>
          <w:p w14:paraId="05588B9D">
            <w:pPr>
              <w:pStyle w:val="55"/>
              <w:ind w:firstLine="480"/>
            </w:pPr>
            <w:r>
              <w:rPr>
                <w:rFonts w:hint="eastAsia"/>
              </w:rPr>
              <w:t>①混合搅拌</w:t>
            </w:r>
          </w:p>
          <w:p w14:paraId="30F0B2FE">
            <w:pPr>
              <w:pStyle w:val="55"/>
              <w:ind w:firstLine="480"/>
            </w:pPr>
            <w:r>
              <w:rPr>
                <w:rFonts w:hint="eastAsia"/>
              </w:rPr>
              <w:t>PVC管材原料为聚氯乙烯颗粒和碳酸钙粉，PE管材原料为聚乙烯颗粒和碳酸钙粉。根据配方规定，原辅料按照一定配比加入混料机，使主辅料在混料机中充分地、均匀地混合。聚氯乙烯颗粒和聚乙烯颗粒粒径较大，钙粉由密闭罐车储运输送至搅拌机，故拆包入料过程不产生粉尘。混合搅拌工序会产生噪声及粉尘颗粒物。</w:t>
            </w:r>
          </w:p>
          <w:p w14:paraId="1D0F9384">
            <w:pPr>
              <w:pStyle w:val="55"/>
              <w:ind w:firstLine="480"/>
            </w:pPr>
            <w:r>
              <w:rPr>
                <w:rFonts w:hint="eastAsia"/>
              </w:rPr>
              <w:t>②挤出成型-冷却</w:t>
            </w:r>
          </w:p>
          <w:p w14:paraId="799AEF3D">
            <w:pPr>
              <w:pStyle w:val="55"/>
              <w:ind w:firstLine="480"/>
            </w:pPr>
            <w:r>
              <w:rPr>
                <w:rFonts w:hint="eastAsia"/>
              </w:rPr>
              <w:t>各种原料经过混料机加热混合后进入挤出机，通过挤出机挤出成型，挤出工序的温度为160度~180度，混料直接被挤出到模具中，根据生产的管材不同，使用不同形状的模具，模具上自带水槽，环绕在模具外面，通过水槽内不断循环的冷水使模具内混料冷却，冷水槽连接到冷水池中，通过抽水泵实现循环。加热挤出时会产生挥发性有机物废气以及噪声。</w:t>
            </w:r>
          </w:p>
          <w:p w14:paraId="47D8F185">
            <w:pPr>
              <w:pStyle w:val="55"/>
              <w:ind w:firstLine="480"/>
            </w:pPr>
            <w:r>
              <w:rPr>
                <w:rFonts w:hint="eastAsia"/>
              </w:rPr>
              <w:t>③牵引、切割</w:t>
            </w:r>
          </w:p>
          <w:p w14:paraId="68B6469E">
            <w:pPr>
              <w:pStyle w:val="55"/>
              <w:ind w:firstLine="480"/>
            </w:pPr>
            <w:r>
              <w:rPr>
                <w:rFonts w:hint="eastAsia"/>
              </w:rPr>
              <w:t>按照不同规格产品的尺寸要求，对管材等进行切割。此工序产生噪声及边角料、不合格品。</w:t>
            </w:r>
          </w:p>
          <w:p w14:paraId="33C00A4B">
            <w:pPr>
              <w:pStyle w:val="55"/>
              <w:ind w:firstLine="480"/>
            </w:pPr>
            <w:r>
              <w:rPr>
                <w:rFonts w:hint="eastAsia"/>
              </w:rPr>
              <w:t>④检验、外售</w:t>
            </w:r>
          </w:p>
          <w:p w14:paraId="6957B27D">
            <w:pPr>
              <w:pStyle w:val="55"/>
              <w:ind w:firstLine="480"/>
            </w:pPr>
            <w:r>
              <w:rPr>
                <w:rFonts w:hint="eastAsia"/>
              </w:rPr>
              <w:t>将切割后产品进行检验，合格后入库待售；若不合格，则收集进行破碎，重新混合，挤出成型等。破碎时会产生噪声及粉尘颗粒物。</w:t>
            </w:r>
          </w:p>
          <w:p w14:paraId="64675E0B">
            <w:pPr>
              <w:keepNext/>
              <w:keepLines/>
              <w:jc w:val="left"/>
              <w:outlineLvl w:val="2"/>
              <w:rPr>
                <w:b/>
                <w:sz w:val="24"/>
              </w:rPr>
            </w:pPr>
            <w:r>
              <w:rPr>
                <w:rFonts w:hint="eastAsia"/>
                <w:b/>
                <w:sz w:val="24"/>
              </w:rPr>
              <w:t>2</w:t>
            </w:r>
            <w:r>
              <w:rPr>
                <w:b/>
                <w:sz w:val="24"/>
              </w:rPr>
              <w:t>.2</w:t>
            </w:r>
            <w:r>
              <w:rPr>
                <w:rFonts w:hint="eastAsia"/>
                <w:b/>
                <w:sz w:val="24"/>
              </w:rPr>
              <w:t>产排污环节</w:t>
            </w:r>
          </w:p>
          <w:p w14:paraId="6C8FB6C4">
            <w:pPr>
              <w:ind w:left="180"/>
              <w:jc w:val="center"/>
              <w:rPr>
                <w:b/>
                <w:szCs w:val="21"/>
              </w:rPr>
            </w:pPr>
            <w:r>
              <w:rPr>
                <w:rFonts w:hint="eastAsia"/>
                <w:b/>
                <w:szCs w:val="21"/>
              </w:rPr>
              <w:t>表2-</w:t>
            </w:r>
            <w:r>
              <w:rPr>
                <w:b/>
                <w:szCs w:val="21"/>
              </w:rPr>
              <w:t>6</w:t>
            </w:r>
            <w:r>
              <w:rPr>
                <w:rFonts w:hint="eastAsia"/>
                <w:b/>
                <w:szCs w:val="21"/>
              </w:rPr>
              <w:t xml:space="preserve">   本项目产</w:t>
            </w:r>
            <w:r>
              <w:rPr>
                <w:rFonts w:hint="eastAsia"/>
                <w:b/>
                <w:bCs/>
                <w:szCs w:val="21"/>
              </w:rPr>
              <w:t>污</w:t>
            </w:r>
            <w:r>
              <w:rPr>
                <w:rFonts w:hint="eastAsia"/>
                <w:b/>
                <w:szCs w:val="21"/>
              </w:rPr>
              <w:t>环节一览表</w:t>
            </w:r>
          </w:p>
          <w:tbl>
            <w:tblPr>
              <w:tblStyle w:val="30"/>
              <w:tblW w:w="7879"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800"/>
              <w:gridCol w:w="2407"/>
              <w:gridCol w:w="2898"/>
            </w:tblGrid>
            <w:tr w14:paraId="53DCB4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tcBorders>
                    <w:top w:val="single" w:color="auto" w:sz="12" w:space="0"/>
                    <w:bottom w:val="single" w:color="auto" w:sz="12" w:space="0"/>
                  </w:tcBorders>
                  <w:vAlign w:val="center"/>
                </w:tcPr>
                <w:p w14:paraId="6063772F">
                  <w:pPr>
                    <w:rPr>
                      <w:b/>
                      <w:bCs/>
                      <w:szCs w:val="21"/>
                    </w:rPr>
                  </w:pPr>
                  <w:r>
                    <w:rPr>
                      <w:b/>
                      <w:bCs/>
                      <w:szCs w:val="21"/>
                    </w:rPr>
                    <w:t>类别</w:t>
                  </w:r>
                </w:p>
              </w:tc>
              <w:tc>
                <w:tcPr>
                  <w:tcW w:w="1800" w:type="dxa"/>
                  <w:tcBorders>
                    <w:top w:val="single" w:color="auto" w:sz="12" w:space="0"/>
                    <w:bottom w:val="single" w:color="auto" w:sz="12" w:space="0"/>
                  </w:tcBorders>
                  <w:vAlign w:val="center"/>
                </w:tcPr>
                <w:p w14:paraId="62E03B2F">
                  <w:pPr>
                    <w:jc w:val="center"/>
                    <w:rPr>
                      <w:b/>
                      <w:bCs/>
                      <w:szCs w:val="21"/>
                    </w:rPr>
                  </w:pPr>
                  <w:r>
                    <w:rPr>
                      <w:b/>
                      <w:bCs/>
                      <w:szCs w:val="21"/>
                    </w:rPr>
                    <w:t>产排污环节</w:t>
                  </w:r>
                </w:p>
              </w:tc>
              <w:tc>
                <w:tcPr>
                  <w:tcW w:w="2407" w:type="dxa"/>
                  <w:tcBorders>
                    <w:top w:val="single" w:color="auto" w:sz="12" w:space="0"/>
                    <w:bottom w:val="single" w:color="auto" w:sz="12" w:space="0"/>
                  </w:tcBorders>
                </w:tcPr>
                <w:p w14:paraId="4F4B769B">
                  <w:pPr>
                    <w:jc w:val="center"/>
                    <w:rPr>
                      <w:b/>
                      <w:bCs/>
                      <w:szCs w:val="21"/>
                    </w:rPr>
                  </w:pPr>
                  <w:r>
                    <w:rPr>
                      <w:b/>
                      <w:bCs/>
                      <w:szCs w:val="21"/>
                    </w:rPr>
                    <w:t>污染物名称</w:t>
                  </w:r>
                </w:p>
              </w:tc>
              <w:tc>
                <w:tcPr>
                  <w:tcW w:w="2898" w:type="dxa"/>
                  <w:tcBorders>
                    <w:top w:val="single" w:color="auto" w:sz="12" w:space="0"/>
                    <w:bottom w:val="single" w:color="auto" w:sz="12" w:space="0"/>
                  </w:tcBorders>
                  <w:vAlign w:val="center"/>
                </w:tcPr>
                <w:p w14:paraId="1D11EDCE">
                  <w:pPr>
                    <w:jc w:val="center"/>
                    <w:rPr>
                      <w:b/>
                      <w:bCs/>
                      <w:szCs w:val="21"/>
                    </w:rPr>
                  </w:pPr>
                  <w:r>
                    <w:rPr>
                      <w:rFonts w:hint="eastAsia"/>
                      <w:b/>
                      <w:bCs/>
                      <w:szCs w:val="21"/>
                    </w:rPr>
                    <w:t>污染因子</w:t>
                  </w:r>
                </w:p>
              </w:tc>
            </w:tr>
            <w:tr w14:paraId="4A5D04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74" w:type="dxa"/>
                  <w:vMerge w:val="restart"/>
                  <w:tcBorders>
                    <w:top w:val="single" w:color="auto" w:sz="12" w:space="0"/>
                  </w:tcBorders>
                  <w:vAlign w:val="center"/>
                </w:tcPr>
                <w:p w14:paraId="5517BD0D">
                  <w:pPr>
                    <w:jc w:val="center"/>
                    <w:rPr>
                      <w:szCs w:val="21"/>
                    </w:rPr>
                  </w:pPr>
                  <w:r>
                    <w:rPr>
                      <w:rFonts w:hint="eastAsia"/>
                      <w:szCs w:val="21"/>
                    </w:rPr>
                    <w:t>废气</w:t>
                  </w:r>
                </w:p>
              </w:tc>
              <w:tc>
                <w:tcPr>
                  <w:tcW w:w="1800" w:type="dxa"/>
                  <w:tcBorders>
                    <w:top w:val="single" w:color="auto" w:sz="12" w:space="0"/>
                  </w:tcBorders>
                  <w:vAlign w:val="center"/>
                </w:tcPr>
                <w:p w14:paraId="0ABC7A96">
                  <w:pPr>
                    <w:jc w:val="center"/>
                    <w:rPr>
                      <w:szCs w:val="21"/>
                    </w:rPr>
                  </w:pPr>
                  <w:r>
                    <w:rPr>
                      <w:rFonts w:hint="eastAsia"/>
                      <w:szCs w:val="21"/>
                    </w:rPr>
                    <w:t>混合搅拌</w:t>
                  </w:r>
                </w:p>
              </w:tc>
              <w:tc>
                <w:tcPr>
                  <w:tcW w:w="2407" w:type="dxa"/>
                  <w:tcBorders>
                    <w:top w:val="single" w:color="auto" w:sz="12" w:space="0"/>
                  </w:tcBorders>
                  <w:vAlign w:val="center"/>
                </w:tcPr>
                <w:p w14:paraId="7BB77E51">
                  <w:pPr>
                    <w:jc w:val="center"/>
                    <w:rPr>
                      <w:szCs w:val="21"/>
                    </w:rPr>
                  </w:pPr>
                  <w:r>
                    <w:rPr>
                      <w:rFonts w:hint="eastAsia"/>
                      <w:szCs w:val="21"/>
                    </w:rPr>
                    <w:t>搅拌废气</w:t>
                  </w:r>
                </w:p>
              </w:tc>
              <w:tc>
                <w:tcPr>
                  <w:tcW w:w="2898" w:type="dxa"/>
                  <w:tcBorders>
                    <w:top w:val="single" w:color="auto" w:sz="12" w:space="0"/>
                  </w:tcBorders>
                  <w:vAlign w:val="center"/>
                </w:tcPr>
                <w:p w14:paraId="4975E19C">
                  <w:pPr>
                    <w:jc w:val="center"/>
                    <w:rPr>
                      <w:szCs w:val="21"/>
                    </w:rPr>
                  </w:pPr>
                  <w:r>
                    <w:rPr>
                      <w:rFonts w:hint="eastAsia"/>
                      <w:szCs w:val="21"/>
                    </w:rPr>
                    <w:t>颗粒物</w:t>
                  </w:r>
                </w:p>
              </w:tc>
            </w:tr>
            <w:tr w14:paraId="4F68C2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74" w:type="dxa"/>
                  <w:vMerge w:val="continue"/>
                  <w:vAlign w:val="center"/>
                </w:tcPr>
                <w:p w14:paraId="6D9596FB">
                  <w:pPr>
                    <w:jc w:val="center"/>
                    <w:rPr>
                      <w:szCs w:val="21"/>
                    </w:rPr>
                  </w:pPr>
                </w:p>
              </w:tc>
              <w:tc>
                <w:tcPr>
                  <w:tcW w:w="1800" w:type="dxa"/>
                  <w:vAlign w:val="center"/>
                </w:tcPr>
                <w:p w14:paraId="1ECE0E0D">
                  <w:pPr>
                    <w:jc w:val="center"/>
                    <w:rPr>
                      <w:szCs w:val="21"/>
                    </w:rPr>
                  </w:pPr>
                  <w:r>
                    <w:rPr>
                      <w:rFonts w:hint="eastAsia"/>
                      <w:szCs w:val="21"/>
                    </w:rPr>
                    <w:t>挤出成型</w:t>
                  </w:r>
                </w:p>
              </w:tc>
              <w:tc>
                <w:tcPr>
                  <w:tcW w:w="2407" w:type="dxa"/>
                  <w:vAlign w:val="center"/>
                </w:tcPr>
                <w:p w14:paraId="61FDCDBB">
                  <w:pPr>
                    <w:jc w:val="center"/>
                    <w:rPr>
                      <w:szCs w:val="21"/>
                    </w:rPr>
                  </w:pPr>
                  <w:r>
                    <w:rPr>
                      <w:rFonts w:hint="eastAsia"/>
                      <w:szCs w:val="21"/>
                    </w:rPr>
                    <w:t>挤出废气</w:t>
                  </w:r>
                </w:p>
              </w:tc>
              <w:tc>
                <w:tcPr>
                  <w:tcW w:w="2898" w:type="dxa"/>
                  <w:vAlign w:val="center"/>
                </w:tcPr>
                <w:p w14:paraId="60CA63EF">
                  <w:pPr>
                    <w:jc w:val="center"/>
                    <w:rPr>
                      <w:szCs w:val="21"/>
                    </w:rPr>
                  </w:pPr>
                  <w:r>
                    <w:rPr>
                      <w:rFonts w:hint="eastAsia"/>
                      <w:szCs w:val="21"/>
                    </w:rPr>
                    <w:t>非甲烷总烃、氯化氢</w:t>
                  </w:r>
                </w:p>
              </w:tc>
            </w:tr>
            <w:tr w14:paraId="1361A6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74" w:type="dxa"/>
                  <w:vMerge w:val="continue"/>
                  <w:vAlign w:val="center"/>
                </w:tcPr>
                <w:p w14:paraId="00F4100C">
                  <w:pPr>
                    <w:jc w:val="center"/>
                    <w:rPr>
                      <w:szCs w:val="21"/>
                    </w:rPr>
                  </w:pPr>
                </w:p>
              </w:tc>
              <w:tc>
                <w:tcPr>
                  <w:tcW w:w="1800" w:type="dxa"/>
                  <w:vAlign w:val="center"/>
                </w:tcPr>
                <w:p w14:paraId="2E1855AE">
                  <w:pPr>
                    <w:jc w:val="center"/>
                    <w:rPr>
                      <w:szCs w:val="21"/>
                    </w:rPr>
                  </w:pPr>
                  <w:r>
                    <w:rPr>
                      <w:rFonts w:hint="eastAsia"/>
                      <w:szCs w:val="21"/>
                    </w:rPr>
                    <w:t>破碎</w:t>
                  </w:r>
                </w:p>
              </w:tc>
              <w:tc>
                <w:tcPr>
                  <w:tcW w:w="2407" w:type="dxa"/>
                  <w:vAlign w:val="center"/>
                </w:tcPr>
                <w:p w14:paraId="769BCC53">
                  <w:pPr>
                    <w:jc w:val="center"/>
                    <w:rPr>
                      <w:szCs w:val="21"/>
                    </w:rPr>
                  </w:pPr>
                  <w:r>
                    <w:rPr>
                      <w:rFonts w:hint="eastAsia"/>
                      <w:szCs w:val="21"/>
                    </w:rPr>
                    <w:t>破碎废气</w:t>
                  </w:r>
                </w:p>
              </w:tc>
              <w:tc>
                <w:tcPr>
                  <w:tcW w:w="2898" w:type="dxa"/>
                  <w:vAlign w:val="center"/>
                </w:tcPr>
                <w:p w14:paraId="51FA88DF">
                  <w:pPr>
                    <w:jc w:val="center"/>
                    <w:rPr>
                      <w:szCs w:val="21"/>
                    </w:rPr>
                  </w:pPr>
                  <w:r>
                    <w:rPr>
                      <w:rFonts w:hint="eastAsia"/>
                      <w:szCs w:val="21"/>
                    </w:rPr>
                    <w:t>颗粒物</w:t>
                  </w:r>
                </w:p>
              </w:tc>
            </w:tr>
            <w:tr w14:paraId="3FF02A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vAlign w:val="center"/>
                </w:tcPr>
                <w:p w14:paraId="244B0337">
                  <w:pPr>
                    <w:jc w:val="center"/>
                    <w:rPr>
                      <w:szCs w:val="21"/>
                    </w:rPr>
                  </w:pPr>
                  <w:r>
                    <w:rPr>
                      <w:szCs w:val="21"/>
                    </w:rPr>
                    <w:t>废水</w:t>
                  </w:r>
                </w:p>
              </w:tc>
              <w:tc>
                <w:tcPr>
                  <w:tcW w:w="1800" w:type="dxa"/>
                  <w:vAlign w:val="center"/>
                </w:tcPr>
                <w:p w14:paraId="6CC71EC8">
                  <w:pPr>
                    <w:jc w:val="center"/>
                    <w:rPr>
                      <w:szCs w:val="21"/>
                    </w:rPr>
                  </w:pPr>
                  <w:r>
                    <w:rPr>
                      <w:rFonts w:hint="eastAsia"/>
                      <w:szCs w:val="21"/>
                    </w:rPr>
                    <w:t>冷却</w:t>
                  </w:r>
                </w:p>
              </w:tc>
              <w:tc>
                <w:tcPr>
                  <w:tcW w:w="2407" w:type="dxa"/>
                  <w:vAlign w:val="center"/>
                </w:tcPr>
                <w:p w14:paraId="2DF4DBA3">
                  <w:pPr>
                    <w:jc w:val="center"/>
                    <w:rPr>
                      <w:szCs w:val="21"/>
                    </w:rPr>
                  </w:pPr>
                  <w:r>
                    <w:rPr>
                      <w:rFonts w:hint="eastAsia"/>
                      <w:szCs w:val="21"/>
                    </w:rPr>
                    <w:t>冷却水</w:t>
                  </w:r>
                </w:p>
              </w:tc>
              <w:tc>
                <w:tcPr>
                  <w:tcW w:w="2898" w:type="dxa"/>
                  <w:vAlign w:val="center"/>
                </w:tcPr>
                <w:p w14:paraId="259AD528">
                  <w:pPr>
                    <w:jc w:val="center"/>
                    <w:rPr>
                      <w:szCs w:val="21"/>
                    </w:rPr>
                  </w:pPr>
                  <w:r>
                    <w:rPr>
                      <w:szCs w:val="21"/>
                    </w:rPr>
                    <w:t>/</w:t>
                  </w:r>
                </w:p>
              </w:tc>
            </w:tr>
            <w:tr w14:paraId="3E2D2D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4" w:type="dxa"/>
                  <w:vAlign w:val="center"/>
                </w:tcPr>
                <w:p w14:paraId="7B93FD2D">
                  <w:pPr>
                    <w:jc w:val="center"/>
                    <w:rPr>
                      <w:szCs w:val="21"/>
                    </w:rPr>
                  </w:pPr>
                  <w:r>
                    <w:rPr>
                      <w:rFonts w:hint="eastAsia"/>
                      <w:szCs w:val="21"/>
                    </w:rPr>
                    <w:t>固废</w:t>
                  </w:r>
                </w:p>
              </w:tc>
              <w:tc>
                <w:tcPr>
                  <w:tcW w:w="1800" w:type="dxa"/>
                  <w:vAlign w:val="center"/>
                </w:tcPr>
                <w:p w14:paraId="77649770">
                  <w:pPr>
                    <w:jc w:val="center"/>
                    <w:rPr>
                      <w:szCs w:val="21"/>
                    </w:rPr>
                  </w:pPr>
                  <w:r>
                    <w:rPr>
                      <w:rFonts w:hint="eastAsia"/>
                      <w:szCs w:val="21"/>
                    </w:rPr>
                    <w:t>切割</w:t>
                  </w:r>
                </w:p>
              </w:tc>
              <w:tc>
                <w:tcPr>
                  <w:tcW w:w="2407" w:type="dxa"/>
                </w:tcPr>
                <w:p w14:paraId="691299B3">
                  <w:pPr>
                    <w:jc w:val="center"/>
                    <w:rPr>
                      <w:szCs w:val="21"/>
                    </w:rPr>
                  </w:pPr>
                  <w:r>
                    <w:rPr>
                      <w:rFonts w:hint="eastAsia"/>
                      <w:szCs w:val="21"/>
                    </w:rPr>
                    <w:t>边角料、不合格品</w:t>
                  </w:r>
                </w:p>
              </w:tc>
              <w:tc>
                <w:tcPr>
                  <w:tcW w:w="2898" w:type="dxa"/>
                  <w:vAlign w:val="center"/>
                </w:tcPr>
                <w:p w14:paraId="099F452B">
                  <w:pPr>
                    <w:jc w:val="center"/>
                    <w:rPr>
                      <w:szCs w:val="21"/>
                    </w:rPr>
                  </w:pPr>
                  <w:r>
                    <w:rPr>
                      <w:rFonts w:hint="eastAsia"/>
                      <w:szCs w:val="21"/>
                    </w:rPr>
                    <w:t>边角料、不合格品</w:t>
                  </w:r>
                </w:p>
              </w:tc>
            </w:tr>
            <w:tr w14:paraId="2D3E6B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774" w:type="dxa"/>
                  <w:vAlign w:val="center"/>
                </w:tcPr>
                <w:p w14:paraId="663C5D5E">
                  <w:pPr>
                    <w:jc w:val="center"/>
                    <w:rPr>
                      <w:szCs w:val="21"/>
                    </w:rPr>
                  </w:pPr>
                  <w:r>
                    <w:rPr>
                      <w:rFonts w:hint="eastAsia"/>
                      <w:szCs w:val="21"/>
                    </w:rPr>
                    <w:t>噪声</w:t>
                  </w:r>
                </w:p>
              </w:tc>
              <w:tc>
                <w:tcPr>
                  <w:tcW w:w="0" w:type="auto"/>
                  <w:gridSpan w:val="3"/>
                  <w:vAlign w:val="center"/>
                </w:tcPr>
                <w:p w14:paraId="34D6BDDC">
                  <w:pPr>
                    <w:jc w:val="center"/>
                    <w:rPr>
                      <w:rFonts w:ascii="Calibri" w:hAnsi="Calibri"/>
                      <w:kern w:val="0"/>
                      <w:szCs w:val="21"/>
                    </w:rPr>
                  </w:pPr>
                  <w:r>
                    <w:rPr>
                      <w:rFonts w:hint="eastAsia" w:ascii="Calibri" w:hAnsi="Calibri"/>
                      <w:kern w:val="0"/>
                      <w:szCs w:val="21"/>
                    </w:rPr>
                    <w:t>生产过程中各类机械设备产生噪声</w:t>
                  </w:r>
                </w:p>
              </w:tc>
            </w:tr>
          </w:tbl>
          <w:p w14:paraId="4EA27769">
            <w:pPr>
              <w:pStyle w:val="55"/>
              <w:ind w:firstLine="480"/>
              <w:rPr>
                <w:color w:val="000000"/>
              </w:rPr>
            </w:pPr>
          </w:p>
        </w:tc>
      </w:tr>
      <w:tr w14:paraId="6AC42A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2D05CF3C">
            <w:pPr>
              <w:pStyle w:val="26"/>
              <w:adjustRightInd w:val="0"/>
              <w:snapToGrid w:val="0"/>
              <w:spacing w:before="0" w:beforeAutospacing="0" w:after="0" w:afterAutospacing="0"/>
              <w:jc w:val="center"/>
              <w:rPr>
                <w:rFonts w:cs="宋体"/>
                <w:color w:val="000000"/>
                <w:sz w:val="21"/>
                <w:szCs w:val="21"/>
              </w:rPr>
            </w:pPr>
            <w:r>
              <w:rPr>
                <w:rFonts w:hint="eastAsia" w:cs="宋体"/>
                <w:bCs/>
                <w:color w:val="000000"/>
                <w:kern w:val="2"/>
                <w:szCs w:val="24"/>
              </w:rPr>
              <w:t>与项目有关的原有环境污染问题</w:t>
            </w:r>
          </w:p>
        </w:tc>
        <w:tc>
          <w:tcPr>
            <w:tcW w:w="8161" w:type="dxa"/>
            <w:vAlign w:val="center"/>
          </w:tcPr>
          <w:p w14:paraId="52EC0025">
            <w:pPr>
              <w:pStyle w:val="3"/>
              <w:rPr>
                <w:sz w:val="24"/>
                <w:szCs w:val="24"/>
              </w:rPr>
            </w:pPr>
            <w:r>
              <w:rPr>
                <w:rFonts w:hint="eastAsia"/>
                <w:sz w:val="24"/>
                <w:szCs w:val="24"/>
              </w:rPr>
              <w:t>1</w:t>
            </w:r>
            <w:r>
              <w:rPr>
                <w:sz w:val="24"/>
                <w:szCs w:val="24"/>
              </w:rPr>
              <w:t>.</w:t>
            </w:r>
            <w:r>
              <w:rPr>
                <w:rFonts w:hint="eastAsia"/>
                <w:sz w:val="24"/>
                <w:szCs w:val="24"/>
              </w:rPr>
              <w:t>原有工程环保手续履行情况</w:t>
            </w:r>
          </w:p>
          <w:p w14:paraId="42CE72FE">
            <w:pPr>
              <w:spacing w:line="360" w:lineRule="auto"/>
              <w:ind w:firstLine="480" w:firstLineChars="200"/>
              <w:rPr>
                <w:sz w:val="24"/>
              </w:rPr>
            </w:pPr>
            <w:r>
              <w:rPr>
                <w:sz w:val="24"/>
              </w:rPr>
              <w:t>新疆宏鸟节水材料有限公司于2015年9月购置阜康苏通小微创业园土地，2016年4月18日开工建设，2017年1月15日投入运行。2016年1月28日，取得阜康市环境保护局《关于对新疆宏鸟节水材料有限公司（一期）年产3000吨PVC-C管材建设项目环境影响报告表的批复》，文号：阜环函[2016]9号。2019年10月19日，该项目完成竣工验收，并取得竣工环境保护验收意见。于2020年4月2日申请核发了排污许可证（91652302660648435P001W）。</w:t>
            </w:r>
          </w:p>
          <w:p w14:paraId="051E552A">
            <w:pPr>
              <w:pStyle w:val="3"/>
              <w:rPr>
                <w:sz w:val="24"/>
                <w:szCs w:val="24"/>
              </w:rPr>
            </w:pPr>
            <w:r>
              <w:rPr>
                <w:rFonts w:hint="eastAsia"/>
                <w:sz w:val="24"/>
                <w:szCs w:val="24"/>
              </w:rPr>
              <w:t>2</w:t>
            </w:r>
            <w:r>
              <w:rPr>
                <w:sz w:val="24"/>
                <w:szCs w:val="24"/>
              </w:rPr>
              <w:t>.</w:t>
            </w:r>
            <w:r>
              <w:rPr>
                <w:rFonts w:hint="eastAsia"/>
                <w:sz w:val="24"/>
                <w:szCs w:val="24"/>
              </w:rPr>
              <w:t>原有项目的污染排放情况</w:t>
            </w:r>
          </w:p>
          <w:p w14:paraId="77B5EC65">
            <w:pPr>
              <w:pStyle w:val="55"/>
              <w:ind w:firstLine="480"/>
            </w:pPr>
            <w:r>
              <w:rPr>
                <w:rFonts w:hint="eastAsia"/>
              </w:rPr>
              <w:t>原有项目验收范围为5条PVC-C管材生产线及其配套设施。通过对项目环境污染物的监测及现场调查，项目基本执行了环评及其批复提出的要求，落实了环评报告中提出的污染物防治措施，通过监测，各项环境污染物均达标 排放，具备环保竣工验收的条件。</w:t>
            </w:r>
          </w:p>
          <w:p w14:paraId="193ACB1E">
            <w:pPr>
              <w:pStyle w:val="55"/>
              <w:ind w:firstLine="480"/>
            </w:pPr>
            <w:r>
              <w:rPr>
                <w:rFonts w:hint="eastAsia"/>
              </w:rPr>
              <w:t>依据原有项目环评和批复要求以及现状调查情况，原有项目基本满足</w:t>
            </w:r>
            <w:r>
              <w:rPr>
                <w:rFonts w:hint="eastAsia"/>
                <w:lang w:val="zh-CN"/>
              </w:rPr>
              <w:t>“三同</w:t>
            </w:r>
            <w:r>
              <w:rPr>
                <w:rFonts w:hint="eastAsia"/>
              </w:rPr>
              <w:t>时”制度要求，环保措施基本到位。根据竣工环保验收报告以及现场勘查，原有项目运营期产生的主要污染物为：</w:t>
            </w:r>
          </w:p>
          <w:p w14:paraId="7F8EEB14">
            <w:pPr>
              <w:pStyle w:val="3"/>
              <w:rPr>
                <w:sz w:val="24"/>
                <w:szCs w:val="24"/>
              </w:rPr>
            </w:pPr>
            <w:r>
              <w:rPr>
                <w:rFonts w:hint="eastAsia"/>
                <w:sz w:val="24"/>
                <w:szCs w:val="24"/>
              </w:rPr>
              <w:t>2</w:t>
            </w:r>
            <w:r>
              <w:rPr>
                <w:sz w:val="24"/>
                <w:szCs w:val="24"/>
              </w:rPr>
              <w:t>.1</w:t>
            </w:r>
            <w:r>
              <w:rPr>
                <w:rFonts w:hint="eastAsia"/>
                <w:sz w:val="24"/>
                <w:szCs w:val="24"/>
              </w:rPr>
              <w:t>废气</w:t>
            </w:r>
          </w:p>
          <w:p w14:paraId="28DD4C69">
            <w:pPr>
              <w:pStyle w:val="55"/>
              <w:ind w:firstLine="480"/>
            </w:pPr>
            <w:r>
              <w:rPr>
                <w:rFonts w:hint="eastAsia"/>
              </w:rPr>
              <w:t>原有项目废气主要为有机废气、粉尘，有机废气经集气罩+活性炭吸附+UV光氧催化装置处理后于15米高排气筒排放；混料工序、挤出上料口序、磨粉破碎工序产生的粉尘分别经布袋除尘器处理后排放。</w:t>
            </w:r>
          </w:p>
          <w:p w14:paraId="4CC93295">
            <w:pPr>
              <w:pStyle w:val="55"/>
              <w:ind w:firstLine="480"/>
            </w:pPr>
            <w:r>
              <w:rPr>
                <w:rFonts w:hint="eastAsia"/>
              </w:rPr>
              <w:t>企业最近的自行监测数据中原有项目的非甲烷总烃排放速率为0.0</w:t>
            </w:r>
            <w:r>
              <w:t>748</w:t>
            </w:r>
            <w:r>
              <w:rPr>
                <w:rFonts w:hint="eastAsia"/>
              </w:rPr>
              <w:t>kg/h、排放浓度为</w:t>
            </w:r>
            <w:r>
              <w:t>52</w:t>
            </w:r>
            <w:r>
              <w:rPr>
                <w:rFonts w:hint="eastAsia"/>
              </w:rPr>
              <w:t>mg/m</w:t>
            </w:r>
            <w:r>
              <w:rPr>
                <w:rFonts w:hint="eastAsia"/>
                <w:vertAlign w:val="superscript"/>
              </w:rPr>
              <w:t>3</w:t>
            </w:r>
            <w:r>
              <w:rPr>
                <w:rFonts w:hint="eastAsia"/>
              </w:rPr>
              <w:t>（见附件）。根据自行监测数据核算出，非甲烷总烃有组织排放量为0</w:t>
            </w:r>
            <w:r>
              <w:t>.215</w:t>
            </w:r>
            <w:r>
              <w:rPr>
                <w:rFonts w:hint="eastAsia"/>
              </w:rPr>
              <w:t>t/a，总排放量为0</w:t>
            </w:r>
            <w:r>
              <w:t>.246</w:t>
            </w:r>
            <w:r>
              <w:rPr>
                <w:rFonts w:hint="eastAsia"/>
              </w:rPr>
              <w:t xml:space="preserve"> t/a。根据原有项目验收报告，颗粒物有组织排放量为0.177t/a，总排放量为</w:t>
            </w:r>
            <w:r>
              <w:t>0.57</w:t>
            </w:r>
            <w:r>
              <w:rPr>
                <w:rFonts w:hint="eastAsia"/>
              </w:rPr>
              <w:t xml:space="preserve"> t/a。排放浓度及排放速率均满足《合成树脂工业污染物排放标准》（GB31572-2015）表5相关要求。无组织监测的厂界外4个监控点位的颗粒物、非甲烷总烃排放浓度值均符合《合成树脂工业污染物排放标准》（GB31572-2015）表9排放限值要求。</w:t>
            </w:r>
          </w:p>
          <w:p w14:paraId="5DA6612F">
            <w:pPr>
              <w:pStyle w:val="3"/>
              <w:rPr>
                <w:sz w:val="24"/>
                <w:szCs w:val="24"/>
              </w:rPr>
            </w:pPr>
            <w:r>
              <w:rPr>
                <w:rFonts w:hint="eastAsia"/>
                <w:sz w:val="24"/>
                <w:szCs w:val="24"/>
              </w:rPr>
              <w:t>2.</w:t>
            </w:r>
            <w:r>
              <w:rPr>
                <w:sz w:val="24"/>
                <w:szCs w:val="24"/>
              </w:rPr>
              <w:t>2</w:t>
            </w:r>
            <w:r>
              <w:rPr>
                <w:rFonts w:hint="eastAsia"/>
                <w:sz w:val="24"/>
                <w:szCs w:val="24"/>
              </w:rPr>
              <w:t>废水</w:t>
            </w:r>
          </w:p>
          <w:p w14:paraId="52EB26DC">
            <w:pPr>
              <w:pStyle w:val="55"/>
              <w:ind w:firstLine="480"/>
            </w:pPr>
            <w:r>
              <w:rPr>
                <w:rFonts w:hint="eastAsia"/>
              </w:rPr>
              <w:t>原有项目生产冷却用水循环使用不外排，废水主要为生活污水，主要污染物因子为SS、CODcr、氨氮、动植物油等。废水排放量约为576t/a。排入园区管网。</w:t>
            </w:r>
          </w:p>
          <w:p w14:paraId="223E9725">
            <w:pPr>
              <w:pStyle w:val="3"/>
              <w:rPr>
                <w:sz w:val="24"/>
                <w:szCs w:val="24"/>
              </w:rPr>
            </w:pPr>
            <w:r>
              <w:rPr>
                <w:sz w:val="24"/>
                <w:szCs w:val="24"/>
              </w:rPr>
              <w:t>2.</w:t>
            </w:r>
            <w:r>
              <w:rPr>
                <w:rFonts w:hint="eastAsia"/>
                <w:sz w:val="24"/>
                <w:szCs w:val="24"/>
              </w:rPr>
              <w:t>3噪声</w:t>
            </w:r>
          </w:p>
          <w:p w14:paraId="56393C62">
            <w:pPr>
              <w:pStyle w:val="55"/>
              <w:ind w:firstLine="480"/>
            </w:pPr>
            <w:r>
              <w:rPr>
                <w:rFonts w:hint="eastAsia"/>
              </w:rPr>
              <w:t>原有项目噪声主要为混料机、切割机、破碎机、空压机、冷却机等生产设备产生的机械噪声，</w:t>
            </w:r>
            <w:r>
              <w:rPr>
                <w:rFonts w:hint="eastAsia"/>
                <w:lang w:eastAsia="zh-CN"/>
              </w:rPr>
              <w:t>采取</w:t>
            </w:r>
            <w:r>
              <w:rPr>
                <w:rFonts w:hint="eastAsia"/>
              </w:rPr>
              <w:t>基础减振、消音等措施，通过墙体隔音和距离衰减后排放。经监测：原有项目厂界外4个监测点昼间噪声值均满足《工业企业厂界环境噪声排放标准》(GB12348-2008)中3类标准要求。</w:t>
            </w:r>
          </w:p>
          <w:p w14:paraId="6CCE628D">
            <w:pPr>
              <w:pStyle w:val="3"/>
              <w:rPr>
                <w:sz w:val="24"/>
                <w:szCs w:val="24"/>
              </w:rPr>
            </w:pPr>
            <w:r>
              <w:rPr>
                <w:sz w:val="24"/>
                <w:szCs w:val="24"/>
              </w:rPr>
              <w:t>2.</w:t>
            </w:r>
            <w:r>
              <w:rPr>
                <w:rFonts w:hint="eastAsia"/>
                <w:sz w:val="24"/>
                <w:szCs w:val="24"/>
              </w:rPr>
              <w:t>4固废</w:t>
            </w:r>
          </w:p>
          <w:p w14:paraId="44A7AB17">
            <w:pPr>
              <w:pStyle w:val="55"/>
              <w:ind w:firstLine="480"/>
            </w:pPr>
            <w:r>
              <w:rPr>
                <w:rFonts w:hint="eastAsia"/>
              </w:rPr>
              <w:t>原有项目固体废弃物主要为边角料、不合格品、废机油、废活性炭和生活垃圾。根据原有项目验收报告表，项目切割工序边角料、不合格品产生量约3t/a，集中回收返回破碎工序再利用，不外排；废机油产生</w:t>
            </w:r>
            <w:r>
              <w:t>量为0.1t/a；废</w:t>
            </w:r>
            <w:r>
              <w:rPr>
                <w:rFonts w:hint="eastAsia"/>
              </w:rPr>
              <w:t>活性炭产生量约0.2t/a，暂存于危废暂存间，危险废物委托有资质单位（新疆克拉玛依沃森环保科技有限公司）定期进行处置。生活垃圾年产生量约7t/a，集中收集至垃圾箱定期由环卫部门清运。</w:t>
            </w:r>
          </w:p>
          <w:p w14:paraId="6F5B7289">
            <w:pPr>
              <w:pStyle w:val="3"/>
              <w:rPr>
                <w:sz w:val="24"/>
                <w:szCs w:val="24"/>
              </w:rPr>
            </w:pPr>
            <w:r>
              <w:rPr>
                <w:rFonts w:hint="eastAsia"/>
                <w:sz w:val="24"/>
                <w:szCs w:val="24"/>
              </w:rPr>
              <w:t>3</w:t>
            </w:r>
            <w:r>
              <w:rPr>
                <w:sz w:val="24"/>
                <w:szCs w:val="24"/>
              </w:rPr>
              <w:t>.</w:t>
            </w:r>
            <w:r>
              <w:rPr>
                <w:rFonts w:hint="eastAsia"/>
                <w:sz w:val="24"/>
                <w:szCs w:val="24"/>
              </w:rPr>
              <w:t>原有项目存在的问题及整改措施</w:t>
            </w:r>
          </w:p>
          <w:p w14:paraId="2245E22A">
            <w:pPr>
              <w:pStyle w:val="3"/>
              <w:rPr>
                <w:sz w:val="24"/>
                <w:szCs w:val="24"/>
              </w:rPr>
            </w:pPr>
            <w:r>
              <w:rPr>
                <w:sz w:val="24"/>
                <w:szCs w:val="24"/>
              </w:rPr>
              <w:t>3.1</w:t>
            </w:r>
            <w:r>
              <w:rPr>
                <w:rFonts w:hint="eastAsia"/>
                <w:sz w:val="24"/>
                <w:szCs w:val="24"/>
              </w:rPr>
              <w:t>原有项目环境问题</w:t>
            </w:r>
          </w:p>
          <w:p w14:paraId="6E022A6A">
            <w:pPr>
              <w:pStyle w:val="55"/>
              <w:ind w:firstLine="480"/>
              <w:rPr>
                <w:color w:val="FF0000"/>
              </w:rPr>
            </w:pPr>
            <w:r>
              <w:rPr>
                <w:rFonts w:hint="eastAsia"/>
              </w:rPr>
              <w:t>（1）未按照《排污单位环境管理台账及排污许可证执行报告技术规范总则（试行）（HJ944-2018）及相关环境管理要求建立健全环境管理台账。</w:t>
            </w:r>
          </w:p>
          <w:p w14:paraId="64221772">
            <w:pPr>
              <w:pStyle w:val="55"/>
              <w:ind w:firstLine="480"/>
            </w:pPr>
            <w:r>
              <w:rPr>
                <w:rFonts w:hint="eastAsia"/>
              </w:rPr>
              <w:t>（2）产生的危险废物未按照环境管理要求申报危险废物管理计划，危险废物处置协议已过期。</w:t>
            </w:r>
          </w:p>
          <w:p w14:paraId="0AEA62D5">
            <w:pPr>
              <w:pStyle w:val="55"/>
              <w:ind w:firstLine="480"/>
            </w:pPr>
            <w:r>
              <w:rPr>
                <w:rFonts w:hint="eastAsia"/>
              </w:rPr>
              <w:t>（3）危险废物贮存间所采取的污染防治措施未满足新修订的《危险废物贮存污染控制标准》（GB18597-2023）防渗要求。</w:t>
            </w:r>
          </w:p>
          <w:p w14:paraId="5CDE46DD">
            <w:pPr>
              <w:pStyle w:val="3"/>
              <w:rPr>
                <w:sz w:val="24"/>
                <w:szCs w:val="24"/>
              </w:rPr>
            </w:pPr>
            <w:r>
              <w:rPr>
                <w:rFonts w:hint="eastAsia"/>
                <w:sz w:val="24"/>
                <w:szCs w:val="24"/>
              </w:rPr>
              <w:t>3</w:t>
            </w:r>
            <w:r>
              <w:rPr>
                <w:sz w:val="24"/>
                <w:szCs w:val="24"/>
              </w:rPr>
              <w:t>.2</w:t>
            </w:r>
            <w:r>
              <w:rPr>
                <w:rFonts w:hint="eastAsia"/>
                <w:sz w:val="24"/>
                <w:szCs w:val="24"/>
              </w:rPr>
              <w:t>整改措施</w:t>
            </w:r>
          </w:p>
          <w:p w14:paraId="5651830C">
            <w:pPr>
              <w:pStyle w:val="55"/>
              <w:ind w:firstLine="480"/>
            </w:pPr>
            <w:r>
              <w:rPr>
                <w:rFonts w:hint="eastAsia"/>
              </w:rPr>
              <w:t>（1）根据《排污单位环境管理台账及排污许可证执行报告技术规范总则（试行）》 （HJ944-2018），落实各项环境管理要求台账记录，包括电子台账和纸质台账两种。环境管理台账记录内容包括生产设施基本信息、生产设施运行管理信息、污染防治设施运行管理信息、监测记录信息及其他环境管理信息等。</w:t>
            </w:r>
          </w:p>
          <w:p w14:paraId="101D3961">
            <w:pPr>
              <w:pStyle w:val="55"/>
              <w:ind w:firstLine="480"/>
            </w:pPr>
            <w:r>
              <w:rPr>
                <w:rFonts w:hint="eastAsia"/>
              </w:rPr>
              <w:t>（2）产生的危险废物应按照环境管理要求申报危险废物管理计划，危险废物处置协议需重新签订。</w:t>
            </w:r>
          </w:p>
          <w:p w14:paraId="4C2F05CB">
            <w:pPr>
              <w:pStyle w:val="55"/>
              <w:ind w:firstLine="480"/>
            </w:pPr>
            <w:r>
              <w:rPr>
                <w:rFonts w:hint="eastAsia"/>
              </w:rPr>
              <w:t>（3）危险废物贮存间应按《危险废物贮存污染控制标准》（GB18597-2023）的要求进行防渗建设。</w:t>
            </w:r>
          </w:p>
          <w:p w14:paraId="42FE287E">
            <w:pPr>
              <w:pStyle w:val="55"/>
              <w:ind w:firstLine="480"/>
            </w:pPr>
          </w:p>
          <w:p w14:paraId="2B644B42">
            <w:pPr>
              <w:pStyle w:val="55"/>
              <w:ind w:firstLine="480"/>
            </w:pPr>
          </w:p>
          <w:p w14:paraId="41A7E284">
            <w:pPr>
              <w:pStyle w:val="55"/>
              <w:ind w:firstLine="480"/>
            </w:pPr>
          </w:p>
          <w:p w14:paraId="60A9BCFD">
            <w:pPr>
              <w:pStyle w:val="55"/>
              <w:ind w:firstLine="480"/>
            </w:pPr>
          </w:p>
        </w:tc>
      </w:tr>
    </w:tbl>
    <w:p w14:paraId="2AA6BA09">
      <w:pPr>
        <w:pStyle w:val="26"/>
        <w:jc w:val="center"/>
        <w:outlineLvl w:val="0"/>
        <w:rPr>
          <w:rFonts w:ascii="黑体" w:hAnsi="黑体" w:eastAsia="黑体"/>
          <w:snapToGrid w:val="0"/>
          <w:color w:val="000000"/>
          <w:sz w:val="30"/>
          <w:szCs w:val="30"/>
        </w:rPr>
        <w:sectPr>
          <w:pgSz w:w="11907" w:h="16840"/>
          <w:pgMar w:top="1701" w:right="1531" w:bottom="2127" w:left="1531" w:header="851" w:footer="851" w:gutter="0"/>
          <w:cols w:space="720" w:num="1"/>
          <w:docGrid w:linePitch="312" w:charSpace="0"/>
        </w:sectPr>
      </w:pPr>
    </w:p>
    <w:p w14:paraId="554A81E2">
      <w:pPr>
        <w:pStyle w:val="26"/>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三、区域环境质量现状、环境保护目标及评价标准</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8597"/>
      </w:tblGrid>
      <w:tr w14:paraId="067C3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00" w:type="dxa"/>
            <w:vAlign w:val="center"/>
          </w:tcPr>
          <w:p w14:paraId="2665A235">
            <w:pPr>
              <w:adjustRightInd w:val="0"/>
              <w:snapToGrid w:val="0"/>
              <w:jc w:val="center"/>
              <w:rPr>
                <w:rFonts w:ascii="宋体" w:hAnsi="宋体" w:cs="宋体"/>
                <w:color w:val="000000"/>
                <w:kern w:val="0"/>
                <w:sz w:val="24"/>
              </w:rPr>
            </w:pPr>
            <w:r>
              <w:rPr>
                <w:rFonts w:hint="eastAsia" w:ascii="宋体" w:hAnsi="宋体" w:cs="宋体"/>
                <w:color w:val="000000"/>
                <w:kern w:val="0"/>
                <w:sz w:val="24"/>
              </w:rPr>
              <w:t>区域</w:t>
            </w:r>
          </w:p>
          <w:p w14:paraId="240C9356">
            <w:pPr>
              <w:adjustRightInd w:val="0"/>
              <w:snapToGrid w:val="0"/>
              <w:jc w:val="center"/>
              <w:rPr>
                <w:rFonts w:ascii="宋体" w:hAnsi="宋体" w:cs="宋体"/>
                <w:color w:val="000000"/>
                <w:kern w:val="0"/>
                <w:sz w:val="24"/>
              </w:rPr>
            </w:pPr>
            <w:r>
              <w:rPr>
                <w:rFonts w:hint="eastAsia" w:ascii="宋体" w:hAnsi="宋体" w:cs="宋体"/>
                <w:color w:val="000000"/>
                <w:kern w:val="0"/>
                <w:sz w:val="24"/>
              </w:rPr>
              <w:t>环境</w:t>
            </w:r>
          </w:p>
          <w:p w14:paraId="117D1A0B">
            <w:pPr>
              <w:adjustRightInd w:val="0"/>
              <w:snapToGrid w:val="0"/>
              <w:jc w:val="center"/>
              <w:rPr>
                <w:rFonts w:ascii="宋体" w:hAnsi="宋体" w:cs="宋体"/>
                <w:color w:val="000000"/>
                <w:kern w:val="0"/>
                <w:sz w:val="24"/>
              </w:rPr>
            </w:pPr>
            <w:r>
              <w:rPr>
                <w:rFonts w:hint="eastAsia" w:ascii="宋体" w:hAnsi="宋体" w:cs="宋体"/>
                <w:color w:val="000000"/>
                <w:kern w:val="0"/>
                <w:sz w:val="24"/>
              </w:rPr>
              <w:t>质量</w:t>
            </w:r>
          </w:p>
          <w:p w14:paraId="075CDCA2">
            <w:pPr>
              <w:adjustRightInd w:val="0"/>
              <w:snapToGrid w:val="0"/>
              <w:jc w:val="center"/>
              <w:rPr>
                <w:rFonts w:ascii="宋体" w:hAnsi="宋体" w:cs="宋体"/>
                <w:color w:val="000000"/>
                <w:kern w:val="0"/>
                <w:szCs w:val="21"/>
              </w:rPr>
            </w:pPr>
            <w:r>
              <w:rPr>
                <w:rFonts w:hint="eastAsia" w:ascii="宋体" w:hAnsi="宋体" w:cs="宋体"/>
                <w:color w:val="000000"/>
                <w:kern w:val="0"/>
                <w:sz w:val="24"/>
              </w:rPr>
              <w:t>现状</w:t>
            </w:r>
          </w:p>
        </w:tc>
        <w:tc>
          <w:tcPr>
            <w:tcW w:w="8190" w:type="dxa"/>
            <w:vAlign w:val="center"/>
          </w:tcPr>
          <w:p w14:paraId="1088F504">
            <w:pPr>
              <w:pStyle w:val="3"/>
              <w:rPr>
                <w:sz w:val="24"/>
              </w:rPr>
            </w:pPr>
            <w:r>
              <w:rPr>
                <w:rFonts w:hint="eastAsia"/>
                <w:sz w:val="24"/>
              </w:rPr>
              <w:t>1</w:t>
            </w:r>
            <w:r>
              <w:rPr>
                <w:sz w:val="24"/>
              </w:rPr>
              <w:t>.</w:t>
            </w:r>
            <w:r>
              <w:rPr>
                <w:rFonts w:hint="eastAsia"/>
                <w:sz w:val="24"/>
              </w:rPr>
              <w:t>大气环境质量现状</w:t>
            </w:r>
            <w:r>
              <w:rPr>
                <w:sz w:val="24"/>
              </w:rPr>
              <w:t>与评价</w:t>
            </w:r>
          </w:p>
          <w:p w14:paraId="712C5CD6">
            <w:pPr>
              <w:spacing w:line="360" w:lineRule="auto"/>
              <w:ind w:firstLine="480" w:firstLineChars="200"/>
            </w:pPr>
            <w:r>
              <w:rPr>
                <w:rFonts w:hint="eastAsia"/>
                <w:sz w:val="24"/>
              </w:rPr>
              <w:t>根据《环境影响评价技术导则</w:t>
            </w:r>
            <w:r>
              <w:rPr>
                <w:sz w:val="24"/>
              </w:rPr>
              <w:t>-</w:t>
            </w:r>
            <w:r>
              <w:rPr>
                <w:rFonts w:hint="eastAsia"/>
                <w:sz w:val="24"/>
              </w:rPr>
              <w:t>大气环境》（</w:t>
            </w:r>
            <w:r>
              <w:rPr>
                <w:sz w:val="24"/>
              </w:rPr>
              <w:t>H.J2.2-2018</w:t>
            </w:r>
            <w:r>
              <w:rPr>
                <w:rFonts w:hint="eastAsia"/>
                <w:sz w:val="24"/>
              </w:rPr>
              <w:t>）对环境质量现状数据的要求，本次评价选择《昌吉州2021年环境空气质量报告》阜康市</w:t>
            </w:r>
            <w:r>
              <w:rPr>
                <w:sz w:val="24"/>
              </w:rPr>
              <w:t>202</w:t>
            </w:r>
            <w:r>
              <w:rPr>
                <w:rFonts w:hint="eastAsia"/>
                <w:sz w:val="24"/>
              </w:rPr>
              <w:t>1年度环境空气质量情况，作为本项目环境空气现状评价基本污染物</w:t>
            </w:r>
            <w:r>
              <w:rPr>
                <w:sz w:val="24"/>
              </w:rPr>
              <w:t>SO</w:t>
            </w:r>
            <w:r>
              <w:rPr>
                <w:sz w:val="24"/>
                <w:vertAlign w:val="subscript"/>
              </w:rPr>
              <w:t>2</w:t>
            </w:r>
            <w:r>
              <w:rPr>
                <w:rFonts w:hint="eastAsia"/>
                <w:sz w:val="24"/>
              </w:rPr>
              <w:t>、</w:t>
            </w:r>
            <w:r>
              <w:rPr>
                <w:sz w:val="24"/>
              </w:rPr>
              <w:t>NO</w:t>
            </w:r>
            <w:r>
              <w:rPr>
                <w:sz w:val="24"/>
                <w:vertAlign w:val="subscript"/>
              </w:rPr>
              <w:t>2</w:t>
            </w:r>
            <w:r>
              <w:rPr>
                <w:rFonts w:hint="eastAsia"/>
                <w:sz w:val="24"/>
              </w:rPr>
              <w:t>、</w:t>
            </w:r>
            <w:r>
              <w:rPr>
                <w:sz w:val="24"/>
              </w:rPr>
              <w:t>PM</w:t>
            </w:r>
            <w:r>
              <w:rPr>
                <w:sz w:val="24"/>
                <w:vertAlign w:val="subscript"/>
              </w:rPr>
              <w:t>10</w:t>
            </w:r>
            <w:r>
              <w:rPr>
                <w:rFonts w:hint="eastAsia"/>
                <w:sz w:val="24"/>
              </w:rPr>
              <w:t>、</w:t>
            </w:r>
            <w:r>
              <w:rPr>
                <w:sz w:val="24"/>
              </w:rPr>
              <w:t>PM</w:t>
            </w:r>
            <w:r>
              <w:rPr>
                <w:sz w:val="24"/>
                <w:vertAlign w:val="subscript"/>
              </w:rPr>
              <w:t>2.5</w:t>
            </w:r>
            <w:r>
              <w:rPr>
                <w:rFonts w:hint="eastAsia"/>
                <w:sz w:val="24"/>
              </w:rPr>
              <w:t>、</w:t>
            </w:r>
            <w:r>
              <w:rPr>
                <w:sz w:val="24"/>
              </w:rPr>
              <w:t>CO</w:t>
            </w:r>
            <w:r>
              <w:rPr>
                <w:rFonts w:hint="eastAsia"/>
                <w:sz w:val="24"/>
              </w:rPr>
              <w:t>和</w:t>
            </w:r>
            <w:r>
              <w:rPr>
                <w:sz w:val="24"/>
              </w:rPr>
              <w:t>O</w:t>
            </w:r>
            <w:r>
              <w:rPr>
                <w:sz w:val="24"/>
                <w:vertAlign w:val="subscript"/>
              </w:rPr>
              <w:t>3</w:t>
            </w:r>
            <w:r>
              <w:rPr>
                <w:rFonts w:hint="eastAsia"/>
                <w:sz w:val="24"/>
              </w:rPr>
              <w:t>的数据来源。</w:t>
            </w:r>
          </w:p>
          <w:p w14:paraId="4DF27B65">
            <w:pPr>
              <w:spacing w:line="360" w:lineRule="auto"/>
              <w:ind w:firstLine="480" w:firstLineChars="200"/>
              <w:rPr>
                <w:sz w:val="24"/>
              </w:rPr>
            </w:pPr>
            <w:r>
              <w:rPr>
                <w:rFonts w:hint="eastAsia"/>
                <w:sz w:val="24"/>
              </w:rPr>
              <w:t>（1）评价标准</w:t>
            </w:r>
          </w:p>
          <w:p w14:paraId="6A74C30E">
            <w:pPr>
              <w:pStyle w:val="51"/>
              <w:spacing w:line="360" w:lineRule="auto"/>
              <w:ind w:firstLine="480"/>
              <w:jc w:val="both"/>
              <w:rPr>
                <w:szCs w:val="32"/>
              </w:rPr>
            </w:pPr>
            <w:r>
              <w:rPr>
                <w:szCs w:val="32"/>
              </w:rPr>
              <w:t>根据本项目所在区域的环境功能区划，</w:t>
            </w:r>
            <w:r>
              <w:rPr>
                <w:szCs w:val="24"/>
              </w:rPr>
              <w:t>基本污染物SO</w:t>
            </w:r>
            <w:r>
              <w:rPr>
                <w:szCs w:val="24"/>
                <w:vertAlign w:val="subscript"/>
              </w:rPr>
              <w:t>2</w:t>
            </w:r>
            <w:r>
              <w:rPr>
                <w:szCs w:val="24"/>
              </w:rPr>
              <w:t>、NO</w:t>
            </w:r>
            <w:r>
              <w:rPr>
                <w:szCs w:val="24"/>
                <w:vertAlign w:val="subscript"/>
              </w:rPr>
              <w:t>2</w:t>
            </w:r>
            <w:r>
              <w:rPr>
                <w:szCs w:val="24"/>
              </w:rPr>
              <w:t>、PM</w:t>
            </w:r>
            <w:r>
              <w:rPr>
                <w:szCs w:val="24"/>
                <w:vertAlign w:val="subscript"/>
              </w:rPr>
              <w:t>10</w:t>
            </w:r>
            <w:r>
              <w:rPr>
                <w:szCs w:val="24"/>
              </w:rPr>
              <w:t>、PM</w:t>
            </w:r>
            <w:r>
              <w:rPr>
                <w:szCs w:val="24"/>
                <w:vertAlign w:val="subscript"/>
              </w:rPr>
              <w:t>2.5</w:t>
            </w:r>
            <w:r>
              <w:rPr>
                <w:szCs w:val="24"/>
              </w:rPr>
              <w:t>、CO、O</w:t>
            </w:r>
            <w:r>
              <w:rPr>
                <w:szCs w:val="24"/>
                <w:vertAlign w:val="subscript"/>
              </w:rPr>
              <w:t>3</w:t>
            </w:r>
            <w:r>
              <w:rPr>
                <w:szCs w:val="32"/>
              </w:rPr>
              <w:t>执行《环境空气质量标准》（GB3095</w:t>
            </w:r>
            <w:r>
              <w:rPr>
                <w:rFonts w:hint="eastAsia"/>
                <w:szCs w:val="32"/>
              </w:rPr>
              <w:t>-</w:t>
            </w:r>
            <w:r>
              <w:rPr>
                <w:szCs w:val="32"/>
              </w:rPr>
              <w:t>2012）中的二级标准。</w:t>
            </w:r>
          </w:p>
          <w:p w14:paraId="1C6BE979">
            <w:pPr>
              <w:spacing w:line="360" w:lineRule="auto"/>
              <w:ind w:firstLine="480" w:firstLineChars="200"/>
              <w:rPr>
                <w:sz w:val="24"/>
              </w:rPr>
            </w:pPr>
            <w:r>
              <w:rPr>
                <w:rFonts w:hint="eastAsia"/>
                <w:sz w:val="24"/>
              </w:rPr>
              <w:t>（2）评价方法</w:t>
            </w:r>
          </w:p>
          <w:p w14:paraId="72E88452">
            <w:pPr>
              <w:pStyle w:val="51"/>
              <w:spacing w:line="360" w:lineRule="auto"/>
              <w:ind w:firstLine="480"/>
              <w:jc w:val="both"/>
              <w:rPr>
                <w:szCs w:val="32"/>
              </w:rPr>
            </w:pPr>
            <w:r>
              <w:rPr>
                <w:rFonts w:hint="eastAsia"/>
                <w:szCs w:val="32"/>
              </w:rPr>
              <w:t>基本污染物按照《环境空气质量评价技术规范（试行）》（HJ663-2013）中各评价项目的年评价指标进行判定。年评价指标中的年均浓度和相应百分位数24h平均或8h平均质量浓度满足GB3095</w:t>
            </w:r>
            <w:r>
              <w:rPr>
                <w:szCs w:val="32"/>
              </w:rPr>
              <w:t>-2012</w:t>
            </w:r>
            <w:r>
              <w:rPr>
                <w:rFonts w:hint="eastAsia"/>
                <w:szCs w:val="32"/>
              </w:rPr>
              <w:t>中浓度限值要求的即为达标。对于超标的污染物，计算其超标倍数和超标率。</w:t>
            </w:r>
          </w:p>
          <w:p w14:paraId="5D2934EC">
            <w:pPr>
              <w:spacing w:line="360" w:lineRule="auto"/>
              <w:ind w:firstLine="480" w:firstLineChars="200"/>
              <w:rPr>
                <w:kern w:val="0"/>
                <w:sz w:val="24"/>
              </w:rPr>
            </w:pPr>
            <w:r>
              <w:rPr>
                <w:rFonts w:hint="eastAsia"/>
                <w:kern w:val="0"/>
                <w:sz w:val="24"/>
              </w:rPr>
              <w:t>计算公式</w:t>
            </w:r>
            <w:r>
              <w:rPr>
                <w:kern w:val="0"/>
                <w:sz w:val="24"/>
              </w:rPr>
              <w:t>：</w:t>
            </w:r>
          </w:p>
          <w:p w14:paraId="10E03ABF">
            <w:pPr>
              <w:spacing w:line="360" w:lineRule="auto"/>
              <w:ind w:firstLine="480" w:firstLineChars="200"/>
              <w:jc w:val="center"/>
              <w:rPr>
                <w:kern w:val="0"/>
                <w:sz w:val="24"/>
              </w:rPr>
            </w:pPr>
            <w:r>
              <w:rPr>
                <w:kern w:val="0"/>
                <w:sz w:val="24"/>
              </w:rPr>
              <w:t>P</w:t>
            </w:r>
            <w:r>
              <w:rPr>
                <w:kern w:val="0"/>
                <w:sz w:val="24"/>
                <w:vertAlign w:val="subscript"/>
              </w:rPr>
              <w:t>i</w:t>
            </w:r>
            <w:r>
              <w:rPr>
                <w:kern w:val="0"/>
                <w:sz w:val="24"/>
              </w:rPr>
              <w:t>=C</w:t>
            </w:r>
            <w:r>
              <w:rPr>
                <w:kern w:val="0"/>
                <w:sz w:val="24"/>
                <w:vertAlign w:val="subscript"/>
              </w:rPr>
              <w:t>i</w:t>
            </w:r>
            <w:r>
              <w:rPr>
                <w:kern w:val="0"/>
                <w:sz w:val="24"/>
              </w:rPr>
              <w:t>/C</w:t>
            </w:r>
            <w:r>
              <w:rPr>
                <w:kern w:val="0"/>
                <w:sz w:val="24"/>
                <w:vertAlign w:val="subscript"/>
              </w:rPr>
              <w:t>oi</w:t>
            </w:r>
            <w:r>
              <w:rPr>
                <w:kern w:val="0"/>
                <w:sz w:val="24"/>
              </w:rPr>
              <w:t>×100%</w:t>
            </w:r>
          </w:p>
          <w:p w14:paraId="053A7247">
            <w:pPr>
              <w:spacing w:line="360" w:lineRule="auto"/>
              <w:ind w:firstLine="720" w:firstLineChars="300"/>
              <w:rPr>
                <w:kern w:val="0"/>
                <w:sz w:val="24"/>
              </w:rPr>
            </w:pPr>
            <w:r>
              <w:rPr>
                <w:kern w:val="0"/>
                <w:sz w:val="24"/>
              </w:rPr>
              <w:t>其中：P</w:t>
            </w:r>
            <w:r>
              <w:rPr>
                <w:kern w:val="0"/>
                <w:sz w:val="24"/>
                <w:vertAlign w:val="subscript"/>
              </w:rPr>
              <w:t>i</w:t>
            </w:r>
            <w:r>
              <w:rPr>
                <w:rFonts w:hint="eastAsia"/>
                <w:kern w:val="0"/>
                <w:sz w:val="24"/>
              </w:rPr>
              <w:t>--</w:t>
            </w:r>
            <w:r>
              <w:rPr>
                <w:kern w:val="0"/>
                <w:sz w:val="24"/>
              </w:rPr>
              <w:t>污染物i的地面空气质量浓度占标率，%；</w:t>
            </w:r>
          </w:p>
          <w:p w14:paraId="2E3ECCCF">
            <w:pPr>
              <w:spacing w:line="360" w:lineRule="auto"/>
              <w:ind w:firstLine="1440" w:firstLineChars="600"/>
              <w:rPr>
                <w:kern w:val="0"/>
                <w:sz w:val="24"/>
              </w:rPr>
            </w:pPr>
            <w:r>
              <w:rPr>
                <w:kern w:val="0"/>
                <w:sz w:val="24"/>
              </w:rPr>
              <w:t>C</w:t>
            </w:r>
            <w:r>
              <w:rPr>
                <w:kern w:val="0"/>
                <w:sz w:val="24"/>
                <w:vertAlign w:val="subscript"/>
              </w:rPr>
              <w:t>i</w:t>
            </w:r>
            <w:r>
              <w:rPr>
                <w:rFonts w:hint="eastAsia"/>
                <w:kern w:val="0"/>
                <w:sz w:val="24"/>
              </w:rPr>
              <w:t>--</w:t>
            </w:r>
            <w:r>
              <w:rPr>
                <w:kern w:val="0"/>
                <w:sz w:val="24"/>
              </w:rPr>
              <w:t>基本污染物i的地面空气质量浓度，μg/m</w:t>
            </w:r>
            <w:r>
              <w:rPr>
                <w:kern w:val="0"/>
                <w:sz w:val="24"/>
                <w:vertAlign w:val="superscript"/>
              </w:rPr>
              <w:t>3</w:t>
            </w:r>
            <w:r>
              <w:rPr>
                <w:kern w:val="0"/>
                <w:sz w:val="24"/>
              </w:rPr>
              <w:t xml:space="preserve">； </w:t>
            </w:r>
          </w:p>
          <w:p w14:paraId="3A43F1D3">
            <w:pPr>
              <w:spacing w:line="360" w:lineRule="auto"/>
              <w:ind w:firstLine="1440" w:firstLineChars="600"/>
              <w:rPr>
                <w:rFonts w:cs="宋体"/>
                <w:sz w:val="24"/>
                <w:szCs w:val="32"/>
              </w:rPr>
            </w:pPr>
            <w:r>
              <w:rPr>
                <w:kern w:val="0"/>
                <w:sz w:val="24"/>
              </w:rPr>
              <w:t>C</w:t>
            </w:r>
            <w:r>
              <w:rPr>
                <w:rFonts w:hint="eastAsia"/>
                <w:kern w:val="0"/>
                <w:sz w:val="24"/>
                <w:vertAlign w:val="subscript"/>
              </w:rPr>
              <w:t>o</w:t>
            </w:r>
            <w:r>
              <w:rPr>
                <w:kern w:val="0"/>
                <w:sz w:val="24"/>
                <w:vertAlign w:val="subscript"/>
              </w:rPr>
              <w:t>i</w:t>
            </w:r>
            <w:r>
              <w:rPr>
                <w:rFonts w:hint="eastAsia"/>
                <w:kern w:val="0"/>
                <w:sz w:val="24"/>
              </w:rPr>
              <w:t>--</w:t>
            </w:r>
            <w:r>
              <w:rPr>
                <w:kern w:val="0"/>
                <w:sz w:val="24"/>
              </w:rPr>
              <w:t>基本污染物i的环境空气质量浓度标准，μg/m</w:t>
            </w:r>
            <w:r>
              <w:rPr>
                <w:kern w:val="0"/>
                <w:sz w:val="24"/>
                <w:vertAlign w:val="superscript"/>
              </w:rPr>
              <w:t>3</w:t>
            </w:r>
            <w:r>
              <w:rPr>
                <w:kern w:val="0"/>
                <w:sz w:val="24"/>
              </w:rPr>
              <w:t>。</w:t>
            </w:r>
          </w:p>
          <w:p w14:paraId="5BA0F036">
            <w:pPr>
              <w:spacing w:line="360" w:lineRule="auto"/>
              <w:ind w:firstLine="480" w:firstLineChars="200"/>
              <w:rPr>
                <w:sz w:val="24"/>
              </w:rPr>
            </w:pPr>
            <w:r>
              <w:rPr>
                <w:rFonts w:hint="eastAsia"/>
                <w:sz w:val="24"/>
              </w:rPr>
              <w:t>（</w:t>
            </w:r>
            <w:r>
              <w:rPr>
                <w:sz w:val="24"/>
              </w:rPr>
              <w:t>3</w:t>
            </w:r>
            <w:r>
              <w:rPr>
                <w:rFonts w:hint="eastAsia"/>
                <w:sz w:val="24"/>
              </w:rPr>
              <w:t>）</w:t>
            </w:r>
            <w:r>
              <w:rPr>
                <w:sz w:val="24"/>
              </w:rPr>
              <w:t>空气质量达标区判定</w:t>
            </w:r>
          </w:p>
          <w:p w14:paraId="482C292C">
            <w:pPr>
              <w:widowControl/>
              <w:spacing w:line="360" w:lineRule="auto"/>
              <w:ind w:firstLine="480" w:firstLineChars="200"/>
              <w:jc w:val="left"/>
              <w:rPr>
                <w:sz w:val="24"/>
              </w:rPr>
            </w:pPr>
            <w:r>
              <w:rPr>
                <w:kern w:val="0"/>
                <w:sz w:val="24"/>
                <w:lang w:bidi="ar"/>
              </w:rPr>
              <w:t>本项目评价标准执行《环境空气质量标准》（GB3095-2012）中二级标准，达标判定结果见表3-</w:t>
            </w:r>
            <w:r>
              <w:rPr>
                <w:rFonts w:hint="eastAsia"/>
                <w:kern w:val="0"/>
                <w:sz w:val="24"/>
                <w:lang w:bidi="ar"/>
              </w:rPr>
              <w:t>1</w:t>
            </w:r>
            <w:r>
              <w:rPr>
                <w:kern w:val="0"/>
                <w:sz w:val="24"/>
                <w:lang w:bidi="ar"/>
              </w:rPr>
              <w:t>。</w:t>
            </w:r>
          </w:p>
          <w:p w14:paraId="613469DA">
            <w:pPr>
              <w:ind w:firstLine="422" w:firstLineChars="200"/>
              <w:jc w:val="center"/>
              <w:rPr>
                <w:b/>
                <w:bCs/>
                <w:sz w:val="24"/>
                <w:szCs w:val="21"/>
              </w:rPr>
            </w:pPr>
            <w:r>
              <w:rPr>
                <w:b/>
                <w:bCs/>
                <w:szCs w:val="21"/>
              </w:rPr>
              <w:t>表</w:t>
            </w:r>
            <w:r>
              <w:rPr>
                <w:rFonts w:hint="eastAsia"/>
                <w:b/>
                <w:bCs/>
                <w:szCs w:val="21"/>
              </w:rPr>
              <w:t>3</w:t>
            </w:r>
            <w:r>
              <w:rPr>
                <w:b/>
                <w:bCs/>
                <w:szCs w:val="21"/>
              </w:rPr>
              <w:t>-</w:t>
            </w:r>
            <w:r>
              <w:rPr>
                <w:rFonts w:hint="eastAsia"/>
                <w:b/>
                <w:bCs/>
                <w:szCs w:val="21"/>
              </w:rPr>
              <w:t>1</w:t>
            </w:r>
            <w:r>
              <w:rPr>
                <w:b/>
                <w:bCs/>
                <w:szCs w:val="21"/>
              </w:rPr>
              <w:t xml:space="preserve">  </w:t>
            </w:r>
            <w:r>
              <w:rPr>
                <w:rFonts w:hint="eastAsia"/>
                <w:b/>
                <w:bCs/>
                <w:szCs w:val="21"/>
              </w:rPr>
              <w:t xml:space="preserve"> </w:t>
            </w:r>
            <w:r>
              <w:rPr>
                <w:b/>
                <w:bCs/>
                <w:szCs w:val="21"/>
              </w:rPr>
              <w:t xml:space="preserve"> 大气环境质量及评价结果一览表</w:t>
            </w:r>
          </w:p>
          <w:tbl>
            <w:tblPr>
              <w:tblStyle w:val="30"/>
              <w:tblW w:w="81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2663"/>
              <w:gridCol w:w="1371"/>
              <w:gridCol w:w="1097"/>
              <w:gridCol w:w="1237"/>
              <w:gridCol w:w="654"/>
            </w:tblGrid>
            <w:tr w14:paraId="2813FC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57" w:type="dxa"/>
                  <w:tcBorders>
                    <w:bottom w:val="single" w:color="auto" w:sz="12" w:space="0"/>
                  </w:tcBorders>
                  <w:shd w:val="clear" w:color="auto" w:fill="auto"/>
                  <w:vAlign w:val="center"/>
                </w:tcPr>
                <w:p w14:paraId="32CDCD7A">
                  <w:pPr>
                    <w:widowControl/>
                    <w:jc w:val="center"/>
                    <w:rPr>
                      <w:b/>
                      <w:bCs/>
                      <w:szCs w:val="21"/>
                    </w:rPr>
                  </w:pPr>
                  <w:r>
                    <w:rPr>
                      <w:b/>
                      <w:bCs/>
                      <w:kern w:val="0"/>
                      <w:szCs w:val="21"/>
                      <w:lang w:bidi="ar"/>
                    </w:rPr>
                    <w:t>评价因子</w:t>
                  </w:r>
                </w:p>
              </w:tc>
              <w:tc>
                <w:tcPr>
                  <w:tcW w:w="2663" w:type="dxa"/>
                  <w:tcBorders>
                    <w:bottom w:val="single" w:color="auto" w:sz="12" w:space="0"/>
                  </w:tcBorders>
                  <w:shd w:val="clear" w:color="auto" w:fill="auto"/>
                  <w:vAlign w:val="center"/>
                </w:tcPr>
                <w:p w14:paraId="1C508FC6">
                  <w:pPr>
                    <w:widowControl/>
                    <w:jc w:val="center"/>
                    <w:rPr>
                      <w:b/>
                      <w:bCs/>
                      <w:szCs w:val="21"/>
                    </w:rPr>
                  </w:pPr>
                  <w:r>
                    <w:rPr>
                      <w:b/>
                      <w:bCs/>
                      <w:szCs w:val="21"/>
                    </w:rPr>
                    <w:t>评价指标</w:t>
                  </w:r>
                </w:p>
              </w:tc>
              <w:tc>
                <w:tcPr>
                  <w:tcW w:w="1371" w:type="dxa"/>
                  <w:tcBorders>
                    <w:bottom w:val="single" w:color="auto" w:sz="12" w:space="0"/>
                  </w:tcBorders>
                  <w:shd w:val="clear" w:color="auto" w:fill="auto"/>
                  <w:vAlign w:val="center"/>
                </w:tcPr>
                <w:p w14:paraId="59A85939">
                  <w:pPr>
                    <w:jc w:val="center"/>
                    <w:rPr>
                      <w:b/>
                      <w:bCs/>
                      <w:szCs w:val="21"/>
                    </w:rPr>
                  </w:pPr>
                  <w:r>
                    <w:rPr>
                      <w:b/>
                      <w:bCs/>
                      <w:kern w:val="0"/>
                      <w:szCs w:val="21"/>
                      <w:lang w:bidi="ar"/>
                    </w:rPr>
                    <w:t>现状浓度(μg/m</w:t>
                  </w:r>
                  <w:r>
                    <w:rPr>
                      <w:b/>
                      <w:bCs/>
                      <w:kern w:val="0"/>
                      <w:szCs w:val="21"/>
                      <w:vertAlign w:val="superscript"/>
                      <w:lang w:bidi="ar"/>
                    </w:rPr>
                    <w:t>3</w:t>
                  </w:r>
                  <w:r>
                    <w:rPr>
                      <w:b/>
                      <w:bCs/>
                      <w:kern w:val="0"/>
                      <w:szCs w:val="21"/>
                      <w:lang w:bidi="ar"/>
                    </w:rPr>
                    <w:t>)</w:t>
                  </w:r>
                </w:p>
              </w:tc>
              <w:tc>
                <w:tcPr>
                  <w:tcW w:w="1097" w:type="dxa"/>
                  <w:tcBorders>
                    <w:bottom w:val="single" w:color="auto" w:sz="12" w:space="0"/>
                  </w:tcBorders>
                  <w:shd w:val="clear" w:color="auto" w:fill="auto"/>
                  <w:vAlign w:val="center"/>
                </w:tcPr>
                <w:p w14:paraId="2A73C5B0">
                  <w:pPr>
                    <w:widowControl/>
                    <w:jc w:val="center"/>
                    <w:rPr>
                      <w:b/>
                      <w:bCs/>
                      <w:szCs w:val="21"/>
                    </w:rPr>
                  </w:pPr>
                  <w:r>
                    <w:rPr>
                      <w:b/>
                      <w:bCs/>
                      <w:kern w:val="0"/>
                      <w:szCs w:val="21"/>
                      <w:lang w:bidi="ar"/>
                    </w:rPr>
                    <w:t>评价标准(μg/m</w:t>
                  </w:r>
                  <w:r>
                    <w:rPr>
                      <w:b/>
                      <w:bCs/>
                      <w:kern w:val="0"/>
                      <w:szCs w:val="21"/>
                      <w:vertAlign w:val="superscript"/>
                      <w:lang w:bidi="ar"/>
                    </w:rPr>
                    <w:t>3</w:t>
                  </w:r>
                  <w:r>
                    <w:rPr>
                      <w:b/>
                      <w:bCs/>
                      <w:kern w:val="0"/>
                      <w:szCs w:val="21"/>
                      <w:lang w:bidi="ar"/>
                    </w:rPr>
                    <w:t>)</w:t>
                  </w:r>
                </w:p>
              </w:tc>
              <w:tc>
                <w:tcPr>
                  <w:tcW w:w="1237" w:type="dxa"/>
                  <w:tcBorders>
                    <w:bottom w:val="single" w:color="auto" w:sz="12" w:space="0"/>
                  </w:tcBorders>
                  <w:shd w:val="clear" w:color="auto" w:fill="auto"/>
                  <w:vAlign w:val="center"/>
                </w:tcPr>
                <w:p w14:paraId="3673AC95">
                  <w:pPr>
                    <w:widowControl/>
                    <w:jc w:val="center"/>
                    <w:rPr>
                      <w:b/>
                      <w:bCs/>
                      <w:szCs w:val="21"/>
                    </w:rPr>
                  </w:pPr>
                  <w:r>
                    <w:rPr>
                      <w:b/>
                      <w:bCs/>
                      <w:kern w:val="0"/>
                      <w:szCs w:val="21"/>
                      <w:lang w:bidi="ar"/>
                    </w:rPr>
                    <w:t>占标率（%）</w:t>
                  </w:r>
                </w:p>
              </w:tc>
              <w:tc>
                <w:tcPr>
                  <w:tcW w:w="654" w:type="dxa"/>
                  <w:tcBorders>
                    <w:bottom w:val="single" w:color="auto" w:sz="12" w:space="0"/>
                  </w:tcBorders>
                  <w:shd w:val="clear" w:color="auto" w:fill="auto"/>
                  <w:vAlign w:val="center"/>
                </w:tcPr>
                <w:p w14:paraId="0EB09A16">
                  <w:pPr>
                    <w:widowControl/>
                    <w:jc w:val="center"/>
                    <w:rPr>
                      <w:b/>
                      <w:bCs/>
                      <w:szCs w:val="21"/>
                    </w:rPr>
                  </w:pPr>
                  <w:r>
                    <w:rPr>
                      <w:b/>
                      <w:bCs/>
                      <w:kern w:val="0"/>
                      <w:szCs w:val="21"/>
                      <w:lang w:bidi="ar"/>
                    </w:rPr>
                    <w:t>达标情况</w:t>
                  </w:r>
                </w:p>
              </w:tc>
            </w:tr>
            <w:tr w14:paraId="2CD89C4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57" w:type="dxa"/>
                  <w:tcBorders>
                    <w:tl2br w:val="nil"/>
                    <w:tr2bl w:val="nil"/>
                  </w:tcBorders>
                  <w:shd w:val="clear" w:color="auto" w:fill="auto"/>
                  <w:vAlign w:val="center"/>
                </w:tcPr>
                <w:p w14:paraId="21BE67C6">
                  <w:pPr>
                    <w:widowControl/>
                    <w:jc w:val="center"/>
                    <w:rPr>
                      <w:szCs w:val="21"/>
                    </w:rPr>
                  </w:pPr>
                  <w:r>
                    <w:rPr>
                      <w:rFonts w:hint="eastAsia"/>
                      <w:szCs w:val="21"/>
                    </w:rPr>
                    <w:t>SO</w:t>
                  </w:r>
                  <w:r>
                    <w:rPr>
                      <w:rFonts w:hint="eastAsia"/>
                      <w:szCs w:val="21"/>
                      <w:vertAlign w:val="subscript"/>
                    </w:rPr>
                    <w:t>2</w:t>
                  </w:r>
                </w:p>
              </w:tc>
              <w:tc>
                <w:tcPr>
                  <w:tcW w:w="2663" w:type="dxa"/>
                  <w:tcBorders>
                    <w:tl2br w:val="nil"/>
                    <w:tr2bl w:val="nil"/>
                  </w:tcBorders>
                  <w:shd w:val="clear" w:color="auto" w:fill="auto"/>
                  <w:vAlign w:val="center"/>
                </w:tcPr>
                <w:p w14:paraId="209FE276">
                  <w:pPr>
                    <w:widowControl/>
                    <w:jc w:val="center"/>
                    <w:rPr>
                      <w:szCs w:val="21"/>
                    </w:rPr>
                  </w:pPr>
                  <w:r>
                    <w:rPr>
                      <w:rFonts w:hint="eastAsia" w:ascii="宋体" w:hAnsi="宋体" w:cs="宋体"/>
                      <w:kern w:val="0"/>
                      <w:szCs w:val="21"/>
                      <w:lang w:bidi="ar"/>
                    </w:rPr>
                    <w:t>年平均浓度</w:t>
                  </w:r>
                </w:p>
              </w:tc>
              <w:tc>
                <w:tcPr>
                  <w:tcW w:w="1371" w:type="dxa"/>
                  <w:tcBorders>
                    <w:tl2br w:val="nil"/>
                    <w:tr2bl w:val="nil"/>
                  </w:tcBorders>
                  <w:shd w:val="clear" w:color="auto" w:fill="auto"/>
                  <w:vAlign w:val="center"/>
                </w:tcPr>
                <w:p w14:paraId="30BF7FF1">
                  <w:pPr>
                    <w:widowControl/>
                    <w:jc w:val="center"/>
                    <w:rPr>
                      <w:szCs w:val="21"/>
                    </w:rPr>
                  </w:pPr>
                  <w:r>
                    <w:rPr>
                      <w:rFonts w:hint="eastAsia"/>
                      <w:szCs w:val="21"/>
                    </w:rPr>
                    <w:t>9</w:t>
                  </w:r>
                </w:p>
              </w:tc>
              <w:tc>
                <w:tcPr>
                  <w:tcW w:w="1097" w:type="dxa"/>
                  <w:tcBorders>
                    <w:tl2br w:val="nil"/>
                    <w:tr2bl w:val="nil"/>
                  </w:tcBorders>
                  <w:shd w:val="clear" w:color="auto" w:fill="auto"/>
                  <w:vAlign w:val="center"/>
                </w:tcPr>
                <w:p w14:paraId="3D9C076F">
                  <w:pPr>
                    <w:widowControl/>
                    <w:jc w:val="center"/>
                    <w:rPr>
                      <w:szCs w:val="21"/>
                    </w:rPr>
                  </w:pPr>
                  <w:r>
                    <w:rPr>
                      <w:rFonts w:hint="eastAsia"/>
                      <w:szCs w:val="21"/>
                    </w:rPr>
                    <w:t>60</w:t>
                  </w:r>
                </w:p>
              </w:tc>
              <w:tc>
                <w:tcPr>
                  <w:tcW w:w="1237" w:type="dxa"/>
                  <w:tcBorders>
                    <w:tl2br w:val="nil"/>
                    <w:tr2bl w:val="nil"/>
                  </w:tcBorders>
                  <w:shd w:val="clear" w:color="auto" w:fill="auto"/>
                  <w:vAlign w:val="center"/>
                </w:tcPr>
                <w:p w14:paraId="25D600B9">
                  <w:pPr>
                    <w:widowControl/>
                    <w:jc w:val="center"/>
                    <w:rPr>
                      <w:szCs w:val="21"/>
                    </w:rPr>
                  </w:pPr>
                  <w:r>
                    <w:rPr>
                      <w:rFonts w:hint="eastAsia"/>
                      <w:szCs w:val="21"/>
                    </w:rPr>
                    <w:t>15</w:t>
                  </w:r>
                </w:p>
              </w:tc>
              <w:tc>
                <w:tcPr>
                  <w:tcW w:w="654" w:type="dxa"/>
                  <w:tcBorders>
                    <w:tl2br w:val="nil"/>
                    <w:tr2bl w:val="nil"/>
                  </w:tcBorders>
                  <w:shd w:val="clear" w:color="auto" w:fill="auto"/>
                  <w:vAlign w:val="center"/>
                </w:tcPr>
                <w:p w14:paraId="1DE6730E">
                  <w:pPr>
                    <w:widowControl/>
                    <w:jc w:val="center"/>
                    <w:rPr>
                      <w:szCs w:val="21"/>
                    </w:rPr>
                  </w:pPr>
                  <w:r>
                    <w:rPr>
                      <w:rFonts w:hint="eastAsia"/>
                      <w:szCs w:val="21"/>
                    </w:rPr>
                    <w:t>达标</w:t>
                  </w:r>
                </w:p>
              </w:tc>
            </w:tr>
            <w:tr w14:paraId="385813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57" w:type="dxa"/>
                  <w:tcBorders>
                    <w:tl2br w:val="nil"/>
                    <w:tr2bl w:val="nil"/>
                  </w:tcBorders>
                  <w:shd w:val="clear" w:color="auto" w:fill="auto"/>
                  <w:vAlign w:val="center"/>
                </w:tcPr>
                <w:p w14:paraId="0CEF3DFC">
                  <w:pPr>
                    <w:widowControl/>
                    <w:jc w:val="center"/>
                    <w:rPr>
                      <w:szCs w:val="21"/>
                    </w:rPr>
                  </w:pPr>
                  <w:r>
                    <w:rPr>
                      <w:rFonts w:hint="eastAsia"/>
                      <w:szCs w:val="21"/>
                    </w:rPr>
                    <w:t>NO</w:t>
                  </w:r>
                  <w:r>
                    <w:rPr>
                      <w:rFonts w:hint="eastAsia"/>
                      <w:szCs w:val="21"/>
                      <w:vertAlign w:val="subscript"/>
                    </w:rPr>
                    <w:t>2</w:t>
                  </w:r>
                </w:p>
              </w:tc>
              <w:tc>
                <w:tcPr>
                  <w:tcW w:w="2663" w:type="dxa"/>
                  <w:tcBorders>
                    <w:tl2br w:val="nil"/>
                    <w:tr2bl w:val="nil"/>
                  </w:tcBorders>
                  <w:shd w:val="clear" w:color="auto" w:fill="auto"/>
                  <w:vAlign w:val="center"/>
                </w:tcPr>
                <w:p w14:paraId="5129B441">
                  <w:pPr>
                    <w:widowControl/>
                    <w:jc w:val="center"/>
                    <w:rPr>
                      <w:szCs w:val="21"/>
                    </w:rPr>
                  </w:pPr>
                  <w:r>
                    <w:rPr>
                      <w:rFonts w:hint="eastAsia" w:ascii="宋体" w:hAnsi="宋体" w:cs="宋体"/>
                      <w:kern w:val="0"/>
                      <w:szCs w:val="21"/>
                      <w:lang w:bidi="ar"/>
                    </w:rPr>
                    <w:t>年平均浓度</w:t>
                  </w:r>
                </w:p>
              </w:tc>
              <w:tc>
                <w:tcPr>
                  <w:tcW w:w="1371" w:type="dxa"/>
                  <w:tcBorders>
                    <w:tl2br w:val="nil"/>
                    <w:tr2bl w:val="nil"/>
                  </w:tcBorders>
                  <w:shd w:val="clear" w:color="auto" w:fill="auto"/>
                  <w:vAlign w:val="center"/>
                </w:tcPr>
                <w:p w14:paraId="47F4F4EF">
                  <w:pPr>
                    <w:widowControl/>
                    <w:jc w:val="center"/>
                    <w:rPr>
                      <w:szCs w:val="21"/>
                    </w:rPr>
                  </w:pPr>
                  <w:r>
                    <w:rPr>
                      <w:rFonts w:hint="eastAsia"/>
                      <w:szCs w:val="21"/>
                    </w:rPr>
                    <w:t>27</w:t>
                  </w:r>
                </w:p>
              </w:tc>
              <w:tc>
                <w:tcPr>
                  <w:tcW w:w="1097" w:type="dxa"/>
                  <w:tcBorders>
                    <w:tl2br w:val="nil"/>
                    <w:tr2bl w:val="nil"/>
                  </w:tcBorders>
                  <w:shd w:val="clear" w:color="auto" w:fill="auto"/>
                  <w:vAlign w:val="center"/>
                </w:tcPr>
                <w:p w14:paraId="1B654E11">
                  <w:pPr>
                    <w:widowControl/>
                    <w:jc w:val="center"/>
                    <w:rPr>
                      <w:szCs w:val="21"/>
                    </w:rPr>
                  </w:pPr>
                  <w:r>
                    <w:rPr>
                      <w:rFonts w:hint="eastAsia"/>
                      <w:szCs w:val="21"/>
                    </w:rPr>
                    <w:t>40</w:t>
                  </w:r>
                </w:p>
              </w:tc>
              <w:tc>
                <w:tcPr>
                  <w:tcW w:w="1237" w:type="dxa"/>
                  <w:tcBorders>
                    <w:tl2br w:val="nil"/>
                    <w:tr2bl w:val="nil"/>
                  </w:tcBorders>
                  <w:shd w:val="clear" w:color="auto" w:fill="auto"/>
                  <w:vAlign w:val="center"/>
                </w:tcPr>
                <w:p w14:paraId="1870A278">
                  <w:pPr>
                    <w:widowControl/>
                    <w:jc w:val="center"/>
                    <w:rPr>
                      <w:szCs w:val="21"/>
                    </w:rPr>
                  </w:pPr>
                  <w:r>
                    <w:rPr>
                      <w:rFonts w:hint="eastAsia"/>
                      <w:szCs w:val="21"/>
                    </w:rPr>
                    <w:t>67.5</w:t>
                  </w:r>
                </w:p>
              </w:tc>
              <w:tc>
                <w:tcPr>
                  <w:tcW w:w="654" w:type="dxa"/>
                  <w:tcBorders>
                    <w:tl2br w:val="nil"/>
                    <w:tr2bl w:val="nil"/>
                  </w:tcBorders>
                  <w:shd w:val="clear" w:color="auto" w:fill="auto"/>
                  <w:vAlign w:val="center"/>
                </w:tcPr>
                <w:p w14:paraId="3415833A">
                  <w:pPr>
                    <w:widowControl/>
                    <w:jc w:val="center"/>
                    <w:rPr>
                      <w:szCs w:val="21"/>
                    </w:rPr>
                  </w:pPr>
                  <w:r>
                    <w:rPr>
                      <w:rFonts w:hint="eastAsia"/>
                      <w:szCs w:val="21"/>
                    </w:rPr>
                    <w:t>达标</w:t>
                  </w:r>
                </w:p>
              </w:tc>
            </w:tr>
            <w:tr w14:paraId="477D74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57" w:type="dxa"/>
                  <w:tcBorders>
                    <w:tl2br w:val="nil"/>
                    <w:tr2bl w:val="nil"/>
                  </w:tcBorders>
                  <w:shd w:val="clear" w:color="auto" w:fill="auto"/>
                  <w:vAlign w:val="center"/>
                </w:tcPr>
                <w:p w14:paraId="25E93289">
                  <w:pPr>
                    <w:widowControl/>
                    <w:jc w:val="center"/>
                    <w:rPr>
                      <w:szCs w:val="21"/>
                    </w:rPr>
                  </w:pPr>
                  <w:r>
                    <w:rPr>
                      <w:rFonts w:hint="eastAsia"/>
                      <w:szCs w:val="21"/>
                    </w:rPr>
                    <w:t>PM</w:t>
                  </w:r>
                  <w:r>
                    <w:rPr>
                      <w:rFonts w:hint="eastAsia"/>
                      <w:szCs w:val="21"/>
                      <w:vertAlign w:val="subscript"/>
                    </w:rPr>
                    <w:t>10</w:t>
                  </w:r>
                </w:p>
              </w:tc>
              <w:tc>
                <w:tcPr>
                  <w:tcW w:w="2663" w:type="dxa"/>
                  <w:tcBorders>
                    <w:tl2br w:val="nil"/>
                    <w:tr2bl w:val="nil"/>
                  </w:tcBorders>
                  <w:shd w:val="clear" w:color="auto" w:fill="auto"/>
                  <w:vAlign w:val="center"/>
                </w:tcPr>
                <w:p w14:paraId="7E448922">
                  <w:pPr>
                    <w:widowControl/>
                    <w:jc w:val="center"/>
                    <w:rPr>
                      <w:szCs w:val="21"/>
                    </w:rPr>
                  </w:pPr>
                  <w:r>
                    <w:rPr>
                      <w:rFonts w:hint="eastAsia" w:ascii="宋体" w:hAnsi="宋体" w:cs="宋体"/>
                      <w:kern w:val="0"/>
                      <w:szCs w:val="21"/>
                      <w:lang w:bidi="ar"/>
                    </w:rPr>
                    <w:t>年平均浓度</w:t>
                  </w:r>
                </w:p>
              </w:tc>
              <w:tc>
                <w:tcPr>
                  <w:tcW w:w="1371" w:type="dxa"/>
                  <w:tcBorders>
                    <w:tl2br w:val="nil"/>
                    <w:tr2bl w:val="nil"/>
                  </w:tcBorders>
                  <w:shd w:val="clear" w:color="auto" w:fill="auto"/>
                  <w:vAlign w:val="center"/>
                </w:tcPr>
                <w:p w14:paraId="264DD59D">
                  <w:pPr>
                    <w:widowControl/>
                    <w:jc w:val="center"/>
                    <w:rPr>
                      <w:szCs w:val="21"/>
                    </w:rPr>
                  </w:pPr>
                  <w:r>
                    <w:rPr>
                      <w:rFonts w:hint="eastAsia"/>
                      <w:szCs w:val="21"/>
                    </w:rPr>
                    <w:t>77</w:t>
                  </w:r>
                </w:p>
              </w:tc>
              <w:tc>
                <w:tcPr>
                  <w:tcW w:w="1097" w:type="dxa"/>
                  <w:tcBorders>
                    <w:tl2br w:val="nil"/>
                    <w:tr2bl w:val="nil"/>
                  </w:tcBorders>
                  <w:shd w:val="clear" w:color="auto" w:fill="auto"/>
                  <w:vAlign w:val="center"/>
                </w:tcPr>
                <w:p w14:paraId="1308B00B">
                  <w:pPr>
                    <w:widowControl/>
                    <w:jc w:val="center"/>
                    <w:rPr>
                      <w:szCs w:val="21"/>
                    </w:rPr>
                  </w:pPr>
                  <w:r>
                    <w:rPr>
                      <w:rFonts w:hint="eastAsia"/>
                      <w:szCs w:val="21"/>
                    </w:rPr>
                    <w:t>70</w:t>
                  </w:r>
                </w:p>
              </w:tc>
              <w:tc>
                <w:tcPr>
                  <w:tcW w:w="1237" w:type="dxa"/>
                  <w:tcBorders>
                    <w:tl2br w:val="nil"/>
                    <w:tr2bl w:val="nil"/>
                  </w:tcBorders>
                  <w:shd w:val="clear" w:color="auto" w:fill="auto"/>
                  <w:vAlign w:val="center"/>
                </w:tcPr>
                <w:p w14:paraId="4F565ED3">
                  <w:pPr>
                    <w:widowControl/>
                    <w:jc w:val="center"/>
                    <w:rPr>
                      <w:szCs w:val="21"/>
                    </w:rPr>
                  </w:pPr>
                  <w:r>
                    <w:rPr>
                      <w:rFonts w:hint="eastAsia"/>
                      <w:szCs w:val="21"/>
                    </w:rPr>
                    <w:t>110</w:t>
                  </w:r>
                </w:p>
              </w:tc>
              <w:tc>
                <w:tcPr>
                  <w:tcW w:w="654" w:type="dxa"/>
                  <w:tcBorders>
                    <w:tl2br w:val="nil"/>
                    <w:tr2bl w:val="nil"/>
                  </w:tcBorders>
                  <w:shd w:val="clear" w:color="auto" w:fill="auto"/>
                  <w:vAlign w:val="center"/>
                </w:tcPr>
                <w:p w14:paraId="3F80B3C5">
                  <w:pPr>
                    <w:widowControl/>
                    <w:jc w:val="center"/>
                    <w:rPr>
                      <w:szCs w:val="21"/>
                    </w:rPr>
                  </w:pPr>
                  <w:r>
                    <w:rPr>
                      <w:rFonts w:hint="eastAsia"/>
                      <w:szCs w:val="21"/>
                    </w:rPr>
                    <w:t>超标</w:t>
                  </w:r>
                </w:p>
              </w:tc>
            </w:tr>
            <w:tr w14:paraId="231284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57" w:type="dxa"/>
                  <w:tcBorders>
                    <w:tl2br w:val="nil"/>
                    <w:tr2bl w:val="nil"/>
                  </w:tcBorders>
                  <w:shd w:val="clear" w:color="auto" w:fill="auto"/>
                  <w:vAlign w:val="center"/>
                </w:tcPr>
                <w:p w14:paraId="32F37CC1">
                  <w:pPr>
                    <w:widowControl/>
                    <w:jc w:val="center"/>
                    <w:rPr>
                      <w:szCs w:val="21"/>
                    </w:rPr>
                  </w:pPr>
                  <w:r>
                    <w:rPr>
                      <w:rFonts w:hint="eastAsia"/>
                      <w:szCs w:val="21"/>
                    </w:rPr>
                    <w:t>PM</w:t>
                  </w:r>
                  <w:r>
                    <w:rPr>
                      <w:rFonts w:hint="eastAsia"/>
                      <w:szCs w:val="21"/>
                      <w:vertAlign w:val="subscript"/>
                    </w:rPr>
                    <w:t>2.5</w:t>
                  </w:r>
                </w:p>
              </w:tc>
              <w:tc>
                <w:tcPr>
                  <w:tcW w:w="2663" w:type="dxa"/>
                  <w:tcBorders>
                    <w:tl2br w:val="nil"/>
                    <w:tr2bl w:val="nil"/>
                  </w:tcBorders>
                  <w:shd w:val="clear" w:color="auto" w:fill="auto"/>
                  <w:vAlign w:val="center"/>
                </w:tcPr>
                <w:p w14:paraId="4205BDA6">
                  <w:pPr>
                    <w:widowControl/>
                    <w:jc w:val="center"/>
                    <w:rPr>
                      <w:szCs w:val="21"/>
                    </w:rPr>
                  </w:pPr>
                  <w:r>
                    <w:rPr>
                      <w:rFonts w:hint="eastAsia" w:ascii="宋体" w:hAnsi="宋体" w:cs="宋体"/>
                      <w:kern w:val="0"/>
                      <w:szCs w:val="21"/>
                      <w:lang w:bidi="ar"/>
                    </w:rPr>
                    <w:t>年平均浓度</w:t>
                  </w:r>
                </w:p>
              </w:tc>
              <w:tc>
                <w:tcPr>
                  <w:tcW w:w="1371" w:type="dxa"/>
                  <w:tcBorders>
                    <w:tl2br w:val="nil"/>
                    <w:tr2bl w:val="nil"/>
                  </w:tcBorders>
                  <w:shd w:val="clear" w:color="auto" w:fill="auto"/>
                  <w:vAlign w:val="center"/>
                </w:tcPr>
                <w:p w14:paraId="7149525B">
                  <w:pPr>
                    <w:widowControl/>
                    <w:jc w:val="center"/>
                    <w:rPr>
                      <w:szCs w:val="21"/>
                    </w:rPr>
                  </w:pPr>
                  <w:r>
                    <w:rPr>
                      <w:rFonts w:hint="eastAsia"/>
                      <w:szCs w:val="21"/>
                    </w:rPr>
                    <w:t>47</w:t>
                  </w:r>
                </w:p>
              </w:tc>
              <w:tc>
                <w:tcPr>
                  <w:tcW w:w="1097" w:type="dxa"/>
                  <w:tcBorders>
                    <w:tl2br w:val="nil"/>
                    <w:tr2bl w:val="nil"/>
                  </w:tcBorders>
                  <w:shd w:val="clear" w:color="auto" w:fill="auto"/>
                  <w:vAlign w:val="center"/>
                </w:tcPr>
                <w:p w14:paraId="24E97116">
                  <w:pPr>
                    <w:widowControl/>
                    <w:jc w:val="center"/>
                    <w:rPr>
                      <w:szCs w:val="21"/>
                    </w:rPr>
                  </w:pPr>
                  <w:r>
                    <w:rPr>
                      <w:rFonts w:hint="eastAsia"/>
                      <w:szCs w:val="21"/>
                    </w:rPr>
                    <w:t>35</w:t>
                  </w:r>
                </w:p>
              </w:tc>
              <w:tc>
                <w:tcPr>
                  <w:tcW w:w="1237" w:type="dxa"/>
                  <w:tcBorders>
                    <w:tl2br w:val="nil"/>
                    <w:tr2bl w:val="nil"/>
                  </w:tcBorders>
                  <w:shd w:val="clear" w:color="auto" w:fill="auto"/>
                  <w:vAlign w:val="center"/>
                </w:tcPr>
                <w:p w14:paraId="2AA40E91">
                  <w:pPr>
                    <w:widowControl/>
                    <w:jc w:val="center"/>
                    <w:rPr>
                      <w:szCs w:val="21"/>
                    </w:rPr>
                  </w:pPr>
                  <w:r>
                    <w:rPr>
                      <w:rFonts w:hint="eastAsia"/>
                      <w:szCs w:val="21"/>
                    </w:rPr>
                    <w:t>134.3</w:t>
                  </w:r>
                </w:p>
              </w:tc>
              <w:tc>
                <w:tcPr>
                  <w:tcW w:w="654" w:type="dxa"/>
                  <w:tcBorders>
                    <w:tl2br w:val="nil"/>
                    <w:tr2bl w:val="nil"/>
                  </w:tcBorders>
                  <w:shd w:val="clear" w:color="auto" w:fill="auto"/>
                  <w:vAlign w:val="center"/>
                </w:tcPr>
                <w:p w14:paraId="72CFA5A4">
                  <w:pPr>
                    <w:widowControl/>
                    <w:jc w:val="center"/>
                    <w:rPr>
                      <w:szCs w:val="21"/>
                    </w:rPr>
                  </w:pPr>
                  <w:r>
                    <w:rPr>
                      <w:rFonts w:hint="eastAsia"/>
                      <w:szCs w:val="21"/>
                    </w:rPr>
                    <w:t>超标</w:t>
                  </w:r>
                </w:p>
              </w:tc>
            </w:tr>
            <w:tr w14:paraId="69E6C8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57" w:type="dxa"/>
                  <w:tcBorders>
                    <w:tl2br w:val="nil"/>
                    <w:tr2bl w:val="nil"/>
                  </w:tcBorders>
                  <w:shd w:val="clear" w:color="auto" w:fill="auto"/>
                  <w:vAlign w:val="center"/>
                </w:tcPr>
                <w:p w14:paraId="185FFFB3">
                  <w:pPr>
                    <w:widowControl/>
                    <w:jc w:val="center"/>
                    <w:rPr>
                      <w:szCs w:val="21"/>
                    </w:rPr>
                  </w:pPr>
                  <w:r>
                    <w:rPr>
                      <w:rFonts w:hint="eastAsia"/>
                      <w:szCs w:val="21"/>
                    </w:rPr>
                    <w:t>CO</w:t>
                  </w:r>
                </w:p>
              </w:tc>
              <w:tc>
                <w:tcPr>
                  <w:tcW w:w="2663" w:type="dxa"/>
                  <w:tcBorders>
                    <w:tl2br w:val="nil"/>
                    <w:tr2bl w:val="nil"/>
                  </w:tcBorders>
                  <w:shd w:val="clear" w:color="auto" w:fill="auto"/>
                  <w:vAlign w:val="center"/>
                </w:tcPr>
                <w:p w14:paraId="35E132DF">
                  <w:pPr>
                    <w:widowControl/>
                    <w:jc w:val="center"/>
                    <w:rPr>
                      <w:szCs w:val="21"/>
                    </w:rPr>
                  </w:pPr>
                  <w:r>
                    <w:rPr>
                      <w:kern w:val="0"/>
                      <w:szCs w:val="21"/>
                      <w:lang w:bidi="ar"/>
                    </w:rPr>
                    <w:t>24h</w:t>
                  </w:r>
                  <w:r>
                    <w:rPr>
                      <w:rFonts w:hint="eastAsia" w:ascii="宋体" w:hAnsi="宋体" w:cs="宋体"/>
                      <w:kern w:val="0"/>
                      <w:szCs w:val="21"/>
                      <w:lang w:bidi="ar"/>
                    </w:rPr>
                    <w:t>平均第</w:t>
                  </w:r>
                  <w:r>
                    <w:rPr>
                      <w:kern w:val="0"/>
                      <w:szCs w:val="21"/>
                      <w:lang w:bidi="ar"/>
                    </w:rPr>
                    <w:t>9</w:t>
                  </w:r>
                  <w:r>
                    <w:rPr>
                      <w:rFonts w:hint="eastAsia"/>
                      <w:kern w:val="0"/>
                      <w:szCs w:val="21"/>
                      <w:lang w:bidi="ar"/>
                    </w:rPr>
                    <w:t>5</w:t>
                  </w:r>
                  <w:r>
                    <w:rPr>
                      <w:rFonts w:hint="eastAsia" w:ascii="宋体" w:hAnsi="宋体" w:cs="宋体"/>
                      <w:kern w:val="0"/>
                      <w:szCs w:val="21"/>
                      <w:lang w:bidi="ar"/>
                    </w:rPr>
                    <w:t>百分位数</w:t>
                  </w:r>
                </w:p>
              </w:tc>
              <w:tc>
                <w:tcPr>
                  <w:tcW w:w="1371" w:type="dxa"/>
                  <w:tcBorders>
                    <w:tl2br w:val="nil"/>
                    <w:tr2bl w:val="nil"/>
                  </w:tcBorders>
                  <w:shd w:val="clear" w:color="auto" w:fill="auto"/>
                  <w:vAlign w:val="center"/>
                </w:tcPr>
                <w:p w14:paraId="1B695B5F">
                  <w:pPr>
                    <w:widowControl/>
                    <w:jc w:val="center"/>
                    <w:rPr>
                      <w:szCs w:val="21"/>
                    </w:rPr>
                  </w:pPr>
                  <w:r>
                    <w:rPr>
                      <w:rFonts w:hint="eastAsia"/>
                      <w:szCs w:val="21"/>
                    </w:rPr>
                    <w:t>2000</w:t>
                  </w:r>
                </w:p>
              </w:tc>
              <w:tc>
                <w:tcPr>
                  <w:tcW w:w="1097" w:type="dxa"/>
                  <w:tcBorders>
                    <w:tl2br w:val="nil"/>
                    <w:tr2bl w:val="nil"/>
                  </w:tcBorders>
                  <w:shd w:val="clear" w:color="auto" w:fill="auto"/>
                  <w:vAlign w:val="center"/>
                </w:tcPr>
                <w:p w14:paraId="33E3147E">
                  <w:pPr>
                    <w:widowControl/>
                    <w:jc w:val="center"/>
                    <w:rPr>
                      <w:szCs w:val="21"/>
                    </w:rPr>
                  </w:pPr>
                  <w:r>
                    <w:rPr>
                      <w:rFonts w:hint="eastAsia"/>
                      <w:szCs w:val="21"/>
                    </w:rPr>
                    <w:t>4000</w:t>
                  </w:r>
                </w:p>
              </w:tc>
              <w:tc>
                <w:tcPr>
                  <w:tcW w:w="1237" w:type="dxa"/>
                  <w:tcBorders>
                    <w:tl2br w:val="nil"/>
                    <w:tr2bl w:val="nil"/>
                  </w:tcBorders>
                  <w:shd w:val="clear" w:color="auto" w:fill="auto"/>
                  <w:vAlign w:val="center"/>
                </w:tcPr>
                <w:p w14:paraId="2995FC78">
                  <w:pPr>
                    <w:widowControl/>
                    <w:jc w:val="center"/>
                    <w:rPr>
                      <w:szCs w:val="21"/>
                    </w:rPr>
                  </w:pPr>
                  <w:r>
                    <w:rPr>
                      <w:rFonts w:hint="eastAsia"/>
                      <w:szCs w:val="21"/>
                    </w:rPr>
                    <w:t>50</w:t>
                  </w:r>
                </w:p>
              </w:tc>
              <w:tc>
                <w:tcPr>
                  <w:tcW w:w="654" w:type="dxa"/>
                  <w:tcBorders>
                    <w:tl2br w:val="nil"/>
                    <w:tr2bl w:val="nil"/>
                  </w:tcBorders>
                  <w:shd w:val="clear" w:color="auto" w:fill="auto"/>
                  <w:vAlign w:val="center"/>
                </w:tcPr>
                <w:p w14:paraId="7A034123">
                  <w:pPr>
                    <w:widowControl/>
                    <w:jc w:val="center"/>
                    <w:rPr>
                      <w:szCs w:val="21"/>
                    </w:rPr>
                  </w:pPr>
                  <w:r>
                    <w:rPr>
                      <w:rFonts w:hint="eastAsia"/>
                      <w:szCs w:val="21"/>
                    </w:rPr>
                    <w:t>达标</w:t>
                  </w:r>
                </w:p>
              </w:tc>
            </w:tr>
            <w:tr w14:paraId="4BA590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157" w:type="dxa"/>
                  <w:tcBorders>
                    <w:tl2br w:val="nil"/>
                    <w:tr2bl w:val="nil"/>
                  </w:tcBorders>
                  <w:shd w:val="clear" w:color="auto" w:fill="auto"/>
                  <w:vAlign w:val="center"/>
                </w:tcPr>
                <w:p w14:paraId="55AFB939">
                  <w:pPr>
                    <w:widowControl/>
                    <w:jc w:val="center"/>
                    <w:rPr>
                      <w:szCs w:val="21"/>
                    </w:rPr>
                  </w:pPr>
                  <w:r>
                    <w:rPr>
                      <w:rFonts w:hint="eastAsia"/>
                      <w:szCs w:val="21"/>
                    </w:rPr>
                    <w:t>O</w:t>
                  </w:r>
                  <w:r>
                    <w:rPr>
                      <w:rFonts w:hint="eastAsia"/>
                      <w:szCs w:val="21"/>
                      <w:vertAlign w:val="subscript"/>
                    </w:rPr>
                    <w:t>3</w:t>
                  </w:r>
                </w:p>
              </w:tc>
              <w:tc>
                <w:tcPr>
                  <w:tcW w:w="2663" w:type="dxa"/>
                  <w:tcBorders>
                    <w:tl2br w:val="nil"/>
                    <w:tr2bl w:val="nil"/>
                  </w:tcBorders>
                  <w:shd w:val="clear" w:color="auto" w:fill="auto"/>
                  <w:vAlign w:val="center"/>
                </w:tcPr>
                <w:p w14:paraId="5161B33F">
                  <w:pPr>
                    <w:widowControl/>
                    <w:jc w:val="center"/>
                    <w:rPr>
                      <w:szCs w:val="21"/>
                    </w:rPr>
                  </w:pPr>
                  <w:r>
                    <w:rPr>
                      <w:rFonts w:hint="eastAsia"/>
                      <w:szCs w:val="21"/>
                    </w:rPr>
                    <w:t>最大</w:t>
                  </w:r>
                  <w:r>
                    <w:rPr>
                      <w:szCs w:val="21"/>
                    </w:rPr>
                    <w:t>8</w:t>
                  </w:r>
                  <w:r>
                    <w:rPr>
                      <w:rFonts w:hint="eastAsia"/>
                      <w:szCs w:val="21"/>
                    </w:rPr>
                    <w:t>h平均第</w:t>
                  </w:r>
                  <w:r>
                    <w:rPr>
                      <w:szCs w:val="21"/>
                    </w:rPr>
                    <w:t>90</w:t>
                  </w:r>
                  <w:r>
                    <w:rPr>
                      <w:rFonts w:hint="eastAsia"/>
                      <w:szCs w:val="21"/>
                    </w:rPr>
                    <w:t>百分位数</w:t>
                  </w:r>
                </w:p>
              </w:tc>
              <w:tc>
                <w:tcPr>
                  <w:tcW w:w="1371" w:type="dxa"/>
                  <w:tcBorders>
                    <w:tl2br w:val="nil"/>
                    <w:tr2bl w:val="nil"/>
                  </w:tcBorders>
                  <w:shd w:val="clear" w:color="auto" w:fill="auto"/>
                  <w:vAlign w:val="center"/>
                </w:tcPr>
                <w:p w14:paraId="2C26552D">
                  <w:pPr>
                    <w:widowControl/>
                    <w:jc w:val="center"/>
                    <w:rPr>
                      <w:szCs w:val="21"/>
                    </w:rPr>
                  </w:pPr>
                  <w:r>
                    <w:rPr>
                      <w:rFonts w:hint="eastAsia"/>
                      <w:szCs w:val="21"/>
                    </w:rPr>
                    <w:t>131</w:t>
                  </w:r>
                </w:p>
              </w:tc>
              <w:tc>
                <w:tcPr>
                  <w:tcW w:w="1097" w:type="dxa"/>
                  <w:tcBorders>
                    <w:tl2br w:val="nil"/>
                    <w:tr2bl w:val="nil"/>
                  </w:tcBorders>
                  <w:shd w:val="clear" w:color="auto" w:fill="auto"/>
                  <w:vAlign w:val="center"/>
                </w:tcPr>
                <w:p w14:paraId="559E584B">
                  <w:pPr>
                    <w:widowControl/>
                    <w:jc w:val="center"/>
                    <w:rPr>
                      <w:szCs w:val="21"/>
                    </w:rPr>
                  </w:pPr>
                  <w:r>
                    <w:rPr>
                      <w:rFonts w:hint="eastAsia"/>
                      <w:szCs w:val="21"/>
                    </w:rPr>
                    <w:t>160</w:t>
                  </w:r>
                </w:p>
              </w:tc>
              <w:tc>
                <w:tcPr>
                  <w:tcW w:w="1237" w:type="dxa"/>
                  <w:tcBorders>
                    <w:tl2br w:val="nil"/>
                    <w:tr2bl w:val="nil"/>
                  </w:tcBorders>
                  <w:shd w:val="clear" w:color="auto" w:fill="auto"/>
                  <w:vAlign w:val="center"/>
                </w:tcPr>
                <w:p w14:paraId="36AE10E2">
                  <w:pPr>
                    <w:widowControl/>
                    <w:jc w:val="center"/>
                    <w:rPr>
                      <w:szCs w:val="21"/>
                    </w:rPr>
                  </w:pPr>
                  <w:r>
                    <w:rPr>
                      <w:rFonts w:hint="eastAsia"/>
                      <w:szCs w:val="21"/>
                    </w:rPr>
                    <w:t>81.9</w:t>
                  </w:r>
                </w:p>
              </w:tc>
              <w:tc>
                <w:tcPr>
                  <w:tcW w:w="654" w:type="dxa"/>
                  <w:tcBorders>
                    <w:tl2br w:val="nil"/>
                    <w:tr2bl w:val="nil"/>
                  </w:tcBorders>
                  <w:shd w:val="clear" w:color="auto" w:fill="auto"/>
                  <w:vAlign w:val="center"/>
                </w:tcPr>
                <w:p w14:paraId="4ECA8D8F">
                  <w:pPr>
                    <w:widowControl/>
                    <w:jc w:val="center"/>
                    <w:rPr>
                      <w:szCs w:val="21"/>
                    </w:rPr>
                  </w:pPr>
                  <w:r>
                    <w:rPr>
                      <w:rFonts w:hint="eastAsia"/>
                      <w:szCs w:val="21"/>
                    </w:rPr>
                    <w:t>达标</w:t>
                  </w:r>
                </w:p>
              </w:tc>
            </w:tr>
          </w:tbl>
          <w:p w14:paraId="29A63BE6">
            <w:pPr>
              <w:pStyle w:val="51"/>
              <w:spacing w:line="360" w:lineRule="auto"/>
              <w:ind w:firstLine="480"/>
              <w:jc w:val="both"/>
              <w:rPr>
                <w:lang w:bidi="ar"/>
              </w:rPr>
            </w:pPr>
            <w:r>
              <w:rPr>
                <w:szCs w:val="24"/>
                <w:lang w:bidi="ar"/>
              </w:rPr>
              <w:t>根据上表可知，由上表可知，项目所在区域SO</w:t>
            </w:r>
            <w:r>
              <w:rPr>
                <w:szCs w:val="24"/>
                <w:vertAlign w:val="subscript"/>
                <w:lang w:bidi="ar"/>
              </w:rPr>
              <w:t>2</w:t>
            </w:r>
            <w:r>
              <w:rPr>
                <w:szCs w:val="24"/>
                <w:lang w:bidi="ar"/>
              </w:rPr>
              <w:t>、NO</w:t>
            </w:r>
            <w:r>
              <w:rPr>
                <w:szCs w:val="24"/>
                <w:vertAlign w:val="subscript"/>
                <w:lang w:bidi="ar"/>
              </w:rPr>
              <w:t>2</w:t>
            </w:r>
            <w:r>
              <w:rPr>
                <w:szCs w:val="24"/>
                <w:lang w:bidi="ar"/>
              </w:rPr>
              <w:t>、的年均浓度</w:t>
            </w:r>
            <w:r>
              <w:rPr>
                <w:rFonts w:hint="eastAsia"/>
                <w:szCs w:val="24"/>
                <w:lang w:bidi="ar"/>
              </w:rPr>
              <w:t>、</w:t>
            </w:r>
            <w:r>
              <w:rPr>
                <w:szCs w:val="24"/>
                <w:lang w:bidi="ar"/>
              </w:rPr>
              <w:t>CO24h平均第95百分位数</w:t>
            </w:r>
            <w:r>
              <w:rPr>
                <w:rFonts w:hint="eastAsia"/>
                <w:szCs w:val="24"/>
                <w:lang w:bidi="ar"/>
              </w:rPr>
              <w:t>及</w:t>
            </w:r>
            <w:r>
              <w:rPr>
                <w:szCs w:val="24"/>
                <w:lang w:bidi="ar"/>
              </w:rPr>
              <w:t>O</w:t>
            </w:r>
            <w:r>
              <w:rPr>
                <w:szCs w:val="24"/>
                <w:vertAlign w:val="subscript"/>
                <w:lang w:bidi="ar"/>
              </w:rPr>
              <w:t>3</w:t>
            </w:r>
            <w:r>
              <w:rPr>
                <w:szCs w:val="24"/>
                <w:lang w:bidi="ar"/>
              </w:rPr>
              <w:t>最大8h平均第90百分位数浓度均达标；</w:t>
            </w:r>
            <w:r>
              <w:rPr>
                <w:rFonts w:hint="eastAsia"/>
                <w:szCs w:val="24"/>
                <w:lang w:bidi="ar"/>
              </w:rPr>
              <w:t>PM</w:t>
            </w:r>
            <w:r>
              <w:rPr>
                <w:rFonts w:hint="eastAsia"/>
                <w:szCs w:val="24"/>
                <w:vertAlign w:val="subscript"/>
                <w:lang w:bidi="ar"/>
              </w:rPr>
              <w:t>10</w:t>
            </w:r>
            <w:r>
              <w:rPr>
                <w:rFonts w:hint="eastAsia"/>
                <w:szCs w:val="24"/>
                <w:lang w:bidi="ar"/>
              </w:rPr>
              <w:t>、</w:t>
            </w:r>
            <w:r>
              <w:rPr>
                <w:szCs w:val="24"/>
                <w:lang w:bidi="ar"/>
              </w:rPr>
              <w:t>PM</w:t>
            </w:r>
            <w:r>
              <w:rPr>
                <w:szCs w:val="24"/>
                <w:vertAlign w:val="subscript"/>
                <w:lang w:bidi="ar"/>
              </w:rPr>
              <w:t>2.5</w:t>
            </w:r>
            <w:r>
              <w:rPr>
                <w:szCs w:val="24"/>
                <w:lang w:bidi="ar"/>
              </w:rPr>
              <w:t>年均浓度超过《环境空气质量标准》（GB3095-2012）的二级标准要求，因此，本项目所在区域为</w:t>
            </w:r>
            <w:r>
              <w:rPr>
                <w:rFonts w:hint="eastAsia"/>
                <w:szCs w:val="24"/>
                <w:lang w:bidi="ar"/>
              </w:rPr>
              <w:t>不</w:t>
            </w:r>
            <w:r>
              <w:rPr>
                <w:szCs w:val="24"/>
                <w:lang w:bidi="ar"/>
              </w:rPr>
              <w:t>达标区。</w:t>
            </w:r>
          </w:p>
          <w:p w14:paraId="6954AA83">
            <w:pPr>
              <w:pStyle w:val="55"/>
              <w:ind w:firstLine="0" w:firstLineChars="0"/>
              <w:rPr>
                <w:b/>
                <w:bCs/>
              </w:rPr>
            </w:pPr>
            <w:r>
              <w:rPr>
                <w:rFonts w:hint="eastAsia"/>
                <w:b/>
                <w:bCs/>
              </w:rPr>
              <w:t>2.地表水环境质量现状调查与评价</w:t>
            </w:r>
          </w:p>
          <w:p w14:paraId="701E5A20">
            <w:pPr>
              <w:pStyle w:val="51"/>
              <w:spacing w:line="360" w:lineRule="auto"/>
              <w:ind w:firstLine="480" w:firstLineChars="200"/>
              <w:jc w:val="both"/>
              <w:rPr>
                <w:color w:val="000000"/>
              </w:rPr>
            </w:pPr>
            <w:r>
              <w:rPr>
                <w:rFonts w:hint="eastAsia"/>
                <w:szCs w:val="24"/>
              </w:rPr>
              <w:t>本项目生产采用冷却水循环使用，不外排；项目无新增员工，无生活污水产生，根据《环境影响评价技术导则 地表水环境》（HJ2.3-2018）中相关内容判定，确定本项目地表水评价工作等级为三级B，因此本次评价不开展地表水质量现状调查。</w:t>
            </w:r>
          </w:p>
          <w:p w14:paraId="5774651A">
            <w:pPr>
              <w:pStyle w:val="55"/>
              <w:ind w:firstLine="0" w:firstLineChars="0"/>
              <w:rPr>
                <w:b/>
                <w:bCs/>
              </w:rPr>
            </w:pPr>
            <w:r>
              <w:rPr>
                <w:rFonts w:hint="eastAsia"/>
                <w:b/>
                <w:bCs/>
              </w:rPr>
              <w:t>3.声环境质量现状及分析</w:t>
            </w:r>
          </w:p>
          <w:p w14:paraId="27576A71">
            <w:pPr>
              <w:pStyle w:val="51"/>
              <w:spacing w:line="360" w:lineRule="auto"/>
              <w:ind w:firstLine="480" w:firstLineChars="200"/>
              <w:rPr>
                <w:szCs w:val="24"/>
              </w:rPr>
            </w:pPr>
            <w:r>
              <w:rPr>
                <w:rFonts w:hint="eastAsia"/>
                <w:szCs w:val="24"/>
              </w:rPr>
              <w:t>本项目位于阜康市苏通小微创业园，项目东侧为空地，西侧为新疆安瑞信通管道制造有限公司，南侧为阜康市金钢耐火材料有限公司，北侧为空地。根据《建设项目环境影响报告表编制技术指南》（污染影响类）（试行）环办环评[2020]33号（1），且本项目厂界外周边50米范围内不存在声环境保护目标的建设项目，故本次评价不对噪声环境影响进行评价。</w:t>
            </w:r>
          </w:p>
          <w:p w14:paraId="5F9B3C47">
            <w:pPr>
              <w:widowControl/>
              <w:adjustRightInd w:val="0"/>
              <w:spacing w:line="360" w:lineRule="auto"/>
              <w:jc w:val="left"/>
              <w:rPr>
                <w:rFonts w:ascii="宋体" w:hAnsi="宋体" w:cs="宋体"/>
                <w:b/>
                <w:sz w:val="24"/>
              </w:rPr>
            </w:pPr>
            <w:r>
              <w:rPr>
                <w:rFonts w:hint="eastAsia" w:cs="宋体"/>
                <w:b/>
                <w:sz w:val="24"/>
              </w:rPr>
              <w:t>4</w:t>
            </w:r>
            <w:r>
              <w:rPr>
                <w:rFonts w:hint="eastAsia" w:ascii="宋体" w:hAnsi="宋体" w:cs="宋体"/>
                <w:b/>
                <w:sz w:val="24"/>
              </w:rPr>
              <w:t>.生态环境</w:t>
            </w:r>
          </w:p>
          <w:p w14:paraId="616457B7">
            <w:pPr>
              <w:pStyle w:val="55"/>
              <w:ind w:firstLine="480"/>
              <w:rPr>
                <w:rFonts w:ascii="宋体" w:hAnsi="宋体" w:cs="宋体"/>
                <w:color w:val="000000"/>
                <w:szCs w:val="24"/>
                <w:lang w:bidi="ar"/>
              </w:rPr>
            </w:pPr>
            <w:r>
              <w:rPr>
                <w:rFonts w:hint="eastAsia" w:ascii="宋体" w:hAnsi="宋体" w:cs="宋体"/>
                <w:color w:val="000000"/>
                <w:szCs w:val="24"/>
                <w:lang w:bidi="ar"/>
              </w:rPr>
              <w:t>根据《建设项目环境影响报告表编制技术指南（污染影响类）（试行）》中要求，产业园区外建设项目新增用地且用地范围内含有生态环境保护目标时，应进行生态现状调查。</w:t>
            </w:r>
          </w:p>
          <w:p w14:paraId="61860535">
            <w:pPr>
              <w:pStyle w:val="55"/>
              <w:ind w:firstLine="480"/>
            </w:pPr>
            <w:r>
              <w:rPr>
                <w:rFonts w:hint="eastAsia"/>
              </w:rPr>
              <w:t>本项目位于阜康市苏通小微创业园，用地性质为工业用地，用地范围内不含生态环境保护目标，因此本项目无需进行生态现状调查。</w:t>
            </w:r>
          </w:p>
          <w:p w14:paraId="6D82BA83">
            <w:pPr>
              <w:spacing w:after="120"/>
              <w:rPr>
                <w:rFonts w:ascii="宋体" w:hAnsi="宋体" w:cs="宋体"/>
                <w:b/>
                <w:sz w:val="24"/>
              </w:rPr>
            </w:pPr>
            <w:r>
              <w:rPr>
                <w:rFonts w:hint="eastAsia"/>
                <w:b/>
                <w:bCs/>
                <w:kern w:val="0"/>
                <w:sz w:val="24"/>
              </w:rPr>
              <w:t>5.地下水、土壤环境</w:t>
            </w:r>
          </w:p>
          <w:p w14:paraId="1032C354">
            <w:pPr>
              <w:adjustRightInd w:val="0"/>
              <w:snapToGrid w:val="0"/>
              <w:spacing w:line="360" w:lineRule="auto"/>
              <w:ind w:firstLine="480" w:firstLineChars="200"/>
              <w:rPr>
                <w:sz w:val="24"/>
              </w:rPr>
            </w:pPr>
            <w:r>
              <w:rPr>
                <w:rFonts w:hint="eastAsia"/>
                <w:sz w:val="24"/>
              </w:rPr>
              <w:t>根据《建设项目环境影响报告表编制技术指南（污染影响类）（试行）》，地下水与土壤环境原则上不进行现状调查，本项目生产采用冷却水循环使用，不外排；项目无新增员工，无生活污水产生，本项目不存在地下水与土壤污染途径，故不进行现状监测。不进行地下水环境影响评价。</w:t>
            </w:r>
          </w:p>
        </w:tc>
      </w:tr>
      <w:tr w14:paraId="3B442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66D8F61A">
            <w:pPr>
              <w:adjustRightInd w:val="0"/>
              <w:snapToGrid w:val="0"/>
              <w:jc w:val="center"/>
              <w:rPr>
                <w:rFonts w:ascii="宋体" w:hAnsi="宋体" w:cs="宋体"/>
                <w:color w:val="000000"/>
                <w:kern w:val="0"/>
                <w:szCs w:val="21"/>
              </w:rPr>
            </w:pPr>
            <w:r>
              <w:rPr>
                <w:rFonts w:hint="eastAsia" w:ascii="宋体" w:hAnsi="宋体" w:cs="宋体"/>
                <w:color w:val="000000"/>
                <w:kern w:val="0"/>
                <w:szCs w:val="21"/>
              </w:rPr>
              <w:t>环境</w:t>
            </w:r>
          </w:p>
          <w:p w14:paraId="2C66333D">
            <w:pPr>
              <w:adjustRightInd w:val="0"/>
              <w:snapToGrid w:val="0"/>
              <w:jc w:val="center"/>
              <w:rPr>
                <w:rFonts w:ascii="宋体" w:hAnsi="宋体" w:cs="宋体"/>
                <w:color w:val="000000"/>
                <w:kern w:val="0"/>
                <w:szCs w:val="21"/>
              </w:rPr>
            </w:pPr>
            <w:r>
              <w:rPr>
                <w:rFonts w:hint="eastAsia" w:ascii="宋体" w:hAnsi="宋体" w:cs="宋体"/>
                <w:color w:val="000000"/>
                <w:kern w:val="0"/>
                <w:szCs w:val="21"/>
              </w:rPr>
              <w:t>保护</w:t>
            </w:r>
          </w:p>
          <w:p w14:paraId="67C8854C">
            <w:pPr>
              <w:adjustRightInd w:val="0"/>
              <w:snapToGrid w:val="0"/>
              <w:jc w:val="center"/>
              <w:rPr>
                <w:rFonts w:ascii="宋体" w:hAnsi="宋体" w:cs="宋体"/>
                <w:color w:val="000000"/>
                <w:kern w:val="0"/>
                <w:szCs w:val="21"/>
              </w:rPr>
            </w:pPr>
            <w:r>
              <w:rPr>
                <w:rFonts w:hint="eastAsia" w:ascii="宋体" w:hAnsi="宋体" w:cs="宋体"/>
                <w:color w:val="000000"/>
                <w:kern w:val="0"/>
                <w:szCs w:val="21"/>
              </w:rPr>
              <w:t>目标</w:t>
            </w:r>
          </w:p>
        </w:tc>
        <w:tc>
          <w:tcPr>
            <w:tcW w:w="8190" w:type="dxa"/>
            <w:vAlign w:val="center"/>
          </w:tcPr>
          <w:p w14:paraId="12AEA228">
            <w:pPr>
              <w:adjustRightInd w:val="0"/>
              <w:snapToGrid w:val="0"/>
              <w:spacing w:line="360" w:lineRule="auto"/>
              <w:ind w:firstLine="480" w:firstLineChars="200"/>
              <w:rPr>
                <w:sz w:val="24"/>
              </w:rPr>
            </w:pPr>
            <w:r>
              <w:rPr>
                <w:kern w:val="0"/>
                <w:sz w:val="24"/>
              </w:rPr>
              <w:t>本项目位于</w:t>
            </w:r>
            <w:r>
              <w:rPr>
                <w:sz w:val="24"/>
              </w:rPr>
              <w:t>阜康市苏通小微创业园内</w:t>
            </w:r>
            <w:r>
              <w:rPr>
                <w:rFonts w:hint="eastAsia"/>
                <w:sz w:val="24"/>
              </w:rPr>
              <w:t>。</w:t>
            </w:r>
          </w:p>
          <w:p w14:paraId="508FA170">
            <w:pPr>
              <w:adjustRightInd w:val="0"/>
              <w:snapToGrid w:val="0"/>
              <w:spacing w:line="360" w:lineRule="auto"/>
              <w:ind w:firstLine="480" w:firstLineChars="200"/>
              <w:rPr>
                <w:kern w:val="0"/>
                <w:sz w:val="24"/>
              </w:rPr>
            </w:pPr>
            <w:r>
              <w:rPr>
                <w:rFonts w:hint="eastAsia"/>
                <w:kern w:val="0"/>
                <w:sz w:val="24"/>
              </w:rPr>
              <w:t>本项目厂界外500m范围内不存在自然保护区、风景名胜区、居住区、文化区和农村地区中人群较集中的区域，无大气环境保护目标。</w:t>
            </w:r>
          </w:p>
          <w:p w14:paraId="3131156A">
            <w:pPr>
              <w:spacing w:line="360" w:lineRule="auto"/>
              <w:ind w:firstLine="480" w:firstLineChars="200"/>
              <w:rPr>
                <w:kern w:val="0"/>
                <w:sz w:val="24"/>
              </w:rPr>
            </w:pPr>
            <w:r>
              <w:rPr>
                <w:rFonts w:hint="eastAsia"/>
                <w:kern w:val="0"/>
                <w:sz w:val="24"/>
              </w:rPr>
              <w:t>本项目厂界外50m范围内无声环境保护目标。</w:t>
            </w:r>
          </w:p>
          <w:p w14:paraId="430F412D">
            <w:pPr>
              <w:pStyle w:val="55"/>
              <w:ind w:firstLine="480"/>
            </w:pPr>
            <w:r>
              <w:rPr>
                <w:rFonts w:hint="eastAsia"/>
              </w:rPr>
              <w:t>本项目厂界外500m范围内无的地下水集中式饮用水水源和热水、矿泉水、温泉等特殊地下水资源。</w:t>
            </w:r>
          </w:p>
        </w:tc>
      </w:tr>
      <w:tr w14:paraId="0A4DF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Mar>
              <w:left w:w="28" w:type="dxa"/>
              <w:right w:w="28" w:type="dxa"/>
            </w:tcMar>
            <w:vAlign w:val="center"/>
          </w:tcPr>
          <w:p w14:paraId="3FCB05DD">
            <w:pPr>
              <w:adjustRightInd w:val="0"/>
              <w:snapToGrid w:val="0"/>
              <w:jc w:val="center"/>
              <w:rPr>
                <w:rFonts w:ascii="宋体" w:hAnsi="宋体" w:cs="宋体"/>
                <w:color w:val="000000"/>
                <w:kern w:val="0"/>
                <w:szCs w:val="21"/>
              </w:rPr>
            </w:pPr>
            <w:r>
              <w:rPr>
                <w:rFonts w:hint="eastAsia" w:ascii="宋体" w:hAnsi="宋体" w:cs="宋体"/>
                <w:color w:val="000000"/>
                <w:kern w:val="0"/>
                <w:szCs w:val="21"/>
              </w:rPr>
              <w:t>污染</w:t>
            </w:r>
          </w:p>
          <w:p w14:paraId="6AACCA19">
            <w:pPr>
              <w:adjustRightInd w:val="0"/>
              <w:snapToGrid w:val="0"/>
              <w:jc w:val="center"/>
              <w:rPr>
                <w:rFonts w:ascii="宋体" w:hAnsi="宋体" w:cs="宋体"/>
                <w:color w:val="000000"/>
                <w:kern w:val="0"/>
                <w:szCs w:val="21"/>
              </w:rPr>
            </w:pPr>
            <w:r>
              <w:rPr>
                <w:rFonts w:hint="eastAsia" w:ascii="宋体" w:hAnsi="宋体" w:cs="宋体"/>
                <w:color w:val="000000"/>
                <w:kern w:val="0"/>
                <w:szCs w:val="21"/>
              </w:rPr>
              <w:t>物排</w:t>
            </w:r>
          </w:p>
          <w:p w14:paraId="01D2009F">
            <w:pPr>
              <w:adjustRightInd w:val="0"/>
              <w:snapToGrid w:val="0"/>
              <w:jc w:val="center"/>
              <w:rPr>
                <w:rFonts w:ascii="宋体" w:hAnsi="宋体" w:cs="宋体"/>
                <w:color w:val="000000"/>
                <w:kern w:val="0"/>
                <w:szCs w:val="21"/>
              </w:rPr>
            </w:pPr>
            <w:r>
              <w:rPr>
                <w:rFonts w:hint="eastAsia" w:ascii="宋体" w:hAnsi="宋体" w:cs="宋体"/>
                <w:color w:val="000000"/>
                <w:kern w:val="0"/>
                <w:szCs w:val="21"/>
              </w:rPr>
              <w:t>放控</w:t>
            </w:r>
          </w:p>
          <w:p w14:paraId="706E7793">
            <w:pPr>
              <w:adjustRightInd w:val="0"/>
              <w:snapToGrid w:val="0"/>
              <w:jc w:val="center"/>
              <w:rPr>
                <w:rFonts w:ascii="宋体" w:hAnsi="宋体" w:cs="宋体"/>
                <w:color w:val="000000"/>
                <w:kern w:val="0"/>
                <w:szCs w:val="21"/>
              </w:rPr>
            </w:pPr>
            <w:r>
              <w:rPr>
                <w:rFonts w:hint="eastAsia" w:ascii="宋体" w:hAnsi="宋体" w:cs="宋体"/>
                <w:color w:val="000000"/>
                <w:kern w:val="0"/>
                <w:szCs w:val="21"/>
              </w:rPr>
              <w:t>制标</w:t>
            </w:r>
          </w:p>
          <w:p w14:paraId="58EE3BDD">
            <w:pPr>
              <w:adjustRightInd w:val="0"/>
              <w:snapToGrid w:val="0"/>
              <w:jc w:val="center"/>
              <w:rPr>
                <w:rFonts w:ascii="宋体" w:hAnsi="宋体" w:cs="宋体"/>
                <w:color w:val="000000"/>
                <w:kern w:val="0"/>
                <w:szCs w:val="21"/>
              </w:rPr>
            </w:pPr>
            <w:r>
              <w:rPr>
                <w:rFonts w:hint="eastAsia" w:ascii="宋体" w:hAnsi="宋体" w:cs="宋体"/>
                <w:color w:val="000000"/>
                <w:kern w:val="0"/>
                <w:szCs w:val="21"/>
              </w:rPr>
              <w:t>准</w:t>
            </w:r>
          </w:p>
        </w:tc>
        <w:tc>
          <w:tcPr>
            <w:tcW w:w="8190" w:type="dxa"/>
            <w:vAlign w:val="center"/>
          </w:tcPr>
          <w:p w14:paraId="467B689F">
            <w:pPr>
              <w:spacing w:line="360" w:lineRule="auto"/>
              <w:rPr>
                <w:b/>
                <w:bCs/>
                <w:sz w:val="24"/>
              </w:rPr>
            </w:pPr>
            <w:r>
              <w:rPr>
                <w:rFonts w:hint="eastAsia"/>
                <w:b/>
                <w:bCs/>
                <w:sz w:val="24"/>
              </w:rPr>
              <w:t>1.大气污染物排放标准</w:t>
            </w:r>
          </w:p>
          <w:p w14:paraId="076985B7">
            <w:pPr>
              <w:adjustRightInd w:val="0"/>
              <w:spacing w:line="360" w:lineRule="auto"/>
              <w:ind w:firstLine="480" w:firstLineChars="200"/>
              <w:jc w:val="left"/>
              <w:rPr>
                <w:kern w:val="0"/>
                <w:sz w:val="24"/>
              </w:rPr>
            </w:pPr>
            <w:r>
              <w:rPr>
                <w:rFonts w:hint="eastAsia"/>
                <w:kern w:val="0"/>
                <w:sz w:val="24"/>
              </w:rPr>
              <w:t>本项目运营期大气污染排放标准见表3-</w:t>
            </w:r>
            <w:r>
              <w:rPr>
                <w:kern w:val="0"/>
                <w:sz w:val="24"/>
              </w:rPr>
              <w:t>2</w:t>
            </w:r>
            <w:r>
              <w:rPr>
                <w:rFonts w:hint="eastAsia"/>
                <w:kern w:val="0"/>
                <w:sz w:val="24"/>
              </w:rPr>
              <w:t>、3</w:t>
            </w:r>
            <w:r>
              <w:rPr>
                <w:kern w:val="0"/>
                <w:sz w:val="24"/>
              </w:rPr>
              <w:t>-3</w:t>
            </w:r>
            <w:r>
              <w:rPr>
                <w:rFonts w:hint="eastAsia"/>
                <w:kern w:val="0"/>
                <w:sz w:val="24"/>
              </w:rPr>
              <w:t>。</w:t>
            </w:r>
          </w:p>
          <w:p w14:paraId="763B6ACF">
            <w:pPr>
              <w:jc w:val="center"/>
              <w:rPr>
                <w:b/>
                <w:bCs/>
                <w:szCs w:val="21"/>
              </w:rPr>
            </w:pPr>
            <w:r>
              <w:rPr>
                <w:b/>
                <w:bCs/>
                <w:szCs w:val="21"/>
              </w:rPr>
              <w:t>表3-2    大气污染物排放标准</w:t>
            </w:r>
          </w:p>
          <w:tbl>
            <w:tblPr>
              <w:tblStyle w:val="30"/>
              <w:tblW w:w="817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364"/>
              <w:gridCol w:w="1361"/>
              <w:gridCol w:w="3130"/>
              <w:gridCol w:w="1312"/>
            </w:tblGrid>
            <w:tr w14:paraId="020B93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006" w:type="dxa"/>
                  <w:tcBorders>
                    <w:top w:val="single" w:color="auto" w:sz="12" w:space="0"/>
                    <w:bottom w:val="single" w:color="auto" w:sz="12" w:space="0"/>
                  </w:tcBorders>
                  <w:vAlign w:val="center"/>
                </w:tcPr>
                <w:p w14:paraId="607D8347">
                  <w:pPr>
                    <w:wordWrap w:val="0"/>
                    <w:jc w:val="center"/>
                    <w:rPr>
                      <w:b/>
                      <w:szCs w:val="21"/>
                    </w:rPr>
                  </w:pPr>
                  <w:r>
                    <w:rPr>
                      <w:rFonts w:hint="eastAsia"/>
                      <w:b/>
                      <w:szCs w:val="21"/>
                    </w:rPr>
                    <w:t>位置</w:t>
                  </w:r>
                </w:p>
              </w:tc>
              <w:tc>
                <w:tcPr>
                  <w:tcW w:w="1364" w:type="dxa"/>
                  <w:tcBorders>
                    <w:top w:val="single" w:color="auto" w:sz="12" w:space="0"/>
                    <w:bottom w:val="single" w:color="auto" w:sz="12" w:space="0"/>
                  </w:tcBorders>
                  <w:vAlign w:val="center"/>
                </w:tcPr>
                <w:p w14:paraId="4A223334">
                  <w:pPr>
                    <w:wordWrap w:val="0"/>
                    <w:jc w:val="center"/>
                    <w:rPr>
                      <w:b/>
                      <w:szCs w:val="21"/>
                    </w:rPr>
                  </w:pPr>
                  <w:r>
                    <w:rPr>
                      <w:rFonts w:hint="eastAsia"/>
                      <w:b/>
                      <w:szCs w:val="21"/>
                    </w:rPr>
                    <w:t>污染物</w:t>
                  </w:r>
                </w:p>
              </w:tc>
              <w:tc>
                <w:tcPr>
                  <w:tcW w:w="1361" w:type="dxa"/>
                  <w:tcBorders>
                    <w:top w:val="single" w:color="auto" w:sz="12" w:space="0"/>
                    <w:bottom w:val="single" w:color="auto" w:sz="12" w:space="0"/>
                  </w:tcBorders>
                  <w:vAlign w:val="center"/>
                </w:tcPr>
                <w:p w14:paraId="1D1327C3">
                  <w:pPr>
                    <w:wordWrap w:val="0"/>
                    <w:jc w:val="center"/>
                    <w:rPr>
                      <w:b/>
                      <w:szCs w:val="21"/>
                    </w:rPr>
                  </w:pPr>
                  <w:r>
                    <w:rPr>
                      <w:rFonts w:hint="eastAsia"/>
                      <w:b/>
                      <w:szCs w:val="21"/>
                    </w:rPr>
                    <w:t>排放形式</w:t>
                  </w:r>
                </w:p>
              </w:tc>
              <w:tc>
                <w:tcPr>
                  <w:tcW w:w="3130" w:type="dxa"/>
                  <w:tcBorders>
                    <w:top w:val="single" w:color="auto" w:sz="12" w:space="0"/>
                    <w:bottom w:val="single" w:color="auto" w:sz="12" w:space="0"/>
                  </w:tcBorders>
                  <w:vAlign w:val="center"/>
                </w:tcPr>
                <w:p w14:paraId="02E91D77">
                  <w:pPr>
                    <w:wordWrap w:val="0"/>
                    <w:jc w:val="center"/>
                    <w:rPr>
                      <w:b/>
                      <w:szCs w:val="21"/>
                    </w:rPr>
                  </w:pPr>
                  <w:r>
                    <w:rPr>
                      <w:rFonts w:hint="eastAsia"/>
                      <w:b/>
                      <w:szCs w:val="21"/>
                    </w:rPr>
                    <w:t>标准</w:t>
                  </w:r>
                </w:p>
              </w:tc>
              <w:tc>
                <w:tcPr>
                  <w:tcW w:w="1312" w:type="dxa"/>
                  <w:tcBorders>
                    <w:top w:val="single" w:color="auto" w:sz="12" w:space="0"/>
                    <w:bottom w:val="single" w:color="auto" w:sz="12" w:space="0"/>
                  </w:tcBorders>
                  <w:vAlign w:val="center"/>
                </w:tcPr>
                <w:p w14:paraId="441C057E">
                  <w:pPr>
                    <w:wordWrap w:val="0"/>
                    <w:jc w:val="center"/>
                    <w:rPr>
                      <w:b/>
                      <w:szCs w:val="21"/>
                    </w:rPr>
                  </w:pPr>
                  <w:r>
                    <w:rPr>
                      <w:rFonts w:hint="eastAsia"/>
                      <w:b/>
                      <w:szCs w:val="21"/>
                    </w:rPr>
                    <w:t>限值</w:t>
                  </w:r>
                  <w:r>
                    <w:rPr>
                      <w:b/>
                      <w:szCs w:val="21"/>
                    </w:rPr>
                    <w:t>mg/m</w:t>
                  </w:r>
                  <w:r>
                    <w:rPr>
                      <w:b/>
                      <w:szCs w:val="21"/>
                      <w:vertAlign w:val="superscript"/>
                    </w:rPr>
                    <w:t>3</w:t>
                  </w:r>
                </w:p>
              </w:tc>
            </w:tr>
            <w:tr w14:paraId="6D5FCC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006" w:type="dxa"/>
                  <w:vMerge w:val="restart"/>
                  <w:tcBorders>
                    <w:top w:val="single" w:color="auto" w:sz="12" w:space="0"/>
                  </w:tcBorders>
                  <w:vAlign w:val="center"/>
                </w:tcPr>
                <w:p w14:paraId="1126BFD1">
                  <w:pPr>
                    <w:widowControl/>
                    <w:jc w:val="center"/>
                  </w:pPr>
                  <w:r>
                    <w:rPr>
                      <w:rFonts w:hint="eastAsia"/>
                      <w:szCs w:val="21"/>
                    </w:rPr>
                    <w:t>车间</w:t>
                  </w:r>
                </w:p>
              </w:tc>
              <w:tc>
                <w:tcPr>
                  <w:tcW w:w="1364" w:type="dxa"/>
                  <w:tcBorders>
                    <w:top w:val="single" w:color="auto" w:sz="12" w:space="0"/>
                  </w:tcBorders>
                  <w:vAlign w:val="center"/>
                </w:tcPr>
                <w:p w14:paraId="16996363">
                  <w:pPr>
                    <w:wordWrap w:val="0"/>
                    <w:jc w:val="center"/>
                    <w:rPr>
                      <w:bCs/>
                      <w:szCs w:val="21"/>
                    </w:rPr>
                  </w:pPr>
                  <w:r>
                    <w:rPr>
                      <w:rFonts w:hint="eastAsia"/>
                      <w:bCs/>
                      <w:szCs w:val="21"/>
                    </w:rPr>
                    <w:t>非甲烷总烃</w:t>
                  </w:r>
                </w:p>
              </w:tc>
              <w:tc>
                <w:tcPr>
                  <w:tcW w:w="1361" w:type="dxa"/>
                  <w:vMerge w:val="restart"/>
                  <w:tcBorders>
                    <w:top w:val="single" w:color="auto" w:sz="12" w:space="0"/>
                  </w:tcBorders>
                  <w:vAlign w:val="center"/>
                </w:tcPr>
                <w:p w14:paraId="158688C3">
                  <w:pPr>
                    <w:wordWrap w:val="0"/>
                    <w:jc w:val="center"/>
                    <w:rPr>
                      <w:bCs/>
                      <w:szCs w:val="21"/>
                    </w:rPr>
                  </w:pPr>
                  <w:r>
                    <w:rPr>
                      <w:rFonts w:hint="eastAsia"/>
                      <w:bCs/>
                      <w:szCs w:val="21"/>
                    </w:rPr>
                    <w:t>有组织</w:t>
                  </w:r>
                </w:p>
              </w:tc>
              <w:tc>
                <w:tcPr>
                  <w:tcW w:w="3130" w:type="dxa"/>
                  <w:vMerge w:val="restart"/>
                  <w:tcBorders>
                    <w:top w:val="single" w:color="auto" w:sz="12" w:space="0"/>
                  </w:tcBorders>
                  <w:vAlign w:val="center"/>
                </w:tcPr>
                <w:p w14:paraId="6539525E">
                  <w:pPr>
                    <w:wordWrap w:val="0"/>
                    <w:rPr>
                      <w:bCs/>
                      <w:szCs w:val="21"/>
                    </w:rPr>
                  </w:pPr>
                  <w:r>
                    <w:rPr>
                      <w:rFonts w:hint="eastAsia"/>
                      <w:bCs/>
                      <w:szCs w:val="21"/>
                    </w:rPr>
                    <w:t>《合成树脂工业污染物排放标准》（GB</w:t>
                  </w:r>
                  <w:r>
                    <w:rPr>
                      <w:bCs/>
                      <w:szCs w:val="21"/>
                    </w:rPr>
                    <w:t>31572</w:t>
                  </w:r>
                  <w:r>
                    <w:rPr>
                      <w:rFonts w:hint="eastAsia"/>
                      <w:bCs/>
                      <w:szCs w:val="21"/>
                    </w:rPr>
                    <w:t>-201</w:t>
                  </w:r>
                  <w:r>
                    <w:rPr>
                      <w:bCs/>
                      <w:szCs w:val="21"/>
                    </w:rPr>
                    <w:t>5</w:t>
                  </w:r>
                  <w:r>
                    <w:rPr>
                      <w:rFonts w:hint="eastAsia"/>
                      <w:bCs/>
                      <w:szCs w:val="21"/>
                    </w:rPr>
                    <w:t>）表5</w:t>
                  </w:r>
                </w:p>
              </w:tc>
              <w:tc>
                <w:tcPr>
                  <w:tcW w:w="1312" w:type="dxa"/>
                  <w:tcBorders>
                    <w:top w:val="single" w:color="auto" w:sz="12" w:space="0"/>
                  </w:tcBorders>
                  <w:vAlign w:val="center"/>
                </w:tcPr>
                <w:p w14:paraId="6319BC75">
                  <w:pPr>
                    <w:wordWrap w:val="0"/>
                    <w:jc w:val="center"/>
                    <w:rPr>
                      <w:bCs/>
                      <w:szCs w:val="21"/>
                      <w:vertAlign w:val="superscript"/>
                    </w:rPr>
                  </w:pPr>
                  <w:r>
                    <w:rPr>
                      <w:bCs/>
                      <w:szCs w:val="21"/>
                    </w:rPr>
                    <w:t>60</w:t>
                  </w:r>
                </w:p>
              </w:tc>
            </w:tr>
            <w:tr w14:paraId="05C54F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006" w:type="dxa"/>
                  <w:vMerge w:val="continue"/>
                  <w:vAlign w:val="center"/>
                </w:tcPr>
                <w:p w14:paraId="0F2E03EA">
                  <w:pPr>
                    <w:widowControl/>
                    <w:jc w:val="center"/>
                    <w:rPr>
                      <w:szCs w:val="21"/>
                    </w:rPr>
                  </w:pPr>
                </w:p>
              </w:tc>
              <w:tc>
                <w:tcPr>
                  <w:tcW w:w="1364" w:type="dxa"/>
                  <w:vAlign w:val="center"/>
                </w:tcPr>
                <w:p w14:paraId="7358DC61">
                  <w:pPr>
                    <w:wordWrap w:val="0"/>
                    <w:jc w:val="center"/>
                    <w:rPr>
                      <w:bCs/>
                      <w:szCs w:val="21"/>
                    </w:rPr>
                  </w:pPr>
                  <w:r>
                    <w:rPr>
                      <w:rFonts w:hint="eastAsia"/>
                      <w:bCs/>
                      <w:szCs w:val="21"/>
                    </w:rPr>
                    <w:t>颗粒物</w:t>
                  </w:r>
                </w:p>
              </w:tc>
              <w:tc>
                <w:tcPr>
                  <w:tcW w:w="1361" w:type="dxa"/>
                  <w:vMerge w:val="continue"/>
                  <w:vAlign w:val="center"/>
                </w:tcPr>
                <w:p w14:paraId="330B742B">
                  <w:pPr>
                    <w:wordWrap w:val="0"/>
                    <w:jc w:val="center"/>
                    <w:rPr>
                      <w:bCs/>
                      <w:szCs w:val="21"/>
                    </w:rPr>
                  </w:pPr>
                </w:p>
              </w:tc>
              <w:tc>
                <w:tcPr>
                  <w:tcW w:w="3130" w:type="dxa"/>
                  <w:vMerge w:val="continue"/>
                  <w:vAlign w:val="center"/>
                </w:tcPr>
                <w:p w14:paraId="59746412">
                  <w:pPr>
                    <w:wordWrap w:val="0"/>
                    <w:rPr>
                      <w:bCs/>
                      <w:szCs w:val="21"/>
                    </w:rPr>
                  </w:pPr>
                </w:p>
              </w:tc>
              <w:tc>
                <w:tcPr>
                  <w:tcW w:w="1312" w:type="dxa"/>
                  <w:vAlign w:val="center"/>
                </w:tcPr>
                <w:p w14:paraId="612FE732">
                  <w:pPr>
                    <w:wordWrap w:val="0"/>
                    <w:jc w:val="center"/>
                    <w:rPr>
                      <w:bCs/>
                      <w:szCs w:val="21"/>
                    </w:rPr>
                  </w:pPr>
                  <w:r>
                    <w:rPr>
                      <w:rFonts w:hint="eastAsia"/>
                      <w:bCs/>
                      <w:szCs w:val="21"/>
                    </w:rPr>
                    <w:t>2</w:t>
                  </w:r>
                  <w:r>
                    <w:rPr>
                      <w:bCs/>
                      <w:szCs w:val="21"/>
                    </w:rPr>
                    <w:t>0</w:t>
                  </w:r>
                </w:p>
              </w:tc>
            </w:tr>
            <w:tr w14:paraId="4DFBD1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006" w:type="dxa"/>
                  <w:vMerge w:val="continue"/>
                  <w:vAlign w:val="center"/>
                </w:tcPr>
                <w:p w14:paraId="3AAFDED1">
                  <w:pPr>
                    <w:widowControl/>
                    <w:jc w:val="center"/>
                    <w:rPr>
                      <w:szCs w:val="21"/>
                    </w:rPr>
                  </w:pPr>
                </w:p>
              </w:tc>
              <w:tc>
                <w:tcPr>
                  <w:tcW w:w="1364" w:type="dxa"/>
                  <w:vAlign w:val="center"/>
                </w:tcPr>
                <w:p w14:paraId="0803CF39">
                  <w:pPr>
                    <w:wordWrap w:val="0"/>
                    <w:jc w:val="center"/>
                    <w:rPr>
                      <w:bCs/>
                      <w:szCs w:val="21"/>
                    </w:rPr>
                  </w:pPr>
                  <w:r>
                    <w:rPr>
                      <w:rFonts w:hint="eastAsia"/>
                      <w:bCs/>
                      <w:szCs w:val="21"/>
                    </w:rPr>
                    <w:t>氯化氢</w:t>
                  </w:r>
                </w:p>
              </w:tc>
              <w:tc>
                <w:tcPr>
                  <w:tcW w:w="1361" w:type="dxa"/>
                  <w:vMerge w:val="continue"/>
                  <w:vAlign w:val="center"/>
                </w:tcPr>
                <w:p w14:paraId="15316246">
                  <w:pPr>
                    <w:wordWrap w:val="0"/>
                    <w:jc w:val="center"/>
                    <w:rPr>
                      <w:bCs/>
                      <w:szCs w:val="21"/>
                    </w:rPr>
                  </w:pPr>
                </w:p>
              </w:tc>
              <w:tc>
                <w:tcPr>
                  <w:tcW w:w="3130" w:type="dxa"/>
                  <w:vMerge w:val="continue"/>
                  <w:vAlign w:val="center"/>
                </w:tcPr>
                <w:p w14:paraId="2293E37C">
                  <w:pPr>
                    <w:wordWrap w:val="0"/>
                    <w:rPr>
                      <w:bCs/>
                      <w:szCs w:val="21"/>
                    </w:rPr>
                  </w:pPr>
                </w:p>
              </w:tc>
              <w:tc>
                <w:tcPr>
                  <w:tcW w:w="1312" w:type="dxa"/>
                  <w:vAlign w:val="center"/>
                </w:tcPr>
                <w:p w14:paraId="1E8ACD89">
                  <w:pPr>
                    <w:wordWrap w:val="0"/>
                    <w:jc w:val="center"/>
                    <w:rPr>
                      <w:bCs/>
                      <w:szCs w:val="21"/>
                    </w:rPr>
                  </w:pPr>
                  <w:r>
                    <w:rPr>
                      <w:rFonts w:hint="eastAsia"/>
                      <w:bCs/>
                      <w:szCs w:val="21"/>
                    </w:rPr>
                    <w:t>2</w:t>
                  </w:r>
                  <w:r>
                    <w:rPr>
                      <w:bCs/>
                      <w:szCs w:val="21"/>
                    </w:rPr>
                    <w:t>0</w:t>
                  </w:r>
                </w:p>
              </w:tc>
            </w:tr>
            <w:tr w14:paraId="25DC2F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731" w:type="dxa"/>
                  <w:gridSpan w:val="3"/>
                  <w:vAlign w:val="center"/>
                </w:tcPr>
                <w:p w14:paraId="0E3CA630">
                  <w:pPr>
                    <w:wordWrap w:val="0"/>
                    <w:jc w:val="center"/>
                    <w:rPr>
                      <w:bCs/>
                      <w:szCs w:val="21"/>
                    </w:rPr>
                  </w:pPr>
                  <w:r>
                    <w:rPr>
                      <w:rFonts w:hint="eastAsia"/>
                      <w:bCs/>
                      <w:szCs w:val="21"/>
                    </w:rPr>
                    <w:t>单位产品非甲烷总烃排放量(kg/t 产品)</w:t>
                  </w:r>
                </w:p>
              </w:tc>
              <w:tc>
                <w:tcPr>
                  <w:tcW w:w="3130" w:type="dxa"/>
                  <w:vMerge w:val="continue"/>
                  <w:vAlign w:val="center"/>
                </w:tcPr>
                <w:p w14:paraId="47C03144">
                  <w:pPr>
                    <w:wordWrap w:val="0"/>
                    <w:rPr>
                      <w:bCs/>
                      <w:szCs w:val="21"/>
                    </w:rPr>
                  </w:pPr>
                </w:p>
              </w:tc>
              <w:tc>
                <w:tcPr>
                  <w:tcW w:w="1312" w:type="dxa"/>
                  <w:vAlign w:val="center"/>
                </w:tcPr>
                <w:p w14:paraId="332ECF87">
                  <w:pPr>
                    <w:wordWrap w:val="0"/>
                    <w:jc w:val="center"/>
                    <w:rPr>
                      <w:bCs/>
                      <w:szCs w:val="21"/>
                    </w:rPr>
                  </w:pPr>
                  <w:r>
                    <w:rPr>
                      <w:rFonts w:hint="eastAsia"/>
                      <w:bCs/>
                      <w:szCs w:val="21"/>
                    </w:rPr>
                    <w:t>0</w:t>
                  </w:r>
                  <w:r>
                    <w:rPr>
                      <w:bCs/>
                      <w:szCs w:val="21"/>
                    </w:rPr>
                    <w:t>.3</w:t>
                  </w:r>
                </w:p>
              </w:tc>
            </w:tr>
            <w:tr w14:paraId="04800C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006" w:type="dxa"/>
                  <w:vMerge w:val="restart"/>
                  <w:vAlign w:val="center"/>
                </w:tcPr>
                <w:p w14:paraId="7D79FA15">
                  <w:pPr>
                    <w:wordWrap w:val="0"/>
                    <w:jc w:val="center"/>
                    <w:rPr>
                      <w:bCs/>
                      <w:szCs w:val="21"/>
                    </w:rPr>
                  </w:pPr>
                  <w:r>
                    <w:rPr>
                      <w:rFonts w:hint="eastAsia"/>
                      <w:bCs/>
                      <w:szCs w:val="21"/>
                    </w:rPr>
                    <w:t>厂界</w:t>
                  </w:r>
                </w:p>
              </w:tc>
              <w:tc>
                <w:tcPr>
                  <w:tcW w:w="1364" w:type="dxa"/>
                  <w:vAlign w:val="center"/>
                </w:tcPr>
                <w:p w14:paraId="4B7BE7F2">
                  <w:pPr>
                    <w:wordWrap w:val="0"/>
                    <w:jc w:val="center"/>
                    <w:rPr>
                      <w:bCs/>
                      <w:szCs w:val="21"/>
                    </w:rPr>
                  </w:pPr>
                  <w:r>
                    <w:rPr>
                      <w:rFonts w:hint="eastAsia"/>
                      <w:bCs/>
                      <w:szCs w:val="21"/>
                    </w:rPr>
                    <w:t>非甲烷总烃</w:t>
                  </w:r>
                </w:p>
              </w:tc>
              <w:tc>
                <w:tcPr>
                  <w:tcW w:w="1361" w:type="dxa"/>
                  <w:vMerge w:val="restart"/>
                  <w:vAlign w:val="center"/>
                </w:tcPr>
                <w:p w14:paraId="6B7E138A">
                  <w:pPr>
                    <w:wordWrap w:val="0"/>
                    <w:jc w:val="center"/>
                    <w:rPr>
                      <w:bCs/>
                      <w:szCs w:val="21"/>
                    </w:rPr>
                  </w:pPr>
                  <w:r>
                    <w:rPr>
                      <w:rFonts w:hint="eastAsia"/>
                      <w:bCs/>
                      <w:szCs w:val="21"/>
                    </w:rPr>
                    <w:t>无组织</w:t>
                  </w:r>
                </w:p>
              </w:tc>
              <w:tc>
                <w:tcPr>
                  <w:tcW w:w="3130" w:type="dxa"/>
                  <w:vMerge w:val="restart"/>
                  <w:vAlign w:val="center"/>
                </w:tcPr>
                <w:p w14:paraId="5EC09329">
                  <w:pPr>
                    <w:wordWrap w:val="0"/>
                    <w:rPr>
                      <w:bCs/>
                      <w:szCs w:val="21"/>
                    </w:rPr>
                  </w:pPr>
                  <w:r>
                    <w:rPr>
                      <w:rFonts w:hint="eastAsia"/>
                      <w:bCs/>
                      <w:szCs w:val="21"/>
                    </w:rPr>
                    <w:t>《合成树脂工业污染物排放标准》（</w:t>
                  </w:r>
                  <w:r>
                    <w:rPr>
                      <w:bCs/>
                      <w:szCs w:val="21"/>
                    </w:rPr>
                    <w:t>GB31572-2015</w:t>
                  </w:r>
                  <w:r>
                    <w:rPr>
                      <w:rFonts w:hint="eastAsia"/>
                      <w:bCs/>
                      <w:szCs w:val="21"/>
                    </w:rPr>
                    <w:t>）表</w:t>
                  </w:r>
                  <w:r>
                    <w:rPr>
                      <w:bCs/>
                      <w:szCs w:val="21"/>
                    </w:rPr>
                    <w:t>9</w:t>
                  </w:r>
                </w:p>
              </w:tc>
              <w:tc>
                <w:tcPr>
                  <w:tcW w:w="1312" w:type="dxa"/>
                  <w:vAlign w:val="center"/>
                </w:tcPr>
                <w:p w14:paraId="1CDA79D1">
                  <w:pPr>
                    <w:wordWrap w:val="0"/>
                    <w:jc w:val="center"/>
                    <w:rPr>
                      <w:bCs/>
                      <w:szCs w:val="21"/>
                    </w:rPr>
                  </w:pPr>
                  <w:r>
                    <w:rPr>
                      <w:bCs/>
                      <w:szCs w:val="21"/>
                    </w:rPr>
                    <w:t>4.0</w:t>
                  </w:r>
                </w:p>
              </w:tc>
            </w:tr>
            <w:tr w14:paraId="2BA891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006" w:type="dxa"/>
                  <w:vMerge w:val="continue"/>
                  <w:vAlign w:val="center"/>
                </w:tcPr>
                <w:p w14:paraId="3F65142E">
                  <w:pPr>
                    <w:wordWrap w:val="0"/>
                    <w:jc w:val="center"/>
                    <w:rPr>
                      <w:bCs/>
                      <w:szCs w:val="21"/>
                    </w:rPr>
                  </w:pPr>
                </w:p>
              </w:tc>
              <w:tc>
                <w:tcPr>
                  <w:tcW w:w="1364" w:type="dxa"/>
                  <w:vAlign w:val="center"/>
                </w:tcPr>
                <w:p w14:paraId="23C40E9E">
                  <w:pPr>
                    <w:wordWrap w:val="0"/>
                    <w:jc w:val="center"/>
                    <w:rPr>
                      <w:bCs/>
                      <w:szCs w:val="21"/>
                    </w:rPr>
                  </w:pPr>
                  <w:r>
                    <w:rPr>
                      <w:rFonts w:hint="eastAsia"/>
                      <w:bCs/>
                      <w:szCs w:val="21"/>
                    </w:rPr>
                    <w:t>颗粒物</w:t>
                  </w:r>
                </w:p>
              </w:tc>
              <w:tc>
                <w:tcPr>
                  <w:tcW w:w="1361" w:type="dxa"/>
                  <w:vMerge w:val="continue"/>
                  <w:vAlign w:val="center"/>
                </w:tcPr>
                <w:p w14:paraId="33717813">
                  <w:pPr>
                    <w:wordWrap w:val="0"/>
                    <w:jc w:val="center"/>
                    <w:rPr>
                      <w:bCs/>
                      <w:szCs w:val="21"/>
                    </w:rPr>
                  </w:pPr>
                </w:p>
              </w:tc>
              <w:tc>
                <w:tcPr>
                  <w:tcW w:w="3130" w:type="dxa"/>
                  <w:vMerge w:val="continue"/>
                  <w:vAlign w:val="center"/>
                </w:tcPr>
                <w:p w14:paraId="23183EFB">
                  <w:pPr>
                    <w:wordWrap w:val="0"/>
                    <w:rPr>
                      <w:bCs/>
                      <w:szCs w:val="21"/>
                    </w:rPr>
                  </w:pPr>
                </w:p>
              </w:tc>
              <w:tc>
                <w:tcPr>
                  <w:tcW w:w="1312" w:type="dxa"/>
                  <w:vAlign w:val="center"/>
                </w:tcPr>
                <w:p w14:paraId="7434E0FF">
                  <w:pPr>
                    <w:wordWrap w:val="0"/>
                    <w:jc w:val="center"/>
                    <w:rPr>
                      <w:bCs/>
                      <w:szCs w:val="21"/>
                    </w:rPr>
                  </w:pPr>
                  <w:r>
                    <w:rPr>
                      <w:rFonts w:hint="eastAsia"/>
                      <w:bCs/>
                      <w:szCs w:val="21"/>
                    </w:rPr>
                    <w:t>1</w:t>
                  </w:r>
                  <w:r>
                    <w:rPr>
                      <w:bCs/>
                      <w:szCs w:val="21"/>
                    </w:rPr>
                    <w:t>.0</w:t>
                  </w:r>
                </w:p>
              </w:tc>
            </w:tr>
            <w:tr w14:paraId="02A9E1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006" w:type="dxa"/>
                  <w:vMerge w:val="continue"/>
                  <w:vAlign w:val="center"/>
                </w:tcPr>
                <w:p w14:paraId="72881825">
                  <w:pPr>
                    <w:wordWrap w:val="0"/>
                    <w:jc w:val="center"/>
                    <w:rPr>
                      <w:bCs/>
                      <w:szCs w:val="21"/>
                    </w:rPr>
                  </w:pPr>
                </w:p>
              </w:tc>
              <w:tc>
                <w:tcPr>
                  <w:tcW w:w="1364" w:type="dxa"/>
                  <w:vAlign w:val="center"/>
                </w:tcPr>
                <w:p w14:paraId="6A133D33">
                  <w:pPr>
                    <w:wordWrap w:val="0"/>
                    <w:jc w:val="center"/>
                    <w:rPr>
                      <w:bCs/>
                      <w:szCs w:val="21"/>
                    </w:rPr>
                  </w:pPr>
                  <w:r>
                    <w:rPr>
                      <w:rFonts w:hint="eastAsia"/>
                      <w:bCs/>
                      <w:szCs w:val="21"/>
                    </w:rPr>
                    <w:t>氯化氢</w:t>
                  </w:r>
                </w:p>
              </w:tc>
              <w:tc>
                <w:tcPr>
                  <w:tcW w:w="1361" w:type="dxa"/>
                  <w:vMerge w:val="continue"/>
                  <w:vAlign w:val="center"/>
                </w:tcPr>
                <w:p w14:paraId="7F1FADCF">
                  <w:pPr>
                    <w:wordWrap w:val="0"/>
                    <w:jc w:val="center"/>
                    <w:rPr>
                      <w:bCs/>
                      <w:szCs w:val="21"/>
                    </w:rPr>
                  </w:pPr>
                </w:p>
              </w:tc>
              <w:tc>
                <w:tcPr>
                  <w:tcW w:w="3130" w:type="dxa"/>
                  <w:vMerge w:val="continue"/>
                  <w:vAlign w:val="center"/>
                </w:tcPr>
                <w:p w14:paraId="7D5BC7B2">
                  <w:pPr>
                    <w:wordWrap w:val="0"/>
                    <w:rPr>
                      <w:bCs/>
                      <w:szCs w:val="21"/>
                    </w:rPr>
                  </w:pPr>
                </w:p>
              </w:tc>
              <w:tc>
                <w:tcPr>
                  <w:tcW w:w="1312" w:type="dxa"/>
                  <w:vAlign w:val="center"/>
                </w:tcPr>
                <w:p w14:paraId="4508EE47">
                  <w:pPr>
                    <w:wordWrap w:val="0"/>
                    <w:jc w:val="center"/>
                    <w:rPr>
                      <w:bCs/>
                      <w:szCs w:val="21"/>
                    </w:rPr>
                  </w:pPr>
                  <w:r>
                    <w:rPr>
                      <w:rFonts w:hint="eastAsia"/>
                      <w:bCs/>
                      <w:szCs w:val="21"/>
                    </w:rPr>
                    <w:t>0</w:t>
                  </w:r>
                  <w:r>
                    <w:rPr>
                      <w:bCs/>
                      <w:szCs w:val="21"/>
                    </w:rPr>
                    <w:t>.2</w:t>
                  </w:r>
                </w:p>
              </w:tc>
            </w:tr>
          </w:tbl>
          <w:p w14:paraId="7CD7F179">
            <w:pPr>
              <w:jc w:val="center"/>
              <w:rPr>
                <w:b/>
                <w:bCs/>
                <w:szCs w:val="21"/>
              </w:rPr>
            </w:pPr>
            <w:r>
              <w:rPr>
                <w:b/>
                <w:bCs/>
                <w:szCs w:val="21"/>
              </w:rPr>
              <w:t>表</w:t>
            </w:r>
            <w:r>
              <w:rPr>
                <w:rFonts w:hint="eastAsia"/>
                <w:b/>
                <w:bCs/>
                <w:szCs w:val="21"/>
              </w:rPr>
              <w:t>3</w:t>
            </w:r>
            <w:r>
              <w:rPr>
                <w:b/>
                <w:bCs/>
                <w:szCs w:val="21"/>
              </w:rPr>
              <w:t>-3</w:t>
            </w:r>
            <w:r>
              <w:rPr>
                <w:rFonts w:hint="eastAsia"/>
                <w:b/>
                <w:bCs/>
                <w:szCs w:val="21"/>
              </w:rPr>
              <w:t xml:space="preserve">   厂区内VOCs无组织排放限值</w:t>
            </w:r>
          </w:p>
          <w:tbl>
            <w:tblPr>
              <w:tblStyle w:val="30"/>
              <w:tblW w:w="8381"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651"/>
              <w:gridCol w:w="1560"/>
              <w:gridCol w:w="1275"/>
              <w:gridCol w:w="3171"/>
            </w:tblGrid>
            <w:tr w14:paraId="5F7AEB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14" w:hRule="atLeast"/>
                <w:tblHeader/>
                <w:jc w:val="center"/>
              </w:trPr>
              <w:tc>
                <w:tcPr>
                  <w:tcW w:w="724" w:type="dxa"/>
                  <w:tcBorders>
                    <w:top w:val="single" w:color="auto" w:sz="12" w:space="0"/>
                    <w:bottom w:val="single" w:color="auto" w:sz="12" w:space="0"/>
                  </w:tcBorders>
                  <w:vAlign w:val="center"/>
                </w:tcPr>
                <w:p w14:paraId="0357B0E3">
                  <w:pPr>
                    <w:adjustRightInd w:val="0"/>
                    <w:jc w:val="center"/>
                    <w:rPr>
                      <w:b/>
                      <w:bCs/>
                      <w:kern w:val="28"/>
                      <w:szCs w:val="21"/>
                    </w:rPr>
                  </w:pPr>
                  <w:r>
                    <w:rPr>
                      <w:b/>
                      <w:bCs/>
                      <w:kern w:val="28"/>
                      <w:szCs w:val="21"/>
                    </w:rPr>
                    <w:t>污染因子</w:t>
                  </w:r>
                </w:p>
              </w:tc>
              <w:tc>
                <w:tcPr>
                  <w:tcW w:w="1651" w:type="dxa"/>
                  <w:tcBorders>
                    <w:top w:val="single" w:color="auto" w:sz="12" w:space="0"/>
                    <w:bottom w:val="single" w:color="auto" w:sz="12" w:space="0"/>
                  </w:tcBorders>
                  <w:vAlign w:val="center"/>
                </w:tcPr>
                <w:p w14:paraId="5629A6BE">
                  <w:pPr>
                    <w:adjustRightInd w:val="0"/>
                    <w:jc w:val="center"/>
                    <w:rPr>
                      <w:b/>
                      <w:bCs/>
                      <w:kern w:val="28"/>
                      <w:szCs w:val="21"/>
                    </w:rPr>
                  </w:pPr>
                  <w:r>
                    <w:rPr>
                      <w:rFonts w:hint="eastAsia"/>
                      <w:b/>
                      <w:bCs/>
                      <w:kern w:val="28"/>
                      <w:szCs w:val="21"/>
                    </w:rPr>
                    <w:t>特别排放限值（</w:t>
                  </w:r>
                  <w:r>
                    <w:rPr>
                      <w:b/>
                      <w:bCs/>
                      <w:kern w:val="28"/>
                      <w:szCs w:val="21"/>
                    </w:rPr>
                    <w:t>mg/m</w:t>
                  </w:r>
                  <w:r>
                    <w:rPr>
                      <w:b/>
                      <w:bCs/>
                      <w:kern w:val="28"/>
                      <w:szCs w:val="21"/>
                      <w:vertAlign w:val="superscript"/>
                    </w:rPr>
                    <w:t>3</w:t>
                  </w:r>
                  <w:r>
                    <w:rPr>
                      <w:rFonts w:hint="eastAsia"/>
                      <w:b/>
                      <w:bCs/>
                      <w:kern w:val="28"/>
                      <w:szCs w:val="21"/>
                    </w:rPr>
                    <w:t>）</w:t>
                  </w:r>
                </w:p>
              </w:tc>
              <w:tc>
                <w:tcPr>
                  <w:tcW w:w="1560" w:type="dxa"/>
                  <w:tcBorders>
                    <w:top w:val="single" w:color="auto" w:sz="12" w:space="0"/>
                    <w:bottom w:val="single" w:color="auto" w:sz="12" w:space="0"/>
                  </w:tcBorders>
                  <w:vAlign w:val="center"/>
                </w:tcPr>
                <w:p w14:paraId="16EE9C4B">
                  <w:pPr>
                    <w:adjustRightInd w:val="0"/>
                    <w:jc w:val="center"/>
                    <w:rPr>
                      <w:b/>
                      <w:bCs/>
                      <w:kern w:val="28"/>
                      <w:szCs w:val="21"/>
                    </w:rPr>
                  </w:pPr>
                  <w:r>
                    <w:rPr>
                      <w:rFonts w:hint="eastAsia"/>
                      <w:b/>
                      <w:bCs/>
                      <w:kern w:val="28"/>
                      <w:szCs w:val="21"/>
                    </w:rPr>
                    <w:t>限值含义</w:t>
                  </w:r>
                </w:p>
              </w:tc>
              <w:tc>
                <w:tcPr>
                  <w:tcW w:w="1275" w:type="dxa"/>
                  <w:tcBorders>
                    <w:top w:val="single" w:color="auto" w:sz="12" w:space="0"/>
                    <w:bottom w:val="single" w:color="auto" w:sz="12" w:space="0"/>
                  </w:tcBorders>
                  <w:vAlign w:val="center"/>
                </w:tcPr>
                <w:p w14:paraId="5AEEB7D8">
                  <w:pPr>
                    <w:adjustRightInd w:val="0"/>
                    <w:jc w:val="center"/>
                    <w:rPr>
                      <w:b/>
                      <w:bCs/>
                      <w:kern w:val="28"/>
                      <w:szCs w:val="21"/>
                    </w:rPr>
                  </w:pPr>
                  <w:r>
                    <w:rPr>
                      <w:b/>
                      <w:bCs/>
                      <w:kern w:val="28"/>
                      <w:szCs w:val="21"/>
                    </w:rPr>
                    <w:t>无组织排放监控</w:t>
                  </w:r>
                  <w:r>
                    <w:rPr>
                      <w:rFonts w:hint="eastAsia"/>
                      <w:b/>
                      <w:bCs/>
                      <w:kern w:val="28"/>
                      <w:szCs w:val="21"/>
                    </w:rPr>
                    <w:t>位置</w:t>
                  </w:r>
                </w:p>
              </w:tc>
              <w:tc>
                <w:tcPr>
                  <w:tcW w:w="3171" w:type="dxa"/>
                  <w:tcBorders>
                    <w:top w:val="single" w:color="auto" w:sz="12" w:space="0"/>
                    <w:bottom w:val="single" w:color="auto" w:sz="12" w:space="0"/>
                  </w:tcBorders>
                  <w:vAlign w:val="center"/>
                </w:tcPr>
                <w:p w14:paraId="130FC811">
                  <w:pPr>
                    <w:adjustRightInd w:val="0"/>
                    <w:jc w:val="center"/>
                    <w:rPr>
                      <w:b/>
                      <w:bCs/>
                      <w:kern w:val="28"/>
                      <w:szCs w:val="21"/>
                    </w:rPr>
                  </w:pPr>
                  <w:r>
                    <w:rPr>
                      <w:rFonts w:hint="eastAsia"/>
                      <w:b/>
                      <w:bCs/>
                      <w:kern w:val="28"/>
                      <w:szCs w:val="21"/>
                    </w:rPr>
                    <w:t>标准</w:t>
                  </w:r>
                </w:p>
              </w:tc>
            </w:tr>
            <w:tr w14:paraId="49055F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724" w:type="dxa"/>
                  <w:vMerge w:val="restart"/>
                  <w:tcBorders>
                    <w:top w:val="single" w:color="auto" w:sz="12" w:space="0"/>
                  </w:tcBorders>
                  <w:vAlign w:val="center"/>
                </w:tcPr>
                <w:p w14:paraId="09AB3C9E">
                  <w:pPr>
                    <w:adjustRightInd w:val="0"/>
                    <w:jc w:val="center"/>
                    <w:rPr>
                      <w:bCs/>
                      <w:kern w:val="28"/>
                      <w:szCs w:val="21"/>
                    </w:rPr>
                  </w:pPr>
                  <w:r>
                    <w:rPr>
                      <w:rFonts w:hint="eastAsia"/>
                      <w:bCs/>
                      <w:kern w:val="28"/>
                      <w:szCs w:val="21"/>
                    </w:rPr>
                    <w:t>非甲烷总烃</w:t>
                  </w:r>
                </w:p>
              </w:tc>
              <w:tc>
                <w:tcPr>
                  <w:tcW w:w="1651" w:type="dxa"/>
                  <w:tcBorders>
                    <w:top w:val="single" w:color="auto" w:sz="12" w:space="0"/>
                  </w:tcBorders>
                  <w:vAlign w:val="center"/>
                </w:tcPr>
                <w:p w14:paraId="09413C50">
                  <w:pPr>
                    <w:adjustRightInd w:val="0"/>
                    <w:jc w:val="center"/>
                    <w:rPr>
                      <w:bCs/>
                      <w:kern w:val="28"/>
                      <w:szCs w:val="21"/>
                    </w:rPr>
                  </w:pPr>
                  <w:r>
                    <w:rPr>
                      <w:rFonts w:hint="eastAsia"/>
                      <w:bCs/>
                      <w:kern w:val="28"/>
                      <w:szCs w:val="21"/>
                    </w:rPr>
                    <w:t>6</w:t>
                  </w:r>
                </w:p>
              </w:tc>
              <w:tc>
                <w:tcPr>
                  <w:tcW w:w="1560" w:type="dxa"/>
                  <w:tcBorders>
                    <w:top w:val="single" w:color="auto" w:sz="12" w:space="0"/>
                  </w:tcBorders>
                  <w:vAlign w:val="center"/>
                </w:tcPr>
                <w:p w14:paraId="26B38468">
                  <w:pPr>
                    <w:adjustRightInd w:val="0"/>
                    <w:jc w:val="center"/>
                    <w:rPr>
                      <w:bCs/>
                      <w:kern w:val="28"/>
                      <w:szCs w:val="21"/>
                    </w:rPr>
                  </w:pPr>
                  <w:r>
                    <w:rPr>
                      <w:rFonts w:hint="eastAsia"/>
                      <w:bCs/>
                      <w:kern w:val="28"/>
                      <w:szCs w:val="21"/>
                    </w:rPr>
                    <w:t>监控点处1h平均浓度值</w:t>
                  </w:r>
                </w:p>
              </w:tc>
              <w:tc>
                <w:tcPr>
                  <w:tcW w:w="1275" w:type="dxa"/>
                  <w:vMerge w:val="restart"/>
                  <w:tcBorders>
                    <w:top w:val="single" w:color="auto" w:sz="12" w:space="0"/>
                  </w:tcBorders>
                  <w:vAlign w:val="center"/>
                </w:tcPr>
                <w:p w14:paraId="4FEB5E3A">
                  <w:pPr>
                    <w:adjustRightInd w:val="0"/>
                    <w:jc w:val="center"/>
                    <w:rPr>
                      <w:bCs/>
                      <w:kern w:val="28"/>
                      <w:szCs w:val="21"/>
                    </w:rPr>
                  </w:pPr>
                  <w:r>
                    <w:rPr>
                      <w:rFonts w:hint="eastAsia"/>
                      <w:bCs/>
                      <w:kern w:val="28"/>
                      <w:szCs w:val="21"/>
                    </w:rPr>
                    <w:t>在厂房外设置监控点</w:t>
                  </w:r>
                </w:p>
              </w:tc>
              <w:tc>
                <w:tcPr>
                  <w:tcW w:w="3171" w:type="dxa"/>
                  <w:vMerge w:val="restart"/>
                  <w:tcBorders>
                    <w:top w:val="single" w:color="auto" w:sz="12" w:space="0"/>
                  </w:tcBorders>
                  <w:vAlign w:val="center"/>
                </w:tcPr>
                <w:p w14:paraId="138AA5C0">
                  <w:pPr>
                    <w:adjustRightInd w:val="0"/>
                    <w:jc w:val="center"/>
                    <w:rPr>
                      <w:bCs/>
                      <w:kern w:val="28"/>
                      <w:szCs w:val="21"/>
                    </w:rPr>
                  </w:pPr>
                  <w:r>
                    <w:rPr>
                      <w:rFonts w:hint="eastAsia"/>
                      <w:bCs/>
                      <w:kern w:val="28"/>
                      <w:szCs w:val="21"/>
                    </w:rPr>
                    <w:t>《挥发性有机物无组织排放控制标准》（GB37822-2019）表 A.1 规定特别排放限值</w:t>
                  </w:r>
                </w:p>
              </w:tc>
            </w:tr>
            <w:tr w14:paraId="599B01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724" w:type="dxa"/>
                  <w:vMerge w:val="continue"/>
                  <w:vAlign w:val="center"/>
                </w:tcPr>
                <w:p w14:paraId="6E30D71B">
                  <w:pPr>
                    <w:adjustRightInd w:val="0"/>
                    <w:jc w:val="center"/>
                    <w:rPr>
                      <w:bCs/>
                      <w:kern w:val="28"/>
                      <w:szCs w:val="21"/>
                    </w:rPr>
                  </w:pPr>
                </w:p>
              </w:tc>
              <w:tc>
                <w:tcPr>
                  <w:tcW w:w="1651" w:type="dxa"/>
                  <w:vAlign w:val="center"/>
                </w:tcPr>
                <w:p w14:paraId="62B909F0">
                  <w:pPr>
                    <w:adjustRightInd w:val="0"/>
                    <w:jc w:val="center"/>
                    <w:rPr>
                      <w:bCs/>
                      <w:kern w:val="28"/>
                      <w:szCs w:val="21"/>
                    </w:rPr>
                  </w:pPr>
                  <w:r>
                    <w:rPr>
                      <w:rFonts w:hint="eastAsia"/>
                      <w:bCs/>
                      <w:kern w:val="28"/>
                      <w:szCs w:val="21"/>
                    </w:rPr>
                    <w:t>20</w:t>
                  </w:r>
                </w:p>
              </w:tc>
              <w:tc>
                <w:tcPr>
                  <w:tcW w:w="1560" w:type="dxa"/>
                  <w:vAlign w:val="center"/>
                </w:tcPr>
                <w:p w14:paraId="6FBF2203">
                  <w:pPr>
                    <w:adjustRightInd w:val="0"/>
                    <w:jc w:val="center"/>
                    <w:rPr>
                      <w:bCs/>
                      <w:kern w:val="28"/>
                      <w:szCs w:val="21"/>
                    </w:rPr>
                  </w:pPr>
                  <w:r>
                    <w:rPr>
                      <w:rFonts w:hint="eastAsia"/>
                      <w:bCs/>
                      <w:kern w:val="28"/>
                      <w:szCs w:val="21"/>
                    </w:rPr>
                    <w:t>监控点处任意一次浓度值</w:t>
                  </w:r>
                </w:p>
              </w:tc>
              <w:tc>
                <w:tcPr>
                  <w:tcW w:w="1275" w:type="dxa"/>
                  <w:vMerge w:val="continue"/>
                  <w:vAlign w:val="center"/>
                </w:tcPr>
                <w:p w14:paraId="1288C787">
                  <w:pPr>
                    <w:adjustRightInd w:val="0"/>
                    <w:jc w:val="center"/>
                    <w:rPr>
                      <w:bCs/>
                      <w:kern w:val="28"/>
                      <w:szCs w:val="21"/>
                    </w:rPr>
                  </w:pPr>
                </w:p>
              </w:tc>
              <w:tc>
                <w:tcPr>
                  <w:tcW w:w="3171" w:type="dxa"/>
                  <w:vMerge w:val="continue"/>
                </w:tcPr>
                <w:p w14:paraId="245B3207">
                  <w:pPr>
                    <w:adjustRightInd w:val="0"/>
                    <w:jc w:val="center"/>
                    <w:rPr>
                      <w:bCs/>
                      <w:kern w:val="28"/>
                      <w:szCs w:val="21"/>
                    </w:rPr>
                  </w:pPr>
                </w:p>
              </w:tc>
            </w:tr>
          </w:tbl>
          <w:p w14:paraId="2AA58A3C">
            <w:pPr>
              <w:spacing w:line="360" w:lineRule="auto"/>
              <w:rPr>
                <w:b/>
                <w:bCs/>
                <w:sz w:val="24"/>
              </w:rPr>
            </w:pPr>
            <w:r>
              <w:rPr>
                <w:rFonts w:hint="eastAsia"/>
                <w:b/>
                <w:bCs/>
                <w:sz w:val="24"/>
              </w:rPr>
              <w:t>2.噪声排放标准</w:t>
            </w:r>
          </w:p>
          <w:p w14:paraId="2BB4EEEC">
            <w:pPr>
              <w:adjustRightInd w:val="0"/>
              <w:spacing w:line="360" w:lineRule="auto"/>
              <w:ind w:firstLine="480" w:firstLineChars="200"/>
              <w:rPr>
                <w:kern w:val="0"/>
                <w:sz w:val="24"/>
              </w:rPr>
            </w:pPr>
            <w:r>
              <w:rPr>
                <w:rFonts w:hint="eastAsia"/>
                <w:kern w:val="0"/>
                <w:sz w:val="24"/>
              </w:rPr>
              <w:t>本项目</w:t>
            </w:r>
            <w:r>
              <w:rPr>
                <w:kern w:val="0"/>
                <w:sz w:val="24"/>
              </w:rPr>
              <w:t>运营期厂界噪声执行《工业企业厂界环境噪声排放标准</w:t>
            </w:r>
            <w:r>
              <w:rPr>
                <w:rFonts w:hint="eastAsia"/>
                <w:kern w:val="0"/>
                <w:sz w:val="24"/>
              </w:rPr>
              <w:t>》</w:t>
            </w:r>
            <w:r>
              <w:rPr>
                <w:kern w:val="0"/>
                <w:sz w:val="24"/>
              </w:rPr>
              <w:t>（GB12348-2008）中3类标准</w:t>
            </w:r>
            <w:r>
              <w:rPr>
                <w:rFonts w:hint="eastAsia"/>
                <w:kern w:val="0"/>
                <w:sz w:val="24"/>
              </w:rPr>
              <w:t>，详见表3-</w:t>
            </w:r>
            <w:r>
              <w:rPr>
                <w:kern w:val="0"/>
                <w:sz w:val="24"/>
              </w:rPr>
              <w:t>4</w:t>
            </w:r>
            <w:r>
              <w:rPr>
                <w:rFonts w:hint="eastAsia"/>
                <w:kern w:val="0"/>
                <w:sz w:val="24"/>
              </w:rPr>
              <w:t>。</w:t>
            </w:r>
          </w:p>
          <w:p w14:paraId="573EA661">
            <w:pPr>
              <w:adjustRightInd w:val="0"/>
              <w:snapToGrid w:val="0"/>
              <w:ind w:firstLine="422" w:firstLineChars="200"/>
              <w:jc w:val="center"/>
              <w:rPr>
                <w:b/>
                <w:szCs w:val="21"/>
              </w:rPr>
            </w:pPr>
            <w:r>
              <w:rPr>
                <w:rFonts w:hint="eastAsia" w:hAnsi="宋体"/>
                <w:b/>
                <w:szCs w:val="21"/>
              </w:rPr>
              <w:t>表</w:t>
            </w:r>
            <w:r>
              <w:rPr>
                <w:rFonts w:hint="eastAsia"/>
                <w:b/>
                <w:szCs w:val="21"/>
              </w:rPr>
              <w:t>3-</w:t>
            </w:r>
            <w:r>
              <w:rPr>
                <w:b/>
                <w:szCs w:val="21"/>
              </w:rPr>
              <w:t>4</w:t>
            </w:r>
            <w:r>
              <w:rPr>
                <w:rFonts w:hint="eastAsia"/>
                <w:b/>
                <w:szCs w:val="21"/>
              </w:rPr>
              <w:t xml:space="preserve">    </w:t>
            </w:r>
            <w:r>
              <w:rPr>
                <w:rFonts w:hint="eastAsia" w:hAnsi="宋体"/>
                <w:b/>
                <w:szCs w:val="21"/>
              </w:rPr>
              <w:t>工业企业厂界环境噪声排放标准</w:t>
            </w:r>
          </w:p>
          <w:tbl>
            <w:tblPr>
              <w:tblStyle w:val="30"/>
              <w:tblW w:w="5000" w:type="pct"/>
              <w:tblInd w:w="7"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319"/>
              <w:gridCol w:w="1477"/>
              <w:gridCol w:w="1470"/>
              <w:gridCol w:w="4115"/>
            </w:tblGrid>
            <w:tr w14:paraId="59E5654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c>
                <w:tcPr>
                  <w:tcW w:w="787" w:type="pct"/>
                  <w:vMerge w:val="restart"/>
                  <w:vAlign w:val="center"/>
                </w:tcPr>
                <w:p w14:paraId="1981BE7E">
                  <w:pPr>
                    <w:widowControl/>
                    <w:adjustRightInd w:val="0"/>
                    <w:snapToGrid w:val="0"/>
                    <w:jc w:val="center"/>
                    <w:rPr>
                      <w:b/>
                      <w:bCs/>
                      <w:szCs w:val="21"/>
                    </w:rPr>
                  </w:pPr>
                  <w:r>
                    <w:rPr>
                      <w:rFonts w:hint="eastAsia" w:hAnsi="宋体"/>
                      <w:b/>
                      <w:bCs/>
                      <w:szCs w:val="21"/>
                    </w:rPr>
                    <w:t>功能区类别</w:t>
                  </w:r>
                </w:p>
              </w:tc>
              <w:tc>
                <w:tcPr>
                  <w:tcW w:w="1758" w:type="pct"/>
                  <w:gridSpan w:val="2"/>
                  <w:vAlign w:val="center"/>
                </w:tcPr>
                <w:p w14:paraId="2175A6CA">
                  <w:pPr>
                    <w:widowControl/>
                    <w:adjustRightInd w:val="0"/>
                    <w:snapToGrid w:val="0"/>
                    <w:jc w:val="center"/>
                    <w:rPr>
                      <w:b/>
                      <w:bCs/>
                      <w:szCs w:val="21"/>
                    </w:rPr>
                  </w:pPr>
                  <w:r>
                    <w:rPr>
                      <w:rFonts w:hint="eastAsia" w:hAnsi="宋体"/>
                      <w:b/>
                      <w:bCs/>
                      <w:szCs w:val="21"/>
                    </w:rPr>
                    <w:t>标准值</w:t>
                  </w:r>
                  <w:r>
                    <w:rPr>
                      <w:b/>
                      <w:bCs/>
                      <w:szCs w:val="21"/>
                    </w:rPr>
                    <w:t>dB</w:t>
                  </w:r>
                  <w:r>
                    <w:rPr>
                      <w:rFonts w:hint="eastAsia" w:hAnsi="宋体"/>
                      <w:b/>
                      <w:bCs/>
                      <w:szCs w:val="21"/>
                    </w:rPr>
                    <w:t>（</w:t>
                  </w:r>
                  <w:r>
                    <w:rPr>
                      <w:b/>
                      <w:bCs/>
                      <w:szCs w:val="21"/>
                    </w:rPr>
                    <w:t>A</w:t>
                  </w:r>
                  <w:r>
                    <w:rPr>
                      <w:rFonts w:hint="eastAsia" w:hAnsi="宋体"/>
                      <w:b/>
                      <w:bCs/>
                      <w:szCs w:val="21"/>
                    </w:rPr>
                    <w:t>）</w:t>
                  </w:r>
                </w:p>
              </w:tc>
              <w:tc>
                <w:tcPr>
                  <w:tcW w:w="2455" w:type="pct"/>
                  <w:vMerge w:val="restart"/>
                  <w:vAlign w:val="center"/>
                </w:tcPr>
                <w:p w14:paraId="398C6402">
                  <w:pPr>
                    <w:widowControl/>
                    <w:adjustRightInd w:val="0"/>
                    <w:snapToGrid w:val="0"/>
                    <w:jc w:val="center"/>
                    <w:rPr>
                      <w:b/>
                      <w:bCs/>
                      <w:szCs w:val="21"/>
                    </w:rPr>
                  </w:pPr>
                  <w:r>
                    <w:rPr>
                      <w:rFonts w:hint="eastAsia" w:hAnsi="宋体"/>
                      <w:b/>
                      <w:bCs/>
                      <w:szCs w:val="21"/>
                    </w:rPr>
                    <w:t>标准来源</w:t>
                  </w:r>
                </w:p>
              </w:tc>
            </w:tr>
            <w:tr w14:paraId="6AECAFD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33" w:hRule="atLeast"/>
              </w:trPr>
              <w:tc>
                <w:tcPr>
                  <w:tcW w:w="787" w:type="pct"/>
                  <w:vMerge w:val="continue"/>
                  <w:tcBorders>
                    <w:bottom w:val="single" w:color="000000" w:sz="12" w:space="0"/>
                  </w:tcBorders>
                  <w:vAlign w:val="center"/>
                </w:tcPr>
                <w:p w14:paraId="506B8313">
                  <w:pPr>
                    <w:widowControl/>
                    <w:adjustRightInd w:val="0"/>
                    <w:snapToGrid w:val="0"/>
                    <w:jc w:val="center"/>
                    <w:rPr>
                      <w:szCs w:val="21"/>
                    </w:rPr>
                  </w:pPr>
                </w:p>
              </w:tc>
              <w:tc>
                <w:tcPr>
                  <w:tcW w:w="881" w:type="pct"/>
                  <w:tcBorders>
                    <w:bottom w:val="single" w:color="000000" w:sz="12" w:space="0"/>
                  </w:tcBorders>
                  <w:vAlign w:val="center"/>
                </w:tcPr>
                <w:p w14:paraId="47905CC6">
                  <w:pPr>
                    <w:widowControl/>
                    <w:adjustRightInd w:val="0"/>
                    <w:snapToGrid w:val="0"/>
                    <w:jc w:val="center"/>
                    <w:rPr>
                      <w:b/>
                      <w:bCs/>
                      <w:szCs w:val="21"/>
                    </w:rPr>
                  </w:pPr>
                  <w:r>
                    <w:rPr>
                      <w:rFonts w:hint="eastAsia" w:hAnsi="宋体"/>
                      <w:b/>
                      <w:bCs/>
                      <w:szCs w:val="21"/>
                    </w:rPr>
                    <w:t>昼间</w:t>
                  </w:r>
                </w:p>
              </w:tc>
              <w:tc>
                <w:tcPr>
                  <w:tcW w:w="877" w:type="pct"/>
                  <w:tcBorders>
                    <w:bottom w:val="single" w:color="000000" w:sz="12" w:space="0"/>
                  </w:tcBorders>
                  <w:vAlign w:val="center"/>
                </w:tcPr>
                <w:p w14:paraId="0843EEDA">
                  <w:pPr>
                    <w:widowControl/>
                    <w:adjustRightInd w:val="0"/>
                    <w:snapToGrid w:val="0"/>
                    <w:jc w:val="center"/>
                    <w:rPr>
                      <w:b/>
                      <w:bCs/>
                      <w:szCs w:val="21"/>
                    </w:rPr>
                  </w:pPr>
                  <w:r>
                    <w:rPr>
                      <w:rFonts w:hint="eastAsia" w:hAnsi="宋体"/>
                      <w:b/>
                      <w:bCs/>
                      <w:szCs w:val="21"/>
                    </w:rPr>
                    <w:t>夜间</w:t>
                  </w:r>
                </w:p>
              </w:tc>
              <w:tc>
                <w:tcPr>
                  <w:tcW w:w="2455" w:type="pct"/>
                  <w:vMerge w:val="continue"/>
                  <w:tcBorders>
                    <w:bottom w:val="single" w:color="000000" w:sz="12" w:space="0"/>
                  </w:tcBorders>
                  <w:vAlign w:val="center"/>
                </w:tcPr>
                <w:p w14:paraId="312EC948">
                  <w:pPr>
                    <w:widowControl/>
                    <w:adjustRightInd w:val="0"/>
                    <w:snapToGrid w:val="0"/>
                    <w:jc w:val="center"/>
                    <w:rPr>
                      <w:szCs w:val="21"/>
                    </w:rPr>
                  </w:pPr>
                </w:p>
              </w:tc>
            </w:tr>
            <w:tr w14:paraId="0287C5C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c>
                <w:tcPr>
                  <w:tcW w:w="787" w:type="pct"/>
                  <w:tcBorders>
                    <w:top w:val="single" w:color="000000" w:sz="12" w:space="0"/>
                    <w:tl2br w:val="nil"/>
                    <w:tr2bl w:val="nil"/>
                  </w:tcBorders>
                  <w:vAlign w:val="center"/>
                </w:tcPr>
                <w:p w14:paraId="1521A48B">
                  <w:pPr>
                    <w:widowControl/>
                    <w:adjustRightInd w:val="0"/>
                    <w:snapToGrid w:val="0"/>
                    <w:jc w:val="center"/>
                    <w:rPr>
                      <w:szCs w:val="21"/>
                    </w:rPr>
                  </w:pPr>
                  <w:r>
                    <w:rPr>
                      <w:rFonts w:hint="eastAsia"/>
                      <w:szCs w:val="21"/>
                    </w:rPr>
                    <w:t>3</w:t>
                  </w:r>
                  <w:r>
                    <w:rPr>
                      <w:rFonts w:hint="eastAsia" w:hAnsi="宋体"/>
                      <w:szCs w:val="21"/>
                    </w:rPr>
                    <w:t>类</w:t>
                  </w:r>
                </w:p>
              </w:tc>
              <w:tc>
                <w:tcPr>
                  <w:tcW w:w="881" w:type="pct"/>
                  <w:tcBorders>
                    <w:top w:val="single" w:color="000000" w:sz="12" w:space="0"/>
                    <w:tl2br w:val="nil"/>
                    <w:tr2bl w:val="nil"/>
                  </w:tcBorders>
                  <w:vAlign w:val="center"/>
                </w:tcPr>
                <w:p w14:paraId="46B22437">
                  <w:pPr>
                    <w:widowControl/>
                    <w:adjustRightInd w:val="0"/>
                    <w:snapToGrid w:val="0"/>
                    <w:jc w:val="center"/>
                    <w:rPr>
                      <w:szCs w:val="21"/>
                    </w:rPr>
                  </w:pPr>
                  <w:r>
                    <w:rPr>
                      <w:rFonts w:hint="eastAsia"/>
                      <w:szCs w:val="21"/>
                    </w:rPr>
                    <w:t>65</w:t>
                  </w:r>
                </w:p>
              </w:tc>
              <w:tc>
                <w:tcPr>
                  <w:tcW w:w="877" w:type="pct"/>
                  <w:tcBorders>
                    <w:top w:val="single" w:color="000000" w:sz="12" w:space="0"/>
                    <w:tl2br w:val="nil"/>
                    <w:tr2bl w:val="nil"/>
                  </w:tcBorders>
                  <w:vAlign w:val="center"/>
                </w:tcPr>
                <w:p w14:paraId="3B2422E7">
                  <w:pPr>
                    <w:widowControl/>
                    <w:adjustRightInd w:val="0"/>
                    <w:snapToGrid w:val="0"/>
                    <w:jc w:val="center"/>
                    <w:rPr>
                      <w:szCs w:val="21"/>
                    </w:rPr>
                  </w:pPr>
                  <w:r>
                    <w:rPr>
                      <w:rFonts w:hint="eastAsia"/>
                      <w:szCs w:val="21"/>
                    </w:rPr>
                    <w:t>55</w:t>
                  </w:r>
                </w:p>
              </w:tc>
              <w:tc>
                <w:tcPr>
                  <w:tcW w:w="2455" w:type="pct"/>
                  <w:tcBorders>
                    <w:top w:val="single" w:color="000000" w:sz="12" w:space="0"/>
                    <w:tl2br w:val="nil"/>
                    <w:tr2bl w:val="nil"/>
                  </w:tcBorders>
                  <w:vAlign w:val="center"/>
                </w:tcPr>
                <w:p w14:paraId="745BD859">
                  <w:pPr>
                    <w:widowControl/>
                    <w:adjustRightInd w:val="0"/>
                    <w:snapToGrid w:val="0"/>
                    <w:jc w:val="center"/>
                    <w:rPr>
                      <w:szCs w:val="21"/>
                    </w:rPr>
                  </w:pPr>
                  <w:r>
                    <w:rPr>
                      <w:rFonts w:hint="eastAsia" w:hAnsi="宋体"/>
                      <w:szCs w:val="21"/>
                    </w:rPr>
                    <w:t>《工业企业厂界环境噪声排放标准》（</w:t>
                  </w:r>
                  <w:r>
                    <w:rPr>
                      <w:szCs w:val="21"/>
                    </w:rPr>
                    <w:t>GB12348-20</w:t>
                  </w:r>
                  <w:r>
                    <w:rPr>
                      <w:rFonts w:hint="eastAsia"/>
                      <w:szCs w:val="21"/>
                    </w:rPr>
                    <w:t>08</w:t>
                  </w:r>
                  <w:r>
                    <w:rPr>
                      <w:rFonts w:hint="eastAsia" w:hAnsi="宋体"/>
                      <w:szCs w:val="21"/>
                    </w:rPr>
                    <w:t>）中3类标准</w:t>
                  </w:r>
                </w:p>
              </w:tc>
            </w:tr>
          </w:tbl>
          <w:p w14:paraId="28AC6949">
            <w:pPr>
              <w:spacing w:line="360" w:lineRule="auto"/>
              <w:rPr>
                <w:b/>
                <w:bCs/>
                <w:sz w:val="24"/>
              </w:rPr>
            </w:pPr>
            <w:r>
              <w:rPr>
                <w:b/>
                <w:bCs/>
                <w:sz w:val="24"/>
              </w:rPr>
              <w:t>3.</w:t>
            </w:r>
            <w:r>
              <w:rPr>
                <w:rFonts w:hint="eastAsia"/>
                <w:b/>
                <w:bCs/>
                <w:sz w:val="24"/>
              </w:rPr>
              <w:t xml:space="preserve"> 固废</w:t>
            </w:r>
          </w:p>
          <w:p w14:paraId="794FED42">
            <w:pPr>
              <w:pStyle w:val="55"/>
              <w:ind w:firstLine="480"/>
              <w:rPr>
                <w:szCs w:val="24"/>
              </w:rPr>
            </w:pPr>
            <w:r>
              <w:rPr>
                <w:rFonts w:hint="eastAsia"/>
                <w:szCs w:val="24"/>
              </w:rPr>
              <w:t>一般固废</w:t>
            </w:r>
            <w:r>
              <w:rPr>
                <w:szCs w:val="24"/>
              </w:rPr>
              <w:t>执行《一般工业固体废物贮存和填埋污染控制标准》（GB18599-2020）要求</w:t>
            </w:r>
            <w:r>
              <w:rPr>
                <w:rFonts w:hint="eastAsia"/>
                <w:szCs w:val="24"/>
              </w:rPr>
              <w:t>；</w:t>
            </w:r>
            <w:r>
              <w:rPr>
                <w:szCs w:val="24"/>
              </w:rPr>
              <w:t>危险废物执行《危险废物贮存污染控制标准》（GB18597-2023）</w:t>
            </w:r>
            <w:r>
              <w:rPr>
                <w:rFonts w:hint="eastAsia"/>
                <w:szCs w:val="24"/>
              </w:rPr>
              <w:t>。</w:t>
            </w:r>
          </w:p>
        </w:tc>
      </w:tr>
      <w:tr w14:paraId="440A70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14" w:hRule="atLeast"/>
          <w:jc w:val="center"/>
        </w:trPr>
        <w:tc>
          <w:tcPr>
            <w:tcW w:w="800" w:type="dxa"/>
            <w:vAlign w:val="center"/>
          </w:tcPr>
          <w:p w14:paraId="6B3ED351">
            <w:pPr>
              <w:adjustRightInd w:val="0"/>
              <w:snapToGrid w:val="0"/>
              <w:jc w:val="center"/>
              <w:rPr>
                <w:rFonts w:ascii="宋体" w:hAnsi="宋体" w:cs="宋体"/>
                <w:color w:val="000000"/>
                <w:kern w:val="0"/>
                <w:szCs w:val="21"/>
              </w:rPr>
            </w:pPr>
            <w:r>
              <w:rPr>
                <w:rFonts w:hint="eastAsia" w:ascii="宋体" w:hAnsi="宋体" w:cs="宋体"/>
                <w:color w:val="000000"/>
                <w:kern w:val="0"/>
                <w:szCs w:val="21"/>
              </w:rPr>
              <w:t>总量</w:t>
            </w:r>
          </w:p>
          <w:p w14:paraId="643DC276">
            <w:pPr>
              <w:adjustRightInd w:val="0"/>
              <w:snapToGrid w:val="0"/>
              <w:jc w:val="center"/>
              <w:rPr>
                <w:rFonts w:ascii="宋体" w:hAnsi="宋体" w:cs="宋体"/>
                <w:color w:val="000000"/>
                <w:kern w:val="0"/>
                <w:szCs w:val="21"/>
              </w:rPr>
            </w:pPr>
            <w:r>
              <w:rPr>
                <w:rFonts w:hint="eastAsia" w:ascii="宋体" w:hAnsi="宋体" w:cs="宋体"/>
                <w:color w:val="000000"/>
                <w:kern w:val="0"/>
                <w:szCs w:val="21"/>
              </w:rPr>
              <w:t>控制</w:t>
            </w:r>
          </w:p>
          <w:p w14:paraId="305A0268">
            <w:pPr>
              <w:adjustRightInd w:val="0"/>
              <w:snapToGrid w:val="0"/>
              <w:jc w:val="center"/>
              <w:rPr>
                <w:rFonts w:ascii="宋体" w:hAnsi="宋体" w:cs="宋体"/>
                <w:color w:val="000000"/>
                <w:kern w:val="0"/>
                <w:szCs w:val="21"/>
              </w:rPr>
            </w:pPr>
            <w:r>
              <w:rPr>
                <w:rFonts w:hint="eastAsia" w:ascii="宋体" w:hAnsi="宋体" w:cs="宋体"/>
                <w:color w:val="000000"/>
                <w:kern w:val="0"/>
                <w:szCs w:val="21"/>
              </w:rPr>
              <w:t>指标</w:t>
            </w:r>
          </w:p>
        </w:tc>
        <w:tc>
          <w:tcPr>
            <w:tcW w:w="8190" w:type="dxa"/>
            <w:vAlign w:val="center"/>
          </w:tcPr>
          <w:p w14:paraId="2FBCDB76">
            <w:pPr>
              <w:pStyle w:val="55"/>
              <w:ind w:firstLine="480"/>
            </w:pPr>
            <w:r>
              <w:t>根据</w:t>
            </w:r>
            <w:r>
              <w:rPr>
                <w:rFonts w:hint="eastAsia"/>
              </w:rPr>
              <w:t>国家</w:t>
            </w:r>
            <w:r>
              <w:t>总量控制</w:t>
            </w:r>
            <w:r>
              <w:rPr>
                <w:rFonts w:hint="eastAsia"/>
              </w:rPr>
              <w:t>相关要求</w:t>
            </w:r>
            <w:r>
              <w:t>，确定本项目污染物排放总量控制因子为</w:t>
            </w:r>
            <w:r>
              <w:rPr>
                <w:rFonts w:hint="eastAsia"/>
              </w:rPr>
              <w:t>非甲烷总烃和颗粒物</w:t>
            </w:r>
            <w:r>
              <w:t>。</w:t>
            </w:r>
            <w:r>
              <w:rPr>
                <w:rFonts w:hint="eastAsia"/>
              </w:rPr>
              <w:t>因原有项目环境影响报告表编制较早，原环境影响评价批复文件未对原项目给出颗粒物、非甲烷总烃总量控制指标，故本次评价颗粒物、非甲烷总烃总量控制指标与原有项目总量一并申请。</w:t>
            </w:r>
          </w:p>
          <w:p w14:paraId="3AFCBD6F">
            <w:pPr>
              <w:pStyle w:val="55"/>
              <w:ind w:firstLine="480"/>
            </w:pPr>
            <w:r>
              <w:rPr>
                <w:rFonts w:hint="eastAsia"/>
              </w:rPr>
              <w:t>原有工程非甲烷总烃排放量为0.</w:t>
            </w:r>
            <w:r>
              <w:t>215</w:t>
            </w:r>
            <w:r>
              <w:rPr>
                <w:rFonts w:hint="eastAsia"/>
              </w:rPr>
              <w:t>t/a，</w:t>
            </w:r>
            <w:r>
              <w:rPr>
                <w:rFonts w:hint="eastAsia" w:cs="宋体"/>
                <w:szCs w:val="21"/>
              </w:rPr>
              <w:t>本项目非甲烷总烃排放量为</w:t>
            </w:r>
            <w:r>
              <w:rPr>
                <w:rFonts w:cs="宋体"/>
                <w:szCs w:val="21"/>
              </w:rPr>
              <w:t>0.0288</w:t>
            </w:r>
            <w:r>
              <w:rPr>
                <w:rFonts w:hint="eastAsia" w:cs="宋体"/>
                <w:szCs w:val="21"/>
              </w:rPr>
              <w:t>t/a，</w:t>
            </w:r>
            <w:r>
              <w:rPr>
                <w:rFonts w:hint="eastAsia"/>
              </w:rPr>
              <w:t>共计</w:t>
            </w:r>
            <w:r>
              <w:t>0.2438</w:t>
            </w:r>
            <w:r>
              <w:rPr>
                <w:rFonts w:hint="eastAsia"/>
              </w:rPr>
              <w:t>t/a；原有工程颗粒物排放量为0.</w:t>
            </w:r>
            <w:r>
              <w:t>177</w:t>
            </w:r>
            <w:r>
              <w:rPr>
                <w:rFonts w:hint="eastAsia"/>
              </w:rPr>
              <w:t>t/a，</w:t>
            </w:r>
            <w:r>
              <w:rPr>
                <w:rFonts w:hint="eastAsia" w:cs="宋体"/>
                <w:szCs w:val="21"/>
              </w:rPr>
              <w:t>本项目颗粒物排放量为0</w:t>
            </w:r>
            <w:r>
              <w:rPr>
                <w:rFonts w:cs="宋体"/>
                <w:szCs w:val="21"/>
              </w:rPr>
              <w:t>.288</w:t>
            </w:r>
            <w:r>
              <w:rPr>
                <w:rFonts w:hint="eastAsia" w:cs="宋体"/>
                <w:szCs w:val="21"/>
              </w:rPr>
              <w:t>t/a，</w:t>
            </w:r>
            <w:r>
              <w:rPr>
                <w:rFonts w:hint="eastAsia"/>
              </w:rPr>
              <w:t>共计</w:t>
            </w:r>
            <w:r>
              <w:t>0.465</w:t>
            </w:r>
            <w:r>
              <w:rPr>
                <w:rFonts w:hint="eastAsia"/>
              </w:rPr>
              <w:t>t/a。</w:t>
            </w:r>
          </w:p>
          <w:p w14:paraId="1571A66D">
            <w:pPr>
              <w:pStyle w:val="55"/>
              <w:ind w:firstLine="480"/>
            </w:pPr>
            <w:r>
              <w:rPr>
                <w:rFonts w:hint="eastAsia"/>
              </w:rPr>
              <w:t>本项目总量控制指标实行倍量替代，非甲烷总烃的替代总量为</w:t>
            </w:r>
            <w:r>
              <w:t>0.4876</w:t>
            </w:r>
            <w:r>
              <w:rPr>
                <w:rFonts w:hint="eastAsia"/>
              </w:rPr>
              <w:t>t/a、颗粒物替代总量为</w:t>
            </w:r>
            <w:r>
              <w:t>0.93</w:t>
            </w:r>
            <w:r>
              <w:rPr>
                <w:rFonts w:hint="eastAsia"/>
              </w:rPr>
              <w:t>t/a。本项目总量控制指标来源，以当地生态主管部门审批核准后，调剂解决。</w:t>
            </w:r>
          </w:p>
        </w:tc>
      </w:tr>
    </w:tbl>
    <w:p w14:paraId="5F83F9FD">
      <w:pPr>
        <w:pStyle w:val="26"/>
        <w:jc w:val="center"/>
        <w:outlineLvl w:val="0"/>
        <w:rPr>
          <w:rFonts w:ascii="黑体" w:hAnsi="黑体" w:eastAsia="黑体"/>
          <w:snapToGrid w:val="0"/>
          <w:color w:val="000000"/>
          <w:sz w:val="30"/>
          <w:szCs w:val="30"/>
        </w:rPr>
      </w:pPr>
      <w:r>
        <w:rPr>
          <w:rFonts w:ascii="黑体" w:hAnsi="黑体" w:eastAsia="黑体"/>
          <w:snapToGrid w:val="0"/>
          <w:color w:val="000000"/>
          <w:sz w:val="36"/>
          <w:szCs w:val="36"/>
        </w:rPr>
        <w:br w:type="page"/>
      </w:r>
      <w:r>
        <w:rPr>
          <w:rStyle w:val="38"/>
          <w:rFonts w:hint="eastAsia"/>
        </w:rPr>
        <w:t>四、主要环境影响和保护措施</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5"/>
        <w:gridCol w:w="8686"/>
      </w:tblGrid>
      <w:tr w14:paraId="16E91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Mar>
              <w:left w:w="28" w:type="dxa"/>
              <w:right w:w="28" w:type="dxa"/>
            </w:tcMar>
            <w:vAlign w:val="center"/>
          </w:tcPr>
          <w:p w14:paraId="651A56F1">
            <w:pPr>
              <w:pStyle w:val="26"/>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施工</w:t>
            </w:r>
          </w:p>
          <w:p w14:paraId="3E865B4E">
            <w:pPr>
              <w:pStyle w:val="26"/>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期环</w:t>
            </w:r>
          </w:p>
          <w:p w14:paraId="43698D90">
            <w:pPr>
              <w:pStyle w:val="26"/>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境保</w:t>
            </w:r>
          </w:p>
          <w:p w14:paraId="43689911">
            <w:pPr>
              <w:pStyle w:val="26"/>
              <w:adjustRightInd w:val="0"/>
              <w:snapToGrid w:val="0"/>
              <w:spacing w:before="0" w:beforeAutospacing="0" w:after="0" w:afterAutospacing="0"/>
              <w:jc w:val="center"/>
              <w:rPr>
                <w:rFonts w:cs="宋体"/>
                <w:color w:val="000000"/>
                <w:kern w:val="2"/>
                <w:sz w:val="21"/>
                <w:szCs w:val="21"/>
              </w:rPr>
            </w:pPr>
            <w:r>
              <w:rPr>
                <w:rFonts w:hint="eastAsia" w:cs="宋体"/>
                <w:color w:val="000000"/>
                <w:kern w:val="2"/>
                <w:sz w:val="21"/>
                <w:szCs w:val="21"/>
              </w:rPr>
              <w:t>护措</w:t>
            </w:r>
          </w:p>
          <w:p w14:paraId="1EC4ED28">
            <w:pPr>
              <w:pStyle w:val="26"/>
              <w:adjustRightInd w:val="0"/>
              <w:snapToGrid w:val="0"/>
              <w:spacing w:before="0" w:beforeAutospacing="0" w:after="0" w:afterAutospacing="0"/>
              <w:jc w:val="center"/>
              <w:rPr>
                <w:rFonts w:cs="宋体"/>
                <w:bCs/>
                <w:color w:val="000000"/>
                <w:kern w:val="2"/>
                <w:sz w:val="21"/>
                <w:szCs w:val="21"/>
              </w:rPr>
            </w:pPr>
            <w:r>
              <w:rPr>
                <w:rFonts w:hint="eastAsia" w:cs="宋体"/>
                <w:color w:val="000000"/>
                <w:kern w:val="2"/>
                <w:sz w:val="21"/>
                <w:szCs w:val="21"/>
              </w:rPr>
              <w:t>施</w:t>
            </w:r>
          </w:p>
        </w:tc>
        <w:tc>
          <w:tcPr>
            <w:tcW w:w="8346" w:type="dxa"/>
            <w:vAlign w:val="center"/>
          </w:tcPr>
          <w:p w14:paraId="03CAD20E">
            <w:pPr>
              <w:pStyle w:val="55"/>
              <w:ind w:firstLine="480"/>
              <w:rPr>
                <w:color w:val="000000"/>
              </w:rPr>
            </w:pPr>
            <w:r>
              <w:rPr>
                <w:rFonts w:hint="eastAsia"/>
              </w:rPr>
              <w:t>本项目为未批先建项目，生产设备已安装。施工期已结束，故不在此详述。</w:t>
            </w:r>
          </w:p>
        </w:tc>
      </w:tr>
      <w:tr w14:paraId="61EB21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tcMar>
              <w:left w:w="28" w:type="dxa"/>
              <w:right w:w="28" w:type="dxa"/>
            </w:tcMar>
            <w:vAlign w:val="center"/>
          </w:tcPr>
          <w:p w14:paraId="06474D2C">
            <w:pPr>
              <w:adjustRightInd w:val="0"/>
              <w:snapToGrid w:val="0"/>
              <w:jc w:val="center"/>
              <w:rPr>
                <w:rFonts w:ascii="宋体" w:hAnsi="宋体" w:cs="宋体"/>
                <w:bCs/>
                <w:color w:val="000000"/>
                <w:sz w:val="24"/>
              </w:rPr>
            </w:pPr>
            <w:r>
              <w:rPr>
                <w:rFonts w:hint="eastAsia" w:ascii="宋体" w:hAnsi="宋体" w:cs="宋体"/>
                <w:bCs/>
                <w:color w:val="000000"/>
                <w:sz w:val="24"/>
              </w:rPr>
              <w:t>运营</w:t>
            </w:r>
          </w:p>
          <w:p w14:paraId="786835B2">
            <w:pPr>
              <w:adjustRightInd w:val="0"/>
              <w:snapToGrid w:val="0"/>
              <w:jc w:val="center"/>
              <w:rPr>
                <w:rFonts w:ascii="宋体" w:hAnsi="宋体" w:cs="宋体"/>
                <w:bCs/>
                <w:color w:val="000000"/>
                <w:sz w:val="24"/>
              </w:rPr>
            </w:pPr>
            <w:r>
              <w:rPr>
                <w:rFonts w:hint="eastAsia" w:ascii="宋体" w:hAnsi="宋体" w:cs="宋体"/>
                <w:bCs/>
                <w:color w:val="000000"/>
                <w:sz w:val="24"/>
              </w:rPr>
              <w:t>期环</w:t>
            </w:r>
          </w:p>
          <w:p w14:paraId="50E0EE04">
            <w:pPr>
              <w:adjustRightInd w:val="0"/>
              <w:snapToGrid w:val="0"/>
              <w:jc w:val="center"/>
              <w:rPr>
                <w:rFonts w:ascii="宋体" w:hAnsi="宋体" w:cs="宋体"/>
                <w:bCs/>
                <w:color w:val="000000"/>
                <w:sz w:val="24"/>
              </w:rPr>
            </w:pPr>
            <w:r>
              <w:rPr>
                <w:rFonts w:hint="eastAsia" w:ascii="宋体" w:hAnsi="宋体" w:cs="宋体"/>
                <w:bCs/>
                <w:color w:val="000000"/>
                <w:sz w:val="24"/>
              </w:rPr>
              <w:t>境影</w:t>
            </w:r>
          </w:p>
          <w:p w14:paraId="6017EF23">
            <w:pPr>
              <w:adjustRightInd w:val="0"/>
              <w:snapToGrid w:val="0"/>
              <w:jc w:val="center"/>
              <w:rPr>
                <w:rFonts w:ascii="宋体" w:hAnsi="宋体" w:cs="宋体"/>
                <w:bCs/>
                <w:color w:val="000000"/>
                <w:sz w:val="24"/>
              </w:rPr>
            </w:pPr>
            <w:r>
              <w:rPr>
                <w:rFonts w:hint="eastAsia" w:ascii="宋体" w:hAnsi="宋体" w:cs="宋体"/>
                <w:bCs/>
                <w:color w:val="000000"/>
                <w:sz w:val="24"/>
              </w:rPr>
              <w:t>响和</w:t>
            </w:r>
          </w:p>
          <w:p w14:paraId="113DE9D5">
            <w:pPr>
              <w:adjustRightInd w:val="0"/>
              <w:snapToGrid w:val="0"/>
              <w:jc w:val="center"/>
              <w:rPr>
                <w:rFonts w:ascii="宋体" w:hAnsi="宋体" w:cs="宋体"/>
                <w:bCs/>
                <w:color w:val="000000"/>
                <w:sz w:val="24"/>
              </w:rPr>
            </w:pPr>
            <w:r>
              <w:rPr>
                <w:rFonts w:hint="eastAsia" w:ascii="宋体" w:hAnsi="宋体" w:cs="宋体"/>
                <w:bCs/>
                <w:color w:val="000000"/>
                <w:sz w:val="24"/>
              </w:rPr>
              <w:t>保护</w:t>
            </w:r>
          </w:p>
          <w:p w14:paraId="0F405B3C">
            <w:pPr>
              <w:adjustRightInd w:val="0"/>
              <w:snapToGrid w:val="0"/>
              <w:jc w:val="center"/>
              <w:rPr>
                <w:rFonts w:ascii="宋体" w:hAnsi="宋体" w:cs="宋体"/>
                <w:bCs/>
                <w:color w:val="000000"/>
                <w:szCs w:val="21"/>
              </w:rPr>
            </w:pPr>
            <w:r>
              <w:rPr>
                <w:rFonts w:hint="eastAsia" w:ascii="宋体" w:hAnsi="宋体" w:cs="宋体"/>
                <w:bCs/>
                <w:color w:val="000000"/>
                <w:sz w:val="24"/>
              </w:rPr>
              <w:t>措施</w:t>
            </w:r>
          </w:p>
        </w:tc>
        <w:tc>
          <w:tcPr>
            <w:tcW w:w="8346" w:type="dxa"/>
            <w:vAlign w:val="center"/>
          </w:tcPr>
          <w:p w14:paraId="32F8D1E2">
            <w:pPr>
              <w:adjustRightInd w:val="0"/>
              <w:snapToGrid w:val="0"/>
              <w:spacing w:line="360" w:lineRule="auto"/>
              <w:rPr>
                <w:b/>
                <w:kern w:val="0"/>
                <w:sz w:val="24"/>
                <w:szCs w:val="20"/>
              </w:rPr>
            </w:pPr>
            <w:r>
              <w:rPr>
                <w:b/>
                <w:kern w:val="0"/>
                <w:sz w:val="24"/>
                <w:szCs w:val="20"/>
              </w:rPr>
              <w:t>1.大气环境影响及保护措施</w:t>
            </w:r>
          </w:p>
          <w:p w14:paraId="0E9890B7">
            <w:pPr>
              <w:pStyle w:val="4"/>
              <w:ind w:firstLine="0" w:firstLineChars="0"/>
              <w:rPr>
                <w:color w:val="000000"/>
              </w:rPr>
            </w:pPr>
            <w:r>
              <w:rPr>
                <w:color w:val="000000"/>
              </w:rPr>
              <w:t>1.1</w:t>
            </w:r>
            <w:r>
              <w:rPr>
                <w:rFonts w:hint="eastAsia"/>
                <w:color w:val="000000"/>
              </w:rPr>
              <w:t>废气环境影响分析及防治措施</w:t>
            </w:r>
          </w:p>
          <w:p w14:paraId="6FA205A0">
            <w:pPr>
              <w:pStyle w:val="55"/>
              <w:ind w:firstLine="480"/>
            </w:pPr>
            <w:r>
              <w:rPr>
                <w:rFonts w:hint="eastAsia"/>
              </w:rPr>
              <w:t>本项目产生的废气主要为混合搅拌、破碎过程中产生的粉尘以及挤出工序产生的有机废气。颗粒物经过集气罩收集由布袋除尘处理后通过1根15m高排气筒排放。有机废气通过集气罩收集后经活性炭吸附+催化燃烧装置处理后经15m高排气筒排放。</w:t>
            </w:r>
          </w:p>
          <w:p w14:paraId="01DB6D6F">
            <w:pPr>
              <w:pStyle w:val="55"/>
              <w:ind w:firstLine="480"/>
              <w:rPr>
                <w:color w:val="FF0000"/>
              </w:rPr>
            </w:pPr>
            <w:r>
              <w:t>本</w:t>
            </w:r>
            <w:r>
              <w:rPr>
                <w:rFonts w:hint="eastAsia"/>
              </w:rPr>
              <w:t>项目废气</w:t>
            </w:r>
            <w:r>
              <w:t>污染源强核算采用类比法，本项目为</w:t>
            </w:r>
            <w:r>
              <w:rPr>
                <w:rFonts w:hint="eastAsia"/>
              </w:rPr>
              <w:t>塑料制品业</w:t>
            </w:r>
            <w:r>
              <w:t>，本次评价收集了与本项目类似的“</w:t>
            </w:r>
            <w:r>
              <w:rPr>
                <w:rFonts w:hint="eastAsia"/>
              </w:rPr>
              <w:t>新疆天科科技发展有限公司年产2万4千吨环保塑料管道项目</w:t>
            </w:r>
            <w:r>
              <w:t xml:space="preserve">”竣工环保验收的实测数据，进行类比分析。根据《污染源源强核算技术指南 </w:t>
            </w:r>
            <w:r>
              <w:rPr>
                <w:rFonts w:hint="eastAsia"/>
              </w:rPr>
              <w:t>准则</w:t>
            </w:r>
            <w:r>
              <w:t>》（HJ884-2018）类比条件，本项目与类比项目合理性分析见表4-1。</w:t>
            </w:r>
          </w:p>
          <w:p w14:paraId="5A01FA56">
            <w:pPr>
              <w:pStyle w:val="59"/>
              <w:spacing w:before="24" w:beforeLines="10" w:after="24" w:afterLines="10"/>
              <w:rPr>
                <w:b w:val="0"/>
                <w:bCs/>
                <w:szCs w:val="21"/>
              </w:rPr>
            </w:pPr>
            <w:r>
              <w:rPr>
                <w:bCs/>
                <w:szCs w:val="21"/>
              </w:rPr>
              <w:t>表4-1    污染源强类比合理性分析表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3146"/>
              <w:gridCol w:w="2985"/>
              <w:gridCol w:w="1137"/>
            </w:tblGrid>
            <w:tr w14:paraId="7AE5E2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708" w:type="pct"/>
                  <w:tcBorders>
                    <w:top w:val="single" w:color="auto" w:sz="12" w:space="0"/>
                    <w:bottom w:val="single" w:color="auto" w:sz="12" w:space="0"/>
                  </w:tcBorders>
                  <w:vAlign w:val="center"/>
                </w:tcPr>
                <w:p w14:paraId="18EDAC3C">
                  <w:pPr>
                    <w:adjustRightInd w:val="0"/>
                    <w:snapToGrid w:val="0"/>
                    <w:spacing w:before="24" w:beforeLines="10" w:after="24" w:afterLines="10"/>
                    <w:jc w:val="center"/>
                    <w:textAlignment w:val="baseline"/>
                    <w:rPr>
                      <w:b/>
                      <w:bCs/>
                      <w:kern w:val="0"/>
                      <w:szCs w:val="21"/>
                    </w:rPr>
                  </w:pPr>
                  <w:r>
                    <w:rPr>
                      <w:b/>
                      <w:bCs/>
                      <w:kern w:val="0"/>
                      <w:szCs w:val="21"/>
                    </w:rPr>
                    <w:t>类别</w:t>
                  </w:r>
                </w:p>
              </w:tc>
              <w:tc>
                <w:tcPr>
                  <w:tcW w:w="1858" w:type="pct"/>
                  <w:tcBorders>
                    <w:top w:val="single" w:color="auto" w:sz="12" w:space="0"/>
                    <w:bottom w:val="single" w:color="auto" w:sz="12" w:space="0"/>
                  </w:tcBorders>
                  <w:vAlign w:val="center"/>
                </w:tcPr>
                <w:p w14:paraId="70F52EFE">
                  <w:pPr>
                    <w:adjustRightInd w:val="0"/>
                    <w:snapToGrid w:val="0"/>
                    <w:spacing w:before="24" w:beforeLines="10" w:after="24" w:afterLines="10"/>
                    <w:jc w:val="center"/>
                    <w:textAlignment w:val="baseline"/>
                    <w:rPr>
                      <w:b/>
                      <w:bCs/>
                      <w:kern w:val="0"/>
                      <w:szCs w:val="21"/>
                    </w:rPr>
                  </w:pPr>
                  <w:r>
                    <w:rPr>
                      <w:rFonts w:hint="eastAsia"/>
                      <w:b/>
                      <w:bCs/>
                      <w:szCs w:val="21"/>
                    </w:rPr>
                    <w:t>新疆天科科技</w:t>
                  </w:r>
                </w:p>
              </w:tc>
              <w:tc>
                <w:tcPr>
                  <w:tcW w:w="1763" w:type="pct"/>
                  <w:tcBorders>
                    <w:top w:val="single" w:color="auto" w:sz="12" w:space="0"/>
                    <w:bottom w:val="single" w:color="auto" w:sz="12" w:space="0"/>
                  </w:tcBorders>
                  <w:vAlign w:val="center"/>
                </w:tcPr>
                <w:p w14:paraId="0918C521">
                  <w:pPr>
                    <w:adjustRightInd w:val="0"/>
                    <w:snapToGrid w:val="0"/>
                    <w:spacing w:before="24" w:beforeLines="10" w:after="24" w:afterLines="10"/>
                    <w:jc w:val="center"/>
                    <w:textAlignment w:val="baseline"/>
                    <w:rPr>
                      <w:b/>
                      <w:bCs/>
                      <w:kern w:val="0"/>
                      <w:szCs w:val="21"/>
                    </w:rPr>
                  </w:pPr>
                  <w:r>
                    <w:rPr>
                      <w:b/>
                      <w:bCs/>
                      <w:kern w:val="0"/>
                      <w:szCs w:val="21"/>
                    </w:rPr>
                    <w:t>本项目</w:t>
                  </w:r>
                </w:p>
              </w:tc>
              <w:tc>
                <w:tcPr>
                  <w:tcW w:w="671" w:type="pct"/>
                  <w:tcBorders>
                    <w:top w:val="single" w:color="auto" w:sz="12" w:space="0"/>
                    <w:bottom w:val="single" w:color="auto" w:sz="12" w:space="0"/>
                  </w:tcBorders>
                  <w:vAlign w:val="center"/>
                </w:tcPr>
                <w:p w14:paraId="164F4A66">
                  <w:pPr>
                    <w:adjustRightInd w:val="0"/>
                    <w:snapToGrid w:val="0"/>
                    <w:spacing w:before="24" w:beforeLines="10" w:after="24" w:afterLines="10"/>
                    <w:jc w:val="center"/>
                    <w:textAlignment w:val="baseline"/>
                    <w:rPr>
                      <w:b/>
                      <w:bCs/>
                      <w:kern w:val="0"/>
                      <w:szCs w:val="21"/>
                    </w:rPr>
                  </w:pPr>
                  <w:r>
                    <w:rPr>
                      <w:b/>
                      <w:bCs/>
                      <w:kern w:val="0"/>
                      <w:szCs w:val="21"/>
                    </w:rPr>
                    <w:t>备注</w:t>
                  </w:r>
                </w:p>
              </w:tc>
            </w:tr>
            <w:tr w14:paraId="3C7F03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tcBorders>
                    <w:top w:val="single" w:color="auto" w:sz="12" w:space="0"/>
                  </w:tcBorders>
                  <w:vAlign w:val="center"/>
                </w:tcPr>
                <w:p w14:paraId="602F3239">
                  <w:pPr>
                    <w:adjustRightInd w:val="0"/>
                    <w:snapToGrid w:val="0"/>
                    <w:spacing w:before="24" w:beforeLines="10" w:after="24" w:afterLines="10"/>
                    <w:jc w:val="center"/>
                    <w:textAlignment w:val="baseline"/>
                    <w:rPr>
                      <w:kern w:val="0"/>
                      <w:szCs w:val="21"/>
                    </w:rPr>
                  </w:pPr>
                  <w:r>
                    <w:rPr>
                      <w:kern w:val="0"/>
                      <w:szCs w:val="21"/>
                    </w:rPr>
                    <w:t>原料</w:t>
                  </w:r>
                </w:p>
              </w:tc>
              <w:tc>
                <w:tcPr>
                  <w:tcW w:w="1858" w:type="pct"/>
                  <w:tcBorders>
                    <w:top w:val="single" w:color="auto" w:sz="12" w:space="0"/>
                  </w:tcBorders>
                  <w:vAlign w:val="center"/>
                </w:tcPr>
                <w:p w14:paraId="0DA699F0">
                  <w:pPr>
                    <w:adjustRightInd w:val="0"/>
                    <w:snapToGrid w:val="0"/>
                    <w:spacing w:before="24" w:beforeLines="10" w:after="24" w:afterLines="10"/>
                    <w:jc w:val="center"/>
                    <w:textAlignment w:val="baseline"/>
                    <w:rPr>
                      <w:kern w:val="0"/>
                      <w:szCs w:val="21"/>
                    </w:rPr>
                  </w:pPr>
                  <w:r>
                    <w:rPr>
                      <w:rFonts w:hint="eastAsia"/>
                      <w:kern w:val="0"/>
                      <w:szCs w:val="21"/>
                    </w:rPr>
                    <w:t>P</w:t>
                  </w:r>
                  <w:r>
                    <w:rPr>
                      <w:kern w:val="0"/>
                      <w:szCs w:val="21"/>
                    </w:rPr>
                    <w:t>VC</w:t>
                  </w:r>
                  <w:r>
                    <w:rPr>
                      <w:rFonts w:hint="eastAsia"/>
                      <w:kern w:val="0"/>
                      <w:szCs w:val="21"/>
                    </w:rPr>
                    <w:t>、P</w:t>
                  </w:r>
                  <w:r>
                    <w:rPr>
                      <w:kern w:val="0"/>
                      <w:szCs w:val="21"/>
                    </w:rPr>
                    <w:t>E</w:t>
                  </w:r>
                </w:p>
              </w:tc>
              <w:tc>
                <w:tcPr>
                  <w:tcW w:w="1763" w:type="pct"/>
                  <w:tcBorders>
                    <w:top w:val="single" w:color="auto" w:sz="12" w:space="0"/>
                  </w:tcBorders>
                  <w:vAlign w:val="center"/>
                </w:tcPr>
                <w:p w14:paraId="4B6C4EE0">
                  <w:pPr>
                    <w:adjustRightInd w:val="0"/>
                    <w:snapToGrid w:val="0"/>
                    <w:spacing w:before="24" w:beforeLines="10" w:after="24" w:afterLines="10"/>
                    <w:jc w:val="center"/>
                    <w:textAlignment w:val="baseline"/>
                    <w:rPr>
                      <w:kern w:val="0"/>
                      <w:szCs w:val="21"/>
                    </w:rPr>
                  </w:pPr>
                  <w:r>
                    <w:rPr>
                      <w:rFonts w:hint="eastAsia"/>
                      <w:kern w:val="0"/>
                      <w:szCs w:val="21"/>
                    </w:rPr>
                    <w:t>P</w:t>
                  </w:r>
                  <w:r>
                    <w:rPr>
                      <w:kern w:val="0"/>
                      <w:szCs w:val="21"/>
                    </w:rPr>
                    <w:t>VC</w:t>
                  </w:r>
                  <w:r>
                    <w:rPr>
                      <w:rFonts w:hint="eastAsia"/>
                      <w:kern w:val="0"/>
                      <w:szCs w:val="21"/>
                    </w:rPr>
                    <w:t>、</w:t>
                  </w:r>
                  <w:r>
                    <w:rPr>
                      <w:kern w:val="0"/>
                      <w:szCs w:val="21"/>
                    </w:rPr>
                    <w:t>PE</w:t>
                  </w:r>
                </w:p>
              </w:tc>
              <w:tc>
                <w:tcPr>
                  <w:tcW w:w="671" w:type="pct"/>
                  <w:tcBorders>
                    <w:top w:val="single" w:color="auto" w:sz="12" w:space="0"/>
                  </w:tcBorders>
                  <w:vAlign w:val="center"/>
                </w:tcPr>
                <w:p w14:paraId="151AB42E">
                  <w:pPr>
                    <w:adjustRightInd w:val="0"/>
                    <w:snapToGrid w:val="0"/>
                    <w:spacing w:before="24" w:beforeLines="10" w:after="24" w:afterLines="10"/>
                    <w:jc w:val="center"/>
                    <w:textAlignment w:val="baseline"/>
                    <w:rPr>
                      <w:kern w:val="0"/>
                      <w:szCs w:val="21"/>
                    </w:rPr>
                  </w:pPr>
                  <w:r>
                    <w:rPr>
                      <w:kern w:val="0"/>
                      <w:szCs w:val="21"/>
                    </w:rPr>
                    <w:t>原料相同</w:t>
                  </w:r>
                </w:p>
              </w:tc>
            </w:tr>
            <w:tr w14:paraId="6271CF8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Align w:val="center"/>
                </w:tcPr>
                <w:p w14:paraId="6FA8E314">
                  <w:pPr>
                    <w:adjustRightInd w:val="0"/>
                    <w:snapToGrid w:val="0"/>
                    <w:spacing w:before="24" w:beforeLines="10" w:after="24" w:afterLines="10"/>
                    <w:jc w:val="center"/>
                    <w:textAlignment w:val="baseline"/>
                    <w:rPr>
                      <w:kern w:val="0"/>
                      <w:szCs w:val="21"/>
                    </w:rPr>
                  </w:pPr>
                  <w:r>
                    <w:rPr>
                      <w:kern w:val="0"/>
                      <w:szCs w:val="21"/>
                    </w:rPr>
                    <w:t>辅料</w:t>
                  </w:r>
                </w:p>
              </w:tc>
              <w:tc>
                <w:tcPr>
                  <w:tcW w:w="1858" w:type="pct"/>
                  <w:vAlign w:val="center"/>
                </w:tcPr>
                <w:p w14:paraId="3D1C7665">
                  <w:pPr>
                    <w:adjustRightInd w:val="0"/>
                    <w:snapToGrid w:val="0"/>
                    <w:spacing w:before="24" w:beforeLines="10" w:after="24" w:afterLines="10"/>
                    <w:jc w:val="center"/>
                    <w:textAlignment w:val="baseline"/>
                    <w:rPr>
                      <w:kern w:val="0"/>
                      <w:szCs w:val="21"/>
                    </w:rPr>
                  </w:pPr>
                  <w:r>
                    <w:rPr>
                      <w:rFonts w:hint="eastAsia"/>
                      <w:kern w:val="0"/>
                      <w:szCs w:val="21"/>
                    </w:rPr>
                    <w:t>稳定剂、钙粉</w:t>
                  </w:r>
                </w:p>
              </w:tc>
              <w:tc>
                <w:tcPr>
                  <w:tcW w:w="1763" w:type="pct"/>
                  <w:vAlign w:val="center"/>
                </w:tcPr>
                <w:p w14:paraId="07F6CB8C">
                  <w:pPr>
                    <w:adjustRightInd w:val="0"/>
                    <w:snapToGrid w:val="0"/>
                    <w:spacing w:before="24" w:beforeLines="10" w:after="24" w:afterLines="10"/>
                    <w:jc w:val="center"/>
                    <w:textAlignment w:val="baseline"/>
                    <w:rPr>
                      <w:kern w:val="0"/>
                      <w:szCs w:val="21"/>
                    </w:rPr>
                  </w:pPr>
                  <w:r>
                    <w:rPr>
                      <w:rFonts w:hint="eastAsia"/>
                      <w:kern w:val="0"/>
                      <w:szCs w:val="21"/>
                    </w:rPr>
                    <w:t>稳定剂、钙粉</w:t>
                  </w:r>
                </w:p>
              </w:tc>
              <w:tc>
                <w:tcPr>
                  <w:tcW w:w="671" w:type="pct"/>
                  <w:vAlign w:val="center"/>
                </w:tcPr>
                <w:p w14:paraId="21EB7EF2">
                  <w:pPr>
                    <w:adjustRightInd w:val="0"/>
                    <w:snapToGrid w:val="0"/>
                    <w:spacing w:before="24" w:beforeLines="10" w:after="24" w:afterLines="10"/>
                    <w:jc w:val="center"/>
                    <w:textAlignment w:val="baseline"/>
                    <w:rPr>
                      <w:kern w:val="0"/>
                      <w:szCs w:val="21"/>
                    </w:rPr>
                  </w:pPr>
                  <w:r>
                    <w:rPr>
                      <w:kern w:val="0"/>
                      <w:szCs w:val="21"/>
                    </w:rPr>
                    <w:t>辅料</w:t>
                  </w:r>
                  <w:r>
                    <w:rPr>
                      <w:rFonts w:hint="eastAsia"/>
                      <w:kern w:val="0"/>
                      <w:szCs w:val="21"/>
                    </w:rPr>
                    <w:t>相同</w:t>
                  </w:r>
                </w:p>
              </w:tc>
            </w:tr>
            <w:tr w14:paraId="1660F9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Align w:val="center"/>
                </w:tcPr>
                <w:p w14:paraId="433317B4">
                  <w:pPr>
                    <w:adjustRightInd w:val="0"/>
                    <w:snapToGrid w:val="0"/>
                    <w:spacing w:before="24" w:beforeLines="10" w:after="24" w:afterLines="10"/>
                    <w:jc w:val="center"/>
                    <w:textAlignment w:val="baseline"/>
                    <w:rPr>
                      <w:kern w:val="0"/>
                      <w:szCs w:val="21"/>
                    </w:rPr>
                  </w:pPr>
                  <w:r>
                    <w:rPr>
                      <w:kern w:val="0"/>
                      <w:szCs w:val="21"/>
                    </w:rPr>
                    <w:t>产品</w:t>
                  </w:r>
                </w:p>
              </w:tc>
              <w:tc>
                <w:tcPr>
                  <w:tcW w:w="1858" w:type="pct"/>
                  <w:vAlign w:val="center"/>
                </w:tcPr>
                <w:p w14:paraId="1A212DEF">
                  <w:pPr>
                    <w:adjustRightInd w:val="0"/>
                    <w:snapToGrid w:val="0"/>
                    <w:spacing w:before="24" w:beforeLines="10" w:after="24" w:afterLines="10"/>
                    <w:jc w:val="center"/>
                    <w:textAlignment w:val="baseline"/>
                    <w:rPr>
                      <w:szCs w:val="21"/>
                      <w:lang w:val="zh-CN"/>
                    </w:rPr>
                  </w:pPr>
                  <w:r>
                    <w:rPr>
                      <w:rFonts w:hint="eastAsia"/>
                      <w:szCs w:val="21"/>
                      <w:lang w:val="zh-CN"/>
                    </w:rPr>
                    <w:t>年产2万4千吨环保塑料管道</w:t>
                  </w:r>
                </w:p>
              </w:tc>
              <w:tc>
                <w:tcPr>
                  <w:tcW w:w="1763" w:type="pct"/>
                  <w:vAlign w:val="center"/>
                </w:tcPr>
                <w:p w14:paraId="05EBDFA0">
                  <w:pPr>
                    <w:adjustRightInd w:val="0"/>
                    <w:snapToGrid w:val="0"/>
                    <w:spacing w:before="24" w:beforeLines="10" w:after="24" w:afterLines="10"/>
                    <w:jc w:val="center"/>
                    <w:textAlignment w:val="baseline"/>
                    <w:rPr>
                      <w:kern w:val="0"/>
                      <w:szCs w:val="21"/>
                    </w:rPr>
                  </w:pPr>
                  <w:r>
                    <w:rPr>
                      <w:rFonts w:hint="eastAsia"/>
                      <w:szCs w:val="21"/>
                      <w:lang w:val="zh-CN"/>
                    </w:rPr>
                    <w:t>年产</w:t>
                  </w:r>
                  <w:r>
                    <w:rPr>
                      <w:szCs w:val="21"/>
                      <w:lang w:val="zh-CN"/>
                    </w:rPr>
                    <w:t>2</w:t>
                  </w:r>
                  <w:r>
                    <w:rPr>
                      <w:rFonts w:hint="eastAsia"/>
                      <w:szCs w:val="21"/>
                      <w:lang w:val="zh-CN"/>
                    </w:rPr>
                    <w:t>万吨全塑管道</w:t>
                  </w:r>
                </w:p>
              </w:tc>
              <w:tc>
                <w:tcPr>
                  <w:tcW w:w="671" w:type="pct"/>
                  <w:vAlign w:val="center"/>
                </w:tcPr>
                <w:p w14:paraId="44EEC0A3">
                  <w:pPr>
                    <w:adjustRightInd w:val="0"/>
                    <w:snapToGrid w:val="0"/>
                    <w:spacing w:before="24" w:beforeLines="10" w:after="24" w:afterLines="10"/>
                    <w:jc w:val="center"/>
                    <w:textAlignment w:val="baseline"/>
                    <w:rPr>
                      <w:kern w:val="0"/>
                      <w:szCs w:val="21"/>
                    </w:rPr>
                  </w:pPr>
                  <w:r>
                    <w:rPr>
                      <w:kern w:val="0"/>
                      <w:szCs w:val="21"/>
                    </w:rPr>
                    <w:t>产品相近</w:t>
                  </w:r>
                  <w:r>
                    <w:rPr>
                      <w:rFonts w:hint="eastAsia"/>
                      <w:kern w:val="0"/>
                      <w:szCs w:val="21"/>
                    </w:rPr>
                    <w:t>，类比项目产能略大</w:t>
                  </w:r>
                </w:p>
              </w:tc>
            </w:tr>
            <w:tr w14:paraId="31FA08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Align w:val="center"/>
                </w:tcPr>
                <w:p w14:paraId="21616C64">
                  <w:pPr>
                    <w:adjustRightInd w:val="0"/>
                    <w:snapToGrid w:val="0"/>
                    <w:spacing w:before="24" w:beforeLines="10" w:after="24" w:afterLines="10"/>
                    <w:jc w:val="center"/>
                    <w:textAlignment w:val="baseline"/>
                    <w:rPr>
                      <w:kern w:val="0"/>
                      <w:szCs w:val="21"/>
                    </w:rPr>
                  </w:pPr>
                  <w:r>
                    <w:rPr>
                      <w:kern w:val="0"/>
                      <w:szCs w:val="21"/>
                    </w:rPr>
                    <w:t>工艺</w:t>
                  </w:r>
                </w:p>
              </w:tc>
              <w:tc>
                <w:tcPr>
                  <w:tcW w:w="1858" w:type="pct"/>
                  <w:vAlign w:val="center"/>
                </w:tcPr>
                <w:p w14:paraId="31880A00">
                  <w:pPr>
                    <w:adjustRightInd w:val="0"/>
                    <w:snapToGrid w:val="0"/>
                    <w:spacing w:before="24" w:beforeLines="10" w:after="24" w:afterLines="10"/>
                    <w:jc w:val="center"/>
                    <w:textAlignment w:val="baseline"/>
                    <w:rPr>
                      <w:kern w:val="0"/>
                      <w:szCs w:val="21"/>
                    </w:rPr>
                  </w:pPr>
                  <w:r>
                    <w:rPr>
                      <w:rFonts w:hint="eastAsia"/>
                      <w:kern w:val="0"/>
                      <w:szCs w:val="21"/>
                    </w:rPr>
                    <w:t>混料</w:t>
                  </w:r>
                  <w:r>
                    <w:rPr>
                      <w:kern w:val="0"/>
                      <w:szCs w:val="21"/>
                    </w:rPr>
                    <w:t>-</w:t>
                  </w:r>
                  <w:r>
                    <w:rPr>
                      <w:rFonts w:hint="eastAsia"/>
                      <w:kern w:val="0"/>
                      <w:szCs w:val="21"/>
                    </w:rPr>
                    <w:t>加热挤出</w:t>
                  </w:r>
                  <w:r>
                    <w:rPr>
                      <w:kern w:val="0"/>
                      <w:szCs w:val="21"/>
                    </w:rPr>
                    <w:t>-</w:t>
                  </w:r>
                  <w:r>
                    <w:rPr>
                      <w:rFonts w:hint="eastAsia"/>
                      <w:kern w:val="0"/>
                      <w:szCs w:val="21"/>
                    </w:rPr>
                    <w:t>冷却定型</w:t>
                  </w:r>
                  <w:r>
                    <w:rPr>
                      <w:kern w:val="0"/>
                      <w:szCs w:val="21"/>
                    </w:rPr>
                    <w:t>-</w:t>
                  </w:r>
                  <w:r>
                    <w:rPr>
                      <w:rFonts w:hint="eastAsia"/>
                      <w:kern w:val="0"/>
                      <w:szCs w:val="21"/>
                    </w:rPr>
                    <w:t>喷淋</w:t>
                  </w:r>
                  <w:r>
                    <w:rPr>
                      <w:kern w:val="0"/>
                      <w:szCs w:val="21"/>
                    </w:rPr>
                    <w:t>-</w:t>
                  </w:r>
                  <w:r>
                    <w:rPr>
                      <w:rFonts w:hint="eastAsia"/>
                      <w:kern w:val="0"/>
                      <w:szCs w:val="21"/>
                    </w:rPr>
                    <w:t>切割</w:t>
                  </w:r>
                  <w:r>
                    <w:rPr>
                      <w:kern w:val="0"/>
                      <w:szCs w:val="21"/>
                    </w:rPr>
                    <w:t>-</w:t>
                  </w:r>
                  <w:r>
                    <w:rPr>
                      <w:rFonts w:hint="eastAsia"/>
                      <w:kern w:val="0"/>
                      <w:szCs w:val="21"/>
                    </w:rPr>
                    <w:t>检验</w:t>
                  </w:r>
                  <w:r>
                    <w:rPr>
                      <w:kern w:val="0"/>
                      <w:szCs w:val="21"/>
                    </w:rPr>
                    <w:t>-</w:t>
                  </w:r>
                  <w:r>
                    <w:rPr>
                      <w:rFonts w:hint="eastAsia"/>
                      <w:kern w:val="0"/>
                      <w:szCs w:val="21"/>
                    </w:rPr>
                    <w:t>破碎</w:t>
                  </w:r>
                  <w:r>
                    <w:rPr>
                      <w:kern w:val="0"/>
                      <w:szCs w:val="21"/>
                    </w:rPr>
                    <w:t>-成品</w:t>
                  </w:r>
                </w:p>
              </w:tc>
              <w:tc>
                <w:tcPr>
                  <w:tcW w:w="1763" w:type="pct"/>
                  <w:vAlign w:val="center"/>
                </w:tcPr>
                <w:p w14:paraId="4AF47B64">
                  <w:pPr>
                    <w:adjustRightInd w:val="0"/>
                    <w:snapToGrid w:val="0"/>
                    <w:spacing w:before="24" w:beforeLines="10" w:after="24" w:afterLines="10"/>
                    <w:jc w:val="center"/>
                    <w:textAlignment w:val="baseline"/>
                    <w:rPr>
                      <w:kern w:val="0"/>
                      <w:szCs w:val="21"/>
                    </w:rPr>
                  </w:pPr>
                  <w:r>
                    <w:rPr>
                      <w:rFonts w:hint="eastAsia"/>
                      <w:kern w:val="0"/>
                      <w:szCs w:val="21"/>
                    </w:rPr>
                    <w:t>混料搅拌</w:t>
                  </w:r>
                  <w:r>
                    <w:rPr>
                      <w:kern w:val="0"/>
                      <w:szCs w:val="21"/>
                    </w:rPr>
                    <w:t>-</w:t>
                  </w:r>
                  <w:r>
                    <w:rPr>
                      <w:rFonts w:hint="eastAsia"/>
                      <w:kern w:val="0"/>
                      <w:szCs w:val="21"/>
                    </w:rPr>
                    <w:t>加热挤出</w:t>
                  </w:r>
                  <w:r>
                    <w:rPr>
                      <w:kern w:val="0"/>
                      <w:szCs w:val="21"/>
                    </w:rPr>
                    <w:t>-</w:t>
                  </w:r>
                  <w:r>
                    <w:rPr>
                      <w:rFonts w:hint="eastAsia"/>
                      <w:kern w:val="0"/>
                      <w:szCs w:val="21"/>
                    </w:rPr>
                    <w:t>冷却定型</w:t>
                  </w:r>
                  <w:r>
                    <w:rPr>
                      <w:kern w:val="0"/>
                      <w:szCs w:val="21"/>
                    </w:rPr>
                    <w:t>-</w:t>
                  </w:r>
                  <w:r>
                    <w:rPr>
                      <w:rFonts w:hint="eastAsia"/>
                      <w:kern w:val="0"/>
                      <w:szCs w:val="21"/>
                    </w:rPr>
                    <w:t>切割</w:t>
                  </w:r>
                  <w:r>
                    <w:rPr>
                      <w:kern w:val="0"/>
                      <w:szCs w:val="21"/>
                    </w:rPr>
                    <w:t>-</w:t>
                  </w:r>
                  <w:r>
                    <w:rPr>
                      <w:rFonts w:hint="eastAsia"/>
                      <w:kern w:val="0"/>
                      <w:szCs w:val="21"/>
                    </w:rPr>
                    <w:t>检验</w:t>
                  </w:r>
                  <w:r>
                    <w:rPr>
                      <w:kern w:val="0"/>
                      <w:szCs w:val="21"/>
                    </w:rPr>
                    <w:t>-</w:t>
                  </w:r>
                  <w:r>
                    <w:rPr>
                      <w:rFonts w:hint="eastAsia"/>
                      <w:kern w:val="0"/>
                      <w:szCs w:val="21"/>
                    </w:rPr>
                    <w:t>破碎</w:t>
                  </w:r>
                  <w:r>
                    <w:rPr>
                      <w:kern w:val="0"/>
                      <w:szCs w:val="21"/>
                    </w:rPr>
                    <w:t>-成品</w:t>
                  </w:r>
                </w:p>
              </w:tc>
              <w:tc>
                <w:tcPr>
                  <w:tcW w:w="671" w:type="pct"/>
                  <w:vAlign w:val="center"/>
                </w:tcPr>
                <w:p w14:paraId="202E798E">
                  <w:pPr>
                    <w:adjustRightInd w:val="0"/>
                    <w:snapToGrid w:val="0"/>
                    <w:spacing w:before="24" w:beforeLines="10" w:after="24" w:afterLines="10"/>
                    <w:jc w:val="center"/>
                    <w:textAlignment w:val="baseline"/>
                    <w:rPr>
                      <w:kern w:val="0"/>
                      <w:szCs w:val="21"/>
                    </w:rPr>
                  </w:pPr>
                  <w:r>
                    <w:rPr>
                      <w:kern w:val="0"/>
                      <w:szCs w:val="21"/>
                    </w:rPr>
                    <w:t>相同</w:t>
                  </w:r>
                </w:p>
              </w:tc>
            </w:tr>
            <w:tr w14:paraId="2BD245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Align w:val="center"/>
                </w:tcPr>
                <w:p w14:paraId="6272A70A">
                  <w:pPr>
                    <w:adjustRightInd w:val="0"/>
                    <w:snapToGrid w:val="0"/>
                    <w:spacing w:before="24" w:beforeLines="10" w:after="24" w:afterLines="10"/>
                    <w:jc w:val="center"/>
                    <w:textAlignment w:val="baseline"/>
                    <w:rPr>
                      <w:kern w:val="0"/>
                      <w:szCs w:val="21"/>
                    </w:rPr>
                  </w:pPr>
                  <w:r>
                    <w:rPr>
                      <w:rFonts w:hint="eastAsia"/>
                      <w:kern w:val="0"/>
                      <w:szCs w:val="21"/>
                    </w:rPr>
                    <w:t>风机风量</w:t>
                  </w:r>
                </w:p>
              </w:tc>
              <w:tc>
                <w:tcPr>
                  <w:tcW w:w="1858" w:type="pct"/>
                  <w:vAlign w:val="center"/>
                </w:tcPr>
                <w:p w14:paraId="637F1A93">
                  <w:pPr>
                    <w:adjustRightInd w:val="0"/>
                    <w:snapToGrid w:val="0"/>
                    <w:spacing w:before="24" w:beforeLines="10" w:after="24" w:afterLines="10"/>
                    <w:jc w:val="center"/>
                    <w:textAlignment w:val="baseline"/>
                    <w:rPr>
                      <w:kern w:val="0"/>
                      <w:szCs w:val="21"/>
                    </w:rPr>
                  </w:pPr>
                  <w:r>
                    <w:rPr>
                      <w:rFonts w:hint="eastAsia"/>
                      <w:kern w:val="0"/>
                      <w:szCs w:val="21"/>
                    </w:rPr>
                    <w:t>2</w:t>
                  </w:r>
                  <w:r>
                    <w:rPr>
                      <w:kern w:val="0"/>
                      <w:szCs w:val="21"/>
                    </w:rPr>
                    <w:t>0000</w:t>
                  </w:r>
                  <w:r>
                    <w:t xml:space="preserve"> </w:t>
                  </w:r>
                  <w:r>
                    <w:rPr>
                      <w:kern w:val="0"/>
                      <w:szCs w:val="21"/>
                    </w:rPr>
                    <w:t>m³/h</w:t>
                  </w:r>
                </w:p>
              </w:tc>
              <w:tc>
                <w:tcPr>
                  <w:tcW w:w="1763" w:type="pct"/>
                  <w:vAlign w:val="center"/>
                </w:tcPr>
                <w:p w14:paraId="1E2B617B">
                  <w:pPr>
                    <w:adjustRightInd w:val="0"/>
                    <w:snapToGrid w:val="0"/>
                    <w:spacing w:before="24" w:beforeLines="10" w:after="24" w:afterLines="10"/>
                    <w:jc w:val="center"/>
                    <w:textAlignment w:val="baseline"/>
                    <w:rPr>
                      <w:kern w:val="0"/>
                      <w:szCs w:val="21"/>
                    </w:rPr>
                  </w:pPr>
                  <w:r>
                    <w:rPr>
                      <w:rFonts w:hint="eastAsia"/>
                      <w:kern w:val="0"/>
                      <w:szCs w:val="21"/>
                    </w:rPr>
                    <w:t>2</w:t>
                  </w:r>
                  <w:r>
                    <w:rPr>
                      <w:kern w:val="0"/>
                      <w:szCs w:val="21"/>
                    </w:rPr>
                    <w:t>0000</w:t>
                  </w:r>
                  <w:r>
                    <w:t xml:space="preserve"> </w:t>
                  </w:r>
                  <w:r>
                    <w:rPr>
                      <w:kern w:val="0"/>
                      <w:szCs w:val="21"/>
                    </w:rPr>
                    <w:t>m³/h</w:t>
                  </w:r>
                </w:p>
              </w:tc>
              <w:tc>
                <w:tcPr>
                  <w:tcW w:w="671" w:type="pct"/>
                  <w:vAlign w:val="center"/>
                </w:tcPr>
                <w:p w14:paraId="01476AA1">
                  <w:pPr>
                    <w:adjustRightInd w:val="0"/>
                    <w:snapToGrid w:val="0"/>
                    <w:spacing w:before="24" w:beforeLines="10" w:after="24" w:afterLines="10"/>
                    <w:jc w:val="center"/>
                    <w:textAlignment w:val="baseline"/>
                    <w:rPr>
                      <w:kern w:val="0"/>
                      <w:szCs w:val="21"/>
                    </w:rPr>
                  </w:pPr>
                  <w:r>
                    <w:rPr>
                      <w:rFonts w:hint="eastAsia"/>
                      <w:kern w:val="0"/>
                      <w:szCs w:val="21"/>
                    </w:rPr>
                    <w:t>相同</w:t>
                  </w:r>
                </w:p>
              </w:tc>
            </w:tr>
            <w:tr w14:paraId="0A57A1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08" w:type="pct"/>
                  <w:vAlign w:val="center"/>
                </w:tcPr>
                <w:p w14:paraId="601EBD95">
                  <w:pPr>
                    <w:adjustRightInd w:val="0"/>
                    <w:snapToGrid w:val="0"/>
                    <w:spacing w:before="24" w:beforeLines="10" w:after="24" w:afterLines="10"/>
                    <w:jc w:val="center"/>
                    <w:textAlignment w:val="baseline"/>
                    <w:rPr>
                      <w:kern w:val="0"/>
                      <w:szCs w:val="21"/>
                    </w:rPr>
                  </w:pPr>
                  <w:r>
                    <w:rPr>
                      <w:kern w:val="0"/>
                      <w:szCs w:val="21"/>
                    </w:rPr>
                    <w:t>废</w:t>
                  </w:r>
                  <w:r>
                    <w:rPr>
                      <w:rFonts w:hint="eastAsia"/>
                      <w:kern w:val="0"/>
                      <w:szCs w:val="21"/>
                    </w:rPr>
                    <w:t>气</w:t>
                  </w:r>
                  <w:r>
                    <w:rPr>
                      <w:kern w:val="0"/>
                      <w:szCs w:val="21"/>
                    </w:rPr>
                    <w:t>处理措施及工艺</w:t>
                  </w:r>
                </w:p>
              </w:tc>
              <w:tc>
                <w:tcPr>
                  <w:tcW w:w="1858" w:type="pct"/>
                  <w:vAlign w:val="center"/>
                </w:tcPr>
                <w:p w14:paraId="165BDE04">
                  <w:pPr>
                    <w:adjustRightInd w:val="0"/>
                    <w:snapToGrid w:val="0"/>
                    <w:spacing w:before="24" w:beforeLines="10" w:after="24" w:afterLines="10"/>
                    <w:jc w:val="center"/>
                    <w:textAlignment w:val="baseline"/>
                    <w:rPr>
                      <w:szCs w:val="21"/>
                    </w:rPr>
                  </w:pPr>
                  <w:r>
                    <w:rPr>
                      <w:rFonts w:hint="eastAsia"/>
                      <w:szCs w:val="21"/>
                    </w:rPr>
                    <w:t>有机废气经集气罩收集+催化燃烧设备+活性炭吸附处理后，由1根15m高排气筒排放；颗粒物经集气罩收集，共用1套布袋除尘器处理后由1根15m排气筒排放</w:t>
                  </w:r>
                </w:p>
              </w:tc>
              <w:tc>
                <w:tcPr>
                  <w:tcW w:w="1763" w:type="pct"/>
                  <w:vAlign w:val="center"/>
                </w:tcPr>
                <w:p w14:paraId="5D60ED9C">
                  <w:pPr>
                    <w:adjustRightInd w:val="0"/>
                    <w:snapToGrid w:val="0"/>
                    <w:spacing w:before="24" w:beforeLines="10" w:after="24" w:afterLines="10"/>
                    <w:jc w:val="center"/>
                    <w:textAlignment w:val="baseline"/>
                    <w:rPr>
                      <w:kern w:val="0"/>
                      <w:szCs w:val="21"/>
                    </w:rPr>
                  </w:pPr>
                  <w:r>
                    <w:rPr>
                      <w:rFonts w:hint="eastAsia"/>
                      <w:szCs w:val="21"/>
                    </w:rPr>
                    <w:t>有机废气集气罩收集+催化燃烧设备+活性炭吸附处理后，由1 根15m高排气筒排放；颗粒物经集气罩收集，共用1套布袋除尘器处理后由1根15m 排气筒排放</w:t>
                  </w:r>
                </w:p>
              </w:tc>
              <w:tc>
                <w:tcPr>
                  <w:tcW w:w="671" w:type="pct"/>
                  <w:vAlign w:val="center"/>
                </w:tcPr>
                <w:p w14:paraId="6A884F50">
                  <w:pPr>
                    <w:adjustRightInd w:val="0"/>
                    <w:snapToGrid w:val="0"/>
                    <w:spacing w:before="24" w:beforeLines="10" w:after="24" w:afterLines="10"/>
                    <w:jc w:val="center"/>
                    <w:textAlignment w:val="baseline"/>
                    <w:rPr>
                      <w:kern w:val="0"/>
                      <w:szCs w:val="21"/>
                    </w:rPr>
                  </w:pPr>
                  <w:r>
                    <w:rPr>
                      <w:rFonts w:hint="eastAsia"/>
                      <w:kern w:val="0"/>
                      <w:szCs w:val="21"/>
                    </w:rPr>
                    <w:t>废气</w:t>
                  </w:r>
                  <w:r>
                    <w:rPr>
                      <w:kern w:val="0"/>
                      <w:szCs w:val="21"/>
                    </w:rPr>
                    <w:t>处理规模和处理工艺相近</w:t>
                  </w:r>
                </w:p>
              </w:tc>
            </w:tr>
          </w:tbl>
          <w:p w14:paraId="5EDBABDA">
            <w:pPr>
              <w:pStyle w:val="55"/>
              <w:ind w:firstLine="480"/>
            </w:pPr>
            <w:r>
              <w:t>综合类比条件分析，本次评价</w:t>
            </w:r>
            <w:r>
              <w:rPr>
                <w:rFonts w:hint="eastAsia"/>
              </w:rPr>
              <w:t>废气</w:t>
            </w:r>
            <w:r>
              <w:t>污染源强核算类比“</w:t>
            </w:r>
            <w:r>
              <w:rPr>
                <w:rFonts w:hint="eastAsia"/>
              </w:rPr>
              <w:t>新疆天科科技发展有限公司年产2万4千吨环保塑料管道项目</w:t>
            </w:r>
            <w:r>
              <w:t>”竣工环保验收的实测数据是</w:t>
            </w:r>
            <w:r>
              <w:rPr>
                <w:rFonts w:hint="eastAsia"/>
              </w:rPr>
              <w:t>可行</w:t>
            </w:r>
            <w:r>
              <w:t>的。</w:t>
            </w:r>
          </w:p>
          <w:p w14:paraId="2C5CA9CE">
            <w:pPr>
              <w:pStyle w:val="55"/>
              <w:ind w:firstLine="480"/>
            </w:pPr>
            <w:r>
              <w:rPr>
                <w:rFonts w:hint="eastAsia"/>
              </w:rPr>
              <w:t>“新疆天科科技发展有限公司年产2万4千吨环保塑料管道项目”</w:t>
            </w:r>
            <w:r>
              <w:t>竣工环保验收</w:t>
            </w:r>
            <w:r>
              <w:rPr>
                <w:rFonts w:hint="eastAsia"/>
              </w:rPr>
              <w:t>废气排放口</w:t>
            </w:r>
            <w:r>
              <w:t>监测数据见表4-2。</w:t>
            </w:r>
          </w:p>
          <w:p w14:paraId="79EB14FB">
            <w:pPr>
              <w:spacing w:before="24" w:beforeLines="10" w:after="24" w:afterLines="10"/>
              <w:jc w:val="center"/>
              <w:rPr>
                <w:b/>
                <w:bCs/>
                <w:szCs w:val="21"/>
              </w:rPr>
            </w:pPr>
            <w:r>
              <w:rPr>
                <w:b/>
                <w:bCs/>
                <w:szCs w:val="21"/>
              </w:rPr>
              <w:t>表4-2    类比企业竣工环保验收</w:t>
            </w:r>
            <w:r>
              <w:rPr>
                <w:rFonts w:hint="eastAsia"/>
                <w:b/>
                <w:bCs/>
                <w:szCs w:val="21"/>
              </w:rPr>
              <w:t>废气排放口</w:t>
            </w:r>
            <w:r>
              <w:rPr>
                <w:b/>
                <w:bCs/>
                <w:szCs w:val="21"/>
              </w:rPr>
              <w:t>监测数据</w:t>
            </w:r>
          </w:p>
          <w:p w14:paraId="26D0FFA1">
            <w:pPr>
              <w:jc w:val="center"/>
            </w:pPr>
            <w:r>
              <w:drawing>
                <wp:inline distT="0" distB="0" distL="0" distR="0">
                  <wp:extent cx="5306695" cy="2089785"/>
                  <wp:effectExtent l="19050" t="19050" r="27305" b="247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7">
                            <a:extLst>
                              <a:ext uri="{28A0092B-C50C-407E-A947-70E740481C1C}">
                                <a14:useLocalDpi xmlns:a14="http://schemas.microsoft.com/office/drawing/2010/main" val="0"/>
                              </a:ext>
                            </a:extLst>
                          </a:blip>
                          <a:srcRect t="2029"/>
                          <a:stretch>
                            <a:fillRect/>
                          </a:stretch>
                        </pic:blipFill>
                        <pic:spPr>
                          <a:xfrm>
                            <a:off x="0" y="0"/>
                            <a:ext cx="5357393" cy="2110033"/>
                          </a:xfrm>
                          <a:prstGeom prst="rect">
                            <a:avLst/>
                          </a:prstGeom>
                          <a:noFill/>
                          <a:ln w="12700" cap="flat" cmpd="sng" algn="ctr">
                            <a:solidFill>
                              <a:sysClr val="windowText" lastClr="000000"/>
                            </a:solidFill>
                            <a:prstDash val="solid"/>
                            <a:round/>
                            <a:headEnd type="none" w="med" len="med"/>
                            <a:tailEnd type="none" w="med" len="med"/>
                          </a:ln>
                        </pic:spPr>
                      </pic:pic>
                    </a:graphicData>
                  </a:graphic>
                </wp:inline>
              </w:drawing>
            </w:r>
          </w:p>
          <w:p w14:paraId="6F2FD970">
            <w:pPr>
              <w:pStyle w:val="55"/>
              <w:ind w:firstLine="480"/>
            </w:pPr>
            <w:r>
              <w:rPr>
                <w:rFonts w:hint="eastAsia"/>
              </w:rPr>
              <w:t>“</w:t>
            </w:r>
            <w:r>
              <w:t>新疆天科科技发展有限公司年产2万4千吨环保塑料管道项目”废气排放口各污染物</w:t>
            </w:r>
            <w:r>
              <w:rPr>
                <w:rFonts w:hint="eastAsia"/>
              </w:rPr>
              <w:t>排放速率范围：颗粒物</w:t>
            </w:r>
            <w:r>
              <w:t>：0.05-0.07</w:t>
            </w:r>
            <w:r>
              <w:rPr>
                <w:rFonts w:hint="eastAsia"/>
              </w:rPr>
              <w:t>kg</w:t>
            </w:r>
            <w:r>
              <w:t>/</w:t>
            </w:r>
            <w:r>
              <w:rPr>
                <w:rFonts w:hint="eastAsia"/>
              </w:rPr>
              <w:t>h</w:t>
            </w:r>
            <w:r>
              <w:t>、非甲烷总烃：</w:t>
            </w:r>
            <w:r>
              <w:rPr>
                <w:rFonts w:hint="eastAsia"/>
              </w:rPr>
              <w:t>0</w:t>
            </w:r>
            <w:r>
              <w:t>.00096</w:t>
            </w:r>
            <w:r>
              <w:rPr>
                <w:rFonts w:hint="eastAsia"/>
              </w:rPr>
              <w:t xml:space="preserve"> </w:t>
            </w:r>
            <w:r>
              <w:t>-0.0011</w:t>
            </w:r>
            <w:r>
              <w:rPr>
                <w:rFonts w:hint="eastAsia"/>
              </w:rPr>
              <w:t xml:space="preserve"> kg</w:t>
            </w:r>
            <w:r>
              <w:t>/</w:t>
            </w:r>
            <w:r>
              <w:rPr>
                <w:rFonts w:hint="eastAsia"/>
              </w:rPr>
              <w:t>h</w:t>
            </w:r>
            <w:r>
              <w:t>。</w:t>
            </w:r>
          </w:p>
          <w:p w14:paraId="186A2A66">
            <w:pPr>
              <w:pStyle w:val="55"/>
              <w:ind w:firstLine="480"/>
            </w:pPr>
            <w:r>
              <w:t>根据类比项目监测数据结合本项目情况，本次评价</w:t>
            </w:r>
            <w:r>
              <w:rPr>
                <w:rFonts w:hint="eastAsia"/>
              </w:rPr>
              <w:t>废气</w:t>
            </w:r>
            <w:r>
              <w:t>排放类比</w:t>
            </w:r>
            <w:r>
              <w:rPr>
                <w:rFonts w:hint="eastAsia"/>
              </w:rPr>
              <w:t>排放速率</w:t>
            </w:r>
            <w:r>
              <w:t>均按最大浓度</w:t>
            </w:r>
            <w:r>
              <w:rPr>
                <w:rFonts w:hint="eastAsia"/>
              </w:rPr>
              <w:t>取整</w:t>
            </w:r>
            <w:r>
              <w:t>取值，即</w:t>
            </w:r>
            <w:r>
              <w:rPr>
                <w:rFonts w:hint="eastAsia"/>
              </w:rPr>
              <w:t>颗粒物</w:t>
            </w:r>
            <w:r>
              <w:t>：</w:t>
            </w:r>
            <w:r>
              <w:rPr>
                <w:rFonts w:hint="eastAsia"/>
              </w:rPr>
              <w:t>0</w:t>
            </w:r>
            <w:r>
              <w:t>.1</w:t>
            </w:r>
            <w:r>
              <w:rPr>
                <w:rFonts w:hint="eastAsia"/>
              </w:rPr>
              <w:t>kg</w:t>
            </w:r>
            <w:r>
              <w:t>/</w:t>
            </w:r>
            <w:r>
              <w:rPr>
                <w:rFonts w:hint="eastAsia"/>
              </w:rPr>
              <w:t>h，非甲烷总烃：</w:t>
            </w:r>
            <w:r>
              <w:t>0.01</w:t>
            </w:r>
            <w:r>
              <w:rPr>
                <w:rFonts w:hint="eastAsia"/>
              </w:rPr>
              <w:t>kg</w:t>
            </w:r>
            <w:r>
              <w:t>/</w:t>
            </w:r>
            <w:r>
              <w:rPr>
                <w:rFonts w:hint="eastAsia"/>
              </w:rPr>
              <w:t>h</w:t>
            </w:r>
            <w:r>
              <w:t>。</w:t>
            </w:r>
          </w:p>
          <w:p w14:paraId="56AEB1CE">
            <w:pPr>
              <w:pStyle w:val="55"/>
              <w:ind w:firstLine="480"/>
            </w:pPr>
            <w:r>
              <w:rPr>
                <w:rFonts w:hint="eastAsia"/>
              </w:rPr>
              <w:t>本项目在每台挤出机上方设集气罩（废气吸气口风速设计为0.</w:t>
            </w:r>
            <w:r>
              <w:t>51</w:t>
            </w:r>
            <w:r>
              <w:rPr>
                <w:rFonts w:hint="eastAsia"/>
              </w:rPr>
              <w:t>m/s，为了保证集气罩的收集效率，矩形集气罩的收集面积要比废气产污面积大0.2倍，项目发泡挤出工序的废气扩散面积约为0.6m</w:t>
            </w:r>
            <w:r>
              <w:rPr>
                <w:rFonts w:hint="eastAsia"/>
                <w:vertAlign w:val="superscript"/>
              </w:rPr>
              <w:t>2</w:t>
            </w:r>
            <w:r>
              <w:rPr>
                <w:rFonts w:hint="eastAsia"/>
              </w:rPr>
              <w:t>，则集气罩的集气面积取0.72m</w:t>
            </w:r>
            <w:r>
              <w:rPr>
                <w:rFonts w:hint="eastAsia"/>
                <w:vertAlign w:val="superscript"/>
              </w:rPr>
              <w:t>2</w:t>
            </w:r>
            <w:r>
              <w:rPr>
                <w:rFonts w:hint="eastAsia"/>
              </w:rPr>
              <w:t>，则抽风风量约为0.</w:t>
            </w:r>
            <w:r>
              <w:t>367</w:t>
            </w:r>
            <w:r>
              <w:rPr>
                <w:rFonts w:hint="eastAsia"/>
              </w:rPr>
              <w:t>m</w:t>
            </w:r>
            <w:r>
              <w:rPr>
                <w:rFonts w:hint="eastAsia"/>
                <w:vertAlign w:val="superscript"/>
              </w:rPr>
              <w:t>3</w:t>
            </w:r>
            <w:r>
              <w:rPr>
                <w:rFonts w:hint="eastAsia"/>
              </w:rPr>
              <w:t>/s，即1</w:t>
            </w:r>
            <w:r>
              <w:t>321.2</w:t>
            </w:r>
            <w:r>
              <w:rPr>
                <w:rFonts w:hint="eastAsia"/>
              </w:rPr>
              <w:t>m</w:t>
            </w:r>
            <w:r>
              <w:rPr>
                <w:rFonts w:hint="eastAsia"/>
                <w:vertAlign w:val="superscript"/>
              </w:rPr>
              <w:t>3</w:t>
            </w:r>
            <w:r>
              <w:rPr>
                <w:rFonts w:hint="eastAsia"/>
              </w:rPr>
              <w:t>/h；共设置15个集气罩，则整体配套的引风机抽风风量不小于1</w:t>
            </w:r>
            <w:r>
              <w:t>321.2</w:t>
            </w:r>
            <w:r>
              <w:rPr>
                <w:rFonts w:hint="eastAsia"/>
              </w:rPr>
              <w:t>×15=</w:t>
            </w:r>
            <w:r>
              <w:t>19810</w:t>
            </w:r>
            <w:r>
              <w:rPr>
                <w:rFonts w:hint="eastAsia"/>
              </w:rPr>
              <w:t>m</w:t>
            </w:r>
            <w:r>
              <w:rPr>
                <w:rFonts w:hint="eastAsia"/>
                <w:vertAlign w:val="superscript"/>
              </w:rPr>
              <w:t>3</w:t>
            </w:r>
            <w:r>
              <w:rPr>
                <w:rFonts w:hint="eastAsia"/>
              </w:rPr>
              <w:t xml:space="preserve">/h，考虑到风管的风阻，则项目整体配套风机风量为 </w:t>
            </w:r>
            <w:r>
              <w:t>2</w:t>
            </w:r>
            <w:r>
              <w:rPr>
                <w:rFonts w:hint="eastAsia"/>
              </w:rPr>
              <w:t>0000m</w:t>
            </w:r>
            <w:r>
              <w:rPr>
                <w:rFonts w:hint="eastAsia"/>
                <w:vertAlign w:val="superscript"/>
              </w:rPr>
              <w:t>3</w:t>
            </w:r>
            <w:r>
              <w:rPr>
                <w:rFonts w:hint="eastAsia"/>
              </w:rPr>
              <w:t>/h。），产生的有机废气通过集气罩收集后经活性炭吸附+催化燃烧装置(集气罩收集效率</w:t>
            </w:r>
            <w:r>
              <w:t>9</w:t>
            </w:r>
            <w:r>
              <w:rPr>
                <w:rFonts w:hint="eastAsia"/>
              </w:rPr>
              <w:t>0%，活性炭吸附+催化燃烧装置效率为</w:t>
            </w:r>
            <w:r>
              <w:t>85</w:t>
            </w:r>
            <w:r>
              <w:rPr>
                <w:rFonts w:hint="eastAsia"/>
              </w:rPr>
              <w:t>%，风量</w:t>
            </w:r>
            <w:r>
              <w:t>2</w:t>
            </w:r>
            <w:r>
              <w:rPr>
                <w:rFonts w:hint="eastAsia"/>
              </w:rPr>
              <w:t>0000m</w:t>
            </w:r>
            <w:r>
              <w:rPr>
                <w:rFonts w:hint="eastAsia"/>
                <w:vertAlign w:val="superscript"/>
              </w:rPr>
              <w:t>3</w:t>
            </w:r>
            <w:r>
              <w:rPr>
                <w:rFonts w:hint="eastAsia"/>
              </w:rPr>
              <w:t>/h)处理后经15m高排气筒排放。</w:t>
            </w:r>
          </w:p>
          <w:p w14:paraId="37A04004">
            <w:pPr>
              <w:pStyle w:val="55"/>
              <w:ind w:firstLine="480"/>
            </w:pPr>
            <w:r>
              <w:rPr>
                <w:rFonts w:hint="eastAsia"/>
              </w:rPr>
              <w:t>氯化氢、氯乙烯气体：</w:t>
            </w:r>
          </w:p>
          <w:p w14:paraId="0F57DC00">
            <w:pPr>
              <w:pStyle w:val="55"/>
              <w:ind w:firstLine="480"/>
            </w:pPr>
            <w:r>
              <w:rPr>
                <w:rFonts w:hint="eastAsia"/>
              </w:rPr>
              <w:t>根据化学工业出版社1979年出版的《化工辞典》可知，挤出原料聚氯乙烯是由氯乙烯经聚合而成的高分子化合物，在130℃分解出氯化氢（含稳定剂的聚氯乙烯分解温度为220～240℃），电绝缘性优良，不会燃烧。本项目产生的氯化氢、氯乙烯气体极少，经集气罩收集后由活性炭吸附+催化燃烧装置处理后经15m高排气筒排放。本次评价不做定量分析。</w:t>
            </w:r>
          </w:p>
          <w:p w14:paraId="442958A1">
            <w:pPr>
              <w:pStyle w:val="55"/>
              <w:ind w:firstLine="480"/>
            </w:pPr>
            <w:r>
              <w:rPr>
                <w:rFonts w:hint="eastAsia"/>
              </w:rPr>
              <w:t>综上，本项目非甲烷总烃有组织排放量为0</w:t>
            </w:r>
            <w:r>
              <w:t>.0288</w:t>
            </w:r>
            <w:r>
              <w:rPr>
                <w:b/>
                <w:bCs/>
                <w:szCs w:val="21"/>
              </w:rPr>
              <w:t xml:space="preserve"> </w:t>
            </w:r>
            <w:r>
              <w:rPr>
                <w:szCs w:val="21"/>
              </w:rPr>
              <w:t>t/a</w:t>
            </w:r>
            <w:r>
              <w:rPr>
                <w:rFonts w:hint="eastAsia"/>
                <w:szCs w:val="21"/>
              </w:rPr>
              <w:t>，排放浓度为0</w:t>
            </w:r>
            <w:r>
              <w:rPr>
                <w:szCs w:val="21"/>
              </w:rPr>
              <w:t>.5</w:t>
            </w:r>
            <w:r>
              <w:t xml:space="preserve"> </w:t>
            </w:r>
            <w:r>
              <w:rPr>
                <w:szCs w:val="21"/>
              </w:rPr>
              <w:t>mg/m</w:t>
            </w:r>
            <w:r>
              <w:rPr>
                <w:szCs w:val="21"/>
                <w:vertAlign w:val="superscript"/>
              </w:rPr>
              <w:t>3</w:t>
            </w:r>
            <w:r>
              <w:rPr>
                <w:rFonts w:hint="eastAsia"/>
                <w:szCs w:val="21"/>
              </w:rPr>
              <w:t>，无组织排放量为0</w:t>
            </w:r>
            <w:r>
              <w:rPr>
                <w:szCs w:val="21"/>
              </w:rPr>
              <w:t>.007</w:t>
            </w:r>
            <w:r>
              <w:rPr>
                <w:rFonts w:hint="eastAsia"/>
                <w:szCs w:val="21"/>
              </w:rPr>
              <w:t>t</w:t>
            </w:r>
            <w:r>
              <w:rPr>
                <w:szCs w:val="21"/>
              </w:rPr>
              <w:t>/a</w:t>
            </w:r>
            <w:r>
              <w:rPr>
                <w:rFonts w:hint="eastAsia"/>
                <w:szCs w:val="21"/>
              </w:rPr>
              <w:t>；颗粒物有组织排放量为0</w:t>
            </w:r>
            <w:r>
              <w:rPr>
                <w:szCs w:val="21"/>
              </w:rPr>
              <w:t>.288</w:t>
            </w:r>
            <w:r>
              <w:rPr>
                <w:rFonts w:hint="eastAsia"/>
                <w:szCs w:val="21"/>
              </w:rPr>
              <w:t>t</w:t>
            </w:r>
            <w:r>
              <w:rPr>
                <w:szCs w:val="21"/>
              </w:rPr>
              <w:t>/a</w:t>
            </w:r>
            <w:r>
              <w:rPr>
                <w:rFonts w:hint="eastAsia"/>
                <w:szCs w:val="21"/>
              </w:rPr>
              <w:t>，排放浓度为5</w:t>
            </w:r>
            <w:r>
              <w:t xml:space="preserve"> </w:t>
            </w:r>
            <w:r>
              <w:rPr>
                <w:szCs w:val="21"/>
              </w:rPr>
              <w:t>mg/m</w:t>
            </w:r>
            <w:r>
              <w:rPr>
                <w:szCs w:val="21"/>
                <w:vertAlign w:val="superscript"/>
              </w:rPr>
              <w:t>3</w:t>
            </w:r>
            <w:r>
              <w:rPr>
                <w:rFonts w:hint="eastAsia"/>
                <w:szCs w:val="21"/>
              </w:rPr>
              <w:t>，无组织排放量为</w:t>
            </w:r>
            <w:r>
              <w:rPr>
                <w:szCs w:val="21"/>
              </w:rPr>
              <w:t>0.64</w:t>
            </w:r>
            <w:r>
              <w:rPr>
                <w:rFonts w:hint="eastAsia"/>
                <w:szCs w:val="21"/>
              </w:rPr>
              <w:t>t</w:t>
            </w:r>
            <w:r>
              <w:rPr>
                <w:szCs w:val="21"/>
              </w:rPr>
              <w:t>/a</w:t>
            </w:r>
            <w:r>
              <w:rPr>
                <w:rFonts w:hint="eastAsia"/>
                <w:szCs w:val="21"/>
              </w:rPr>
              <w:t>。本项目单位产品非甲烷总烃排放量：0.03</w:t>
            </w:r>
            <w:r>
              <w:rPr>
                <w:szCs w:val="21"/>
              </w:rPr>
              <w:t>58</w:t>
            </w:r>
            <w:r>
              <w:rPr>
                <w:rFonts w:hint="eastAsia"/>
                <w:szCs w:val="21"/>
              </w:rPr>
              <w:t>t÷20000t×1000＝0.001</w:t>
            </w:r>
            <w:r>
              <w:rPr>
                <w:szCs w:val="21"/>
              </w:rPr>
              <w:t>79</w:t>
            </w:r>
            <w:r>
              <w:rPr>
                <w:rFonts w:hint="eastAsia"/>
                <w:szCs w:val="21"/>
              </w:rPr>
              <w:t>kg/t&lt;0.3。</w:t>
            </w:r>
            <w:r>
              <w:rPr>
                <w:rFonts w:hint="eastAsia"/>
              </w:rPr>
              <w:t>排放浓度均</w:t>
            </w:r>
            <w:r>
              <w:t>满足</w:t>
            </w:r>
            <w:r>
              <w:rPr>
                <w:rFonts w:hint="eastAsia"/>
              </w:rPr>
              <w:t>《合成树脂工业污染物排放标准》（GB31572-2015）表5中的限值</w:t>
            </w:r>
            <w:r>
              <w:t>要求</w:t>
            </w:r>
            <w:r>
              <w:rPr>
                <w:rFonts w:hint="eastAsia"/>
              </w:rPr>
              <w:t>。</w:t>
            </w:r>
          </w:p>
          <w:p w14:paraId="00555EF5">
            <w:pPr>
              <w:pStyle w:val="55"/>
              <w:ind w:firstLine="480"/>
            </w:pPr>
            <w:r>
              <w:t>本项目</w:t>
            </w:r>
            <w:r>
              <w:rPr>
                <w:rFonts w:hint="eastAsia"/>
              </w:rPr>
              <w:t>废气</w:t>
            </w:r>
            <w:r>
              <w:t>产生及排放情况见表4-3。</w:t>
            </w:r>
          </w:p>
          <w:p w14:paraId="66289B91">
            <w:pPr>
              <w:widowControl/>
              <w:spacing w:before="24" w:beforeLines="10" w:after="24" w:afterLines="10"/>
              <w:jc w:val="center"/>
              <w:rPr>
                <w:szCs w:val="21"/>
              </w:rPr>
            </w:pPr>
            <w:r>
              <w:rPr>
                <w:b/>
                <w:bCs/>
                <w:szCs w:val="21"/>
              </w:rPr>
              <w:t>表4-3    项目</w:t>
            </w:r>
            <w:r>
              <w:rPr>
                <w:rFonts w:hint="eastAsia"/>
                <w:b/>
                <w:bCs/>
                <w:szCs w:val="21"/>
              </w:rPr>
              <w:t>废气</w:t>
            </w:r>
            <w:r>
              <w:rPr>
                <w:b/>
                <w:bCs/>
                <w:szCs w:val="21"/>
              </w:rPr>
              <w:t>产生及排放情况汇总表</w:t>
            </w:r>
          </w:p>
          <w:tbl>
            <w:tblPr>
              <w:tblStyle w:val="30"/>
              <w:tblW w:w="81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376"/>
              <w:gridCol w:w="707"/>
              <w:gridCol w:w="985"/>
              <w:gridCol w:w="711"/>
              <w:gridCol w:w="2040"/>
              <w:gridCol w:w="525"/>
              <w:gridCol w:w="1063"/>
              <w:gridCol w:w="711"/>
              <w:gridCol w:w="1060"/>
            </w:tblGrid>
            <w:tr w14:paraId="621C23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71" w:hRule="atLeast"/>
                <w:jc w:val="center"/>
              </w:trPr>
              <w:tc>
                <w:tcPr>
                  <w:tcW w:w="230" w:type="pct"/>
                  <w:vMerge w:val="restart"/>
                  <w:tcBorders>
                    <w:top w:val="single" w:color="auto" w:sz="12" w:space="0"/>
                    <w:bottom w:val="single" w:color="auto" w:sz="12" w:space="0"/>
                  </w:tcBorders>
                  <w:vAlign w:val="center"/>
                </w:tcPr>
                <w:p w14:paraId="497F6B2E">
                  <w:pPr>
                    <w:spacing w:before="24" w:beforeLines="10" w:after="24" w:afterLines="10"/>
                    <w:jc w:val="center"/>
                    <w:rPr>
                      <w:b/>
                      <w:bCs/>
                      <w:szCs w:val="21"/>
                    </w:rPr>
                  </w:pPr>
                  <w:r>
                    <w:rPr>
                      <w:b/>
                      <w:bCs/>
                      <w:szCs w:val="21"/>
                    </w:rPr>
                    <w:t>污染物</w:t>
                  </w:r>
                </w:p>
              </w:tc>
              <w:tc>
                <w:tcPr>
                  <w:tcW w:w="1469" w:type="pct"/>
                  <w:gridSpan w:val="3"/>
                  <w:tcBorders>
                    <w:top w:val="single" w:color="auto" w:sz="12" w:space="0"/>
                    <w:bottom w:val="single" w:color="auto" w:sz="12" w:space="0"/>
                  </w:tcBorders>
                </w:tcPr>
                <w:p w14:paraId="383FADBC">
                  <w:pPr>
                    <w:spacing w:before="24" w:beforeLines="10" w:after="24" w:afterLines="10"/>
                    <w:jc w:val="center"/>
                    <w:rPr>
                      <w:b/>
                      <w:bCs/>
                      <w:szCs w:val="21"/>
                    </w:rPr>
                  </w:pPr>
                  <w:r>
                    <w:rPr>
                      <w:b/>
                      <w:bCs/>
                      <w:szCs w:val="21"/>
                    </w:rPr>
                    <w:t>污染物排放情况</w:t>
                  </w:r>
                </w:p>
              </w:tc>
              <w:tc>
                <w:tcPr>
                  <w:tcW w:w="1567" w:type="pct"/>
                  <w:gridSpan w:val="2"/>
                  <w:tcBorders>
                    <w:top w:val="single" w:color="auto" w:sz="12" w:space="0"/>
                    <w:bottom w:val="single" w:color="auto" w:sz="12" w:space="0"/>
                  </w:tcBorders>
                  <w:vAlign w:val="center"/>
                </w:tcPr>
                <w:p w14:paraId="7DF8DFF5">
                  <w:pPr>
                    <w:spacing w:before="24" w:beforeLines="10" w:after="24" w:afterLines="10"/>
                    <w:jc w:val="center"/>
                    <w:rPr>
                      <w:b/>
                      <w:bCs/>
                      <w:szCs w:val="21"/>
                    </w:rPr>
                  </w:pPr>
                  <w:r>
                    <w:rPr>
                      <w:b/>
                      <w:bCs/>
                      <w:szCs w:val="21"/>
                    </w:rPr>
                    <w:t>治理效率</w:t>
                  </w:r>
                </w:p>
              </w:tc>
              <w:tc>
                <w:tcPr>
                  <w:tcW w:w="1733" w:type="pct"/>
                  <w:gridSpan w:val="3"/>
                  <w:tcBorders>
                    <w:top w:val="single" w:color="auto" w:sz="12" w:space="0"/>
                    <w:bottom w:val="single" w:color="auto" w:sz="12" w:space="0"/>
                  </w:tcBorders>
                  <w:vAlign w:val="center"/>
                </w:tcPr>
                <w:p w14:paraId="4FB4B1F7">
                  <w:pPr>
                    <w:spacing w:before="24" w:beforeLines="10" w:after="24" w:afterLines="10"/>
                    <w:jc w:val="center"/>
                    <w:rPr>
                      <w:b/>
                      <w:bCs/>
                      <w:szCs w:val="21"/>
                    </w:rPr>
                  </w:pPr>
                  <w:r>
                    <w:rPr>
                      <w:b/>
                      <w:bCs/>
                      <w:szCs w:val="21"/>
                    </w:rPr>
                    <w:t>排放情况</w:t>
                  </w:r>
                </w:p>
              </w:tc>
            </w:tr>
            <w:tr w14:paraId="4C91C5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649" w:hRule="atLeast"/>
                <w:jc w:val="center"/>
              </w:trPr>
              <w:tc>
                <w:tcPr>
                  <w:tcW w:w="230" w:type="pct"/>
                  <w:vMerge w:val="continue"/>
                  <w:tcBorders>
                    <w:top w:val="single" w:color="auto" w:sz="12" w:space="0"/>
                    <w:bottom w:val="single" w:color="auto" w:sz="12" w:space="0"/>
                  </w:tcBorders>
                  <w:vAlign w:val="center"/>
                </w:tcPr>
                <w:p w14:paraId="6D1B6CA7">
                  <w:pPr>
                    <w:spacing w:before="24" w:beforeLines="10" w:after="24" w:afterLines="10"/>
                    <w:jc w:val="center"/>
                    <w:rPr>
                      <w:b/>
                      <w:bCs/>
                      <w:szCs w:val="21"/>
                    </w:rPr>
                  </w:pPr>
                </w:p>
              </w:tc>
              <w:tc>
                <w:tcPr>
                  <w:tcW w:w="432" w:type="pct"/>
                  <w:tcBorders>
                    <w:top w:val="single" w:color="auto" w:sz="12" w:space="0"/>
                    <w:bottom w:val="single" w:color="auto" w:sz="12" w:space="0"/>
                  </w:tcBorders>
                  <w:vAlign w:val="center"/>
                </w:tcPr>
                <w:p w14:paraId="1FFC27C8">
                  <w:pPr>
                    <w:spacing w:before="24" w:beforeLines="10" w:after="24" w:afterLines="10"/>
                    <w:jc w:val="center"/>
                    <w:rPr>
                      <w:b/>
                      <w:bCs/>
                      <w:szCs w:val="21"/>
                    </w:rPr>
                  </w:pPr>
                  <w:r>
                    <w:rPr>
                      <w:rFonts w:hint="eastAsia"/>
                      <w:b/>
                      <w:bCs/>
                      <w:szCs w:val="21"/>
                    </w:rPr>
                    <w:t>排放形式</w:t>
                  </w:r>
                </w:p>
              </w:tc>
              <w:tc>
                <w:tcPr>
                  <w:tcW w:w="602" w:type="pct"/>
                  <w:tcBorders>
                    <w:top w:val="single" w:color="auto" w:sz="12" w:space="0"/>
                    <w:bottom w:val="single" w:color="auto" w:sz="12" w:space="0"/>
                  </w:tcBorders>
                  <w:vAlign w:val="center"/>
                </w:tcPr>
                <w:p w14:paraId="50243B9A">
                  <w:pPr>
                    <w:spacing w:before="24" w:beforeLines="10" w:after="24" w:afterLines="10"/>
                    <w:jc w:val="center"/>
                    <w:rPr>
                      <w:b/>
                      <w:bCs/>
                      <w:szCs w:val="21"/>
                    </w:rPr>
                  </w:pPr>
                  <w:r>
                    <w:rPr>
                      <w:b/>
                      <w:bCs/>
                      <w:szCs w:val="21"/>
                    </w:rPr>
                    <w:t>产生</w:t>
                  </w:r>
                  <w:r>
                    <w:rPr>
                      <w:rFonts w:hint="eastAsia"/>
                      <w:b/>
                      <w:bCs/>
                      <w:szCs w:val="21"/>
                    </w:rPr>
                    <w:t>速率</w:t>
                  </w:r>
                  <w:r>
                    <w:rPr>
                      <w:b/>
                      <w:bCs/>
                      <w:szCs w:val="21"/>
                    </w:rPr>
                    <w:t>（</w:t>
                  </w:r>
                  <w:r>
                    <w:rPr>
                      <w:rFonts w:hint="eastAsia"/>
                      <w:b/>
                      <w:bCs/>
                    </w:rPr>
                    <w:t>kg</w:t>
                  </w:r>
                  <w:r>
                    <w:rPr>
                      <w:b/>
                      <w:bCs/>
                    </w:rPr>
                    <w:t>/h</w:t>
                  </w:r>
                  <w:r>
                    <w:rPr>
                      <w:b/>
                      <w:bCs/>
                      <w:szCs w:val="21"/>
                    </w:rPr>
                    <w:t>）</w:t>
                  </w:r>
                </w:p>
              </w:tc>
              <w:tc>
                <w:tcPr>
                  <w:tcW w:w="435" w:type="pct"/>
                  <w:tcBorders>
                    <w:top w:val="single" w:color="auto" w:sz="12" w:space="0"/>
                    <w:bottom w:val="single" w:color="auto" w:sz="12" w:space="0"/>
                  </w:tcBorders>
                  <w:vAlign w:val="center"/>
                </w:tcPr>
                <w:p w14:paraId="190F6361">
                  <w:pPr>
                    <w:spacing w:before="24" w:beforeLines="10" w:after="24" w:afterLines="10"/>
                    <w:jc w:val="center"/>
                    <w:rPr>
                      <w:b/>
                      <w:bCs/>
                      <w:szCs w:val="21"/>
                    </w:rPr>
                  </w:pPr>
                  <w:r>
                    <w:rPr>
                      <w:b/>
                      <w:bCs/>
                      <w:szCs w:val="21"/>
                    </w:rPr>
                    <w:t>产生量（t/a）</w:t>
                  </w:r>
                </w:p>
              </w:tc>
              <w:tc>
                <w:tcPr>
                  <w:tcW w:w="1247" w:type="pct"/>
                  <w:tcBorders>
                    <w:top w:val="single" w:color="auto" w:sz="12" w:space="0"/>
                    <w:bottom w:val="single" w:color="auto" w:sz="12" w:space="0"/>
                  </w:tcBorders>
                  <w:vAlign w:val="center"/>
                </w:tcPr>
                <w:p w14:paraId="7E64514F">
                  <w:pPr>
                    <w:spacing w:before="24" w:beforeLines="10" w:after="24" w:afterLines="10"/>
                    <w:jc w:val="center"/>
                    <w:rPr>
                      <w:b/>
                      <w:bCs/>
                      <w:szCs w:val="21"/>
                    </w:rPr>
                  </w:pPr>
                  <w:r>
                    <w:rPr>
                      <w:b/>
                      <w:bCs/>
                      <w:szCs w:val="21"/>
                    </w:rPr>
                    <w:t>工艺</w:t>
                  </w:r>
                </w:p>
              </w:tc>
              <w:tc>
                <w:tcPr>
                  <w:tcW w:w="320" w:type="pct"/>
                  <w:tcBorders>
                    <w:top w:val="single" w:color="auto" w:sz="12" w:space="0"/>
                    <w:bottom w:val="single" w:color="auto" w:sz="12" w:space="0"/>
                  </w:tcBorders>
                  <w:vAlign w:val="center"/>
                </w:tcPr>
                <w:p w14:paraId="69903211">
                  <w:pPr>
                    <w:spacing w:before="24" w:beforeLines="10" w:after="24" w:afterLines="10"/>
                    <w:jc w:val="center"/>
                    <w:rPr>
                      <w:b/>
                      <w:bCs/>
                      <w:szCs w:val="21"/>
                    </w:rPr>
                  </w:pPr>
                  <w:r>
                    <w:rPr>
                      <w:b/>
                      <w:bCs/>
                      <w:szCs w:val="21"/>
                    </w:rPr>
                    <w:t>处理效率</w:t>
                  </w:r>
                </w:p>
              </w:tc>
              <w:tc>
                <w:tcPr>
                  <w:tcW w:w="650" w:type="pct"/>
                  <w:tcBorders>
                    <w:top w:val="single" w:color="auto" w:sz="12" w:space="0"/>
                    <w:bottom w:val="single" w:color="auto" w:sz="12" w:space="0"/>
                  </w:tcBorders>
                  <w:vAlign w:val="center"/>
                </w:tcPr>
                <w:p w14:paraId="5BDDA571">
                  <w:pPr>
                    <w:spacing w:before="24" w:beforeLines="10" w:after="24" w:afterLines="10"/>
                    <w:jc w:val="center"/>
                    <w:rPr>
                      <w:b/>
                      <w:bCs/>
                      <w:szCs w:val="21"/>
                    </w:rPr>
                  </w:pPr>
                  <w:r>
                    <w:rPr>
                      <w:b/>
                      <w:bCs/>
                      <w:szCs w:val="21"/>
                    </w:rPr>
                    <w:t>排放浓度（</w:t>
                  </w:r>
                  <w:r>
                    <w:rPr>
                      <w:b/>
                      <w:bCs/>
                    </w:rPr>
                    <w:t>mg/m</w:t>
                  </w:r>
                  <w:r>
                    <w:rPr>
                      <w:b/>
                      <w:bCs/>
                      <w:vertAlign w:val="superscript"/>
                    </w:rPr>
                    <w:t>3</w:t>
                  </w:r>
                  <w:r>
                    <w:rPr>
                      <w:b/>
                      <w:bCs/>
                      <w:szCs w:val="21"/>
                    </w:rPr>
                    <w:t>）</w:t>
                  </w:r>
                </w:p>
              </w:tc>
              <w:tc>
                <w:tcPr>
                  <w:tcW w:w="435" w:type="pct"/>
                  <w:tcBorders>
                    <w:top w:val="single" w:color="auto" w:sz="12" w:space="0"/>
                    <w:bottom w:val="single" w:color="auto" w:sz="12" w:space="0"/>
                  </w:tcBorders>
                  <w:vAlign w:val="center"/>
                </w:tcPr>
                <w:p w14:paraId="6120D623">
                  <w:pPr>
                    <w:spacing w:before="24" w:beforeLines="10" w:after="24" w:afterLines="10"/>
                    <w:jc w:val="center"/>
                    <w:rPr>
                      <w:b/>
                      <w:bCs/>
                      <w:szCs w:val="21"/>
                    </w:rPr>
                  </w:pPr>
                  <w:r>
                    <w:rPr>
                      <w:b/>
                      <w:bCs/>
                      <w:szCs w:val="21"/>
                    </w:rPr>
                    <w:t>排放量（t/a）</w:t>
                  </w:r>
                </w:p>
              </w:tc>
              <w:tc>
                <w:tcPr>
                  <w:tcW w:w="649" w:type="pct"/>
                  <w:tcBorders>
                    <w:top w:val="single" w:color="auto" w:sz="12" w:space="0"/>
                    <w:bottom w:val="single" w:color="auto" w:sz="12" w:space="0"/>
                  </w:tcBorders>
                  <w:vAlign w:val="center"/>
                </w:tcPr>
                <w:p w14:paraId="43C3E0BF">
                  <w:pPr>
                    <w:spacing w:before="24" w:beforeLines="10" w:after="24" w:afterLines="10"/>
                    <w:jc w:val="center"/>
                    <w:rPr>
                      <w:b/>
                      <w:bCs/>
                      <w:szCs w:val="21"/>
                    </w:rPr>
                  </w:pPr>
                  <w:r>
                    <w:rPr>
                      <w:b/>
                      <w:bCs/>
                      <w:szCs w:val="21"/>
                    </w:rPr>
                    <w:t>执行标准（</w:t>
                  </w:r>
                  <w:r>
                    <w:rPr>
                      <w:b/>
                      <w:bCs/>
                    </w:rPr>
                    <w:t>mg/m</w:t>
                  </w:r>
                  <w:r>
                    <w:rPr>
                      <w:b/>
                      <w:bCs/>
                      <w:vertAlign w:val="superscript"/>
                    </w:rPr>
                    <w:t>3</w:t>
                  </w:r>
                  <w:r>
                    <w:rPr>
                      <w:b/>
                      <w:bCs/>
                      <w:szCs w:val="21"/>
                    </w:rPr>
                    <w:t>）</w:t>
                  </w:r>
                </w:p>
              </w:tc>
            </w:tr>
            <w:tr w14:paraId="3E89BE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230" w:type="pct"/>
                  <w:vMerge w:val="restart"/>
                  <w:tcBorders>
                    <w:top w:val="single" w:color="auto" w:sz="12" w:space="0"/>
                  </w:tcBorders>
                  <w:vAlign w:val="center"/>
                </w:tcPr>
                <w:p w14:paraId="2CBC04D0">
                  <w:pPr>
                    <w:spacing w:before="24" w:beforeLines="10" w:after="24" w:afterLines="10"/>
                    <w:jc w:val="center"/>
                    <w:rPr>
                      <w:szCs w:val="21"/>
                    </w:rPr>
                  </w:pPr>
                  <w:r>
                    <w:rPr>
                      <w:szCs w:val="21"/>
                    </w:rPr>
                    <w:t>颗粒物</w:t>
                  </w:r>
                </w:p>
              </w:tc>
              <w:tc>
                <w:tcPr>
                  <w:tcW w:w="432" w:type="pct"/>
                  <w:tcBorders>
                    <w:top w:val="single" w:color="auto" w:sz="12" w:space="0"/>
                    <w:bottom w:val="single" w:color="auto" w:sz="4" w:space="0"/>
                  </w:tcBorders>
                  <w:vAlign w:val="center"/>
                </w:tcPr>
                <w:p w14:paraId="31D0F7A2">
                  <w:pPr>
                    <w:spacing w:before="24" w:beforeLines="10" w:after="24" w:afterLines="10"/>
                    <w:jc w:val="center"/>
                    <w:rPr>
                      <w:szCs w:val="21"/>
                    </w:rPr>
                  </w:pPr>
                  <w:r>
                    <w:rPr>
                      <w:rFonts w:hint="eastAsia"/>
                      <w:szCs w:val="21"/>
                    </w:rPr>
                    <w:t>有组织</w:t>
                  </w:r>
                </w:p>
              </w:tc>
              <w:tc>
                <w:tcPr>
                  <w:tcW w:w="602" w:type="pct"/>
                  <w:tcBorders>
                    <w:top w:val="single" w:color="auto" w:sz="12" w:space="0"/>
                    <w:bottom w:val="single" w:color="auto" w:sz="4" w:space="0"/>
                  </w:tcBorders>
                  <w:vAlign w:val="center"/>
                </w:tcPr>
                <w:p w14:paraId="441169BE">
                  <w:pPr>
                    <w:spacing w:before="24" w:beforeLines="10" w:after="24" w:afterLines="10"/>
                    <w:jc w:val="center"/>
                    <w:rPr>
                      <w:szCs w:val="21"/>
                    </w:rPr>
                  </w:pPr>
                  <w:r>
                    <w:rPr>
                      <w:rFonts w:hint="eastAsia"/>
                      <w:szCs w:val="21"/>
                    </w:rPr>
                    <w:t>1</w:t>
                  </w:r>
                  <w:r>
                    <w:rPr>
                      <w:szCs w:val="21"/>
                    </w:rPr>
                    <w:t>0</w:t>
                  </w:r>
                </w:p>
              </w:tc>
              <w:tc>
                <w:tcPr>
                  <w:tcW w:w="435" w:type="pct"/>
                  <w:tcBorders>
                    <w:top w:val="single" w:color="auto" w:sz="12" w:space="0"/>
                    <w:bottom w:val="single" w:color="auto" w:sz="4" w:space="0"/>
                  </w:tcBorders>
                  <w:vAlign w:val="center"/>
                </w:tcPr>
                <w:p w14:paraId="6B12711E">
                  <w:pPr>
                    <w:spacing w:before="24" w:beforeLines="10" w:after="24" w:afterLines="10"/>
                    <w:jc w:val="center"/>
                    <w:rPr>
                      <w:szCs w:val="21"/>
                    </w:rPr>
                  </w:pPr>
                  <w:r>
                    <w:rPr>
                      <w:rFonts w:hint="eastAsia"/>
                      <w:szCs w:val="21"/>
                    </w:rPr>
                    <w:t>2</w:t>
                  </w:r>
                  <w:r>
                    <w:rPr>
                      <w:szCs w:val="21"/>
                    </w:rPr>
                    <w:t>8.8</w:t>
                  </w:r>
                </w:p>
              </w:tc>
              <w:tc>
                <w:tcPr>
                  <w:tcW w:w="1247" w:type="pct"/>
                  <w:tcBorders>
                    <w:top w:val="single" w:color="auto" w:sz="12" w:space="0"/>
                    <w:bottom w:val="single" w:color="auto" w:sz="4" w:space="0"/>
                  </w:tcBorders>
                  <w:vAlign w:val="center"/>
                </w:tcPr>
                <w:p w14:paraId="3D8A7699">
                  <w:pPr>
                    <w:spacing w:before="24" w:beforeLines="10" w:after="24" w:afterLines="10"/>
                    <w:rPr>
                      <w:color w:val="0000FF"/>
                      <w:szCs w:val="21"/>
                    </w:rPr>
                  </w:pPr>
                  <w:r>
                    <w:rPr>
                      <w:rFonts w:hint="eastAsia"/>
                      <w:szCs w:val="21"/>
                    </w:rPr>
                    <w:t>经集气罩收集+</w:t>
                  </w:r>
                  <w:r>
                    <w:rPr>
                      <w:szCs w:val="21"/>
                    </w:rPr>
                    <w:t>共用1套布袋除尘器处理后由1根15m</w:t>
                  </w:r>
                  <w:r>
                    <w:rPr>
                      <w:rFonts w:hint="eastAsia"/>
                      <w:szCs w:val="21"/>
                    </w:rPr>
                    <w:t>（D</w:t>
                  </w:r>
                  <w:r>
                    <w:rPr>
                      <w:szCs w:val="21"/>
                    </w:rPr>
                    <w:t>A001</w:t>
                  </w:r>
                  <w:r>
                    <w:rPr>
                      <w:rFonts w:hint="eastAsia"/>
                      <w:szCs w:val="21"/>
                    </w:rPr>
                    <w:t>）</w:t>
                  </w:r>
                  <w:r>
                    <w:rPr>
                      <w:szCs w:val="21"/>
                    </w:rPr>
                    <w:t>排气筒排放</w:t>
                  </w:r>
                </w:p>
              </w:tc>
              <w:tc>
                <w:tcPr>
                  <w:tcW w:w="320" w:type="pct"/>
                  <w:tcBorders>
                    <w:top w:val="single" w:color="auto" w:sz="12" w:space="0"/>
                    <w:bottom w:val="single" w:color="auto" w:sz="4" w:space="0"/>
                  </w:tcBorders>
                  <w:vAlign w:val="center"/>
                </w:tcPr>
                <w:p w14:paraId="03F4983D">
                  <w:pPr>
                    <w:spacing w:before="24" w:beforeLines="10" w:after="24" w:afterLines="10"/>
                    <w:jc w:val="center"/>
                    <w:rPr>
                      <w:szCs w:val="21"/>
                    </w:rPr>
                  </w:pPr>
                  <w:r>
                    <w:rPr>
                      <w:szCs w:val="21"/>
                    </w:rPr>
                    <w:t>99%</w:t>
                  </w:r>
                </w:p>
              </w:tc>
              <w:tc>
                <w:tcPr>
                  <w:tcW w:w="650" w:type="pct"/>
                  <w:tcBorders>
                    <w:top w:val="single" w:color="auto" w:sz="12" w:space="0"/>
                    <w:bottom w:val="single" w:color="auto" w:sz="4" w:space="0"/>
                  </w:tcBorders>
                  <w:vAlign w:val="center"/>
                </w:tcPr>
                <w:p w14:paraId="598108AB">
                  <w:pPr>
                    <w:spacing w:before="24" w:beforeLines="10" w:after="24" w:afterLines="10"/>
                    <w:jc w:val="center"/>
                    <w:rPr>
                      <w:szCs w:val="21"/>
                    </w:rPr>
                  </w:pPr>
                  <w:r>
                    <w:rPr>
                      <w:rFonts w:hint="eastAsia"/>
                      <w:szCs w:val="21"/>
                    </w:rPr>
                    <w:t>5</w:t>
                  </w:r>
                </w:p>
              </w:tc>
              <w:tc>
                <w:tcPr>
                  <w:tcW w:w="435" w:type="pct"/>
                  <w:tcBorders>
                    <w:top w:val="single" w:color="auto" w:sz="12" w:space="0"/>
                    <w:bottom w:val="single" w:color="auto" w:sz="4" w:space="0"/>
                  </w:tcBorders>
                  <w:vAlign w:val="center"/>
                </w:tcPr>
                <w:p w14:paraId="46365DEA">
                  <w:pPr>
                    <w:spacing w:before="24" w:beforeLines="10" w:after="24" w:afterLines="10"/>
                    <w:jc w:val="center"/>
                    <w:rPr>
                      <w:color w:val="0000FF"/>
                      <w:szCs w:val="21"/>
                    </w:rPr>
                  </w:pPr>
                  <w:r>
                    <w:rPr>
                      <w:rFonts w:hint="eastAsia"/>
                      <w:szCs w:val="21"/>
                    </w:rPr>
                    <w:t>0</w:t>
                  </w:r>
                  <w:r>
                    <w:rPr>
                      <w:szCs w:val="21"/>
                    </w:rPr>
                    <w:t>.288</w:t>
                  </w:r>
                </w:p>
              </w:tc>
              <w:tc>
                <w:tcPr>
                  <w:tcW w:w="649" w:type="pct"/>
                  <w:tcBorders>
                    <w:top w:val="single" w:color="auto" w:sz="12" w:space="0"/>
                    <w:bottom w:val="single" w:color="auto" w:sz="4" w:space="0"/>
                  </w:tcBorders>
                  <w:vAlign w:val="center"/>
                </w:tcPr>
                <w:p w14:paraId="2EBDB306">
                  <w:pPr>
                    <w:spacing w:before="24" w:beforeLines="10" w:after="24" w:afterLines="10"/>
                    <w:jc w:val="center"/>
                    <w:rPr>
                      <w:szCs w:val="21"/>
                    </w:rPr>
                  </w:pPr>
                  <w:r>
                    <w:rPr>
                      <w:szCs w:val="21"/>
                    </w:rPr>
                    <w:t>20</w:t>
                  </w:r>
                </w:p>
              </w:tc>
            </w:tr>
            <w:tr w14:paraId="6DFB7A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230" w:type="pct"/>
                  <w:vMerge w:val="continue"/>
                  <w:vAlign w:val="center"/>
                </w:tcPr>
                <w:p w14:paraId="0FE878DA">
                  <w:pPr>
                    <w:spacing w:before="24" w:beforeLines="10" w:after="24" w:afterLines="10"/>
                    <w:jc w:val="center"/>
                    <w:rPr>
                      <w:szCs w:val="21"/>
                    </w:rPr>
                  </w:pPr>
                </w:p>
              </w:tc>
              <w:tc>
                <w:tcPr>
                  <w:tcW w:w="432" w:type="pct"/>
                  <w:tcBorders>
                    <w:top w:val="single" w:color="auto" w:sz="4" w:space="0"/>
                  </w:tcBorders>
                  <w:vAlign w:val="center"/>
                </w:tcPr>
                <w:p w14:paraId="22B1F670">
                  <w:pPr>
                    <w:spacing w:before="24" w:beforeLines="10" w:after="24" w:afterLines="10"/>
                    <w:jc w:val="center"/>
                    <w:rPr>
                      <w:szCs w:val="21"/>
                    </w:rPr>
                  </w:pPr>
                  <w:r>
                    <w:rPr>
                      <w:rFonts w:hint="eastAsia"/>
                      <w:szCs w:val="21"/>
                    </w:rPr>
                    <w:t>无组织</w:t>
                  </w:r>
                </w:p>
              </w:tc>
              <w:tc>
                <w:tcPr>
                  <w:tcW w:w="602" w:type="pct"/>
                  <w:tcBorders>
                    <w:top w:val="single" w:color="auto" w:sz="4" w:space="0"/>
                  </w:tcBorders>
                  <w:vAlign w:val="center"/>
                </w:tcPr>
                <w:p w14:paraId="64710894">
                  <w:pPr>
                    <w:spacing w:before="24" w:beforeLines="10" w:after="24" w:afterLines="10"/>
                    <w:jc w:val="center"/>
                    <w:rPr>
                      <w:szCs w:val="21"/>
                    </w:rPr>
                  </w:pPr>
                  <w:r>
                    <w:rPr>
                      <w:rFonts w:hint="eastAsia"/>
                      <w:szCs w:val="21"/>
                    </w:rPr>
                    <w:t>1</w:t>
                  </w:r>
                  <w:r>
                    <w:rPr>
                      <w:szCs w:val="21"/>
                    </w:rPr>
                    <w:t>.11</w:t>
                  </w:r>
                </w:p>
              </w:tc>
              <w:tc>
                <w:tcPr>
                  <w:tcW w:w="435" w:type="pct"/>
                  <w:tcBorders>
                    <w:top w:val="single" w:color="auto" w:sz="4" w:space="0"/>
                  </w:tcBorders>
                  <w:vAlign w:val="center"/>
                </w:tcPr>
                <w:p w14:paraId="5F62F73F">
                  <w:pPr>
                    <w:spacing w:before="24" w:beforeLines="10" w:after="24" w:afterLines="10"/>
                    <w:jc w:val="center"/>
                    <w:rPr>
                      <w:color w:val="0000FF"/>
                      <w:szCs w:val="21"/>
                    </w:rPr>
                  </w:pPr>
                  <w:r>
                    <w:rPr>
                      <w:rFonts w:hint="eastAsia"/>
                      <w:szCs w:val="21"/>
                    </w:rPr>
                    <w:t>3</w:t>
                  </w:r>
                  <w:r>
                    <w:rPr>
                      <w:szCs w:val="21"/>
                    </w:rPr>
                    <w:t>.2</w:t>
                  </w:r>
                </w:p>
              </w:tc>
              <w:tc>
                <w:tcPr>
                  <w:tcW w:w="1247" w:type="pct"/>
                  <w:tcBorders>
                    <w:top w:val="single" w:color="auto" w:sz="4" w:space="0"/>
                  </w:tcBorders>
                  <w:vAlign w:val="center"/>
                </w:tcPr>
                <w:p w14:paraId="72B411C9">
                  <w:pPr>
                    <w:spacing w:before="24" w:beforeLines="10" w:after="24" w:afterLines="10"/>
                    <w:jc w:val="center"/>
                    <w:rPr>
                      <w:szCs w:val="21"/>
                    </w:rPr>
                  </w:pPr>
                  <w:r>
                    <w:rPr>
                      <w:rFonts w:hint="eastAsia"/>
                      <w:szCs w:val="21"/>
                    </w:rPr>
                    <w:t>厂房密闭，自然沉降</w:t>
                  </w:r>
                </w:p>
              </w:tc>
              <w:tc>
                <w:tcPr>
                  <w:tcW w:w="320" w:type="pct"/>
                  <w:tcBorders>
                    <w:top w:val="single" w:color="auto" w:sz="4" w:space="0"/>
                  </w:tcBorders>
                  <w:vAlign w:val="center"/>
                </w:tcPr>
                <w:p w14:paraId="011B4D6D">
                  <w:pPr>
                    <w:spacing w:before="24" w:beforeLines="10" w:after="24" w:afterLines="10"/>
                    <w:jc w:val="center"/>
                    <w:rPr>
                      <w:szCs w:val="21"/>
                    </w:rPr>
                  </w:pPr>
                  <w:r>
                    <w:rPr>
                      <w:szCs w:val="21"/>
                    </w:rPr>
                    <w:t>80</w:t>
                  </w:r>
                  <w:r>
                    <w:rPr>
                      <w:rFonts w:hint="eastAsia"/>
                      <w:szCs w:val="21"/>
                    </w:rPr>
                    <w:t>%</w:t>
                  </w:r>
                </w:p>
              </w:tc>
              <w:tc>
                <w:tcPr>
                  <w:tcW w:w="650" w:type="pct"/>
                  <w:tcBorders>
                    <w:top w:val="single" w:color="auto" w:sz="4" w:space="0"/>
                  </w:tcBorders>
                  <w:vAlign w:val="center"/>
                </w:tcPr>
                <w:p w14:paraId="0F75F663">
                  <w:pPr>
                    <w:spacing w:before="24" w:beforeLines="10" w:after="24" w:afterLines="10"/>
                    <w:jc w:val="center"/>
                    <w:rPr>
                      <w:szCs w:val="21"/>
                    </w:rPr>
                  </w:pPr>
                  <w:r>
                    <w:rPr>
                      <w:rFonts w:hint="eastAsia"/>
                      <w:szCs w:val="21"/>
                    </w:rPr>
                    <w:t>/</w:t>
                  </w:r>
                </w:p>
              </w:tc>
              <w:tc>
                <w:tcPr>
                  <w:tcW w:w="435" w:type="pct"/>
                  <w:tcBorders>
                    <w:top w:val="single" w:color="auto" w:sz="4" w:space="0"/>
                  </w:tcBorders>
                  <w:vAlign w:val="center"/>
                </w:tcPr>
                <w:p w14:paraId="3B79F8C0">
                  <w:pPr>
                    <w:spacing w:before="24" w:beforeLines="10" w:after="24" w:afterLines="10"/>
                    <w:jc w:val="center"/>
                    <w:rPr>
                      <w:szCs w:val="21"/>
                    </w:rPr>
                  </w:pPr>
                  <w:r>
                    <w:rPr>
                      <w:rFonts w:hint="eastAsia"/>
                      <w:szCs w:val="21"/>
                    </w:rPr>
                    <w:t>0</w:t>
                  </w:r>
                  <w:r>
                    <w:rPr>
                      <w:szCs w:val="21"/>
                    </w:rPr>
                    <w:t>.64</w:t>
                  </w:r>
                </w:p>
              </w:tc>
              <w:tc>
                <w:tcPr>
                  <w:tcW w:w="649" w:type="pct"/>
                  <w:tcBorders>
                    <w:top w:val="single" w:color="auto" w:sz="4" w:space="0"/>
                  </w:tcBorders>
                  <w:vAlign w:val="center"/>
                </w:tcPr>
                <w:p w14:paraId="5148B959">
                  <w:pPr>
                    <w:spacing w:before="24" w:beforeLines="10" w:after="24" w:afterLines="10"/>
                    <w:jc w:val="center"/>
                    <w:rPr>
                      <w:szCs w:val="21"/>
                    </w:rPr>
                  </w:pPr>
                  <w:r>
                    <w:rPr>
                      <w:szCs w:val="21"/>
                    </w:rPr>
                    <w:t>1.0</w:t>
                  </w:r>
                </w:p>
              </w:tc>
            </w:tr>
            <w:tr w14:paraId="5F5B2F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230" w:type="pct"/>
                  <w:vMerge w:val="restart"/>
                  <w:vAlign w:val="center"/>
                </w:tcPr>
                <w:p w14:paraId="134730CD">
                  <w:pPr>
                    <w:spacing w:before="24" w:beforeLines="10" w:after="24" w:afterLines="10"/>
                    <w:jc w:val="center"/>
                    <w:rPr>
                      <w:szCs w:val="21"/>
                    </w:rPr>
                  </w:pPr>
                  <w:r>
                    <w:rPr>
                      <w:szCs w:val="21"/>
                    </w:rPr>
                    <w:t>非甲烷总烃</w:t>
                  </w:r>
                </w:p>
              </w:tc>
              <w:tc>
                <w:tcPr>
                  <w:tcW w:w="432" w:type="pct"/>
                  <w:vAlign w:val="center"/>
                </w:tcPr>
                <w:p w14:paraId="01E7D3A5">
                  <w:pPr>
                    <w:spacing w:before="24" w:beforeLines="10" w:after="24" w:afterLines="10"/>
                    <w:jc w:val="center"/>
                    <w:rPr>
                      <w:szCs w:val="21"/>
                    </w:rPr>
                  </w:pPr>
                  <w:r>
                    <w:rPr>
                      <w:rFonts w:hint="eastAsia"/>
                      <w:szCs w:val="21"/>
                    </w:rPr>
                    <w:t>有组织</w:t>
                  </w:r>
                </w:p>
              </w:tc>
              <w:tc>
                <w:tcPr>
                  <w:tcW w:w="602" w:type="pct"/>
                  <w:vAlign w:val="center"/>
                </w:tcPr>
                <w:p w14:paraId="2D27F0EE">
                  <w:pPr>
                    <w:spacing w:before="24" w:beforeLines="10" w:after="24" w:afterLines="10"/>
                    <w:jc w:val="center"/>
                    <w:rPr>
                      <w:szCs w:val="21"/>
                    </w:rPr>
                  </w:pPr>
                  <w:r>
                    <w:rPr>
                      <w:rFonts w:hint="eastAsia"/>
                      <w:szCs w:val="21"/>
                    </w:rPr>
                    <w:t>0</w:t>
                  </w:r>
                  <w:r>
                    <w:rPr>
                      <w:szCs w:val="21"/>
                    </w:rPr>
                    <w:t>.067</w:t>
                  </w:r>
                </w:p>
              </w:tc>
              <w:tc>
                <w:tcPr>
                  <w:tcW w:w="435" w:type="pct"/>
                  <w:vAlign w:val="center"/>
                </w:tcPr>
                <w:p w14:paraId="7052A6BC">
                  <w:pPr>
                    <w:spacing w:before="24" w:beforeLines="10" w:after="24" w:afterLines="10"/>
                    <w:jc w:val="center"/>
                    <w:rPr>
                      <w:color w:val="0000FF"/>
                      <w:szCs w:val="21"/>
                    </w:rPr>
                  </w:pPr>
                  <w:r>
                    <w:rPr>
                      <w:rFonts w:hint="eastAsia"/>
                      <w:szCs w:val="21"/>
                    </w:rPr>
                    <w:t>0</w:t>
                  </w:r>
                  <w:r>
                    <w:rPr>
                      <w:szCs w:val="21"/>
                    </w:rPr>
                    <w:t>.192</w:t>
                  </w:r>
                </w:p>
              </w:tc>
              <w:tc>
                <w:tcPr>
                  <w:tcW w:w="1247" w:type="pct"/>
                  <w:vAlign w:val="center"/>
                </w:tcPr>
                <w:p w14:paraId="2DD3770E">
                  <w:pPr>
                    <w:spacing w:before="24" w:beforeLines="10" w:after="24" w:afterLines="10"/>
                    <w:rPr>
                      <w:szCs w:val="21"/>
                    </w:rPr>
                  </w:pPr>
                  <w:r>
                    <w:rPr>
                      <w:szCs w:val="21"/>
                    </w:rPr>
                    <w:t>经集气罩收集+催化燃烧设备+活性炭吸附处理后，由1根15m排气筒</w:t>
                  </w:r>
                  <w:r>
                    <w:rPr>
                      <w:rFonts w:hint="eastAsia"/>
                      <w:szCs w:val="21"/>
                    </w:rPr>
                    <w:t>（D</w:t>
                  </w:r>
                  <w:r>
                    <w:rPr>
                      <w:szCs w:val="21"/>
                    </w:rPr>
                    <w:t>A002</w:t>
                  </w:r>
                  <w:r>
                    <w:rPr>
                      <w:rFonts w:hint="eastAsia"/>
                      <w:szCs w:val="21"/>
                    </w:rPr>
                    <w:t>）</w:t>
                  </w:r>
                  <w:r>
                    <w:rPr>
                      <w:szCs w:val="21"/>
                    </w:rPr>
                    <w:t>排放</w:t>
                  </w:r>
                </w:p>
              </w:tc>
              <w:tc>
                <w:tcPr>
                  <w:tcW w:w="320" w:type="pct"/>
                  <w:vAlign w:val="center"/>
                </w:tcPr>
                <w:p w14:paraId="248B1833">
                  <w:pPr>
                    <w:spacing w:before="24" w:beforeLines="10" w:after="24" w:afterLines="10"/>
                    <w:jc w:val="center"/>
                    <w:rPr>
                      <w:szCs w:val="21"/>
                    </w:rPr>
                  </w:pPr>
                  <w:r>
                    <w:rPr>
                      <w:szCs w:val="21"/>
                    </w:rPr>
                    <w:t>85%</w:t>
                  </w:r>
                </w:p>
              </w:tc>
              <w:tc>
                <w:tcPr>
                  <w:tcW w:w="650" w:type="pct"/>
                  <w:vAlign w:val="center"/>
                </w:tcPr>
                <w:p w14:paraId="072C1447">
                  <w:pPr>
                    <w:spacing w:before="24" w:beforeLines="10" w:after="24" w:afterLines="10"/>
                    <w:jc w:val="center"/>
                    <w:rPr>
                      <w:szCs w:val="21"/>
                    </w:rPr>
                  </w:pPr>
                  <w:r>
                    <w:rPr>
                      <w:rFonts w:hint="eastAsia"/>
                      <w:szCs w:val="21"/>
                    </w:rPr>
                    <w:t>0</w:t>
                  </w:r>
                  <w:r>
                    <w:rPr>
                      <w:szCs w:val="21"/>
                    </w:rPr>
                    <w:t>.5</w:t>
                  </w:r>
                </w:p>
              </w:tc>
              <w:tc>
                <w:tcPr>
                  <w:tcW w:w="435" w:type="pct"/>
                  <w:vAlign w:val="center"/>
                </w:tcPr>
                <w:p w14:paraId="4112A0AA">
                  <w:pPr>
                    <w:spacing w:before="24" w:beforeLines="10" w:after="24" w:afterLines="10"/>
                    <w:jc w:val="center"/>
                    <w:rPr>
                      <w:color w:val="0000FF"/>
                      <w:szCs w:val="21"/>
                    </w:rPr>
                  </w:pPr>
                  <w:r>
                    <w:rPr>
                      <w:szCs w:val="21"/>
                    </w:rPr>
                    <w:t>0.0288</w:t>
                  </w:r>
                </w:p>
              </w:tc>
              <w:tc>
                <w:tcPr>
                  <w:tcW w:w="649" w:type="pct"/>
                  <w:vAlign w:val="center"/>
                </w:tcPr>
                <w:p w14:paraId="02AA6E6E">
                  <w:pPr>
                    <w:spacing w:before="24" w:beforeLines="10" w:after="24" w:afterLines="10"/>
                    <w:jc w:val="center"/>
                    <w:rPr>
                      <w:szCs w:val="21"/>
                    </w:rPr>
                  </w:pPr>
                  <w:r>
                    <w:rPr>
                      <w:szCs w:val="21"/>
                    </w:rPr>
                    <w:t>60</w:t>
                  </w:r>
                </w:p>
              </w:tc>
            </w:tr>
            <w:tr w14:paraId="062210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230" w:type="pct"/>
                  <w:vMerge w:val="continue"/>
                  <w:vAlign w:val="center"/>
                </w:tcPr>
                <w:p w14:paraId="1C418000">
                  <w:pPr>
                    <w:spacing w:before="24" w:beforeLines="10" w:after="24" w:afterLines="10"/>
                    <w:jc w:val="center"/>
                    <w:rPr>
                      <w:szCs w:val="21"/>
                    </w:rPr>
                  </w:pPr>
                </w:p>
              </w:tc>
              <w:tc>
                <w:tcPr>
                  <w:tcW w:w="432" w:type="pct"/>
                  <w:vAlign w:val="center"/>
                </w:tcPr>
                <w:p w14:paraId="17D85100">
                  <w:pPr>
                    <w:spacing w:before="24" w:beforeLines="10" w:after="24" w:afterLines="10"/>
                    <w:jc w:val="center"/>
                    <w:rPr>
                      <w:szCs w:val="21"/>
                    </w:rPr>
                  </w:pPr>
                  <w:r>
                    <w:rPr>
                      <w:rFonts w:hint="eastAsia"/>
                      <w:szCs w:val="21"/>
                    </w:rPr>
                    <w:t>无组织</w:t>
                  </w:r>
                </w:p>
              </w:tc>
              <w:tc>
                <w:tcPr>
                  <w:tcW w:w="602" w:type="pct"/>
                  <w:vAlign w:val="center"/>
                </w:tcPr>
                <w:p w14:paraId="60A82E09">
                  <w:pPr>
                    <w:spacing w:before="24" w:beforeLines="10" w:after="24" w:afterLines="10"/>
                    <w:jc w:val="center"/>
                    <w:rPr>
                      <w:szCs w:val="21"/>
                    </w:rPr>
                  </w:pPr>
                  <w:r>
                    <w:rPr>
                      <w:rFonts w:hint="eastAsia"/>
                      <w:szCs w:val="21"/>
                    </w:rPr>
                    <w:t>0</w:t>
                  </w:r>
                  <w:r>
                    <w:rPr>
                      <w:szCs w:val="21"/>
                    </w:rPr>
                    <w:t>.007</w:t>
                  </w:r>
                </w:p>
              </w:tc>
              <w:tc>
                <w:tcPr>
                  <w:tcW w:w="435" w:type="pct"/>
                  <w:vAlign w:val="center"/>
                </w:tcPr>
                <w:p w14:paraId="2EFB0296">
                  <w:pPr>
                    <w:spacing w:before="24" w:beforeLines="10" w:after="24" w:afterLines="10"/>
                    <w:jc w:val="center"/>
                    <w:rPr>
                      <w:color w:val="0000FF"/>
                      <w:szCs w:val="21"/>
                    </w:rPr>
                  </w:pPr>
                  <w:r>
                    <w:rPr>
                      <w:rFonts w:hint="eastAsia"/>
                      <w:szCs w:val="21"/>
                    </w:rPr>
                    <w:t>0</w:t>
                  </w:r>
                  <w:r>
                    <w:rPr>
                      <w:szCs w:val="21"/>
                    </w:rPr>
                    <w:t>.021</w:t>
                  </w:r>
                </w:p>
              </w:tc>
              <w:tc>
                <w:tcPr>
                  <w:tcW w:w="1247" w:type="pct"/>
                  <w:vAlign w:val="center"/>
                </w:tcPr>
                <w:p w14:paraId="6E9EFCDF">
                  <w:pPr>
                    <w:spacing w:before="24" w:beforeLines="10" w:after="24" w:afterLines="10"/>
                    <w:jc w:val="center"/>
                    <w:rPr>
                      <w:szCs w:val="21"/>
                    </w:rPr>
                  </w:pPr>
                  <w:r>
                    <w:rPr>
                      <w:rFonts w:hint="eastAsia"/>
                      <w:szCs w:val="21"/>
                    </w:rPr>
                    <w:t>加强通风</w:t>
                  </w:r>
                </w:p>
              </w:tc>
              <w:tc>
                <w:tcPr>
                  <w:tcW w:w="320" w:type="pct"/>
                  <w:vAlign w:val="center"/>
                </w:tcPr>
                <w:p w14:paraId="6457E2AF">
                  <w:pPr>
                    <w:spacing w:before="24" w:beforeLines="10" w:after="24" w:afterLines="10"/>
                    <w:jc w:val="center"/>
                    <w:rPr>
                      <w:szCs w:val="21"/>
                    </w:rPr>
                  </w:pPr>
                  <w:r>
                    <w:rPr>
                      <w:rFonts w:hint="eastAsia"/>
                      <w:szCs w:val="21"/>
                    </w:rPr>
                    <w:t>/</w:t>
                  </w:r>
                </w:p>
              </w:tc>
              <w:tc>
                <w:tcPr>
                  <w:tcW w:w="650" w:type="pct"/>
                  <w:vAlign w:val="center"/>
                </w:tcPr>
                <w:p w14:paraId="1AA02E2A">
                  <w:pPr>
                    <w:spacing w:before="24" w:beforeLines="10" w:after="24" w:afterLines="10"/>
                    <w:jc w:val="center"/>
                    <w:rPr>
                      <w:szCs w:val="21"/>
                    </w:rPr>
                  </w:pPr>
                  <w:r>
                    <w:rPr>
                      <w:rFonts w:hint="eastAsia"/>
                      <w:szCs w:val="21"/>
                    </w:rPr>
                    <w:t>/</w:t>
                  </w:r>
                </w:p>
              </w:tc>
              <w:tc>
                <w:tcPr>
                  <w:tcW w:w="435" w:type="pct"/>
                  <w:vAlign w:val="center"/>
                </w:tcPr>
                <w:p w14:paraId="0E17CBE4">
                  <w:pPr>
                    <w:spacing w:before="24" w:beforeLines="10" w:after="24" w:afterLines="10"/>
                    <w:jc w:val="center"/>
                    <w:rPr>
                      <w:szCs w:val="21"/>
                    </w:rPr>
                  </w:pPr>
                  <w:r>
                    <w:rPr>
                      <w:rFonts w:hint="eastAsia"/>
                      <w:szCs w:val="21"/>
                    </w:rPr>
                    <w:t>0</w:t>
                  </w:r>
                  <w:r>
                    <w:rPr>
                      <w:szCs w:val="21"/>
                    </w:rPr>
                    <w:t>.007</w:t>
                  </w:r>
                </w:p>
              </w:tc>
              <w:tc>
                <w:tcPr>
                  <w:tcW w:w="649" w:type="pct"/>
                  <w:vAlign w:val="center"/>
                </w:tcPr>
                <w:p w14:paraId="41F59A02">
                  <w:pPr>
                    <w:spacing w:before="24" w:beforeLines="10" w:after="24" w:afterLines="10"/>
                    <w:jc w:val="center"/>
                    <w:rPr>
                      <w:szCs w:val="21"/>
                    </w:rPr>
                  </w:pPr>
                  <w:r>
                    <w:rPr>
                      <w:rFonts w:hint="eastAsia"/>
                      <w:szCs w:val="21"/>
                    </w:rPr>
                    <w:t>4</w:t>
                  </w:r>
                  <w:r>
                    <w:rPr>
                      <w:szCs w:val="21"/>
                    </w:rPr>
                    <w:t>.0</w:t>
                  </w:r>
                </w:p>
              </w:tc>
            </w:tr>
            <w:tr w14:paraId="73C131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3267" w:type="pct"/>
                  <w:gridSpan w:val="6"/>
                  <w:vAlign w:val="center"/>
                </w:tcPr>
                <w:p w14:paraId="02F3D056">
                  <w:pPr>
                    <w:spacing w:before="24" w:beforeLines="10" w:after="24" w:afterLines="10"/>
                    <w:jc w:val="center"/>
                    <w:rPr>
                      <w:szCs w:val="21"/>
                    </w:rPr>
                  </w:pPr>
                  <w:r>
                    <w:rPr>
                      <w:szCs w:val="21"/>
                    </w:rPr>
                    <w:t>单位产品</w:t>
                  </w:r>
                  <w:r>
                    <w:rPr>
                      <w:rFonts w:hint="eastAsia"/>
                      <w:szCs w:val="21"/>
                    </w:rPr>
                    <w:t>非甲烷总烃排放</w:t>
                  </w:r>
                  <w:r>
                    <w:rPr>
                      <w:szCs w:val="21"/>
                    </w:rPr>
                    <w:t>量</w:t>
                  </w:r>
                  <w:r>
                    <w:rPr>
                      <w:rFonts w:hint="eastAsia"/>
                      <w:szCs w:val="21"/>
                    </w:rPr>
                    <w:t>（kg/t-产品）</w:t>
                  </w:r>
                </w:p>
              </w:tc>
              <w:tc>
                <w:tcPr>
                  <w:tcW w:w="1085" w:type="pct"/>
                  <w:gridSpan w:val="2"/>
                  <w:vAlign w:val="center"/>
                </w:tcPr>
                <w:p w14:paraId="40999F52">
                  <w:pPr>
                    <w:spacing w:before="24" w:beforeLines="10" w:after="24" w:afterLines="10"/>
                    <w:jc w:val="center"/>
                    <w:rPr>
                      <w:szCs w:val="21"/>
                    </w:rPr>
                  </w:pPr>
                  <w:r>
                    <w:rPr>
                      <w:rFonts w:hint="eastAsia"/>
                      <w:szCs w:val="21"/>
                    </w:rPr>
                    <w:t>0</w:t>
                  </w:r>
                  <w:r>
                    <w:rPr>
                      <w:szCs w:val="21"/>
                    </w:rPr>
                    <w:t>.00179</w:t>
                  </w:r>
                </w:p>
              </w:tc>
              <w:tc>
                <w:tcPr>
                  <w:tcW w:w="649" w:type="pct"/>
                  <w:vAlign w:val="center"/>
                </w:tcPr>
                <w:p w14:paraId="6081EF2B">
                  <w:pPr>
                    <w:spacing w:before="24" w:beforeLines="10" w:after="24" w:afterLines="10"/>
                    <w:jc w:val="center"/>
                    <w:rPr>
                      <w:szCs w:val="21"/>
                    </w:rPr>
                  </w:pPr>
                  <w:r>
                    <w:rPr>
                      <w:szCs w:val="21"/>
                    </w:rPr>
                    <w:t>0.3</w:t>
                  </w:r>
                </w:p>
              </w:tc>
            </w:tr>
          </w:tbl>
          <w:p w14:paraId="6BF234AB">
            <w:pPr>
              <w:pStyle w:val="4"/>
              <w:ind w:firstLine="0" w:firstLineChars="0"/>
              <w:rPr>
                <w:color w:val="000000"/>
              </w:rPr>
            </w:pPr>
            <w:r>
              <w:rPr>
                <w:color w:val="000000"/>
              </w:rPr>
              <w:t>1.</w:t>
            </w:r>
            <w:r>
              <w:rPr>
                <w:rFonts w:hint="eastAsia"/>
                <w:color w:val="000000"/>
              </w:rPr>
              <w:t>2废气治理措施的可行性分析</w:t>
            </w:r>
          </w:p>
          <w:p w14:paraId="45DB79C2">
            <w:pPr>
              <w:widowControl/>
              <w:snapToGrid w:val="0"/>
              <w:spacing w:line="360" w:lineRule="auto"/>
              <w:ind w:right="113" w:firstLine="480" w:firstLineChars="200"/>
              <w:rPr>
                <w:bCs/>
                <w:kern w:val="0"/>
                <w:sz w:val="24"/>
              </w:rPr>
            </w:pPr>
            <w:r>
              <w:rPr>
                <w:rFonts w:hint="eastAsia"/>
                <w:bCs/>
                <w:kern w:val="0"/>
                <w:sz w:val="24"/>
              </w:rPr>
              <w:t>（1）</w:t>
            </w:r>
            <w:r>
              <w:rPr>
                <w:bCs/>
                <w:kern w:val="0"/>
                <w:sz w:val="24"/>
              </w:rPr>
              <w:t>催化燃烧技术原理</w:t>
            </w:r>
          </w:p>
          <w:p w14:paraId="0FDAE836">
            <w:pPr>
              <w:widowControl/>
              <w:snapToGrid w:val="0"/>
              <w:spacing w:line="360" w:lineRule="auto"/>
              <w:ind w:right="113" w:firstLine="480" w:firstLineChars="200"/>
              <w:rPr>
                <w:kern w:val="0"/>
                <w:sz w:val="24"/>
              </w:rPr>
            </w:pPr>
            <w:r>
              <w:rPr>
                <w:rFonts w:hint="eastAsia"/>
                <w:bCs/>
                <w:kern w:val="0"/>
                <w:sz w:val="24"/>
              </w:rPr>
              <w:t>催化燃烧装置是指在催化剂作用下燃烧的装置或设备。催化燃烧装置的工作原理是：借助催化剂使有机废气在较低的起燃温度下进行无焰燃烧，使有机废气分解为无毒的二氧化碳和水蒸气。催化燃烧器电控制系统由PLC控制器、文本显示器、变频调速器、点火器、紫外线传感器、热电偶等电控设备以及风机，另外由零压阀调节燃气与空气的比例。</w:t>
            </w:r>
          </w:p>
          <w:p w14:paraId="5C0B2633">
            <w:pPr>
              <w:pStyle w:val="55"/>
              <w:ind w:firstLine="480"/>
              <w:rPr>
                <w:color w:val="000000"/>
              </w:rPr>
            </w:pPr>
            <w:r>
              <w:rPr>
                <w:rFonts w:hint="eastAsia"/>
                <w:color w:val="000000"/>
              </w:rPr>
              <w:t>本项目产生的挥发性有机物采用集气罩收集经活性炭吸附脱附+催化燃烧装置处理后通过1根15m高的排气筒排放。产生的粉尘经布袋除尘器处理后由1</w:t>
            </w:r>
            <w:r>
              <w:rPr>
                <w:color w:val="000000"/>
              </w:rPr>
              <w:t>5</w:t>
            </w:r>
            <w:r>
              <w:rPr>
                <w:rFonts w:hint="eastAsia"/>
                <w:color w:val="000000"/>
              </w:rPr>
              <w:t>m高排气筒排放。</w:t>
            </w:r>
          </w:p>
          <w:p w14:paraId="32C5506A">
            <w:pPr>
              <w:pStyle w:val="55"/>
              <w:ind w:firstLine="480"/>
            </w:pPr>
            <w:r>
              <w:rPr>
                <w:rFonts w:hint="eastAsia"/>
                <w:color w:val="000000"/>
              </w:rPr>
              <w:t>根据《排污许可证申请与核发技术规范 橡胶和塑料制品工业》（HJ1122-2020）中表A.2塑料制品工业排污单位废气污染防治可行性技术参考表中，本项目所用处理工艺</w:t>
            </w:r>
            <w:r>
              <w:rPr>
                <w:rFonts w:hint="eastAsia"/>
              </w:rPr>
              <w:t>属于可行技术。</w:t>
            </w:r>
          </w:p>
          <w:p w14:paraId="56AABCD6">
            <w:pPr>
              <w:pStyle w:val="4"/>
              <w:ind w:firstLine="0" w:firstLineChars="0"/>
              <w:rPr>
                <w:color w:val="000000"/>
              </w:rPr>
            </w:pPr>
            <w:r>
              <w:rPr>
                <w:rFonts w:hint="eastAsia"/>
                <w:color w:val="000000"/>
              </w:rPr>
              <w:t>1.</w:t>
            </w:r>
            <w:r>
              <w:rPr>
                <w:color w:val="000000"/>
              </w:rPr>
              <w:t>3</w:t>
            </w:r>
            <w:r>
              <w:rPr>
                <w:rFonts w:hint="eastAsia"/>
                <w:color w:val="000000"/>
              </w:rPr>
              <w:t>非正常工况</w:t>
            </w:r>
          </w:p>
          <w:p w14:paraId="6F1B3EC6">
            <w:pPr>
              <w:spacing w:line="360" w:lineRule="auto"/>
              <w:ind w:firstLine="476"/>
              <w:rPr>
                <w:bCs/>
                <w:sz w:val="24"/>
                <w:szCs w:val="22"/>
              </w:rPr>
            </w:pPr>
            <w:r>
              <w:rPr>
                <w:bCs/>
                <w:sz w:val="24"/>
                <w:szCs w:val="22"/>
              </w:rPr>
              <w:t>根据《环境</w:t>
            </w:r>
            <w:r>
              <w:rPr>
                <w:rFonts w:hint="eastAsia"/>
                <w:bCs/>
                <w:sz w:val="24"/>
                <w:szCs w:val="22"/>
              </w:rPr>
              <w:t>影响</w:t>
            </w:r>
            <w:r>
              <w:rPr>
                <w:bCs/>
                <w:sz w:val="24"/>
                <w:szCs w:val="22"/>
              </w:rPr>
              <w:t>评价技术导则 大气环境》（HJ2.2-2018），非正常排放包括设备检修、污染物排放控制措施达不到应有效率和工艺设备运转异常等。本项目非正常工况主要为袋式除尘装置破损</w:t>
            </w:r>
            <w:r>
              <w:rPr>
                <w:rFonts w:hint="eastAsia"/>
                <w:bCs/>
                <w:sz w:val="24"/>
                <w:szCs w:val="22"/>
              </w:rPr>
              <w:t>、催化燃烧装置故障、活性炭堵塞</w:t>
            </w:r>
            <w:r>
              <w:rPr>
                <w:bCs/>
                <w:sz w:val="24"/>
                <w:szCs w:val="22"/>
              </w:rPr>
              <w:t>，袋式除尘装置发生故障时</w:t>
            </w:r>
            <w:r>
              <w:rPr>
                <w:rFonts w:hint="eastAsia"/>
                <w:bCs/>
                <w:sz w:val="24"/>
                <w:szCs w:val="22"/>
              </w:rPr>
              <w:t>颗粒物</w:t>
            </w:r>
            <w:r>
              <w:rPr>
                <w:bCs/>
                <w:sz w:val="24"/>
                <w:szCs w:val="22"/>
              </w:rPr>
              <w:t>处理效率为0，</w:t>
            </w:r>
            <w:r>
              <w:rPr>
                <w:rFonts w:hint="eastAsia"/>
                <w:bCs/>
                <w:sz w:val="24"/>
                <w:szCs w:val="22"/>
              </w:rPr>
              <w:t>催化燃烧装置和活性炭吸附故障时非甲烷总烃</w:t>
            </w:r>
            <w:r>
              <w:rPr>
                <w:bCs/>
                <w:sz w:val="24"/>
                <w:szCs w:val="22"/>
              </w:rPr>
              <w:t>处理效率为0。在此情况下，发生频次按每年一次，本项目颗粒物</w:t>
            </w:r>
            <w:r>
              <w:rPr>
                <w:rFonts w:hint="eastAsia"/>
                <w:bCs/>
                <w:sz w:val="24"/>
                <w:szCs w:val="22"/>
              </w:rPr>
              <w:t>、非甲烷总烃</w:t>
            </w:r>
            <w:r>
              <w:rPr>
                <w:bCs/>
                <w:sz w:val="24"/>
                <w:szCs w:val="22"/>
              </w:rPr>
              <w:t>的产生情况和排放情况见</w:t>
            </w:r>
            <w:r>
              <w:rPr>
                <w:rFonts w:hint="eastAsia"/>
                <w:bCs/>
                <w:sz w:val="24"/>
                <w:szCs w:val="22"/>
              </w:rPr>
              <w:t>表4</w:t>
            </w:r>
            <w:r>
              <w:rPr>
                <w:bCs/>
                <w:sz w:val="24"/>
                <w:szCs w:val="22"/>
              </w:rPr>
              <w:t>-2</w:t>
            </w:r>
            <w:r>
              <w:rPr>
                <w:rFonts w:hint="eastAsia"/>
                <w:bCs/>
                <w:sz w:val="24"/>
                <w:szCs w:val="22"/>
              </w:rPr>
              <w:t>。</w:t>
            </w:r>
          </w:p>
          <w:p w14:paraId="03441464">
            <w:pPr>
              <w:autoSpaceDE w:val="0"/>
              <w:autoSpaceDN w:val="0"/>
              <w:jc w:val="center"/>
              <w:rPr>
                <w:b/>
                <w:szCs w:val="21"/>
                <w:lang w:val="zh-CN"/>
              </w:rPr>
            </w:pPr>
            <w:r>
              <w:rPr>
                <w:rFonts w:hint="eastAsia"/>
                <w:b/>
                <w:szCs w:val="21"/>
                <w:lang w:val="zh-CN"/>
              </w:rPr>
              <w:t>表4-</w:t>
            </w:r>
            <w:r>
              <w:rPr>
                <w:b/>
                <w:szCs w:val="21"/>
                <w:lang w:val="zh-CN"/>
              </w:rPr>
              <w:t>2</w:t>
            </w:r>
            <w:r>
              <w:rPr>
                <w:rFonts w:hint="eastAsia"/>
                <w:b/>
                <w:szCs w:val="21"/>
                <w:lang w:val="zh-CN"/>
              </w:rPr>
              <w:t xml:space="preserve">    非正常工况下废气污染物排放情况一览表</w:t>
            </w:r>
          </w:p>
          <w:tbl>
            <w:tblPr>
              <w:tblStyle w:val="30"/>
              <w:tblW w:w="8522" w:type="dxa"/>
              <w:tblInd w:w="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autofit"/>
              <w:tblCellMar>
                <w:top w:w="0" w:type="dxa"/>
                <w:left w:w="108" w:type="dxa"/>
                <w:bottom w:w="0" w:type="dxa"/>
                <w:right w:w="108" w:type="dxa"/>
              </w:tblCellMar>
            </w:tblPr>
            <w:tblGrid>
              <w:gridCol w:w="1387"/>
              <w:gridCol w:w="1965"/>
              <w:gridCol w:w="1703"/>
              <w:gridCol w:w="1133"/>
              <w:gridCol w:w="1135"/>
              <w:gridCol w:w="1199"/>
            </w:tblGrid>
            <w:tr w14:paraId="2EBD7B51">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96" w:hRule="atLeast"/>
              </w:trPr>
              <w:tc>
                <w:tcPr>
                  <w:tcW w:w="814" w:type="pct"/>
                  <w:tcBorders>
                    <w:tl2br w:val="nil"/>
                    <w:tr2bl w:val="nil"/>
                  </w:tcBorders>
                  <w:shd w:val="clear" w:color="auto" w:fill="auto"/>
                  <w:vAlign w:val="center"/>
                </w:tcPr>
                <w:p w14:paraId="65CEE783">
                  <w:pPr>
                    <w:widowControl/>
                    <w:snapToGrid w:val="0"/>
                    <w:jc w:val="center"/>
                    <w:rPr>
                      <w:b/>
                      <w:bCs/>
                      <w:kern w:val="0"/>
                      <w:szCs w:val="21"/>
                    </w:rPr>
                  </w:pPr>
                  <w:r>
                    <w:rPr>
                      <w:rFonts w:hint="eastAsia"/>
                      <w:b/>
                      <w:bCs/>
                      <w:kern w:val="0"/>
                      <w:szCs w:val="21"/>
                    </w:rPr>
                    <w:t>污染物</w:t>
                  </w:r>
                </w:p>
              </w:tc>
              <w:tc>
                <w:tcPr>
                  <w:tcW w:w="1153" w:type="pct"/>
                  <w:tcBorders>
                    <w:tl2br w:val="nil"/>
                    <w:tr2bl w:val="nil"/>
                  </w:tcBorders>
                  <w:shd w:val="clear" w:color="auto" w:fill="auto"/>
                  <w:vAlign w:val="center"/>
                </w:tcPr>
                <w:p w14:paraId="4D948CB8">
                  <w:pPr>
                    <w:widowControl/>
                    <w:snapToGrid w:val="0"/>
                    <w:jc w:val="center"/>
                    <w:rPr>
                      <w:b/>
                      <w:bCs/>
                      <w:kern w:val="0"/>
                      <w:szCs w:val="21"/>
                    </w:rPr>
                  </w:pPr>
                  <w:r>
                    <w:rPr>
                      <w:rFonts w:hint="eastAsia"/>
                      <w:b/>
                      <w:bCs/>
                      <w:kern w:val="0"/>
                      <w:szCs w:val="21"/>
                    </w:rPr>
                    <w:t>污染物产生量kg</w:t>
                  </w:r>
                  <w:r>
                    <w:rPr>
                      <w:b/>
                      <w:bCs/>
                      <w:kern w:val="0"/>
                      <w:szCs w:val="21"/>
                    </w:rPr>
                    <w:t>/a</w:t>
                  </w:r>
                </w:p>
              </w:tc>
              <w:tc>
                <w:tcPr>
                  <w:tcW w:w="999" w:type="pct"/>
                  <w:tcBorders>
                    <w:tl2br w:val="nil"/>
                    <w:tr2bl w:val="nil"/>
                  </w:tcBorders>
                  <w:shd w:val="clear" w:color="auto" w:fill="auto"/>
                  <w:vAlign w:val="center"/>
                </w:tcPr>
                <w:p w14:paraId="56E7508D">
                  <w:pPr>
                    <w:widowControl/>
                    <w:snapToGrid w:val="0"/>
                    <w:jc w:val="center"/>
                    <w:rPr>
                      <w:b/>
                      <w:bCs/>
                      <w:kern w:val="0"/>
                      <w:szCs w:val="21"/>
                    </w:rPr>
                  </w:pPr>
                  <w:r>
                    <w:rPr>
                      <w:rFonts w:hint="eastAsia"/>
                      <w:b/>
                      <w:bCs/>
                      <w:kern w:val="0"/>
                      <w:szCs w:val="21"/>
                    </w:rPr>
                    <w:t>排放浓度mg/m</w:t>
                  </w:r>
                  <w:r>
                    <w:rPr>
                      <w:rFonts w:hint="eastAsia"/>
                      <w:b/>
                      <w:bCs/>
                      <w:kern w:val="0"/>
                      <w:szCs w:val="21"/>
                      <w:vertAlign w:val="superscript"/>
                    </w:rPr>
                    <w:t>3</w:t>
                  </w:r>
                </w:p>
              </w:tc>
              <w:tc>
                <w:tcPr>
                  <w:tcW w:w="665" w:type="pct"/>
                  <w:tcBorders>
                    <w:tl2br w:val="nil"/>
                    <w:tr2bl w:val="nil"/>
                  </w:tcBorders>
                  <w:shd w:val="clear" w:color="auto" w:fill="auto"/>
                  <w:vAlign w:val="center"/>
                </w:tcPr>
                <w:p w14:paraId="030A05AC">
                  <w:pPr>
                    <w:widowControl/>
                    <w:snapToGrid w:val="0"/>
                    <w:jc w:val="center"/>
                    <w:rPr>
                      <w:b/>
                      <w:bCs/>
                      <w:kern w:val="0"/>
                      <w:szCs w:val="21"/>
                    </w:rPr>
                  </w:pPr>
                  <w:r>
                    <w:rPr>
                      <w:rFonts w:hint="eastAsia"/>
                      <w:b/>
                      <w:bCs/>
                      <w:kern w:val="0"/>
                      <w:szCs w:val="21"/>
                    </w:rPr>
                    <w:t>达标情况</w:t>
                  </w:r>
                </w:p>
              </w:tc>
              <w:tc>
                <w:tcPr>
                  <w:tcW w:w="666" w:type="pct"/>
                  <w:tcBorders>
                    <w:tl2br w:val="nil"/>
                    <w:tr2bl w:val="nil"/>
                  </w:tcBorders>
                  <w:shd w:val="clear" w:color="auto" w:fill="auto"/>
                  <w:vAlign w:val="center"/>
                </w:tcPr>
                <w:p w14:paraId="32883FCC">
                  <w:pPr>
                    <w:widowControl/>
                    <w:snapToGrid w:val="0"/>
                    <w:jc w:val="center"/>
                    <w:rPr>
                      <w:b/>
                      <w:bCs/>
                      <w:kern w:val="0"/>
                      <w:szCs w:val="21"/>
                    </w:rPr>
                  </w:pPr>
                  <w:r>
                    <w:rPr>
                      <w:rFonts w:hint="eastAsia"/>
                      <w:b/>
                      <w:bCs/>
                      <w:kern w:val="0"/>
                      <w:szCs w:val="21"/>
                    </w:rPr>
                    <w:t>持续时间</w:t>
                  </w:r>
                </w:p>
              </w:tc>
              <w:tc>
                <w:tcPr>
                  <w:tcW w:w="703" w:type="pct"/>
                  <w:tcBorders>
                    <w:tl2br w:val="nil"/>
                    <w:tr2bl w:val="nil"/>
                  </w:tcBorders>
                  <w:shd w:val="clear" w:color="auto" w:fill="auto"/>
                  <w:vAlign w:val="center"/>
                </w:tcPr>
                <w:p w14:paraId="30044450">
                  <w:pPr>
                    <w:widowControl/>
                    <w:snapToGrid w:val="0"/>
                    <w:jc w:val="center"/>
                    <w:rPr>
                      <w:b/>
                      <w:bCs/>
                      <w:kern w:val="0"/>
                      <w:szCs w:val="21"/>
                    </w:rPr>
                  </w:pPr>
                  <w:r>
                    <w:rPr>
                      <w:rFonts w:hint="eastAsia"/>
                      <w:b/>
                      <w:bCs/>
                      <w:kern w:val="0"/>
                      <w:szCs w:val="21"/>
                    </w:rPr>
                    <w:t>应对措施</w:t>
                  </w:r>
                </w:p>
              </w:tc>
            </w:tr>
            <w:tr w14:paraId="1163C53E">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278" w:hRule="atLeast"/>
              </w:trPr>
              <w:tc>
                <w:tcPr>
                  <w:tcW w:w="814" w:type="pct"/>
                  <w:tcBorders>
                    <w:tl2br w:val="nil"/>
                    <w:tr2bl w:val="nil"/>
                  </w:tcBorders>
                  <w:shd w:val="clear" w:color="auto" w:fill="auto"/>
                  <w:vAlign w:val="center"/>
                </w:tcPr>
                <w:p w14:paraId="3630AC7E">
                  <w:pPr>
                    <w:widowControl/>
                    <w:snapToGrid w:val="0"/>
                    <w:jc w:val="center"/>
                    <w:rPr>
                      <w:kern w:val="0"/>
                      <w:szCs w:val="21"/>
                    </w:rPr>
                  </w:pPr>
                  <w:r>
                    <w:rPr>
                      <w:rFonts w:hint="eastAsia"/>
                      <w:kern w:val="0"/>
                      <w:szCs w:val="21"/>
                    </w:rPr>
                    <w:t>颗粒物</w:t>
                  </w:r>
                </w:p>
              </w:tc>
              <w:tc>
                <w:tcPr>
                  <w:tcW w:w="1153" w:type="pct"/>
                  <w:tcBorders>
                    <w:tl2br w:val="nil"/>
                    <w:tr2bl w:val="nil"/>
                  </w:tcBorders>
                  <w:shd w:val="clear" w:color="auto" w:fill="auto"/>
                  <w:vAlign w:val="center"/>
                </w:tcPr>
                <w:p w14:paraId="04561DFE">
                  <w:pPr>
                    <w:widowControl/>
                    <w:snapToGrid w:val="0"/>
                    <w:jc w:val="center"/>
                    <w:rPr>
                      <w:color w:val="FF0000"/>
                      <w:kern w:val="0"/>
                      <w:szCs w:val="21"/>
                    </w:rPr>
                  </w:pPr>
                  <w:r>
                    <w:rPr>
                      <w:kern w:val="0"/>
                      <w:szCs w:val="21"/>
                    </w:rPr>
                    <w:t>28800</w:t>
                  </w:r>
                </w:p>
              </w:tc>
              <w:tc>
                <w:tcPr>
                  <w:tcW w:w="999" w:type="pct"/>
                  <w:tcBorders>
                    <w:tl2br w:val="nil"/>
                    <w:tr2bl w:val="nil"/>
                  </w:tcBorders>
                  <w:shd w:val="clear" w:color="auto" w:fill="auto"/>
                  <w:vAlign w:val="center"/>
                </w:tcPr>
                <w:p w14:paraId="76C93FEF">
                  <w:pPr>
                    <w:widowControl/>
                    <w:snapToGrid w:val="0"/>
                    <w:jc w:val="center"/>
                    <w:rPr>
                      <w:color w:val="FF0000"/>
                      <w:kern w:val="0"/>
                      <w:szCs w:val="21"/>
                    </w:rPr>
                  </w:pPr>
                  <w:r>
                    <w:rPr>
                      <w:kern w:val="0"/>
                      <w:szCs w:val="21"/>
                    </w:rPr>
                    <w:t>500</w:t>
                  </w:r>
                </w:p>
              </w:tc>
              <w:tc>
                <w:tcPr>
                  <w:tcW w:w="665" w:type="pct"/>
                  <w:tcBorders>
                    <w:tl2br w:val="nil"/>
                    <w:tr2bl w:val="nil"/>
                  </w:tcBorders>
                  <w:shd w:val="clear" w:color="auto" w:fill="auto"/>
                  <w:vAlign w:val="center"/>
                </w:tcPr>
                <w:p w14:paraId="21A6A98A">
                  <w:pPr>
                    <w:widowControl/>
                    <w:snapToGrid w:val="0"/>
                    <w:jc w:val="center"/>
                    <w:rPr>
                      <w:kern w:val="0"/>
                      <w:szCs w:val="21"/>
                    </w:rPr>
                  </w:pPr>
                  <w:r>
                    <w:rPr>
                      <w:rFonts w:hint="eastAsia"/>
                      <w:kern w:val="0"/>
                      <w:szCs w:val="21"/>
                    </w:rPr>
                    <w:t>超标</w:t>
                  </w:r>
                </w:p>
              </w:tc>
              <w:tc>
                <w:tcPr>
                  <w:tcW w:w="666" w:type="pct"/>
                  <w:tcBorders>
                    <w:tl2br w:val="nil"/>
                    <w:tr2bl w:val="nil"/>
                  </w:tcBorders>
                  <w:shd w:val="clear" w:color="auto" w:fill="auto"/>
                  <w:vAlign w:val="center"/>
                </w:tcPr>
                <w:p w14:paraId="11C2D466">
                  <w:pPr>
                    <w:widowControl/>
                    <w:snapToGrid w:val="0"/>
                    <w:jc w:val="center"/>
                    <w:rPr>
                      <w:kern w:val="0"/>
                      <w:szCs w:val="21"/>
                    </w:rPr>
                  </w:pPr>
                  <w:r>
                    <w:rPr>
                      <w:rFonts w:hint="eastAsia"/>
                      <w:kern w:val="0"/>
                      <w:szCs w:val="21"/>
                    </w:rPr>
                    <w:t>2h</w:t>
                  </w:r>
                </w:p>
              </w:tc>
              <w:tc>
                <w:tcPr>
                  <w:tcW w:w="703" w:type="pct"/>
                  <w:vMerge w:val="restart"/>
                  <w:tcBorders>
                    <w:tl2br w:val="nil"/>
                    <w:tr2bl w:val="nil"/>
                  </w:tcBorders>
                  <w:shd w:val="clear" w:color="auto" w:fill="auto"/>
                  <w:vAlign w:val="center"/>
                </w:tcPr>
                <w:p w14:paraId="7A5B088B">
                  <w:pPr>
                    <w:widowControl/>
                    <w:snapToGrid w:val="0"/>
                    <w:jc w:val="center"/>
                    <w:rPr>
                      <w:kern w:val="0"/>
                      <w:szCs w:val="21"/>
                    </w:rPr>
                  </w:pPr>
                  <w:r>
                    <w:rPr>
                      <w:rFonts w:hint="eastAsia"/>
                      <w:kern w:val="0"/>
                      <w:szCs w:val="21"/>
                    </w:rPr>
                    <w:t>立即停产并检修</w:t>
                  </w:r>
                </w:p>
              </w:tc>
            </w:tr>
            <w:tr w14:paraId="7AE9A679">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316" w:hRule="atLeast"/>
              </w:trPr>
              <w:tc>
                <w:tcPr>
                  <w:tcW w:w="814" w:type="pct"/>
                  <w:tcBorders>
                    <w:tl2br w:val="nil"/>
                    <w:tr2bl w:val="nil"/>
                  </w:tcBorders>
                  <w:shd w:val="clear" w:color="auto" w:fill="auto"/>
                  <w:vAlign w:val="center"/>
                </w:tcPr>
                <w:p w14:paraId="3B92A208">
                  <w:pPr>
                    <w:widowControl/>
                    <w:snapToGrid w:val="0"/>
                    <w:jc w:val="center"/>
                    <w:rPr>
                      <w:kern w:val="0"/>
                      <w:szCs w:val="21"/>
                    </w:rPr>
                  </w:pPr>
                  <w:r>
                    <w:rPr>
                      <w:rFonts w:hint="eastAsia"/>
                      <w:kern w:val="0"/>
                      <w:szCs w:val="21"/>
                    </w:rPr>
                    <w:t>非甲烷总烃</w:t>
                  </w:r>
                </w:p>
              </w:tc>
              <w:tc>
                <w:tcPr>
                  <w:tcW w:w="1153" w:type="pct"/>
                  <w:tcBorders>
                    <w:tl2br w:val="nil"/>
                    <w:tr2bl w:val="nil"/>
                  </w:tcBorders>
                  <w:shd w:val="clear" w:color="auto" w:fill="auto"/>
                  <w:vAlign w:val="center"/>
                </w:tcPr>
                <w:p w14:paraId="035EE3D4">
                  <w:pPr>
                    <w:widowControl/>
                    <w:snapToGrid w:val="0"/>
                    <w:jc w:val="center"/>
                    <w:rPr>
                      <w:color w:val="FF0000"/>
                      <w:kern w:val="0"/>
                      <w:szCs w:val="21"/>
                    </w:rPr>
                  </w:pPr>
                  <w:r>
                    <w:rPr>
                      <w:kern w:val="0"/>
                      <w:szCs w:val="21"/>
                    </w:rPr>
                    <w:t>192</w:t>
                  </w:r>
                </w:p>
              </w:tc>
              <w:tc>
                <w:tcPr>
                  <w:tcW w:w="999" w:type="pct"/>
                  <w:tcBorders>
                    <w:tl2br w:val="nil"/>
                    <w:tr2bl w:val="nil"/>
                  </w:tcBorders>
                  <w:shd w:val="clear" w:color="auto" w:fill="auto"/>
                  <w:vAlign w:val="center"/>
                </w:tcPr>
                <w:p w14:paraId="6A56E41A">
                  <w:pPr>
                    <w:widowControl/>
                    <w:snapToGrid w:val="0"/>
                    <w:jc w:val="center"/>
                    <w:rPr>
                      <w:kern w:val="0"/>
                      <w:szCs w:val="21"/>
                    </w:rPr>
                  </w:pPr>
                  <w:r>
                    <w:rPr>
                      <w:kern w:val="0"/>
                      <w:szCs w:val="21"/>
                    </w:rPr>
                    <w:t>3.35</w:t>
                  </w:r>
                </w:p>
              </w:tc>
              <w:tc>
                <w:tcPr>
                  <w:tcW w:w="665" w:type="pct"/>
                  <w:tcBorders>
                    <w:tl2br w:val="nil"/>
                    <w:tr2bl w:val="nil"/>
                  </w:tcBorders>
                  <w:shd w:val="clear" w:color="auto" w:fill="auto"/>
                  <w:vAlign w:val="center"/>
                </w:tcPr>
                <w:p w14:paraId="22799A1B">
                  <w:pPr>
                    <w:widowControl/>
                    <w:snapToGrid w:val="0"/>
                    <w:jc w:val="center"/>
                    <w:rPr>
                      <w:kern w:val="0"/>
                      <w:szCs w:val="21"/>
                    </w:rPr>
                  </w:pPr>
                  <w:r>
                    <w:rPr>
                      <w:rFonts w:hint="eastAsia"/>
                      <w:kern w:val="0"/>
                      <w:szCs w:val="21"/>
                    </w:rPr>
                    <w:t>未超标</w:t>
                  </w:r>
                </w:p>
              </w:tc>
              <w:tc>
                <w:tcPr>
                  <w:tcW w:w="666" w:type="pct"/>
                  <w:tcBorders>
                    <w:tl2br w:val="nil"/>
                    <w:tr2bl w:val="nil"/>
                  </w:tcBorders>
                  <w:shd w:val="clear" w:color="auto" w:fill="auto"/>
                  <w:vAlign w:val="center"/>
                </w:tcPr>
                <w:p w14:paraId="2E19BD6D">
                  <w:pPr>
                    <w:widowControl/>
                    <w:snapToGrid w:val="0"/>
                    <w:jc w:val="center"/>
                    <w:rPr>
                      <w:kern w:val="0"/>
                      <w:szCs w:val="21"/>
                    </w:rPr>
                  </w:pPr>
                  <w:r>
                    <w:rPr>
                      <w:rFonts w:hint="eastAsia"/>
                      <w:kern w:val="0"/>
                      <w:szCs w:val="21"/>
                    </w:rPr>
                    <w:t>2h</w:t>
                  </w:r>
                </w:p>
              </w:tc>
              <w:tc>
                <w:tcPr>
                  <w:tcW w:w="703" w:type="pct"/>
                  <w:vMerge w:val="continue"/>
                  <w:tcBorders>
                    <w:tl2br w:val="nil"/>
                    <w:tr2bl w:val="nil"/>
                  </w:tcBorders>
                  <w:shd w:val="clear" w:color="auto" w:fill="auto"/>
                  <w:vAlign w:val="center"/>
                </w:tcPr>
                <w:p w14:paraId="2C84BA3E">
                  <w:pPr>
                    <w:widowControl/>
                    <w:snapToGrid w:val="0"/>
                    <w:jc w:val="center"/>
                    <w:rPr>
                      <w:kern w:val="0"/>
                      <w:szCs w:val="21"/>
                    </w:rPr>
                  </w:pPr>
                </w:p>
              </w:tc>
            </w:tr>
          </w:tbl>
          <w:p w14:paraId="70A47ADF">
            <w:pPr>
              <w:spacing w:line="440" w:lineRule="exact"/>
              <w:ind w:firstLine="480" w:firstLineChars="200"/>
              <w:rPr>
                <w:sz w:val="24"/>
              </w:rPr>
            </w:pPr>
            <w:r>
              <w:rPr>
                <w:rFonts w:hint="eastAsia"/>
                <w:sz w:val="24"/>
              </w:rPr>
              <w:t>由表4-</w:t>
            </w:r>
            <w:r>
              <w:rPr>
                <w:sz w:val="24"/>
              </w:rPr>
              <w:t>2</w:t>
            </w:r>
            <w:r>
              <w:rPr>
                <w:rFonts w:hint="eastAsia"/>
                <w:sz w:val="24"/>
              </w:rPr>
              <w:t>可知，非正常工况下颗粒物排放浓度超标，对环境的影响和危害较大，因此需设置污染治理措施以减少非正常工况下污染物对环境的影响程度，除采用先进成熟的工艺技术和设备外，生产中还应加强管理，严格控制规程，提高工人素质，精心操作，防患于未然，将非正常排放控制到最小，一旦发生非正常生产排放，应及时进行检修。并采取相应措施进行污染物集中处理，确保事故状态后，污染物对环境的影响程度降到最低。</w:t>
            </w:r>
          </w:p>
          <w:p w14:paraId="710AB438">
            <w:pPr>
              <w:pStyle w:val="112"/>
              <w:rPr>
                <w:sz w:val="24"/>
                <w:szCs w:val="24"/>
              </w:rPr>
            </w:pPr>
            <w:r>
              <w:rPr>
                <w:rFonts w:hint="eastAsia"/>
                <w:sz w:val="24"/>
                <w:szCs w:val="24"/>
              </w:rPr>
              <w:t>1</w:t>
            </w:r>
            <w:r>
              <w:rPr>
                <w:sz w:val="24"/>
                <w:szCs w:val="24"/>
              </w:rPr>
              <w:t xml:space="preserve">.4 </w:t>
            </w:r>
            <w:r>
              <w:rPr>
                <w:rFonts w:hint="eastAsia"/>
                <w:sz w:val="24"/>
                <w:szCs w:val="24"/>
              </w:rPr>
              <w:t>排放口设置情况</w:t>
            </w:r>
          </w:p>
          <w:p w14:paraId="42B0C83F">
            <w:pPr>
              <w:pStyle w:val="51"/>
              <w:ind w:firstLine="448"/>
              <w:rPr>
                <w:rFonts w:ascii="宋体" w:hAnsi="宋体"/>
                <w:spacing w:val="-4"/>
                <w:szCs w:val="24"/>
              </w:rPr>
            </w:pPr>
            <w:r>
              <w:rPr>
                <w:rFonts w:hint="eastAsia" w:ascii="宋体" w:hAnsi="宋体"/>
                <w:spacing w:val="-8"/>
                <w:szCs w:val="24"/>
              </w:rPr>
              <w:t>本项目</w:t>
            </w:r>
            <w:r>
              <w:rPr>
                <w:rFonts w:ascii="宋体" w:hAnsi="宋体"/>
                <w:spacing w:val="-4"/>
                <w:szCs w:val="24"/>
              </w:rPr>
              <w:t>排放</w:t>
            </w:r>
            <w:r>
              <w:rPr>
                <w:rFonts w:hint="eastAsia" w:ascii="宋体" w:hAnsi="宋体"/>
                <w:spacing w:val="-4"/>
                <w:szCs w:val="24"/>
              </w:rPr>
              <w:t>口设置情况</w:t>
            </w:r>
            <w:r>
              <w:rPr>
                <w:rFonts w:ascii="宋体" w:hAnsi="宋体"/>
                <w:spacing w:val="-4"/>
                <w:szCs w:val="24"/>
              </w:rPr>
              <w:t>见表</w:t>
            </w:r>
            <w:r>
              <w:rPr>
                <w:rFonts w:eastAsia="Times New Roman"/>
                <w:spacing w:val="-4"/>
                <w:szCs w:val="24"/>
              </w:rPr>
              <w:t>4-3</w:t>
            </w:r>
            <w:r>
              <w:rPr>
                <w:rFonts w:ascii="宋体" w:hAnsi="宋体"/>
                <w:spacing w:val="-4"/>
                <w:szCs w:val="24"/>
              </w:rPr>
              <w:t>。</w:t>
            </w:r>
          </w:p>
          <w:p w14:paraId="12FEF520">
            <w:pPr>
              <w:pStyle w:val="108"/>
            </w:pPr>
            <w:r>
              <w:t>表4-3    废气排口情况表</w:t>
            </w:r>
            <w:r>
              <w:rPr>
                <w:rFonts w:hint="eastAsia"/>
              </w:rPr>
              <w:t xml:space="preserve"> </w:t>
            </w:r>
          </w:p>
          <w:tbl>
            <w:tblPr>
              <w:tblStyle w:val="30"/>
              <w:tblW w:w="8514"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725"/>
              <w:gridCol w:w="686"/>
              <w:gridCol w:w="713"/>
              <w:gridCol w:w="652"/>
              <w:gridCol w:w="662"/>
              <w:gridCol w:w="712"/>
              <w:gridCol w:w="727"/>
              <w:gridCol w:w="662"/>
              <w:gridCol w:w="538"/>
              <w:gridCol w:w="684"/>
              <w:gridCol w:w="902"/>
            </w:tblGrid>
            <w:tr w14:paraId="1EB71A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pct"/>
                  <w:vMerge w:val="restart"/>
                  <w:vAlign w:val="center"/>
                </w:tcPr>
                <w:p w14:paraId="5A0E971A">
                  <w:pPr>
                    <w:pStyle w:val="107"/>
                    <w:rPr>
                      <w:b/>
                      <w:bCs w:val="0"/>
                      <w:spacing w:val="-10"/>
                    </w:rPr>
                  </w:pPr>
                  <w:r>
                    <w:rPr>
                      <w:b/>
                      <w:bCs w:val="0"/>
                      <w:spacing w:val="-10"/>
                    </w:rPr>
                    <w:t>排放口名称及编号</w:t>
                  </w:r>
                </w:p>
              </w:tc>
              <w:tc>
                <w:tcPr>
                  <w:tcW w:w="829" w:type="pct"/>
                  <w:gridSpan w:val="2"/>
                  <w:vAlign w:val="center"/>
                </w:tcPr>
                <w:p w14:paraId="7CC7AF69">
                  <w:pPr>
                    <w:pStyle w:val="107"/>
                    <w:rPr>
                      <w:b/>
                      <w:bCs w:val="0"/>
                      <w:spacing w:val="-10"/>
                    </w:rPr>
                  </w:pPr>
                  <w:r>
                    <w:rPr>
                      <w:b/>
                      <w:bCs w:val="0"/>
                      <w:spacing w:val="-10"/>
                    </w:rPr>
                    <w:t>排气筒底部中心坐标</w:t>
                  </w:r>
                </w:p>
              </w:tc>
              <w:tc>
                <w:tcPr>
                  <w:tcW w:w="419" w:type="pct"/>
                  <w:vMerge w:val="restart"/>
                  <w:vAlign w:val="center"/>
                </w:tcPr>
                <w:p w14:paraId="13A14FB9">
                  <w:pPr>
                    <w:pStyle w:val="107"/>
                    <w:rPr>
                      <w:b/>
                      <w:bCs w:val="0"/>
                      <w:spacing w:val="-10"/>
                    </w:rPr>
                  </w:pPr>
                  <w:r>
                    <w:rPr>
                      <w:b/>
                      <w:bCs w:val="0"/>
                      <w:spacing w:val="-10"/>
                    </w:rPr>
                    <w:t>排气筒底部海拔高度(m)</w:t>
                  </w:r>
                </w:p>
              </w:tc>
              <w:tc>
                <w:tcPr>
                  <w:tcW w:w="1617" w:type="pct"/>
                  <w:gridSpan w:val="4"/>
                  <w:vAlign w:val="center"/>
                </w:tcPr>
                <w:p w14:paraId="2E7C3A5C">
                  <w:pPr>
                    <w:pStyle w:val="107"/>
                    <w:rPr>
                      <w:b/>
                      <w:bCs w:val="0"/>
                      <w:spacing w:val="-10"/>
                    </w:rPr>
                  </w:pPr>
                  <w:r>
                    <w:rPr>
                      <w:b/>
                      <w:bCs w:val="0"/>
                      <w:spacing w:val="-10"/>
                    </w:rPr>
                    <w:t>排气筒参数</w:t>
                  </w:r>
                </w:p>
              </w:tc>
              <w:tc>
                <w:tcPr>
                  <w:tcW w:w="705" w:type="pct"/>
                  <w:gridSpan w:val="2"/>
                  <w:vAlign w:val="center"/>
                </w:tcPr>
                <w:p w14:paraId="6ED7A034">
                  <w:pPr>
                    <w:pStyle w:val="107"/>
                    <w:rPr>
                      <w:b/>
                      <w:bCs w:val="0"/>
                      <w:spacing w:val="-10"/>
                    </w:rPr>
                  </w:pPr>
                  <w:r>
                    <w:rPr>
                      <w:b/>
                      <w:bCs w:val="0"/>
                      <w:spacing w:val="-10"/>
                    </w:rPr>
                    <w:t>运行参数</w:t>
                  </w:r>
                </w:p>
              </w:tc>
              <w:tc>
                <w:tcPr>
                  <w:tcW w:w="930" w:type="pct"/>
                  <w:gridSpan w:val="2"/>
                  <w:vAlign w:val="center"/>
                </w:tcPr>
                <w:p w14:paraId="6129E15A">
                  <w:pPr>
                    <w:pStyle w:val="107"/>
                    <w:rPr>
                      <w:b/>
                      <w:bCs w:val="0"/>
                      <w:spacing w:val="-10"/>
                    </w:rPr>
                  </w:pPr>
                  <w:r>
                    <w:rPr>
                      <w:b/>
                      <w:bCs w:val="0"/>
                      <w:spacing w:val="-10"/>
                    </w:rPr>
                    <w:t>运行参数</w:t>
                  </w:r>
                </w:p>
              </w:tc>
            </w:tr>
            <w:tr w14:paraId="157176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pct"/>
                  <w:vMerge w:val="continue"/>
                  <w:vAlign w:val="center"/>
                </w:tcPr>
                <w:p w14:paraId="7177F4CD">
                  <w:pPr>
                    <w:pStyle w:val="107"/>
                    <w:ind w:firstLine="161"/>
                    <w:rPr>
                      <w:b/>
                      <w:bCs w:val="0"/>
                      <w:spacing w:val="-10"/>
                    </w:rPr>
                  </w:pPr>
                </w:p>
              </w:tc>
              <w:tc>
                <w:tcPr>
                  <w:tcW w:w="426" w:type="pct"/>
                  <w:vAlign w:val="center"/>
                </w:tcPr>
                <w:p w14:paraId="21F7429A">
                  <w:pPr>
                    <w:pStyle w:val="107"/>
                    <w:rPr>
                      <w:b/>
                      <w:bCs w:val="0"/>
                      <w:spacing w:val="-10"/>
                    </w:rPr>
                  </w:pPr>
                  <w:r>
                    <w:rPr>
                      <w:b/>
                      <w:bCs w:val="0"/>
                      <w:spacing w:val="-10"/>
                    </w:rPr>
                    <w:t>经度</w:t>
                  </w:r>
                </w:p>
              </w:tc>
              <w:tc>
                <w:tcPr>
                  <w:tcW w:w="402" w:type="pct"/>
                  <w:vAlign w:val="center"/>
                </w:tcPr>
                <w:p w14:paraId="25C2D79A">
                  <w:pPr>
                    <w:pStyle w:val="107"/>
                    <w:rPr>
                      <w:b/>
                      <w:bCs w:val="0"/>
                      <w:spacing w:val="-10"/>
                    </w:rPr>
                  </w:pPr>
                  <w:r>
                    <w:rPr>
                      <w:b/>
                      <w:bCs w:val="0"/>
                      <w:spacing w:val="-10"/>
                    </w:rPr>
                    <w:t>纬度</w:t>
                  </w:r>
                </w:p>
              </w:tc>
              <w:tc>
                <w:tcPr>
                  <w:tcW w:w="419" w:type="pct"/>
                  <w:vMerge w:val="continue"/>
                  <w:vAlign w:val="center"/>
                </w:tcPr>
                <w:p w14:paraId="3ED5F7A0">
                  <w:pPr>
                    <w:pStyle w:val="107"/>
                    <w:ind w:firstLine="161"/>
                    <w:rPr>
                      <w:b/>
                      <w:bCs w:val="0"/>
                      <w:spacing w:val="-10"/>
                    </w:rPr>
                  </w:pPr>
                </w:p>
              </w:tc>
              <w:tc>
                <w:tcPr>
                  <w:tcW w:w="383" w:type="pct"/>
                  <w:vAlign w:val="center"/>
                </w:tcPr>
                <w:p w14:paraId="3189964F">
                  <w:pPr>
                    <w:pStyle w:val="107"/>
                    <w:rPr>
                      <w:b/>
                      <w:bCs w:val="0"/>
                      <w:spacing w:val="-10"/>
                    </w:rPr>
                  </w:pPr>
                  <w:r>
                    <w:rPr>
                      <w:b/>
                      <w:bCs w:val="0"/>
                    </w:rPr>
                    <w:t>排气筒高度(m)</w:t>
                  </w:r>
                </w:p>
              </w:tc>
              <w:tc>
                <w:tcPr>
                  <w:tcW w:w="389" w:type="pct"/>
                  <w:vAlign w:val="center"/>
                </w:tcPr>
                <w:p w14:paraId="06581EBB">
                  <w:pPr>
                    <w:pStyle w:val="107"/>
                    <w:rPr>
                      <w:b/>
                      <w:bCs w:val="0"/>
                      <w:spacing w:val="-10"/>
                    </w:rPr>
                  </w:pPr>
                  <w:r>
                    <w:rPr>
                      <w:b/>
                      <w:bCs w:val="0"/>
                      <w:spacing w:val="-10"/>
                    </w:rPr>
                    <w:t>排气筒出口内经(m)</w:t>
                  </w:r>
                </w:p>
              </w:tc>
              <w:tc>
                <w:tcPr>
                  <w:tcW w:w="418" w:type="pct"/>
                  <w:vAlign w:val="center"/>
                </w:tcPr>
                <w:p w14:paraId="7D9FB117">
                  <w:pPr>
                    <w:pStyle w:val="107"/>
                    <w:rPr>
                      <w:b/>
                      <w:bCs w:val="0"/>
                      <w:spacing w:val="-10"/>
                    </w:rPr>
                  </w:pPr>
                  <w:r>
                    <w:rPr>
                      <w:b/>
                      <w:bCs w:val="0"/>
                      <w:spacing w:val="-10"/>
                    </w:rPr>
                    <w:t>烟气流速(m/s)</w:t>
                  </w:r>
                </w:p>
              </w:tc>
              <w:tc>
                <w:tcPr>
                  <w:tcW w:w="426" w:type="pct"/>
                  <w:vAlign w:val="center"/>
                </w:tcPr>
                <w:p w14:paraId="7259B24B">
                  <w:pPr>
                    <w:pStyle w:val="107"/>
                    <w:rPr>
                      <w:b/>
                      <w:bCs w:val="0"/>
                      <w:spacing w:val="-10"/>
                    </w:rPr>
                  </w:pPr>
                  <w:r>
                    <w:rPr>
                      <w:b/>
                      <w:bCs w:val="0"/>
                      <w:spacing w:val="-10"/>
                    </w:rPr>
                    <w:t>烟气温度(℃)</w:t>
                  </w:r>
                </w:p>
              </w:tc>
              <w:tc>
                <w:tcPr>
                  <w:tcW w:w="389" w:type="pct"/>
                  <w:vAlign w:val="center"/>
                </w:tcPr>
                <w:p w14:paraId="7619D9A9">
                  <w:pPr>
                    <w:pStyle w:val="107"/>
                    <w:rPr>
                      <w:b/>
                      <w:bCs w:val="0"/>
                      <w:spacing w:val="-10"/>
                    </w:rPr>
                  </w:pPr>
                  <w:r>
                    <w:rPr>
                      <w:b/>
                      <w:bCs w:val="0"/>
                      <w:spacing w:val="-10"/>
                    </w:rPr>
                    <w:t>年排放小时数(h)</w:t>
                  </w:r>
                </w:p>
              </w:tc>
              <w:tc>
                <w:tcPr>
                  <w:tcW w:w="316" w:type="pct"/>
                  <w:vAlign w:val="center"/>
                </w:tcPr>
                <w:p w14:paraId="58C01052">
                  <w:pPr>
                    <w:pStyle w:val="107"/>
                    <w:rPr>
                      <w:b/>
                      <w:bCs w:val="0"/>
                      <w:spacing w:val="-10"/>
                    </w:rPr>
                  </w:pPr>
                  <w:r>
                    <w:rPr>
                      <w:b/>
                      <w:bCs w:val="0"/>
                      <w:spacing w:val="-10"/>
                    </w:rPr>
                    <w:t>排放工况</w:t>
                  </w:r>
                </w:p>
              </w:tc>
              <w:tc>
                <w:tcPr>
                  <w:tcW w:w="401" w:type="pct"/>
                  <w:vAlign w:val="center"/>
                </w:tcPr>
                <w:p w14:paraId="5B3EF13B">
                  <w:pPr>
                    <w:pStyle w:val="107"/>
                    <w:rPr>
                      <w:b/>
                      <w:bCs w:val="0"/>
                      <w:spacing w:val="-10"/>
                    </w:rPr>
                  </w:pPr>
                  <w:r>
                    <w:rPr>
                      <w:b/>
                      <w:bCs w:val="0"/>
                      <w:spacing w:val="-10"/>
                    </w:rPr>
                    <w:t>污染源名称</w:t>
                  </w:r>
                </w:p>
              </w:tc>
              <w:tc>
                <w:tcPr>
                  <w:tcW w:w="529" w:type="pct"/>
                  <w:vAlign w:val="center"/>
                </w:tcPr>
                <w:p w14:paraId="18B93D4D">
                  <w:pPr>
                    <w:pStyle w:val="107"/>
                    <w:rPr>
                      <w:b/>
                      <w:bCs w:val="0"/>
                      <w:spacing w:val="-10"/>
                    </w:rPr>
                  </w:pPr>
                  <w:r>
                    <w:rPr>
                      <w:b/>
                      <w:bCs w:val="0"/>
                      <w:spacing w:val="-10"/>
                    </w:rPr>
                    <w:t>污染物排放速率(kg/h)</w:t>
                  </w:r>
                </w:p>
              </w:tc>
            </w:tr>
            <w:tr w14:paraId="0AE1C4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pct"/>
                  <w:vAlign w:val="center"/>
                </w:tcPr>
                <w:p w14:paraId="3CE6BF42">
                  <w:pPr>
                    <w:pStyle w:val="107"/>
                    <w:rPr>
                      <w:spacing w:val="-10"/>
                    </w:rPr>
                  </w:pPr>
                  <w:r>
                    <w:rPr>
                      <w:spacing w:val="-10"/>
                    </w:rPr>
                    <w:t>DA001</w:t>
                  </w:r>
                </w:p>
              </w:tc>
              <w:tc>
                <w:tcPr>
                  <w:tcW w:w="426" w:type="pct"/>
                  <w:vMerge w:val="restart"/>
                  <w:vAlign w:val="center"/>
                </w:tcPr>
                <w:p w14:paraId="7B441054">
                  <w:pPr>
                    <w:pStyle w:val="107"/>
                    <w:rPr>
                      <w:spacing w:val="-10"/>
                    </w:rPr>
                  </w:pPr>
                  <w:r>
                    <w:rPr>
                      <w:spacing w:val="-10"/>
                    </w:rPr>
                    <w:t>89°49′5.117″</w:t>
                  </w:r>
                </w:p>
              </w:tc>
              <w:tc>
                <w:tcPr>
                  <w:tcW w:w="402" w:type="pct"/>
                  <w:vMerge w:val="restart"/>
                  <w:vAlign w:val="center"/>
                </w:tcPr>
                <w:p w14:paraId="7D33600C">
                  <w:pPr>
                    <w:pStyle w:val="107"/>
                    <w:rPr>
                      <w:spacing w:val="-10"/>
                    </w:rPr>
                  </w:pPr>
                  <w:r>
                    <w:rPr>
                      <w:spacing w:val="-10"/>
                    </w:rPr>
                    <w:t>44°9′53.469″</w:t>
                  </w:r>
                </w:p>
              </w:tc>
              <w:tc>
                <w:tcPr>
                  <w:tcW w:w="419" w:type="pct"/>
                  <w:vMerge w:val="restart"/>
                  <w:vAlign w:val="center"/>
                </w:tcPr>
                <w:p w14:paraId="36F89E2D">
                  <w:pPr>
                    <w:pStyle w:val="107"/>
                    <w:rPr>
                      <w:spacing w:val="-10"/>
                    </w:rPr>
                  </w:pPr>
                  <w:r>
                    <w:rPr>
                      <w:spacing w:val="-10"/>
                    </w:rPr>
                    <w:t>830</w:t>
                  </w:r>
                </w:p>
              </w:tc>
              <w:tc>
                <w:tcPr>
                  <w:tcW w:w="383" w:type="pct"/>
                  <w:vMerge w:val="restart"/>
                  <w:vAlign w:val="center"/>
                </w:tcPr>
                <w:p w14:paraId="7AD8FAE3">
                  <w:pPr>
                    <w:pStyle w:val="107"/>
                    <w:rPr>
                      <w:spacing w:val="-10"/>
                    </w:rPr>
                  </w:pPr>
                  <w:r>
                    <w:rPr>
                      <w:spacing w:val="-10"/>
                    </w:rPr>
                    <w:t>15</w:t>
                  </w:r>
                </w:p>
              </w:tc>
              <w:tc>
                <w:tcPr>
                  <w:tcW w:w="389" w:type="pct"/>
                  <w:vAlign w:val="center"/>
                </w:tcPr>
                <w:p w14:paraId="711DCECC">
                  <w:pPr>
                    <w:pStyle w:val="107"/>
                    <w:rPr>
                      <w:spacing w:val="-10"/>
                    </w:rPr>
                  </w:pPr>
                  <w:r>
                    <w:rPr>
                      <w:spacing w:val="-10"/>
                    </w:rPr>
                    <w:t>1</w:t>
                  </w:r>
                </w:p>
              </w:tc>
              <w:tc>
                <w:tcPr>
                  <w:tcW w:w="418" w:type="pct"/>
                  <w:vAlign w:val="center"/>
                </w:tcPr>
                <w:p w14:paraId="1F935D86">
                  <w:pPr>
                    <w:pStyle w:val="107"/>
                    <w:rPr>
                      <w:spacing w:val="-10"/>
                    </w:rPr>
                  </w:pPr>
                  <w:r>
                    <w:rPr>
                      <w:spacing w:val="-10"/>
                    </w:rPr>
                    <w:t>10.61</w:t>
                  </w:r>
                </w:p>
              </w:tc>
              <w:tc>
                <w:tcPr>
                  <w:tcW w:w="426" w:type="pct"/>
                  <w:vAlign w:val="center"/>
                </w:tcPr>
                <w:p w14:paraId="7377A96E">
                  <w:pPr>
                    <w:pStyle w:val="107"/>
                    <w:rPr>
                      <w:spacing w:val="-10"/>
                    </w:rPr>
                  </w:pPr>
                  <w:r>
                    <w:rPr>
                      <w:spacing w:val="-10"/>
                    </w:rPr>
                    <w:t>25</w:t>
                  </w:r>
                </w:p>
              </w:tc>
              <w:tc>
                <w:tcPr>
                  <w:tcW w:w="389" w:type="pct"/>
                  <w:vMerge w:val="restart"/>
                  <w:vAlign w:val="center"/>
                </w:tcPr>
                <w:p w14:paraId="50ABD34D">
                  <w:pPr>
                    <w:pStyle w:val="107"/>
                    <w:rPr>
                      <w:spacing w:val="-10"/>
                    </w:rPr>
                  </w:pPr>
                  <w:r>
                    <w:rPr>
                      <w:spacing w:val="-10"/>
                    </w:rPr>
                    <w:t>2880</w:t>
                  </w:r>
                </w:p>
              </w:tc>
              <w:tc>
                <w:tcPr>
                  <w:tcW w:w="316" w:type="pct"/>
                  <w:vMerge w:val="restart"/>
                  <w:vAlign w:val="center"/>
                </w:tcPr>
                <w:p w14:paraId="6AD61201">
                  <w:pPr>
                    <w:pStyle w:val="107"/>
                    <w:rPr>
                      <w:spacing w:val="-10"/>
                    </w:rPr>
                  </w:pPr>
                  <w:r>
                    <w:rPr>
                      <w:spacing w:val="-10"/>
                    </w:rPr>
                    <w:t>正常</w:t>
                  </w:r>
                </w:p>
              </w:tc>
              <w:tc>
                <w:tcPr>
                  <w:tcW w:w="401" w:type="pct"/>
                  <w:vAlign w:val="center"/>
                </w:tcPr>
                <w:p w14:paraId="317D92D2">
                  <w:pPr>
                    <w:pStyle w:val="107"/>
                    <w:rPr>
                      <w:spacing w:val="-10"/>
                    </w:rPr>
                  </w:pPr>
                  <w:r>
                    <w:rPr>
                      <w:rFonts w:hint="eastAsia"/>
                      <w:spacing w:val="-10"/>
                    </w:rPr>
                    <w:t>颗粒物</w:t>
                  </w:r>
                </w:p>
              </w:tc>
              <w:tc>
                <w:tcPr>
                  <w:tcW w:w="529" w:type="pct"/>
                  <w:vAlign w:val="center"/>
                </w:tcPr>
                <w:p w14:paraId="39764FD7">
                  <w:pPr>
                    <w:pStyle w:val="107"/>
                    <w:rPr>
                      <w:spacing w:val="-10"/>
                    </w:rPr>
                  </w:pPr>
                  <w:r>
                    <w:rPr>
                      <w:spacing w:val="-10"/>
                    </w:rPr>
                    <w:t>0.1</w:t>
                  </w:r>
                </w:p>
              </w:tc>
            </w:tr>
            <w:tr w14:paraId="4969D6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pct"/>
                  <w:vAlign w:val="center"/>
                </w:tcPr>
                <w:p w14:paraId="124A69B8">
                  <w:pPr>
                    <w:pStyle w:val="107"/>
                    <w:rPr>
                      <w:spacing w:val="-10"/>
                    </w:rPr>
                  </w:pPr>
                  <w:r>
                    <w:rPr>
                      <w:rFonts w:hint="eastAsia"/>
                      <w:spacing w:val="-10"/>
                    </w:rPr>
                    <w:t>D</w:t>
                  </w:r>
                  <w:r>
                    <w:rPr>
                      <w:spacing w:val="-10"/>
                    </w:rPr>
                    <w:t>A002</w:t>
                  </w:r>
                </w:p>
              </w:tc>
              <w:tc>
                <w:tcPr>
                  <w:tcW w:w="426" w:type="pct"/>
                  <w:vMerge w:val="continue"/>
                  <w:vAlign w:val="center"/>
                </w:tcPr>
                <w:p w14:paraId="4BC66EFE">
                  <w:pPr>
                    <w:pStyle w:val="107"/>
                    <w:rPr>
                      <w:spacing w:val="-10"/>
                    </w:rPr>
                  </w:pPr>
                </w:p>
              </w:tc>
              <w:tc>
                <w:tcPr>
                  <w:tcW w:w="402" w:type="pct"/>
                  <w:vMerge w:val="continue"/>
                  <w:vAlign w:val="center"/>
                </w:tcPr>
                <w:p w14:paraId="169CD420">
                  <w:pPr>
                    <w:pStyle w:val="107"/>
                    <w:rPr>
                      <w:spacing w:val="-10"/>
                    </w:rPr>
                  </w:pPr>
                </w:p>
              </w:tc>
              <w:tc>
                <w:tcPr>
                  <w:tcW w:w="419" w:type="pct"/>
                  <w:vMerge w:val="continue"/>
                  <w:vAlign w:val="center"/>
                </w:tcPr>
                <w:p w14:paraId="19829EE7">
                  <w:pPr>
                    <w:pStyle w:val="107"/>
                    <w:rPr>
                      <w:spacing w:val="-10"/>
                    </w:rPr>
                  </w:pPr>
                </w:p>
              </w:tc>
              <w:tc>
                <w:tcPr>
                  <w:tcW w:w="383" w:type="pct"/>
                  <w:vMerge w:val="continue"/>
                  <w:vAlign w:val="center"/>
                </w:tcPr>
                <w:p w14:paraId="4316BE23">
                  <w:pPr>
                    <w:pStyle w:val="107"/>
                    <w:rPr>
                      <w:spacing w:val="-10"/>
                    </w:rPr>
                  </w:pPr>
                </w:p>
              </w:tc>
              <w:tc>
                <w:tcPr>
                  <w:tcW w:w="389" w:type="pct"/>
                  <w:vAlign w:val="center"/>
                </w:tcPr>
                <w:p w14:paraId="5A8923B9">
                  <w:pPr>
                    <w:pStyle w:val="107"/>
                    <w:rPr>
                      <w:spacing w:val="-10"/>
                    </w:rPr>
                  </w:pPr>
                  <w:r>
                    <w:rPr>
                      <w:spacing w:val="-10"/>
                    </w:rPr>
                    <w:t>1</w:t>
                  </w:r>
                </w:p>
              </w:tc>
              <w:tc>
                <w:tcPr>
                  <w:tcW w:w="418" w:type="pct"/>
                  <w:vAlign w:val="center"/>
                </w:tcPr>
                <w:p w14:paraId="5A2C5655">
                  <w:pPr>
                    <w:pStyle w:val="107"/>
                    <w:rPr>
                      <w:spacing w:val="-10"/>
                    </w:rPr>
                  </w:pPr>
                  <w:r>
                    <w:rPr>
                      <w:spacing w:val="-10"/>
                    </w:rPr>
                    <w:t>10.61</w:t>
                  </w:r>
                </w:p>
              </w:tc>
              <w:tc>
                <w:tcPr>
                  <w:tcW w:w="426" w:type="pct"/>
                  <w:vAlign w:val="center"/>
                </w:tcPr>
                <w:p w14:paraId="71F8EAD2">
                  <w:pPr>
                    <w:pStyle w:val="107"/>
                    <w:rPr>
                      <w:spacing w:val="-10"/>
                    </w:rPr>
                  </w:pPr>
                  <w:r>
                    <w:rPr>
                      <w:rFonts w:hint="eastAsia"/>
                      <w:spacing w:val="-10"/>
                    </w:rPr>
                    <w:t>2</w:t>
                  </w:r>
                  <w:r>
                    <w:rPr>
                      <w:spacing w:val="-10"/>
                    </w:rPr>
                    <w:t>5</w:t>
                  </w:r>
                </w:p>
              </w:tc>
              <w:tc>
                <w:tcPr>
                  <w:tcW w:w="389" w:type="pct"/>
                  <w:vMerge w:val="continue"/>
                  <w:vAlign w:val="center"/>
                </w:tcPr>
                <w:p w14:paraId="7555625D">
                  <w:pPr>
                    <w:pStyle w:val="107"/>
                    <w:rPr>
                      <w:spacing w:val="-10"/>
                    </w:rPr>
                  </w:pPr>
                </w:p>
              </w:tc>
              <w:tc>
                <w:tcPr>
                  <w:tcW w:w="316" w:type="pct"/>
                  <w:vMerge w:val="continue"/>
                  <w:vAlign w:val="center"/>
                </w:tcPr>
                <w:p w14:paraId="67AB6F29">
                  <w:pPr>
                    <w:pStyle w:val="107"/>
                    <w:rPr>
                      <w:spacing w:val="-10"/>
                    </w:rPr>
                  </w:pPr>
                </w:p>
              </w:tc>
              <w:tc>
                <w:tcPr>
                  <w:tcW w:w="401" w:type="pct"/>
                  <w:vAlign w:val="center"/>
                </w:tcPr>
                <w:p w14:paraId="36D46EF5">
                  <w:pPr>
                    <w:pStyle w:val="107"/>
                    <w:rPr>
                      <w:spacing w:val="-10"/>
                    </w:rPr>
                  </w:pPr>
                  <w:r>
                    <w:rPr>
                      <w:spacing w:val="-10"/>
                    </w:rPr>
                    <w:t>非甲烷总烃</w:t>
                  </w:r>
                </w:p>
              </w:tc>
              <w:tc>
                <w:tcPr>
                  <w:tcW w:w="529" w:type="pct"/>
                  <w:vAlign w:val="center"/>
                </w:tcPr>
                <w:p w14:paraId="0EB17889">
                  <w:pPr>
                    <w:pStyle w:val="107"/>
                    <w:rPr>
                      <w:spacing w:val="-10"/>
                    </w:rPr>
                  </w:pPr>
                  <w:r>
                    <w:rPr>
                      <w:spacing w:val="-10"/>
                    </w:rPr>
                    <w:t>0.01</w:t>
                  </w:r>
                </w:p>
              </w:tc>
            </w:tr>
          </w:tbl>
          <w:p w14:paraId="7C63E359">
            <w:pPr>
              <w:pStyle w:val="4"/>
              <w:ind w:firstLine="0" w:firstLineChars="0"/>
            </w:pPr>
            <w:r>
              <w:t>1.5</w:t>
            </w:r>
            <w:r>
              <w:rPr>
                <w:rFonts w:hint="eastAsia"/>
              </w:rPr>
              <w:t>监测计划</w:t>
            </w:r>
          </w:p>
          <w:p w14:paraId="1F15C718">
            <w:pPr>
              <w:pStyle w:val="55"/>
              <w:ind w:firstLine="480"/>
              <w:rPr>
                <w:color w:val="000000"/>
              </w:rPr>
            </w:pPr>
            <w:r>
              <w:rPr>
                <w:rFonts w:hint="eastAsia"/>
                <w:color w:val="000000"/>
              </w:rPr>
              <w:t>根据《排污许可证申请与核发技术规范 橡胶和塑料制品工业》（HJ1122-2020），本项目废气污染物监测计划见表4-</w:t>
            </w:r>
            <w:r>
              <w:rPr>
                <w:color w:val="000000"/>
              </w:rPr>
              <w:t>4</w:t>
            </w:r>
            <w:r>
              <w:rPr>
                <w:rFonts w:hint="eastAsia"/>
                <w:color w:val="000000"/>
              </w:rPr>
              <w:t>；</w:t>
            </w:r>
          </w:p>
          <w:p w14:paraId="21839DA4">
            <w:pPr>
              <w:pStyle w:val="6"/>
              <w:rPr>
                <w:rFonts w:ascii="Times New Roman" w:hAnsi="Times New Roman" w:eastAsia="宋体"/>
              </w:rPr>
            </w:pPr>
            <w:r>
              <w:rPr>
                <w:rFonts w:hint="eastAsia" w:ascii="Times New Roman" w:hAnsi="Times New Roman" w:eastAsia="宋体"/>
              </w:rPr>
              <w:t>表4-</w:t>
            </w:r>
            <w:r>
              <w:rPr>
                <w:rFonts w:ascii="Times New Roman" w:hAnsi="Times New Roman" w:eastAsia="宋体"/>
              </w:rPr>
              <w:t>4</w:t>
            </w:r>
            <w:r>
              <w:rPr>
                <w:rFonts w:hint="eastAsia" w:ascii="Times New Roman" w:hAnsi="Times New Roman" w:eastAsia="宋体"/>
              </w:rPr>
              <w:t xml:space="preserve">   项目运营期废气污染物监测计划一览表</w:t>
            </w:r>
          </w:p>
          <w:tbl>
            <w:tblPr>
              <w:tblStyle w:val="30"/>
              <w:tblW w:w="82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179"/>
              <w:gridCol w:w="1177"/>
              <w:gridCol w:w="1688"/>
              <w:gridCol w:w="1098"/>
              <w:gridCol w:w="2654"/>
            </w:tblGrid>
            <w:tr w14:paraId="1A77F9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82" w:type="dxa"/>
                  <w:gridSpan w:val="2"/>
                  <w:tcBorders>
                    <w:top w:val="single" w:color="auto" w:sz="12" w:space="0"/>
                    <w:bottom w:val="single" w:color="auto" w:sz="12" w:space="0"/>
                  </w:tcBorders>
                  <w:shd w:val="clear" w:color="auto" w:fill="auto"/>
                  <w:vAlign w:val="center"/>
                </w:tcPr>
                <w:p w14:paraId="51435FB7">
                  <w:pPr>
                    <w:pStyle w:val="90"/>
                    <w:rPr>
                      <w:b/>
                      <w:bCs/>
                    </w:rPr>
                  </w:pPr>
                  <w:r>
                    <w:rPr>
                      <w:rFonts w:hint="eastAsia"/>
                      <w:b/>
                      <w:bCs/>
                    </w:rPr>
                    <w:t>类别</w:t>
                  </w:r>
                </w:p>
              </w:tc>
              <w:tc>
                <w:tcPr>
                  <w:tcW w:w="1177" w:type="dxa"/>
                  <w:tcBorders>
                    <w:top w:val="single" w:color="auto" w:sz="12" w:space="0"/>
                    <w:bottom w:val="single" w:color="auto" w:sz="12" w:space="0"/>
                  </w:tcBorders>
                  <w:shd w:val="clear" w:color="auto" w:fill="auto"/>
                  <w:vAlign w:val="center"/>
                </w:tcPr>
                <w:p w14:paraId="20BBBFBB">
                  <w:pPr>
                    <w:pStyle w:val="90"/>
                    <w:rPr>
                      <w:b/>
                      <w:bCs/>
                    </w:rPr>
                  </w:pPr>
                  <w:r>
                    <w:rPr>
                      <w:rFonts w:hint="eastAsia"/>
                      <w:b/>
                      <w:bCs/>
                    </w:rPr>
                    <w:t>监测位置</w:t>
                  </w:r>
                </w:p>
              </w:tc>
              <w:tc>
                <w:tcPr>
                  <w:tcW w:w="1688" w:type="dxa"/>
                  <w:tcBorders>
                    <w:top w:val="single" w:color="auto" w:sz="12" w:space="0"/>
                    <w:bottom w:val="single" w:color="auto" w:sz="12" w:space="0"/>
                  </w:tcBorders>
                  <w:shd w:val="clear" w:color="auto" w:fill="auto"/>
                  <w:vAlign w:val="center"/>
                </w:tcPr>
                <w:p w14:paraId="5DB73103">
                  <w:pPr>
                    <w:pStyle w:val="90"/>
                    <w:rPr>
                      <w:b/>
                      <w:bCs/>
                    </w:rPr>
                  </w:pPr>
                  <w:r>
                    <w:rPr>
                      <w:rFonts w:hint="eastAsia"/>
                      <w:b/>
                      <w:bCs/>
                    </w:rPr>
                    <w:t>监测项目</w:t>
                  </w:r>
                </w:p>
              </w:tc>
              <w:tc>
                <w:tcPr>
                  <w:tcW w:w="1098" w:type="dxa"/>
                  <w:tcBorders>
                    <w:top w:val="single" w:color="auto" w:sz="12" w:space="0"/>
                    <w:bottom w:val="single" w:color="auto" w:sz="12" w:space="0"/>
                  </w:tcBorders>
                  <w:shd w:val="clear" w:color="auto" w:fill="auto"/>
                  <w:vAlign w:val="center"/>
                </w:tcPr>
                <w:p w14:paraId="57E03640">
                  <w:pPr>
                    <w:pStyle w:val="90"/>
                    <w:rPr>
                      <w:b/>
                      <w:bCs/>
                    </w:rPr>
                  </w:pPr>
                  <w:r>
                    <w:rPr>
                      <w:rFonts w:hint="eastAsia"/>
                      <w:b/>
                      <w:bCs/>
                    </w:rPr>
                    <w:t>监测频率</w:t>
                  </w:r>
                </w:p>
              </w:tc>
              <w:tc>
                <w:tcPr>
                  <w:tcW w:w="2654" w:type="dxa"/>
                  <w:tcBorders>
                    <w:top w:val="single" w:color="auto" w:sz="12" w:space="0"/>
                    <w:bottom w:val="single" w:color="auto" w:sz="12" w:space="0"/>
                  </w:tcBorders>
                  <w:vAlign w:val="center"/>
                </w:tcPr>
                <w:p w14:paraId="4F8E203F">
                  <w:pPr>
                    <w:pStyle w:val="90"/>
                    <w:rPr>
                      <w:b/>
                      <w:bCs/>
                    </w:rPr>
                  </w:pPr>
                  <w:r>
                    <w:rPr>
                      <w:rFonts w:hint="eastAsia"/>
                      <w:b/>
                      <w:bCs/>
                    </w:rPr>
                    <w:t>执行标准</w:t>
                  </w:r>
                </w:p>
              </w:tc>
            </w:tr>
            <w:tr w14:paraId="263639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3" w:type="dxa"/>
                  <w:vMerge w:val="restart"/>
                  <w:tcBorders>
                    <w:top w:val="single" w:color="auto" w:sz="12" w:space="0"/>
                  </w:tcBorders>
                  <w:shd w:val="clear" w:color="auto" w:fill="auto"/>
                  <w:vAlign w:val="center"/>
                </w:tcPr>
                <w:p w14:paraId="07A819E6">
                  <w:pPr>
                    <w:pStyle w:val="90"/>
                  </w:pPr>
                  <w:r>
                    <w:rPr>
                      <w:rFonts w:hint="eastAsia"/>
                    </w:rPr>
                    <w:t>有组织</w:t>
                  </w:r>
                </w:p>
              </w:tc>
              <w:tc>
                <w:tcPr>
                  <w:tcW w:w="1178" w:type="dxa"/>
                  <w:tcBorders>
                    <w:top w:val="single" w:color="auto" w:sz="12" w:space="0"/>
                  </w:tcBorders>
                  <w:shd w:val="clear" w:color="auto" w:fill="auto"/>
                  <w:vAlign w:val="center"/>
                </w:tcPr>
                <w:p w14:paraId="56F63D7B">
                  <w:pPr>
                    <w:pStyle w:val="90"/>
                  </w:pPr>
                  <w:r>
                    <w:rPr>
                      <w:rFonts w:hint="eastAsia"/>
                    </w:rPr>
                    <w:t>粉尘</w:t>
                  </w:r>
                </w:p>
              </w:tc>
              <w:tc>
                <w:tcPr>
                  <w:tcW w:w="1177" w:type="dxa"/>
                  <w:tcBorders>
                    <w:top w:val="single" w:color="auto" w:sz="12" w:space="0"/>
                  </w:tcBorders>
                  <w:shd w:val="clear" w:color="auto" w:fill="auto"/>
                  <w:vAlign w:val="center"/>
                </w:tcPr>
                <w:p w14:paraId="3FA188FA">
                  <w:pPr>
                    <w:pStyle w:val="90"/>
                  </w:pPr>
                  <w:r>
                    <w:rPr>
                      <w:rFonts w:hint="eastAsia"/>
                    </w:rPr>
                    <w:t>D</w:t>
                  </w:r>
                  <w:r>
                    <w:t>A001</w:t>
                  </w:r>
                </w:p>
              </w:tc>
              <w:tc>
                <w:tcPr>
                  <w:tcW w:w="1688" w:type="dxa"/>
                  <w:tcBorders>
                    <w:top w:val="single" w:color="auto" w:sz="12" w:space="0"/>
                  </w:tcBorders>
                  <w:shd w:val="clear" w:color="auto" w:fill="auto"/>
                  <w:vAlign w:val="center"/>
                </w:tcPr>
                <w:p w14:paraId="3310AAE0">
                  <w:pPr>
                    <w:pStyle w:val="90"/>
                  </w:pPr>
                  <w:r>
                    <w:rPr>
                      <w:rFonts w:hint="eastAsia"/>
                    </w:rPr>
                    <w:t>颗粒物</w:t>
                  </w:r>
                </w:p>
              </w:tc>
              <w:tc>
                <w:tcPr>
                  <w:tcW w:w="1098" w:type="dxa"/>
                  <w:vMerge w:val="restart"/>
                  <w:tcBorders>
                    <w:top w:val="single" w:color="auto" w:sz="12" w:space="0"/>
                  </w:tcBorders>
                  <w:shd w:val="clear" w:color="auto" w:fill="auto"/>
                  <w:vAlign w:val="center"/>
                </w:tcPr>
                <w:p w14:paraId="217814DD">
                  <w:pPr>
                    <w:pStyle w:val="90"/>
                  </w:pPr>
                  <w:r>
                    <w:t>半年</w:t>
                  </w:r>
                  <w:r>
                    <w:rPr>
                      <w:rFonts w:hint="eastAsia"/>
                    </w:rPr>
                    <w:t>/</w:t>
                  </w:r>
                  <w:r>
                    <w:t>次</w:t>
                  </w:r>
                </w:p>
              </w:tc>
              <w:tc>
                <w:tcPr>
                  <w:tcW w:w="2654" w:type="dxa"/>
                  <w:vMerge w:val="restart"/>
                  <w:tcBorders>
                    <w:top w:val="single" w:color="auto" w:sz="12" w:space="0"/>
                  </w:tcBorders>
                  <w:vAlign w:val="center"/>
                </w:tcPr>
                <w:p w14:paraId="16C532B0">
                  <w:pPr>
                    <w:pStyle w:val="90"/>
                    <w:rPr>
                      <w:b/>
                      <w:bCs/>
                      <w:spacing w:val="-6"/>
                    </w:rPr>
                  </w:pPr>
                  <w:r>
                    <w:rPr>
                      <w:rFonts w:hint="eastAsia"/>
                      <w:bCs/>
                      <w:spacing w:val="-6"/>
                    </w:rPr>
                    <w:t>《合成树脂工业污染物排放标准》（GB</w:t>
                  </w:r>
                  <w:r>
                    <w:rPr>
                      <w:bCs/>
                      <w:spacing w:val="-6"/>
                    </w:rPr>
                    <w:t>31572</w:t>
                  </w:r>
                  <w:r>
                    <w:rPr>
                      <w:rFonts w:hint="eastAsia"/>
                      <w:bCs/>
                      <w:spacing w:val="-6"/>
                    </w:rPr>
                    <w:t>-201</w:t>
                  </w:r>
                  <w:r>
                    <w:rPr>
                      <w:bCs/>
                      <w:spacing w:val="-6"/>
                    </w:rPr>
                    <w:t>5</w:t>
                  </w:r>
                  <w:r>
                    <w:rPr>
                      <w:rFonts w:hint="eastAsia"/>
                      <w:bCs/>
                      <w:spacing w:val="-6"/>
                    </w:rPr>
                    <w:t>）表5</w:t>
                  </w:r>
                </w:p>
              </w:tc>
            </w:tr>
            <w:tr w14:paraId="74377A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3" w:type="dxa"/>
                  <w:vMerge w:val="continue"/>
                  <w:shd w:val="clear" w:color="auto" w:fill="auto"/>
                  <w:vAlign w:val="center"/>
                </w:tcPr>
                <w:p w14:paraId="094C43C7">
                  <w:pPr>
                    <w:pStyle w:val="90"/>
                  </w:pPr>
                </w:p>
              </w:tc>
              <w:tc>
                <w:tcPr>
                  <w:tcW w:w="1178" w:type="dxa"/>
                  <w:shd w:val="clear" w:color="auto" w:fill="auto"/>
                  <w:vAlign w:val="center"/>
                </w:tcPr>
                <w:p w14:paraId="4DD0EEAD">
                  <w:pPr>
                    <w:pStyle w:val="90"/>
                  </w:pPr>
                  <w:r>
                    <w:rPr>
                      <w:rFonts w:hint="eastAsia"/>
                    </w:rPr>
                    <w:t>有机废气</w:t>
                  </w:r>
                </w:p>
              </w:tc>
              <w:tc>
                <w:tcPr>
                  <w:tcW w:w="1177" w:type="dxa"/>
                  <w:shd w:val="clear" w:color="auto" w:fill="auto"/>
                  <w:vAlign w:val="center"/>
                </w:tcPr>
                <w:p w14:paraId="63614454">
                  <w:pPr>
                    <w:pStyle w:val="90"/>
                  </w:pPr>
                  <w:r>
                    <w:rPr>
                      <w:rFonts w:hint="eastAsia"/>
                    </w:rPr>
                    <w:t>D</w:t>
                  </w:r>
                  <w:r>
                    <w:t>A002</w:t>
                  </w:r>
                </w:p>
              </w:tc>
              <w:tc>
                <w:tcPr>
                  <w:tcW w:w="1688" w:type="dxa"/>
                  <w:shd w:val="clear" w:color="auto" w:fill="auto"/>
                  <w:vAlign w:val="center"/>
                </w:tcPr>
                <w:p w14:paraId="2587306C">
                  <w:pPr>
                    <w:pStyle w:val="90"/>
                  </w:pPr>
                  <w:r>
                    <w:rPr>
                      <w:rFonts w:hint="eastAsia"/>
                    </w:rPr>
                    <w:t>非甲烷总烃、氯化氢</w:t>
                  </w:r>
                </w:p>
              </w:tc>
              <w:tc>
                <w:tcPr>
                  <w:tcW w:w="1098" w:type="dxa"/>
                  <w:vMerge w:val="continue"/>
                  <w:shd w:val="clear" w:color="auto" w:fill="auto"/>
                  <w:vAlign w:val="center"/>
                </w:tcPr>
                <w:p w14:paraId="4E5953E9">
                  <w:pPr>
                    <w:pStyle w:val="90"/>
                  </w:pPr>
                </w:p>
              </w:tc>
              <w:tc>
                <w:tcPr>
                  <w:tcW w:w="2654" w:type="dxa"/>
                  <w:vMerge w:val="continue"/>
                  <w:vAlign w:val="center"/>
                </w:tcPr>
                <w:p w14:paraId="53F4DFB8">
                  <w:pPr>
                    <w:pStyle w:val="90"/>
                    <w:rPr>
                      <w:b/>
                      <w:bCs/>
                    </w:rPr>
                  </w:pPr>
                </w:p>
              </w:tc>
            </w:tr>
            <w:tr w14:paraId="412CF9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3" w:type="dxa"/>
                  <w:vMerge w:val="restart"/>
                  <w:shd w:val="clear" w:color="auto" w:fill="auto"/>
                  <w:vAlign w:val="center"/>
                </w:tcPr>
                <w:p w14:paraId="0F510C67">
                  <w:pPr>
                    <w:pStyle w:val="90"/>
                  </w:pPr>
                  <w:r>
                    <w:rPr>
                      <w:rFonts w:hint="eastAsia"/>
                    </w:rPr>
                    <w:t>无组织</w:t>
                  </w:r>
                </w:p>
              </w:tc>
              <w:tc>
                <w:tcPr>
                  <w:tcW w:w="1178" w:type="dxa"/>
                  <w:vMerge w:val="restart"/>
                  <w:shd w:val="clear" w:color="auto" w:fill="auto"/>
                  <w:vAlign w:val="center"/>
                </w:tcPr>
                <w:p w14:paraId="33558530">
                  <w:pPr>
                    <w:pStyle w:val="90"/>
                  </w:pPr>
                  <w:r>
                    <w:rPr>
                      <w:rFonts w:hint="eastAsia"/>
                    </w:rPr>
                    <w:t>有机废气、粉尘</w:t>
                  </w:r>
                </w:p>
              </w:tc>
              <w:tc>
                <w:tcPr>
                  <w:tcW w:w="1177" w:type="dxa"/>
                  <w:shd w:val="clear" w:color="auto" w:fill="auto"/>
                  <w:vAlign w:val="center"/>
                </w:tcPr>
                <w:p w14:paraId="72E35DFF">
                  <w:pPr>
                    <w:pStyle w:val="90"/>
                  </w:pPr>
                  <w:r>
                    <w:rPr>
                      <w:rFonts w:hint="eastAsia"/>
                    </w:rPr>
                    <w:t>厂界</w:t>
                  </w:r>
                </w:p>
              </w:tc>
              <w:tc>
                <w:tcPr>
                  <w:tcW w:w="1688" w:type="dxa"/>
                  <w:shd w:val="clear" w:color="auto" w:fill="auto"/>
                  <w:vAlign w:val="center"/>
                </w:tcPr>
                <w:p w14:paraId="1799FE7E">
                  <w:pPr>
                    <w:pStyle w:val="90"/>
                  </w:pPr>
                  <w:r>
                    <w:rPr>
                      <w:rFonts w:hint="eastAsia"/>
                    </w:rPr>
                    <w:t>非甲烷总烃、颗粒物、氯化氢</w:t>
                  </w:r>
                </w:p>
              </w:tc>
              <w:tc>
                <w:tcPr>
                  <w:tcW w:w="1098" w:type="dxa"/>
                  <w:vMerge w:val="restart"/>
                  <w:shd w:val="clear" w:color="auto" w:fill="auto"/>
                  <w:vAlign w:val="center"/>
                </w:tcPr>
                <w:p w14:paraId="09C4EF2F">
                  <w:pPr>
                    <w:pStyle w:val="90"/>
                  </w:pPr>
                  <w:r>
                    <w:t>1年/次</w:t>
                  </w:r>
                </w:p>
              </w:tc>
              <w:tc>
                <w:tcPr>
                  <w:tcW w:w="2654" w:type="dxa"/>
                  <w:vAlign w:val="center"/>
                </w:tcPr>
                <w:p w14:paraId="63189585">
                  <w:pPr>
                    <w:pStyle w:val="90"/>
                    <w:rPr>
                      <w:b/>
                      <w:bCs/>
                    </w:rPr>
                  </w:pPr>
                  <w:r>
                    <w:rPr>
                      <w:rFonts w:hint="eastAsia"/>
                      <w:bCs/>
                      <w:spacing w:val="-6"/>
                    </w:rPr>
                    <w:t>《合成树脂工业污染物排放标准》（GB</w:t>
                  </w:r>
                  <w:r>
                    <w:rPr>
                      <w:bCs/>
                      <w:spacing w:val="-6"/>
                    </w:rPr>
                    <w:t>31572</w:t>
                  </w:r>
                  <w:r>
                    <w:rPr>
                      <w:rFonts w:hint="eastAsia"/>
                      <w:bCs/>
                      <w:spacing w:val="-6"/>
                    </w:rPr>
                    <w:t>-201</w:t>
                  </w:r>
                  <w:r>
                    <w:rPr>
                      <w:bCs/>
                      <w:spacing w:val="-6"/>
                    </w:rPr>
                    <w:t>5</w:t>
                  </w:r>
                  <w:r>
                    <w:rPr>
                      <w:rFonts w:hint="eastAsia"/>
                      <w:bCs/>
                      <w:spacing w:val="-6"/>
                    </w:rPr>
                    <w:t>）表</w:t>
                  </w:r>
                  <w:r>
                    <w:rPr>
                      <w:bCs/>
                      <w:spacing w:val="-6"/>
                    </w:rPr>
                    <w:t>9</w:t>
                  </w:r>
                </w:p>
              </w:tc>
            </w:tr>
            <w:tr w14:paraId="3A2EB0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3" w:type="dxa"/>
                  <w:vMerge w:val="continue"/>
                  <w:shd w:val="clear" w:color="auto" w:fill="auto"/>
                  <w:vAlign w:val="center"/>
                </w:tcPr>
                <w:p w14:paraId="755AD9C8">
                  <w:pPr>
                    <w:pStyle w:val="90"/>
                  </w:pPr>
                </w:p>
              </w:tc>
              <w:tc>
                <w:tcPr>
                  <w:tcW w:w="1178" w:type="dxa"/>
                  <w:vMerge w:val="continue"/>
                  <w:shd w:val="clear" w:color="auto" w:fill="auto"/>
                  <w:vAlign w:val="center"/>
                </w:tcPr>
                <w:p w14:paraId="3961D61A">
                  <w:pPr>
                    <w:pStyle w:val="90"/>
                  </w:pPr>
                </w:p>
              </w:tc>
              <w:tc>
                <w:tcPr>
                  <w:tcW w:w="1177" w:type="dxa"/>
                  <w:shd w:val="clear" w:color="auto" w:fill="auto"/>
                  <w:vAlign w:val="center"/>
                </w:tcPr>
                <w:p w14:paraId="795F7471">
                  <w:pPr>
                    <w:pStyle w:val="90"/>
                  </w:pPr>
                  <w:r>
                    <w:rPr>
                      <w:rFonts w:hint="eastAsia"/>
                    </w:rPr>
                    <w:t>厂区内</w:t>
                  </w:r>
                </w:p>
              </w:tc>
              <w:tc>
                <w:tcPr>
                  <w:tcW w:w="1688" w:type="dxa"/>
                  <w:shd w:val="clear" w:color="auto" w:fill="auto"/>
                  <w:vAlign w:val="center"/>
                </w:tcPr>
                <w:p w14:paraId="5E02FA73">
                  <w:pPr>
                    <w:pStyle w:val="90"/>
                  </w:pPr>
                  <w:r>
                    <w:rPr>
                      <w:rFonts w:hint="eastAsia"/>
                    </w:rPr>
                    <w:t>非甲烷总烃</w:t>
                  </w:r>
                </w:p>
              </w:tc>
              <w:tc>
                <w:tcPr>
                  <w:tcW w:w="1098" w:type="dxa"/>
                  <w:vMerge w:val="continue"/>
                  <w:shd w:val="clear" w:color="auto" w:fill="auto"/>
                  <w:vAlign w:val="center"/>
                </w:tcPr>
                <w:p w14:paraId="334F0118">
                  <w:pPr>
                    <w:pStyle w:val="90"/>
                  </w:pPr>
                </w:p>
              </w:tc>
              <w:tc>
                <w:tcPr>
                  <w:tcW w:w="2654" w:type="dxa"/>
                  <w:vAlign w:val="center"/>
                </w:tcPr>
                <w:p w14:paraId="78E9BE19">
                  <w:pPr>
                    <w:pStyle w:val="90"/>
                    <w:rPr>
                      <w:b/>
                      <w:bCs/>
                    </w:rPr>
                  </w:pPr>
                  <w:r>
                    <w:rPr>
                      <w:rFonts w:hint="eastAsia" w:ascii="宋体" w:hAnsi="宋体" w:cs="宋体"/>
                    </w:rPr>
                    <w:t>《挥发性有机物无组织排放控制标准》（</w:t>
                  </w:r>
                  <w:r>
                    <w:rPr>
                      <w:rFonts w:hint="eastAsia"/>
                    </w:rPr>
                    <w:t>GB37822-2019</w:t>
                  </w:r>
                  <w:r>
                    <w:rPr>
                      <w:rFonts w:hint="eastAsia" w:ascii="宋体" w:hAnsi="宋体" w:cs="宋体"/>
                    </w:rPr>
                    <w:t>）表</w:t>
                  </w:r>
                  <w:r>
                    <w:rPr>
                      <w:rFonts w:hint="eastAsia"/>
                    </w:rPr>
                    <w:t>A.1</w:t>
                  </w:r>
                  <w:r>
                    <w:rPr>
                      <w:rFonts w:hint="eastAsia" w:ascii="宋体" w:hAnsi="宋体" w:cs="宋体"/>
                    </w:rPr>
                    <w:t>规定特别排放限值</w:t>
                  </w:r>
                </w:p>
              </w:tc>
            </w:tr>
          </w:tbl>
          <w:p w14:paraId="2C3FB6B4">
            <w:pPr>
              <w:pStyle w:val="4"/>
              <w:ind w:firstLine="0" w:firstLineChars="0"/>
            </w:pPr>
            <w:r>
              <w:rPr>
                <w:rFonts w:hint="eastAsia"/>
              </w:rPr>
              <w:t>2.水环境影响分析及防治措施</w:t>
            </w:r>
          </w:p>
          <w:p w14:paraId="2350E205">
            <w:pPr>
              <w:pStyle w:val="5"/>
              <w:ind w:firstLine="0" w:firstLineChars="0"/>
              <w:rPr>
                <w:snapToGrid w:val="0"/>
                <w:szCs w:val="28"/>
              </w:rPr>
            </w:pPr>
            <w:r>
              <w:rPr>
                <w:rFonts w:hint="eastAsia"/>
                <w:snapToGrid w:val="0"/>
                <w:szCs w:val="28"/>
              </w:rPr>
              <w:t>2.1废水产生、处置及排放情况</w:t>
            </w:r>
          </w:p>
          <w:p w14:paraId="70FBB05B">
            <w:pPr>
              <w:pStyle w:val="55"/>
              <w:ind w:firstLine="480"/>
            </w:pPr>
            <w:r>
              <w:rPr>
                <w:rFonts w:hint="eastAsia"/>
              </w:rPr>
              <w:t>生产废水：本项目生产用水为产品冷却水，冷却水循环利用不外排，只需定期补充即可。</w:t>
            </w:r>
          </w:p>
          <w:p w14:paraId="02A98B66">
            <w:pPr>
              <w:pStyle w:val="55"/>
              <w:ind w:firstLine="480"/>
            </w:pPr>
            <w:r>
              <w:rPr>
                <w:rFonts w:hint="eastAsia"/>
              </w:rPr>
              <w:t>生活废水：本项目不新增劳动定员，不新增生活废水。</w:t>
            </w:r>
          </w:p>
          <w:p w14:paraId="3D5570BE">
            <w:pPr>
              <w:pStyle w:val="4"/>
              <w:ind w:firstLine="0" w:firstLineChars="0"/>
            </w:pPr>
            <w:r>
              <w:rPr>
                <w:rFonts w:hint="eastAsia"/>
              </w:rPr>
              <w:t>3</w:t>
            </w:r>
            <w:r>
              <w:t>.</w:t>
            </w:r>
            <w:r>
              <w:rPr>
                <w:rFonts w:hint="eastAsia"/>
              </w:rPr>
              <w:t>声环境影响分析及防治措施</w:t>
            </w:r>
          </w:p>
          <w:p w14:paraId="11D2F4B5">
            <w:pPr>
              <w:pStyle w:val="4"/>
              <w:ind w:firstLine="0" w:firstLineChars="0"/>
            </w:pPr>
            <w:r>
              <w:t>3.1</w:t>
            </w:r>
            <w:r>
              <w:rPr>
                <w:rFonts w:hint="eastAsia"/>
              </w:rPr>
              <w:t xml:space="preserve"> </w:t>
            </w:r>
            <w:r>
              <w:t>噪声源强分析</w:t>
            </w:r>
          </w:p>
          <w:p w14:paraId="65027967">
            <w:pPr>
              <w:pStyle w:val="55"/>
              <w:ind w:firstLine="480"/>
            </w:pPr>
            <w:r>
              <w:rPr>
                <w:rFonts w:hint="eastAsia"/>
              </w:rPr>
              <w:t>本项目噪声主要来源于生产设备的运营，主要噪声为挤出机、破碎机、搅拌机等产生的机械噪声，噪声级值约为75~85dB（A），通过厂房隔声、固定设备设置减振基础等措施后，噪声排放至厂界可降至55-65dB（A）。各主要声源情况见表4-5；</w:t>
            </w:r>
          </w:p>
          <w:p w14:paraId="2AF8405B">
            <w:pPr>
              <w:pStyle w:val="6"/>
            </w:pPr>
            <w:r>
              <w:rPr>
                <w:rFonts w:hint="eastAsia" w:ascii="Times New Roman" w:hAnsi="Times New Roman" w:eastAsia="宋体"/>
              </w:rPr>
              <w:t>表4-5   项目设备噪声源强    单位dB（A）</w:t>
            </w:r>
          </w:p>
          <w:tbl>
            <w:tblPr>
              <w:tblStyle w:val="30"/>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707"/>
              <w:gridCol w:w="2126"/>
              <w:gridCol w:w="3836"/>
            </w:tblGrid>
            <w:tr w14:paraId="70F1617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0" w:type="pct"/>
                  <w:tcBorders>
                    <w:top w:val="single" w:color="auto" w:sz="12" w:space="0"/>
                    <w:bottom w:val="single" w:color="auto" w:sz="12" w:space="0"/>
                  </w:tcBorders>
                  <w:vAlign w:val="center"/>
                </w:tcPr>
                <w:p w14:paraId="10C9B808">
                  <w:pPr>
                    <w:pStyle w:val="90"/>
                    <w:rPr>
                      <w:b/>
                      <w:bCs/>
                    </w:rPr>
                  </w:pPr>
                  <w:r>
                    <w:rPr>
                      <w:b/>
                      <w:bCs/>
                    </w:rPr>
                    <w:t>序号</w:t>
                  </w:r>
                </w:p>
              </w:tc>
              <w:tc>
                <w:tcPr>
                  <w:tcW w:w="1008" w:type="pct"/>
                  <w:tcBorders>
                    <w:top w:val="single" w:color="auto" w:sz="12" w:space="0"/>
                    <w:bottom w:val="single" w:color="auto" w:sz="12" w:space="0"/>
                  </w:tcBorders>
                  <w:vAlign w:val="center"/>
                </w:tcPr>
                <w:p w14:paraId="25A5BDA2">
                  <w:pPr>
                    <w:pStyle w:val="90"/>
                    <w:rPr>
                      <w:b/>
                      <w:bCs/>
                    </w:rPr>
                  </w:pPr>
                  <w:r>
                    <w:rPr>
                      <w:b/>
                      <w:bCs/>
                    </w:rPr>
                    <w:t>设备名称</w:t>
                  </w:r>
                </w:p>
              </w:tc>
              <w:tc>
                <w:tcPr>
                  <w:tcW w:w="1256" w:type="pct"/>
                  <w:tcBorders>
                    <w:top w:val="single" w:color="auto" w:sz="12" w:space="0"/>
                    <w:bottom w:val="single" w:color="auto" w:sz="12" w:space="0"/>
                  </w:tcBorders>
                  <w:vAlign w:val="center"/>
                </w:tcPr>
                <w:p w14:paraId="6268C891">
                  <w:pPr>
                    <w:pStyle w:val="90"/>
                    <w:rPr>
                      <w:b/>
                      <w:bCs/>
                    </w:rPr>
                  </w:pPr>
                  <w:r>
                    <w:rPr>
                      <w:b/>
                      <w:bCs/>
                    </w:rPr>
                    <w:t>声级值dB(A)</w:t>
                  </w:r>
                </w:p>
              </w:tc>
              <w:tc>
                <w:tcPr>
                  <w:tcW w:w="2267" w:type="pct"/>
                  <w:tcBorders>
                    <w:top w:val="single" w:color="auto" w:sz="12" w:space="0"/>
                    <w:bottom w:val="single" w:color="auto" w:sz="12" w:space="0"/>
                  </w:tcBorders>
                  <w:vAlign w:val="center"/>
                </w:tcPr>
                <w:p w14:paraId="68E33EE9">
                  <w:pPr>
                    <w:pStyle w:val="90"/>
                    <w:rPr>
                      <w:b/>
                      <w:bCs/>
                    </w:rPr>
                  </w:pPr>
                  <w:r>
                    <w:rPr>
                      <w:b/>
                      <w:bCs/>
                    </w:rPr>
                    <w:t>措施降噪叠加后噪声</w:t>
                  </w:r>
                </w:p>
              </w:tc>
            </w:tr>
            <w:tr w14:paraId="7FEDF0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0" w:type="pct"/>
                  <w:tcBorders>
                    <w:top w:val="single" w:color="auto" w:sz="12" w:space="0"/>
                  </w:tcBorders>
                  <w:vAlign w:val="center"/>
                </w:tcPr>
                <w:p w14:paraId="7735C103">
                  <w:pPr>
                    <w:pStyle w:val="90"/>
                  </w:pPr>
                  <w:r>
                    <w:rPr>
                      <w:rFonts w:hint="eastAsia"/>
                    </w:rPr>
                    <w:t>1</w:t>
                  </w:r>
                </w:p>
              </w:tc>
              <w:tc>
                <w:tcPr>
                  <w:tcW w:w="1008" w:type="pct"/>
                  <w:tcBorders>
                    <w:top w:val="single" w:color="auto" w:sz="12" w:space="0"/>
                  </w:tcBorders>
                  <w:vAlign w:val="center"/>
                </w:tcPr>
                <w:p w14:paraId="643A90BD">
                  <w:pPr>
                    <w:pStyle w:val="90"/>
                  </w:pPr>
                  <w:r>
                    <w:rPr>
                      <w:rFonts w:hint="eastAsia"/>
                    </w:rPr>
                    <w:t>挤出机</w:t>
                  </w:r>
                </w:p>
              </w:tc>
              <w:tc>
                <w:tcPr>
                  <w:tcW w:w="1256" w:type="pct"/>
                  <w:tcBorders>
                    <w:top w:val="single" w:color="auto" w:sz="12" w:space="0"/>
                  </w:tcBorders>
                  <w:vAlign w:val="center"/>
                </w:tcPr>
                <w:p w14:paraId="35CF9E38">
                  <w:pPr>
                    <w:pStyle w:val="90"/>
                  </w:pPr>
                  <w:r>
                    <w:rPr>
                      <w:rFonts w:hint="eastAsia"/>
                    </w:rPr>
                    <w:t>85</w:t>
                  </w:r>
                </w:p>
              </w:tc>
              <w:tc>
                <w:tcPr>
                  <w:tcW w:w="2267" w:type="pct"/>
                  <w:vMerge w:val="restart"/>
                  <w:tcBorders>
                    <w:top w:val="single" w:color="auto" w:sz="12" w:space="0"/>
                  </w:tcBorders>
                  <w:vAlign w:val="center"/>
                </w:tcPr>
                <w:p w14:paraId="78F591F9">
                  <w:pPr>
                    <w:pStyle w:val="90"/>
                  </w:pPr>
                  <w:r>
                    <w:t>通过厂房隔声、固定设备设置减振基础等措施后，噪声排放可降至</w:t>
                  </w:r>
                  <w:r>
                    <w:rPr>
                      <w:rFonts w:hint="eastAsia"/>
                    </w:rPr>
                    <w:t>55</w:t>
                  </w:r>
                  <w:r>
                    <w:t>~</w:t>
                  </w:r>
                  <w:r>
                    <w:rPr>
                      <w:rFonts w:hint="eastAsia"/>
                    </w:rPr>
                    <w:t>65</w:t>
                  </w:r>
                  <w:r>
                    <w:t>dB（A）</w:t>
                  </w:r>
                </w:p>
              </w:tc>
            </w:tr>
            <w:tr w14:paraId="06DC0E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0" w:type="pct"/>
                  <w:vAlign w:val="center"/>
                </w:tcPr>
                <w:p w14:paraId="6623A56B">
                  <w:pPr>
                    <w:pStyle w:val="90"/>
                  </w:pPr>
                  <w:r>
                    <w:t>2</w:t>
                  </w:r>
                </w:p>
              </w:tc>
              <w:tc>
                <w:tcPr>
                  <w:tcW w:w="1008" w:type="pct"/>
                  <w:vAlign w:val="center"/>
                </w:tcPr>
                <w:p w14:paraId="008DE732">
                  <w:pPr>
                    <w:pStyle w:val="90"/>
                  </w:pPr>
                  <w:r>
                    <w:rPr>
                      <w:rFonts w:hint="eastAsia"/>
                    </w:rPr>
                    <w:t>破碎机</w:t>
                  </w:r>
                </w:p>
              </w:tc>
              <w:tc>
                <w:tcPr>
                  <w:tcW w:w="1256" w:type="pct"/>
                  <w:vAlign w:val="center"/>
                </w:tcPr>
                <w:p w14:paraId="5EEB1D2A">
                  <w:pPr>
                    <w:pStyle w:val="90"/>
                  </w:pPr>
                  <w:r>
                    <w:rPr>
                      <w:rFonts w:hint="eastAsia"/>
                    </w:rPr>
                    <w:t>85</w:t>
                  </w:r>
                </w:p>
              </w:tc>
              <w:tc>
                <w:tcPr>
                  <w:tcW w:w="2267" w:type="pct"/>
                  <w:vMerge w:val="continue"/>
                  <w:vAlign w:val="center"/>
                </w:tcPr>
                <w:p w14:paraId="7CCAB058">
                  <w:pPr>
                    <w:pStyle w:val="90"/>
                  </w:pPr>
                </w:p>
              </w:tc>
            </w:tr>
            <w:tr w14:paraId="203CB1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0" w:type="pct"/>
                  <w:vAlign w:val="center"/>
                </w:tcPr>
                <w:p w14:paraId="431EE883">
                  <w:pPr>
                    <w:pStyle w:val="90"/>
                  </w:pPr>
                  <w:r>
                    <w:t>3</w:t>
                  </w:r>
                </w:p>
              </w:tc>
              <w:tc>
                <w:tcPr>
                  <w:tcW w:w="1008" w:type="pct"/>
                  <w:vAlign w:val="center"/>
                </w:tcPr>
                <w:p w14:paraId="13CAB951">
                  <w:pPr>
                    <w:pStyle w:val="90"/>
                  </w:pPr>
                  <w:r>
                    <w:rPr>
                      <w:rFonts w:hint="eastAsia"/>
                    </w:rPr>
                    <w:t>搅拌机</w:t>
                  </w:r>
                </w:p>
              </w:tc>
              <w:tc>
                <w:tcPr>
                  <w:tcW w:w="1256" w:type="pct"/>
                  <w:vAlign w:val="center"/>
                </w:tcPr>
                <w:p w14:paraId="63341617">
                  <w:pPr>
                    <w:pStyle w:val="90"/>
                  </w:pPr>
                  <w:r>
                    <w:rPr>
                      <w:rFonts w:hint="eastAsia"/>
                    </w:rPr>
                    <w:t>85</w:t>
                  </w:r>
                </w:p>
              </w:tc>
              <w:tc>
                <w:tcPr>
                  <w:tcW w:w="2267" w:type="pct"/>
                  <w:vMerge w:val="continue"/>
                  <w:vAlign w:val="center"/>
                </w:tcPr>
                <w:p w14:paraId="60405D00">
                  <w:pPr>
                    <w:pStyle w:val="90"/>
                  </w:pPr>
                </w:p>
              </w:tc>
            </w:tr>
          </w:tbl>
          <w:p w14:paraId="536D8AB0">
            <w:pPr>
              <w:pStyle w:val="10"/>
              <w:rPr>
                <w:b/>
                <w:bCs/>
                <w:sz w:val="24"/>
                <w:szCs w:val="24"/>
              </w:rPr>
            </w:pPr>
            <w:r>
              <w:rPr>
                <w:b/>
                <w:bCs/>
                <w:sz w:val="24"/>
                <w:szCs w:val="24"/>
              </w:rPr>
              <w:t>3.2防治措施</w:t>
            </w:r>
          </w:p>
          <w:p w14:paraId="2C6E6179">
            <w:pPr>
              <w:spacing w:line="360" w:lineRule="auto"/>
              <w:ind w:firstLine="480" w:firstLineChars="200"/>
              <w:rPr>
                <w:sz w:val="24"/>
              </w:rPr>
            </w:pPr>
            <w:r>
              <w:rPr>
                <w:sz w:val="24"/>
              </w:rPr>
              <w:t>为有效降低噪声对环境的影响，建设单位计划采取以下措施：</w:t>
            </w:r>
          </w:p>
          <w:p w14:paraId="219E2923">
            <w:pPr>
              <w:spacing w:line="360" w:lineRule="auto"/>
              <w:ind w:firstLine="480" w:firstLineChars="200"/>
              <w:rPr>
                <w:sz w:val="24"/>
              </w:rPr>
            </w:pPr>
            <w:r>
              <w:rPr>
                <w:sz w:val="24"/>
              </w:rPr>
              <w:t>（1）在设备选型时优先选择高效、低噪声设备，做好设备的安装调试，同时加强营运期间对各种机械的维修保养，保持其良好的运行效果；</w:t>
            </w:r>
          </w:p>
          <w:p w14:paraId="4B9CF6CF">
            <w:pPr>
              <w:spacing w:line="360" w:lineRule="auto"/>
              <w:ind w:firstLine="480" w:firstLineChars="200"/>
              <w:rPr>
                <w:sz w:val="24"/>
              </w:rPr>
            </w:pPr>
            <w:r>
              <w:rPr>
                <w:sz w:val="24"/>
              </w:rPr>
              <w:t>（2）在设计中考虑厂房建筑、绿化设计等方面采取有效控制措施，以降低噪声的传播和干扰，同时在工厂总体布置上利用建筑物，构筑物来阻隔声波的传播。</w:t>
            </w:r>
          </w:p>
          <w:p w14:paraId="5FB54DE5">
            <w:pPr>
              <w:spacing w:line="360" w:lineRule="auto"/>
              <w:ind w:firstLine="480" w:firstLineChars="200"/>
              <w:rPr>
                <w:sz w:val="24"/>
              </w:rPr>
            </w:pPr>
            <w:r>
              <w:rPr>
                <w:sz w:val="24"/>
              </w:rPr>
              <w:t>（3）主要噪声厂房四周墙壁安装吸声材料，生产厂房临场界侧设隔声门窗，生产时关闭门窗。</w:t>
            </w:r>
          </w:p>
          <w:p w14:paraId="497A3D35">
            <w:pPr>
              <w:pStyle w:val="10"/>
              <w:rPr>
                <w:b/>
                <w:bCs/>
                <w:sz w:val="24"/>
                <w:szCs w:val="24"/>
              </w:rPr>
            </w:pPr>
            <w:r>
              <w:rPr>
                <w:b/>
                <w:bCs/>
                <w:sz w:val="24"/>
                <w:szCs w:val="24"/>
              </w:rPr>
              <w:t>3.3预测模式</w:t>
            </w:r>
          </w:p>
          <w:p w14:paraId="718AED1F">
            <w:pPr>
              <w:spacing w:line="360" w:lineRule="auto"/>
              <w:ind w:firstLine="480" w:firstLineChars="200"/>
              <w:rPr>
                <w:sz w:val="24"/>
              </w:rPr>
            </w:pPr>
            <w:r>
              <w:rPr>
                <w:sz w:val="24"/>
              </w:rPr>
              <w:t>本次评价采用《环境影响评价技术导则 声环境》（HJ2.4-2021）中的噪声贡献值计算公式计算建设项目自身声源在预测点产生的声级。</w:t>
            </w:r>
          </w:p>
          <w:p w14:paraId="79B7BA6A">
            <w:pPr>
              <w:adjustRightInd w:val="0"/>
              <w:snapToGrid w:val="0"/>
              <w:spacing w:line="360" w:lineRule="auto"/>
              <w:ind w:firstLine="600" w:firstLineChars="250"/>
              <w:jc w:val="left"/>
              <w:rPr>
                <w:bCs/>
                <w:sz w:val="24"/>
                <w:szCs w:val="21"/>
              </w:rPr>
            </w:pPr>
            <w:r>
              <w:rPr>
                <w:sz w:val="24"/>
              </w:rPr>
              <w:t>噪声贡献值计算公式</w:t>
            </w:r>
            <w:r>
              <w:rPr>
                <w:bCs/>
                <w:sz w:val="24"/>
              </w:rPr>
              <w:t>：</w:t>
            </w:r>
          </w:p>
          <w:p w14:paraId="187773F7">
            <w:pPr>
              <w:adjustRightInd w:val="0"/>
              <w:snapToGrid w:val="0"/>
              <w:spacing w:line="360" w:lineRule="auto"/>
              <w:ind w:firstLine="480" w:firstLineChars="200"/>
              <w:jc w:val="center"/>
              <w:rPr>
                <w:bCs/>
                <w:sz w:val="24"/>
                <w:szCs w:val="21"/>
              </w:rPr>
            </w:pPr>
            <w:r>
              <w:rPr>
                <w:sz w:val="24"/>
              </w:rPr>
              <w:drawing>
                <wp:inline distT="0" distB="0" distL="0" distR="0">
                  <wp:extent cx="2279650" cy="596900"/>
                  <wp:effectExtent l="0" t="0" r="6350" b="0"/>
                  <wp:docPr id="2" name="图片 1113017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130175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83167" cy="597710"/>
                          </a:xfrm>
                          <a:prstGeom prst="rect">
                            <a:avLst/>
                          </a:prstGeom>
                          <a:noFill/>
                          <a:ln>
                            <a:noFill/>
                          </a:ln>
                        </pic:spPr>
                      </pic:pic>
                    </a:graphicData>
                  </a:graphic>
                </wp:inline>
              </w:drawing>
            </w:r>
          </w:p>
          <w:p w14:paraId="39A87D28">
            <w:pPr>
              <w:adjustRightInd w:val="0"/>
              <w:snapToGrid w:val="0"/>
              <w:spacing w:line="360" w:lineRule="auto"/>
              <w:ind w:firstLine="960" w:firstLineChars="400"/>
              <w:jc w:val="left"/>
              <w:rPr>
                <w:bCs/>
                <w:sz w:val="24"/>
              </w:rPr>
            </w:pPr>
            <w:r>
              <w:rPr>
                <w:bCs/>
                <w:sz w:val="24"/>
              </w:rPr>
              <w:t>式中：Leqg ——建设项目声源在预测点产生的噪声贡献值，dB；</w:t>
            </w:r>
          </w:p>
          <w:p w14:paraId="0FD64ABD">
            <w:pPr>
              <w:adjustRightInd w:val="0"/>
              <w:snapToGrid w:val="0"/>
              <w:spacing w:line="360" w:lineRule="auto"/>
              <w:ind w:firstLine="1680" w:firstLineChars="700"/>
              <w:jc w:val="left"/>
              <w:rPr>
                <w:bCs/>
                <w:sz w:val="24"/>
              </w:rPr>
            </w:pPr>
            <w:r>
              <w:rPr>
                <w:bCs/>
                <w:sz w:val="24"/>
              </w:rPr>
              <w:t>T ——预测计算的时间段，s；</w:t>
            </w:r>
          </w:p>
          <w:p w14:paraId="2AFDFB05">
            <w:pPr>
              <w:adjustRightInd w:val="0"/>
              <w:snapToGrid w:val="0"/>
              <w:spacing w:line="360" w:lineRule="auto"/>
              <w:ind w:firstLine="1680" w:firstLineChars="700"/>
              <w:jc w:val="left"/>
              <w:rPr>
                <w:bCs/>
                <w:sz w:val="24"/>
              </w:rPr>
            </w:pPr>
            <w:r>
              <w:rPr>
                <w:bCs/>
                <w:sz w:val="24"/>
              </w:rPr>
              <w:t>ti ——i声源在T时段内的运行时间，s；</w:t>
            </w:r>
          </w:p>
          <w:p w14:paraId="6C93B7CB">
            <w:pPr>
              <w:adjustRightInd w:val="0"/>
              <w:snapToGrid w:val="0"/>
              <w:spacing w:line="360" w:lineRule="auto"/>
              <w:ind w:firstLine="1680" w:firstLineChars="700"/>
              <w:rPr>
                <w:bCs/>
                <w:sz w:val="24"/>
              </w:rPr>
            </w:pPr>
            <w:r>
              <w:rPr>
                <w:bCs/>
                <w:sz w:val="24"/>
              </w:rPr>
              <w:t>Lai——i声源在预测点产生的等效连续 A 声级，dB。</w:t>
            </w:r>
          </w:p>
          <w:p w14:paraId="79FEE3CC">
            <w:pPr>
              <w:spacing w:line="360" w:lineRule="auto"/>
              <w:ind w:firstLine="480" w:firstLineChars="200"/>
              <w:rPr>
                <w:bCs/>
                <w:kern w:val="0"/>
                <w:sz w:val="24"/>
              </w:rPr>
            </w:pPr>
            <w:r>
              <w:rPr>
                <w:bCs/>
                <w:kern w:val="0"/>
                <w:sz w:val="24"/>
              </w:rPr>
              <w:t>利用以上公式，项目具体贡献值结果见表4-12。</w:t>
            </w:r>
          </w:p>
          <w:p w14:paraId="42760F75">
            <w:pPr>
              <w:widowControl/>
              <w:snapToGrid w:val="0"/>
              <w:jc w:val="center"/>
              <w:rPr>
                <w:b/>
                <w:kern w:val="0"/>
                <w:szCs w:val="21"/>
              </w:rPr>
            </w:pPr>
            <w:r>
              <w:rPr>
                <w:b/>
                <w:kern w:val="0"/>
                <w:szCs w:val="21"/>
              </w:rPr>
              <w:t>表4-12    噪声贡献值计算结果</w:t>
            </w:r>
          </w:p>
          <w:tbl>
            <w:tblPr>
              <w:tblStyle w:val="30"/>
              <w:tblW w:w="8329" w:type="dxa"/>
              <w:tblInd w:w="5"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665"/>
              <w:gridCol w:w="3332"/>
              <w:gridCol w:w="1666"/>
              <w:gridCol w:w="1666"/>
            </w:tblGrid>
            <w:tr w14:paraId="554265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665" w:type="dxa"/>
                  <w:vMerge w:val="restart"/>
                  <w:shd w:val="clear" w:color="auto" w:fill="auto"/>
                  <w:vAlign w:val="center"/>
                </w:tcPr>
                <w:p w14:paraId="463BC934">
                  <w:pPr>
                    <w:jc w:val="center"/>
                    <w:rPr>
                      <w:b/>
                      <w:bCs/>
                      <w:szCs w:val="21"/>
                    </w:rPr>
                  </w:pPr>
                  <w:r>
                    <w:rPr>
                      <w:b/>
                      <w:bCs/>
                      <w:szCs w:val="21"/>
                    </w:rPr>
                    <w:t>点位</w:t>
                  </w:r>
                </w:p>
              </w:tc>
              <w:tc>
                <w:tcPr>
                  <w:tcW w:w="3332" w:type="dxa"/>
                  <w:vMerge w:val="restart"/>
                  <w:shd w:val="clear" w:color="auto" w:fill="auto"/>
                  <w:vAlign w:val="center"/>
                </w:tcPr>
                <w:p w14:paraId="7EA2B796">
                  <w:pPr>
                    <w:jc w:val="center"/>
                    <w:rPr>
                      <w:b/>
                      <w:bCs/>
                      <w:szCs w:val="21"/>
                    </w:rPr>
                  </w:pPr>
                  <w:r>
                    <w:rPr>
                      <w:b/>
                      <w:bCs/>
                      <w:szCs w:val="21"/>
                    </w:rPr>
                    <w:t>贡献值dB（A）</w:t>
                  </w:r>
                </w:p>
              </w:tc>
              <w:tc>
                <w:tcPr>
                  <w:tcW w:w="3332" w:type="dxa"/>
                  <w:gridSpan w:val="2"/>
                  <w:shd w:val="clear" w:color="auto" w:fill="auto"/>
                  <w:vAlign w:val="center"/>
                </w:tcPr>
                <w:p w14:paraId="436A04AE">
                  <w:pPr>
                    <w:jc w:val="center"/>
                    <w:rPr>
                      <w:b/>
                      <w:bCs/>
                      <w:szCs w:val="21"/>
                    </w:rPr>
                  </w:pPr>
                  <w:r>
                    <w:rPr>
                      <w:b/>
                      <w:bCs/>
                      <w:szCs w:val="21"/>
                    </w:rPr>
                    <w:t>标准值dB（A）</w:t>
                  </w:r>
                </w:p>
              </w:tc>
            </w:tr>
            <w:tr w14:paraId="352972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9" w:hRule="atLeast"/>
              </w:trPr>
              <w:tc>
                <w:tcPr>
                  <w:tcW w:w="1665" w:type="dxa"/>
                  <w:vMerge w:val="continue"/>
                  <w:tcBorders>
                    <w:bottom w:val="single" w:color="auto" w:sz="12" w:space="0"/>
                  </w:tcBorders>
                  <w:shd w:val="clear" w:color="auto" w:fill="auto"/>
                  <w:vAlign w:val="center"/>
                </w:tcPr>
                <w:p w14:paraId="6F3E79A2">
                  <w:pPr>
                    <w:jc w:val="center"/>
                    <w:rPr>
                      <w:b/>
                      <w:bCs/>
                      <w:szCs w:val="21"/>
                    </w:rPr>
                  </w:pPr>
                </w:p>
              </w:tc>
              <w:tc>
                <w:tcPr>
                  <w:tcW w:w="3332" w:type="dxa"/>
                  <w:vMerge w:val="continue"/>
                  <w:tcBorders>
                    <w:bottom w:val="single" w:color="auto" w:sz="12" w:space="0"/>
                  </w:tcBorders>
                  <w:shd w:val="clear" w:color="auto" w:fill="auto"/>
                  <w:vAlign w:val="center"/>
                </w:tcPr>
                <w:p w14:paraId="4ACD2A85">
                  <w:pPr>
                    <w:jc w:val="center"/>
                    <w:rPr>
                      <w:b/>
                      <w:bCs/>
                      <w:szCs w:val="21"/>
                    </w:rPr>
                  </w:pPr>
                </w:p>
              </w:tc>
              <w:tc>
                <w:tcPr>
                  <w:tcW w:w="1666" w:type="dxa"/>
                  <w:tcBorders>
                    <w:bottom w:val="single" w:color="auto" w:sz="12" w:space="0"/>
                  </w:tcBorders>
                  <w:shd w:val="clear" w:color="auto" w:fill="auto"/>
                  <w:vAlign w:val="center"/>
                </w:tcPr>
                <w:p w14:paraId="3BE51518">
                  <w:pPr>
                    <w:jc w:val="center"/>
                    <w:rPr>
                      <w:b/>
                      <w:bCs/>
                      <w:szCs w:val="21"/>
                    </w:rPr>
                  </w:pPr>
                  <w:r>
                    <w:rPr>
                      <w:b/>
                      <w:bCs/>
                      <w:szCs w:val="21"/>
                    </w:rPr>
                    <w:t>昼间</w:t>
                  </w:r>
                </w:p>
              </w:tc>
              <w:tc>
                <w:tcPr>
                  <w:tcW w:w="1666" w:type="dxa"/>
                  <w:tcBorders>
                    <w:bottom w:val="single" w:color="auto" w:sz="12" w:space="0"/>
                  </w:tcBorders>
                  <w:shd w:val="clear" w:color="auto" w:fill="auto"/>
                  <w:vAlign w:val="center"/>
                </w:tcPr>
                <w:p w14:paraId="5E671F52">
                  <w:pPr>
                    <w:jc w:val="center"/>
                    <w:rPr>
                      <w:b/>
                      <w:bCs/>
                      <w:szCs w:val="21"/>
                    </w:rPr>
                  </w:pPr>
                  <w:r>
                    <w:rPr>
                      <w:b/>
                      <w:bCs/>
                      <w:szCs w:val="21"/>
                    </w:rPr>
                    <w:t>夜间</w:t>
                  </w:r>
                </w:p>
              </w:tc>
            </w:tr>
            <w:tr w14:paraId="3CCCF97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665" w:type="dxa"/>
                  <w:tcBorders>
                    <w:top w:val="single" w:color="auto" w:sz="12" w:space="0"/>
                    <w:tl2br w:val="nil"/>
                    <w:tr2bl w:val="nil"/>
                  </w:tcBorders>
                  <w:shd w:val="clear" w:color="auto" w:fill="auto"/>
                  <w:vAlign w:val="center"/>
                </w:tcPr>
                <w:p w14:paraId="12136BFD">
                  <w:pPr>
                    <w:jc w:val="center"/>
                    <w:rPr>
                      <w:szCs w:val="21"/>
                    </w:rPr>
                  </w:pPr>
                  <w:r>
                    <w:rPr>
                      <w:szCs w:val="21"/>
                    </w:rPr>
                    <w:t>厂界东侧</w:t>
                  </w:r>
                </w:p>
              </w:tc>
              <w:tc>
                <w:tcPr>
                  <w:tcW w:w="3332" w:type="dxa"/>
                  <w:tcBorders>
                    <w:top w:val="single" w:color="auto" w:sz="12" w:space="0"/>
                    <w:tl2br w:val="nil"/>
                    <w:tr2bl w:val="nil"/>
                  </w:tcBorders>
                  <w:shd w:val="clear" w:color="auto" w:fill="auto"/>
                  <w:vAlign w:val="center"/>
                </w:tcPr>
                <w:p w14:paraId="0E22853B">
                  <w:pPr>
                    <w:jc w:val="center"/>
                    <w:rPr>
                      <w:szCs w:val="21"/>
                    </w:rPr>
                  </w:pPr>
                  <w:r>
                    <w:rPr>
                      <w:szCs w:val="21"/>
                    </w:rPr>
                    <w:t>48.5</w:t>
                  </w:r>
                </w:p>
              </w:tc>
              <w:tc>
                <w:tcPr>
                  <w:tcW w:w="1666" w:type="dxa"/>
                  <w:vMerge w:val="restart"/>
                  <w:tcBorders>
                    <w:top w:val="single" w:color="auto" w:sz="12" w:space="0"/>
                    <w:tl2br w:val="nil"/>
                    <w:tr2bl w:val="nil"/>
                  </w:tcBorders>
                  <w:shd w:val="clear" w:color="auto" w:fill="auto"/>
                  <w:vAlign w:val="center"/>
                </w:tcPr>
                <w:p w14:paraId="5D5DE460">
                  <w:pPr>
                    <w:jc w:val="center"/>
                    <w:rPr>
                      <w:szCs w:val="21"/>
                    </w:rPr>
                  </w:pPr>
                  <w:r>
                    <w:rPr>
                      <w:szCs w:val="21"/>
                    </w:rPr>
                    <w:t>65</w:t>
                  </w:r>
                </w:p>
              </w:tc>
              <w:tc>
                <w:tcPr>
                  <w:tcW w:w="1666" w:type="dxa"/>
                  <w:vMerge w:val="restart"/>
                  <w:tcBorders>
                    <w:top w:val="single" w:color="auto" w:sz="12" w:space="0"/>
                    <w:tl2br w:val="nil"/>
                    <w:tr2bl w:val="nil"/>
                  </w:tcBorders>
                  <w:shd w:val="clear" w:color="auto" w:fill="auto"/>
                  <w:vAlign w:val="center"/>
                </w:tcPr>
                <w:p w14:paraId="760F1CB3">
                  <w:pPr>
                    <w:jc w:val="center"/>
                    <w:rPr>
                      <w:szCs w:val="21"/>
                    </w:rPr>
                  </w:pPr>
                  <w:r>
                    <w:rPr>
                      <w:szCs w:val="21"/>
                    </w:rPr>
                    <w:t>55</w:t>
                  </w:r>
                </w:p>
              </w:tc>
            </w:tr>
            <w:tr w14:paraId="6E2D219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665" w:type="dxa"/>
                  <w:tcBorders>
                    <w:tl2br w:val="nil"/>
                    <w:tr2bl w:val="nil"/>
                  </w:tcBorders>
                  <w:shd w:val="clear" w:color="auto" w:fill="auto"/>
                  <w:vAlign w:val="center"/>
                </w:tcPr>
                <w:p w14:paraId="1E8AF637">
                  <w:pPr>
                    <w:jc w:val="center"/>
                    <w:rPr>
                      <w:szCs w:val="21"/>
                    </w:rPr>
                  </w:pPr>
                  <w:r>
                    <w:rPr>
                      <w:szCs w:val="21"/>
                    </w:rPr>
                    <w:t>厂界南侧</w:t>
                  </w:r>
                </w:p>
              </w:tc>
              <w:tc>
                <w:tcPr>
                  <w:tcW w:w="3332" w:type="dxa"/>
                  <w:tcBorders>
                    <w:tl2br w:val="nil"/>
                    <w:tr2bl w:val="nil"/>
                  </w:tcBorders>
                  <w:shd w:val="clear" w:color="auto" w:fill="auto"/>
                  <w:vAlign w:val="center"/>
                </w:tcPr>
                <w:p w14:paraId="5414675C">
                  <w:pPr>
                    <w:jc w:val="center"/>
                    <w:rPr>
                      <w:szCs w:val="21"/>
                    </w:rPr>
                  </w:pPr>
                  <w:r>
                    <w:rPr>
                      <w:szCs w:val="21"/>
                    </w:rPr>
                    <w:t>47.6</w:t>
                  </w:r>
                </w:p>
              </w:tc>
              <w:tc>
                <w:tcPr>
                  <w:tcW w:w="1666" w:type="dxa"/>
                  <w:vMerge w:val="continue"/>
                  <w:tcBorders>
                    <w:tl2br w:val="nil"/>
                    <w:tr2bl w:val="nil"/>
                  </w:tcBorders>
                  <w:shd w:val="clear" w:color="auto" w:fill="auto"/>
                  <w:vAlign w:val="center"/>
                </w:tcPr>
                <w:p w14:paraId="2DCE03EC">
                  <w:pPr>
                    <w:jc w:val="center"/>
                    <w:rPr>
                      <w:szCs w:val="21"/>
                    </w:rPr>
                  </w:pPr>
                </w:p>
              </w:tc>
              <w:tc>
                <w:tcPr>
                  <w:tcW w:w="1666" w:type="dxa"/>
                  <w:vMerge w:val="continue"/>
                  <w:tcBorders>
                    <w:tl2br w:val="nil"/>
                    <w:tr2bl w:val="nil"/>
                  </w:tcBorders>
                  <w:shd w:val="clear" w:color="auto" w:fill="auto"/>
                  <w:vAlign w:val="center"/>
                </w:tcPr>
                <w:p w14:paraId="537943DC">
                  <w:pPr>
                    <w:jc w:val="center"/>
                    <w:rPr>
                      <w:szCs w:val="21"/>
                    </w:rPr>
                  </w:pPr>
                </w:p>
              </w:tc>
            </w:tr>
            <w:tr w14:paraId="1EE36EE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1665" w:type="dxa"/>
                  <w:tcBorders>
                    <w:tl2br w:val="nil"/>
                    <w:tr2bl w:val="nil"/>
                  </w:tcBorders>
                  <w:shd w:val="clear" w:color="auto" w:fill="auto"/>
                  <w:vAlign w:val="center"/>
                </w:tcPr>
                <w:p w14:paraId="546D9EED">
                  <w:pPr>
                    <w:jc w:val="center"/>
                    <w:rPr>
                      <w:szCs w:val="21"/>
                    </w:rPr>
                  </w:pPr>
                  <w:r>
                    <w:rPr>
                      <w:szCs w:val="21"/>
                    </w:rPr>
                    <w:t>厂界西侧</w:t>
                  </w:r>
                </w:p>
              </w:tc>
              <w:tc>
                <w:tcPr>
                  <w:tcW w:w="3332" w:type="dxa"/>
                  <w:tcBorders>
                    <w:tl2br w:val="nil"/>
                    <w:tr2bl w:val="nil"/>
                  </w:tcBorders>
                  <w:shd w:val="clear" w:color="auto" w:fill="auto"/>
                  <w:vAlign w:val="center"/>
                </w:tcPr>
                <w:p w14:paraId="0C76CFA1">
                  <w:pPr>
                    <w:jc w:val="center"/>
                    <w:rPr>
                      <w:szCs w:val="21"/>
                    </w:rPr>
                  </w:pPr>
                  <w:r>
                    <w:rPr>
                      <w:szCs w:val="21"/>
                    </w:rPr>
                    <w:t>49.3</w:t>
                  </w:r>
                </w:p>
              </w:tc>
              <w:tc>
                <w:tcPr>
                  <w:tcW w:w="1666" w:type="dxa"/>
                  <w:vMerge w:val="continue"/>
                  <w:tcBorders>
                    <w:tl2br w:val="nil"/>
                    <w:tr2bl w:val="nil"/>
                  </w:tcBorders>
                  <w:shd w:val="clear" w:color="auto" w:fill="auto"/>
                  <w:vAlign w:val="center"/>
                </w:tcPr>
                <w:p w14:paraId="45080BAF">
                  <w:pPr>
                    <w:jc w:val="center"/>
                    <w:rPr>
                      <w:szCs w:val="21"/>
                    </w:rPr>
                  </w:pPr>
                </w:p>
              </w:tc>
              <w:tc>
                <w:tcPr>
                  <w:tcW w:w="1666" w:type="dxa"/>
                  <w:vMerge w:val="continue"/>
                  <w:tcBorders>
                    <w:tl2br w:val="nil"/>
                    <w:tr2bl w:val="nil"/>
                  </w:tcBorders>
                  <w:shd w:val="clear" w:color="auto" w:fill="auto"/>
                  <w:vAlign w:val="center"/>
                </w:tcPr>
                <w:p w14:paraId="60B51B41">
                  <w:pPr>
                    <w:jc w:val="center"/>
                    <w:rPr>
                      <w:szCs w:val="21"/>
                    </w:rPr>
                  </w:pPr>
                </w:p>
              </w:tc>
            </w:tr>
            <w:tr w14:paraId="011A86D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665" w:type="dxa"/>
                  <w:tcBorders>
                    <w:tl2br w:val="nil"/>
                    <w:tr2bl w:val="nil"/>
                  </w:tcBorders>
                  <w:shd w:val="clear" w:color="auto" w:fill="auto"/>
                  <w:vAlign w:val="center"/>
                </w:tcPr>
                <w:p w14:paraId="16231334">
                  <w:pPr>
                    <w:jc w:val="center"/>
                    <w:rPr>
                      <w:szCs w:val="21"/>
                    </w:rPr>
                  </w:pPr>
                  <w:r>
                    <w:rPr>
                      <w:szCs w:val="21"/>
                    </w:rPr>
                    <w:t>厂界北侧</w:t>
                  </w:r>
                </w:p>
              </w:tc>
              <w:tc>
                <w:tcPr>
                  <w:tcW w:w="3332" w:type="dxa"/>
                  <w:tcBorders>
                    <w:tl2br w:val="nil"/>
                    <w:tr2bl w:val="nil"/>
                  </w:tcBorders>
                  <w:shd w:val="clear" w:color="auto" w:fill="auto"/>
                  <w:vAlign w:val="center"/>
                </w:tcPr>
                <w:p w14:paraId="5AA45F98">
                  <w:pPr>
                    <w:jc w:val="center"/>
                    <w:rPr>
                      <w:szCs w:val="21"/>
                    </w:rPr>
                  </w:pPr>
                  <w:r>
                    <w:rPr>
                      <w:szCs w:val="21"/>
                    </w:rPr>
                    <w:t>51.4</w:t>
                  </w:r>
                </w:p>
              </w:tc>
              <w:tc>
                <w:tcPr>
                  <w:tcW w:w="1666" w:type="dxa"/>
                  <w:vMerge w:val="continue"/>
                  <w:tcBorders>
                    <w:tl2br w:val="nil"/>
                    <w:tr2bl w:val="nil"/>
                  </w:tcBorders>
                  <w:shd w:val="clear" w:color="auto" w:fill="auto"/>
                  <w:vAlign w:val="center"/>
                </w:tcPr>
                <w:p w14:paraId="6EF442C7">
                  <w:pPr>
                    <w:jc w:val="center"/>
                    <w:rPr>
                      <w:szCs w:val="21"/>
                    </w:rPr>
                  </w:pPr>
                </w:p>
              </w:tc>
              <w:tc>
                <w:tcPr>
                  <w:tcW w:w="1666" w:type="dxa"/>
                  <w:vMerge w:val="continue"/>
                  <w:tcBorders>
                    <w:tl2br w:val="nil"/>
                    <w:tr2bl w:val="nil"/>
                  </w:tcBorders>
                  <w:shd w:val="clear" w:color="auto" w:fill="auto"/>
                  <w:vAlign w:val="center"/>
                </w:tcPr>
                <w:p w14:paraId="2BB2B019">
                  <w:pPr>
                    <w:jc w:val="center"/>
                    <w:rPr>
                      <w:szCs w:val="21"/>
                    </w:rPr>
                  </w:pPr>
                </w:p>
              </w:tc>
            </w:tr>
          </w:tbl>
          <w:p w14:paraId="71B31B06">
            <w:pPr>
              <w:pStyle w:val="10"/>
              <w:rPr>
                <w:b/>
                <w:bCs/>
                <w:sz w:val="24"/>
                <w:szCs w:val="24"/>
              </w:rPr>
            </w:pPr>
            <w:r>
              <w:rPr>
                <w:b/>
                <w:bCs/>
                <w:sz w:val="24"/>
                <w:szCs w:val="24"/>
              </w:rPr>
              <w:t>3.4预测结果</w:t>
            </w:r>
          </w:p>
          <w:p w14:paraId="7F20B53B">
            <w:pPr>
              <w:widowControl/>
              <w:snapToGrid w:val="0"/>
              <w:spacing w:line="360" w:lineRule="auto"/>
              <w:ind w:firstLine="480" w:firstLineChars="200"/>
              <w:rPr>
                <w:kern w:val="0"/>
                <w:sz w:val="24"/>
              </w:rPr>
            </w:pPr>
            <w:r>
              <w:rPr>
                <w:kern w:val="0"/>
                <w:sz w:val="24"/>
              </w:rPr>
              <w:t>预测评价结果表明：本项目在正常生产的情况下，运营期间噪声能达到《工业企业厂界环境噪声排放标准》（GB12348-2008）中3类标准。因此，本项目对区域声环境质量影响较小。</w:t>
            </w:r>
          </w:p>
          <w:p w14:paraId="24D58E26">
            <w:pPr>
              <w:pStyle w:val="10"/>
              <w:rPr>
                <w:b/>
                <w:bCs/>
                <w:sz w:val="24"/>
                <w:szCs w:val="24"/>
              </w:rPr>
            </w:pPr>
            <w:r>
              <w:rPr>
                <w:b/>
                <w:bCs/>
                <w:sz w:val="24"/>
                <w:szCs w:val="24"/>
              </w:rPr>
              <w:t>3.5</w:t>
            </w:r>
            <w:r>
              <w:rPr>
                <w:rFonts w:hint="eastAsia"/>
                <w:b/>
                <w:bCs/>
                <w:sz w:val="24"/>
                <w:szCs w:val="24"/>
              </w:rPr>
              <w:t xml:space="preserve"> </w:t>
            </w:r>
            <w:r>
              <w:rPr>
                <w:b/>
                <w:bCs/>
                <w:sz w:val="24"/>
                <w:szCs w:val="24"/>
              </w:rPr>
              <w:t>噪声监测计划</w:t>
            </w:r>
          </w:p>
          <w:p w14:paraId="2FBB0912">
            <w:pPr>
              <w:spacing w:line="360" w:lineRule="auto"/>
              <w:ind w:firstLine="480" w:firstLineChars="200"/>
              <w:rPr>
                <w:sz w:val="24"/>
              </w:rPr>
            </w:pPr>
            <w:r>
              <w:rPr>
                <w:rFonts w:hint="eastAsia"/>
                <w:sz w:val="24"/>
              </w:rPr>
              <w:t>根据《</w:t>
            </w:r>
            <w:r>
              <w:rPr>
                <w:sz w:val="24"/>
              </w:rPr>
              <w:t>排污单位自行监测技术指南总则</w:t>
            </w:r>
            <w:r>
              <w:rPr>
                <w:rFonts w:hint="eastAsia"/>
                <w:sz w:val="24"/>
              </w:rPr>
              <w:t>》（HJ819-2017）</w:t>
            </w:r>
            <w:r>
              <w:rPr>
                <w:sz w:val="24"/>
              </w:rPr>
              <w:t>本项目噪声监测方案见表4-1</w:t>
            </w:r>
            <w:r>
              <w:rPr>
                <w:rFonts w:hint="eastAsia"/>
                <w:sz w:val="24"/>
              </w:rPr>
              <w:t>3</w:t>
            </w:r>
            <w:r>
              <w:rPr>
                <w:sz w:val="24"/>
              </w:rPr>
              <w:t>。</w:t>
            </w:r>
          </w:p>
          <w:p w14:paraId="3557B308">
            <w:pPr>
              <w:adjustRightInd w:val="0"/>
              <w:snapToGrid w:val="0"/>
              <w:jc w:val="center"/>
              <w:rPr>
                <w:b/>
                <w:bCs/>
                <w:szCs w:val="21"/>
              </w:rPr>
            </w:pPr>
            <w:r>
              <w:rPr>
                <w:b/>
                <w:bCs/>
                <w:szCs w:val="21"/>
              </w:rPr>
              <w:t>表4-1</w:t>
            </w:r>
            <w:r>
              <w:rPr>
                <w:rFonts w:hint="eastAsia"/>
                <w:b/>
                <w:bCs/>
                <w:szCs w:val="21"/>
              </w:rPr>
              <w:t>3</w:t>
            </w:r>
            <w:r>
              <w:rPr>
                <w:b/>
                <w:bCs/>
                <w:szCs w:val="21"/>
              </w:rPr>
              <w:t xml:space="preserve">    项目运营期噪声监测计划</w:t>
            </w:r>
          </w:p>
          <w:tbl>
            <w:tblPr>
              <w:tblStyle w:val="30"/>
              <w:tblW w:w="8470" w:type="dxa"/>
              <w:tblInd w:w="1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autofit"/>
              <w:tblCellMar>
                <w:top w:w="0" w:type="dxa"/>
                <w:left w:w="108" w:type="dxa"/>
                <w:bottom w:w="0" w:type="dxa"/>
                <w:right w:w="108" w:type="dxa"/>
              </w:tblCellMar>
            </w:tblPr>
            <w:tblGrid>
              <w:gridCol w:w="1830"/>
              <w:gridCol w:w="1378"/>
              <w:gridCol w:w="1335"/>
              <w:gridCol w:w="3927"/>
            </w:tblGrid>
            <w:tr w14:paraId="264B6ACF">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483" w:hRule="atLeast"/>
              </w:trPr>
              <w:tc>
                <w:tcPr>
                  <w:tcW w:w="1830" w:type="dxa"/>
                  <w:vAlign w:val="center"/>
                </w:tcPr>
                <w:p w14:paraId="007C1C4B">
                  <w:pPr>
                    <w:pStyle w:val="52"/>
                    <w:rPr>
                      <w:rFonts w:hint="default" w:ascii="Times New Roman" w:hAnsi="Times New Roman"/>
                      <w:sz w:val="21"/>
                    </w:rPr>
                  </w:pPr>
                  <w:r>
                    <w:rPr>
                      <w:rFonts w:hint="default" w:ascii="Times New Roman" w:hAnsi="Times New Roman"/>
                      <w:sz w:val="21"/>
                    </w:rPr>
                    <w:t>监测点位</w:t>
                  </w:r>
                </w:p>
              </w:tc>
              <w:tc>
                <w:tcPr>
                  <w:tcW w:w="1378" w:type="dxa"/>
                  <w:vAlign w:val="center"/>
                </w:tcPr>
                <w:p w14:paraId="34560951">
                  <w:pPr>
                    <w:pStyle w:val="52"/>
                    <w:rPr>
                      <w:rFonts w:hint="default" w:ascii="Times New Roman" w:hAnsi="Times New Roman"/>
                      <w:sz w:val="21"/>
                    </w:rPr>
                  </w:pPr>
                  <w:r>
                    <w:rPr>
                      <w:rFonts w:hint="default" w:ascii="Times New Roman" w:hAnsi="Times New Roman"/>
                      <w:sz w:val="21"/>
                    </w:rPr>
                    <w:t>监测指标</w:t>
                  </w:r>
                </w:p>
              </w:tc>
              <w:tc>
                <w:tcPr>
                  <w:tcW w:w="1335" w:type="dxa"/>
                  <w:vAlign w:val="center"/>
                </w:tcPr>
                <w:p w14:paraId="63B03860">
                  <w:pPr>
                    <w:pStyle w:val="52"/>
                    <w:rPr>
                      <w:rFonts w:hint="default" w:ascii="Times New Roman" w:hAnsi="Times New Roman"/>
                      <w:sz w:val="21"/>
                    </w:rPr>
                  </w:pPr>
                  <w:r>
                    <w:rPr>
                      <w:rFonts w:hint="default" w:ascii="Times New Roman" w:hAnsi="Times New Roman"/>
                      <w:sz w:val="21"/>
                    </w:rPr>
                    <w:t>监测频次</w:t>
                  </w:r>
                </w:p>
              </w:tc>
              <w:tc>
                <w:tcPr>
                  <w:tcW w:w="3927" w:type="dxa"/>
                  <w:vAlign w:val="center"/>
                </w:tcPr>
                <w:p w14:paraId="7A6F98F2">
                  <w:pPr>
                    <w:pStyle w:val="52"/>
                    <w:rPr>
                      <w:rFonts w:hint="default" w:ascii="Times New Roman" w:hAnsi="Times New Roman"/>
                      <w:sz w:val="21"/>
                    </w:rPr>
                  </w:pPr>
                  <w:r>
                    <w:rPr>
                      <w:rFonts w:hint="default" w:ascii="Times New Roman" w:hAnsi="Times New Roman"/>
                      <w:sz w:val="21"/>
                    </w:rPr>
                    <w:t>执行标准</w:t>
                  </w:r>
                </w:p>
              </w:tc>
            </w:tr>
            <w:tr w14:paraId="66818563">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478" w:hRule="atLeast"/>
              </w:trPr>
              <w:tc>
                <w:tcPr>
                  <w:tcW w:w="1830" w:type="dxa"/>
                  <w:vAlign w:val="center"/>
                </w:tcPr>
                <w:p w14:paraId="364D5A72">
                  <w:pPr>
                    <w:pStyle w:val="52"/>
                    <w:rPr>
                      <w:rFonts w:hint="default" w:ascii="Times New Roman" w:hAnsi="Times New Roman"/>
                      <w:b w:val="0"/>
                      <w:bCs/>
                      <w:sz w:val="21"/>
                    </w:rPr>
                  </w:pPr>
                  <w:r>
                    <w:rPr>
                      <w:rFonts w:hint="default" w:ascii="Times New Roman" w:hAnsi="Times New Roman"/>
                      <w:b w:val="0"/>
                      <w:bCs/>
                      <w:sz w:val="21"/>
                    </w:rPr>
                    <w:t>厂界外1米处</w:t>
                  </w:r>
                </w:p>
              </w:tc>
              <w:tc>
                <w:tcPr>
                  <w:tcW w:w="1378" w:type="dxa"/>
                  <w:vAlign w:val="center"/>
                </w:tcPr>
                <w:p w14:paraId="509399AF">
                  <w:pPr>
                    <w:pStyle w:val="52"/>
                    <w:rPr>
                      <w:rFonts w:hint="default" w:ascii="Times New Roman" w:hAnsi="Times New Roman"/>
                      <w:b w:val="0"/>
                      <w:bCs/>
                      <w:sz w:val="21"/>
                    </w:rPr>
                  </w:pPr>
                  <w:r>
                    <w:rPr>
                      <w:rFonts w:hint="default" w:ascii="Times New Roman" w:hAnsi="Times New Roman"/>
                      <w:b w:val="0"/>
                      <w:bCs/>
                      <w:sz w:val="21"/>
                    </w:rPr>
                    <w:t>等效连续A声级</w:t>
                  </w:r>
                </w:p>
              </w:tc>
              <w:tc>
                <w:tcPr>
                  <w:tcW w:w="1335" w:type="dxa"/>
                  <w:vAlign w:val="center"/>
                </w:tcPr>
                <w:p w14:paraId="497BB959">
                  <w:pPr>
                    <w:pStyle w:val="52"/>
                    <w:rPr>
                      <w:rFonts w:hint="default" w:ascii="Times New Roman" w:hAnsi="Times New Roman"/>
                      <w:b w:val="0"/>
                      <w:bCs/>
                      <w:sz w:val="21"/>
                      <w:highlight w:val="yellow"/>
                    </w:rPr>
                  </w:pPr>
                  <w:r>
                    <w:rPr>
                      <w:rFonts w:hint="default" w:ascii="Times New Roman" w:hAnsi="Times New Roman"/>
                      <w:b w:val="0"/>
                      <w:bCs/>
                      <w:sz w:val="21"/>
                    </w:rPr>
                    <w:t>1次/季度</w:t>
                  </w:r>
                </w:p>
              </w:tc>
              <w:tc>
                <w:tcPr>
                  <w:tcW w:w="3927" w:type="dxa"/>
                  <w:vAlign w:val="center"/>
                </w:tcPr>
                <w:p w14:paraId="2A825EF4">
                  <w:pPr>
                    <w:pStyle w:val="52"/>
                    <w:rPr>
                      <w:rFonts w:hint="default" w:ascii="Times New Roman" w:hAnsi="Times New Roman"/>
                      <w:b w:val="0"/>
                      <w:bCs/>
                      <w:sz w:val="21"/>
                    </w:rPr>
                  </w:pPr>
                  <w:r>
                    <w:rPr>
                      <w:rFonts w:hint="default" w:ascii="Times New Roman" w:hAnsi="Times New Roman"/>
                      <w:b w:val="0"/>
                      <w:bCs/>
                      <w:sz w:val="21"/>
                    </w:rPr>
                    <w:t>《工业企业厂界环境噪声排放标准》（GB12348-2008）3类标准</w:t>
                  </w:r>
                </w:p>
              </w:tc>
            </w:tr>
          </w:tbl>
          <w:p w14:paraId="11E72380">
            <w:pPr>
              <w:pStyle w:val="4"/>
              <w:ind w:firstLine="0" w:firstLineChars="0"/>
            </w:pPr>
            <w:r>
              <w:rPr>
                <w:rFonts w:hint="eastAsia"/>
              </w:rPr>
              <w:t>4.固体废物影响分析及防治措施</w:t>
            </w:r>
          </w:p>
          <w:p w14:paraId="6B4994A1">
            <w:pPr>
              <w:pStyle w:val="5"/>
              <w:ind w:firstLine="0" w:firstLineChars="0"/>
            </w:pPr>
            <w:r>
              <w:rPr>
                <w:rFonts w:hint="eastAsia"/>
              </w:rPr>
              <w:t>4.1固体废物产生及处置情况</w:t>
            </w:r>
          </w:p>
          <w:p w14:paraId="00D7C7FF">
            <w:pPr>
              <w:pStyle w:val="55"/>
              <w:ind w:firstLine="480"/>
            </w:pPr>
            <w:r>
              <w:rPr>
                <w:rFonts w:hint="eastAsia"/>
              </w:rPr>
              <w:t>本项目产生的固体废物主要是一般工业固废以及危险废物。本项目不新增劳动定员，不产生新增生活垃圾。</w:t>
            </w:r>
          </w:p>
          <w:p w14:paraId="71203D80">
            <w:pPr>
              <w:pStyle w:val="55"/>
              <w:ind w:firstLine="480"/>
            </w:pPr>
            <w:r>
              <w:rPr>
                <w:rFonts w:hint="eastAsia"/>
              </w:rPr>
              <w:t>（1）一般工业固废</w:t>
            </w:r>
          </w:p>
          <w:p w14:paraId="7CE45CB8">
            <w:pPr>
              <w:pStyle w:val="55"/>
              <w:ind w:firstLine="480"/>
            </w:pPr>
            <w:r>
              <w:rPr>
                <w:rFonts w:hint="eastAsia"/>
              </w:rPr>
              <w:t>本项目生产过程中产生的一般工业固废主要为切割产生的边角料、不合格产品，布袋除尘器收集的粉尘。</w:t>
            </w:r>
          </w:p>
          <w:p w14:paraId="5FC608EF">
            <w:pPr>
              <w:pStyle w:val="55"/>
              <w:ind w:firstLine="480"/>
            </w:pPr>
            <w:r>
              <w:rPr>
                <w:rFonts w:hint="eastAsia"/>
              </w:rPr>
              <w:t>根据项目情况，边角料、不合格产品产生量约为</w:t>
            </w:r>
            <w:r>
              <w:t>5</w:t>
            </w:r>
            <w:r>
              <w:rPr>
                <w:rFonts w:hint="eastAsia"/>
              </w:rPr>
              <w:t>t/a；袋式除尘器收集粉尘量约为</w:t>
            </w:r>
            <w:r>
              <w:t>28.512</w:t>
            </w:r>
            <w:r>
              <w:rPr>
                <w:rFonts w:hint="eastAsia"/>
              </w:rPr>
              <w:t>t/a。</w:t>
            </w:r>
          </w:p>
          <w:p w14:paraId="4B51B009">
            <w:pPr>
              <w:pStyle w:val="55"/>
              <w:ind w:firstLine="480"/>
            </w:pPr>
            <w:r>
              <w:rPr>
                <w:rFonts w:hint="eastAsia"/>
              </w:rPr>
              <w:t>边角料、不合格产品均经破碎后作为原料回用于生产；布袋除尘器收集粉尘作为原料回用于生产。</w:t>
            </w:r>
          </w:p>
          <w:p w14:paraId="17DB22BD">
            <w:pPr>
              <w:pStyle w:val="55"/>
              <w:ind w:firstLine="480"/>
            </w:pPr>
            <w:r>
              <w:rPr>
                <w:rFonts w:hint="eastAsia"/>
              </w:rPr>
              <w:t>（2）危险废物</w:t>
            </w:r>
          </w:p>
          <w:p w14:paraId="6456149A">
            <w:pPr>
              <w:pStyle w:val="55"/>
              <w:ind w:firstLine="480"/>
            </w:pPr>
            <w:r>
              <w:rPr>
                <w:rFonts w:hint="eastAsia"/>
              </w:rPr>
              <w:t>本项目危险废物主要为废机油、废活性炭、废催化剂。废机油产生量约为0</w:t>
            </w:r>
            <w:r>
              <w:t>.2</w:t>
            </w:r>
            <w:r>
              <w:rPr>
                <w:rFonts w:hint="eastAsia"/>
              </w:rPr>
              <w:t>t</w:t>
            </w:r>
            <w:r>
              <w:t>/</w:t>
            </w:r>
            <w:r>
              <w:rPr>
                <w:rFonts w:hint="eastAsia"/>
              </w:rPr>
              <w:t>a，废催化剂产生量约为0.7t/a。废活性炭产生量约为</w:t>
            </w:r>
            <w:r>
              <w:t>0.8</w:t>
            </w:r>
            <w:r>
              <w:rPr>
                <w:rFonts w:hint="eastAsia"/>
              </w:rPr>
              <w:t>t/a。</w:t>
            </w:r>
          </w:p>
          <w:p w14:paraId="4CD05B7D">
            <w:pPr>
              <w:pStyle w:val="55"/>
              <w:ind w:firstLine="480"/>
            </w:pPr>
            <w:r>
              <w:rPr>
                <w:rFonts w:hint="eastAsia"/>
              </w:rPr>
              <w:t>本项目有机废气采用“活性炭+催化燃烧”技术进行处理。活性炭使用周期为8000h。本项目年生产时间</w:t>
            </w:r>
            <w:r>
              <w:t>2880</w:t>
            </w:r>
            <w:r>
              <w:rPr>
                <w:rFonts w:hint="eastAsia"/>
              </w:rPr>
              <w:t>h，平均每</w:t>
            </w:r>
            <w:r>
              <w:t>2</w:t>
            </w:r>
            <w:r>
              <w:rPr>
                <w:rFonts w:hint="eastAsia"/>
              </w:rPr>
              <w:t>年需更换一次，本次评价按照每万风量0.8m</w:t>
            </w:r>
            <w:r>
              <w:rPr>
                <w:rFonts w:hint="eastAsia"/>
                <w:vertAlign w:val="superscript"/>
              </w:rPr>
              <w:t>3</w:t>
            </w:r>
            <w:r>
              <w:rPr>
                <w:rFonts w:hint="eastAsia"/>
              </w:rPr>
              <w:t>活性炭填装量进行核算。本项目有机废气治理设施设计风量为</w:t>
            </w:r>
            <w:r>
              <w:t>2</w:t>
            </w:r>
            <w:r>
              <w:rPr>
                <w:rFonts w:hint="eastAsia"/>
              </w:rPr>
              <w:t>万m</w:t>
            </w:r>
            <w:r>
              <w:rPr>
                <w:rFonts w:hint="eastAsia"/>
                <w:vertAlign w:val="superscript"/>
              </w:rPr>
              <w:t>3</w:t>
            </w:r>
            <w:r>
              <w:rPr>
                <w:rFonts w:hint="eastAsia"/>
              </w:rPr>
              <w:t>/h，本项目活性炭一次填装量约为</w:t>
            </w:r>
            <w:r>
              <w:t>0.8</w:t>
            </w:r>
            <w:r>
              <w:rPr>
                <w:rFonts w:hint="eastAsia"/>
              </w:rPr>
              <w:t>t（0.8m</w:t>
            </w:r>
            <w:r>
              <w:rPr>
                <w:rFonts w:hint="eastAsia"/>
                <w:vertAlign w:val="superscript"/>
              </w:rPr>
              <w:t>3</w:t>
            </w:r>
            <w:r>
              <w:rPr>
                <w:rFonts w:hint="eastAsia"/>
              </w:rPr>
              <w:t>，密度按500kg/m</w:t>
            </w:r>
            <w:r>
              <w:rPr>
                <w:rFonts w:hint="eastAsia"/>
                <w:vertAlign w:val="superscript"/>
              </w:rPr>
              <w:t>3</w:t>
            </w:r>
            <w:r>
              <w:rPr>
                <w:rFonts w:hint="eastAsia"/>
              </w:rPr>
              <w:t>计），本次评价要求企业采用碘值不低于800mg/g的活性炭，其他设计指标应满足《吸附法工业有机废气治理工程技术规范》（HJ2026-2013）。</w:t>
            </w:r>
          </w:p>
          <w:p w14:paraId="7052B867">
            <w:pPr>
              <w:pStyle w:val="55"/>
              <w:ind w:firstLine="480"/>
            </w:pPr>
            <w:r>
              <w:rPr>
                <w:rFonts w:hint="eastAsia"/>
              </w:rPr>
              <w:t>根据《国家危险废物名录》（2021年版），产生的废活性炭，属HW49其他废物－烟气、VOCs治理过程（不包括餐饮行业油烟治理过程）产生的废活性炭，化学原料和化学制品脱色（不包括有机合成食品添加剂脱色）、除杂、净化过程产生的废活性炭，废物代码为（900-039-49）；废催化剂属HW50 类危险废物，名录中有机废气处理产生的废催化剂未明确危废代码，因此，本环评产生的废催化剂套用废汽车尾气净化催化剂的危废代码（900-049-50），废机油危废类别为HW08，废物代码（900-214-08）。三者收集后临时存放在危废暂存间，交给有危废处置资质的单位回收处理。</w:t>
            </w:r>
          </w:p>
          <w:p w14:paraId="30793A22">
            <w:pPr>
              <w:autoSpaceDE w:val="0"/>
              <w:autoSpaceDN w:val="0"/>
              <w:adjustRightInd w:val="0"/>
              <w:snapToGrid w:val="0"/>
              <w:spacing w:line="360" w:lineRule="auto"/>
              <w:jc w:val="left"/>
              <w:rPr>
                <w:rFonts w:cs="宋体"/>
                <w:b/>
                <w:kern w:val="0"/>
                <w:sz w:val="24"/>
              </w:rPr>
            </w:pPr>
            <w:r>
              <w:rPr>
                <w:rFonts w:cs="宋体"/>
                <w:b/>
                <w:kern w:val="0"/>
                <w:sz w:val="24"/>
              </w:rPr>
              <w:t>4.2 固体废物防治措施</w:t>
            </w:r>
          </w:p>
          <w:p w14:paraId="35B807CA">
            <w:pPr>
              <w:widowControl/>
              <w:kinsoku w:val="0"/>
              <w:autoSpaceDE w:val="0"/>
              <w:autoSpaceDN w:val="0"/>
              <w:adjustRightInd w:val="0"/>
              <w:snapToGrid w:val="0"/>
              <w:spacing w:line="360" w:lineRule="auto"/>
              <w:ind w:firstLine="460" w:firstLineChars="200"/>
              <w:textAlignment w:val="baseline"/>
              <w:rPr>
                <w:rFonts w:ascii="宋体" w:hAnsi="宋体" w:cs="宋体"/>
                <w:snapToGrid w:val="0"/>
                <w:spacing w:val="-5"/>
                <w:kern w:val="0"/>
                <w:sz w:val="24"/>
              </w:rPr>
            </w:pPr>
            <w:r>
              <w:rPr>
                <w:rFonts w:hint="eastAsia" w:ascii="宋体" w:hAnsi="宋体" w:cs="宋体"/>
                <w:snapToGrid w:val="0"/>
                <w:color w:val="000000"/>
                <w:spacing w:val="-5"/>
                <w:kern w:val="0"/>
                <w:sz w:val="24"/>
              </w:rPr>
              <w:t>本项目固体废物主要为</w:t>
            </w:r>
            <w:r>
              <w:rPr>
                <w:rFonts w:hint="eastAsia" w:ascii="宋体" w:hAnsi="宋体" w:cs="宋体"/>
                <w:snapToGrid w:val="0"/>
                <w:spacing w:val="-5"/>
                <w:kern w:val="0"/>
                <w:sz w:val="24"/>
              </w:rPr>
              <w:t>不合格品、边角料、收集尘、废机油、废活性炭、</w:t>
            </w:r>
            <w:r>
              <w:rPr>
                <w:rFonts w:ascii="宋体" w:hAnsi="宋体" w:cs="宋体"/>
                <w:snapToGrid w:val="0"/>
                <w:spacing w:val="-5"/>
                <w:kern w:val="0"/>
                <w:sz w:val="24"/>
              </w:rPr>
              <w:t>废</w:t>
            </w:r>
            <w:r>
              <w:rPr>
                <w:rFonts w:hint="eastAsia" w:ascii="宋体" w:hAnsi="宋体" w:cs="宋体"/>
                <w:snapToGrid w:val="0"/>
                <w:spacing w:val="-5"/>
                <w:kern w:val="0"/>
                <w:sz w:val="24"/>
              </w:rPr>
              <w:t>催化剂</w:t>
            </w:r>
            <w:r>
              <w:rPr>
                <w:rFonts w:hint="eastAsia" w:ascii="宋体" w:hAnsi="宋体" w:cs="宋体"/>
                <w:snapToGrid w:val="0"/>
                <w:color w:val="000000"/>
                <w:spacing w:val="-5"/>
                <w:kern w:val="0"/>
                <w:sz w:val="24"/>
              </w:rPr>
              <w:t>。收集尘、不合格品和边角料收集于固废暂存间后回用；废机油、</w:t>
            </w:r>
            <w:r>
              <w:rPr>
                <w:rFonts w:hint="eastAsia" w:ascii="宋体" w:hAnsi="宋体" w:cs="宋体"/>
                <w:snapToGrid w:val="0"/>
                <w:spacing w:val="-5"/>
                <w:kern w:val="0"/>
                <w:sz w:val="24"/>
              </w:rPr>
              <w:t>废催化剂</w:t>
            </w:r>
            <w:r>
              <w:rPr>
                <w:rFonts w:ascii="宋体" w:hAnsi="宋体" w:cs="宋体"/>
                <w:snapToGrid w:val="0"/>
                <w:color w:val="000000"/>
                <w:spacing w:val="-5"/>
                <w:kern w:val="0"/>
                <w:sz w:val="24"/>
              </w:rPr>
              <w:t>、</w:t>
            </w:r>
            <w:r>
              <w:rPr>
                <w:rFonts w:hint="eastAsia" w:ascii="宋体" w:hAnsi="宋体" w:cs="宋体"/>
                <w:snapToGrid w:val="0"/>
                <w:color w:val="000000"/>
                <w:spacing w:val="-5"/>
                <w:kern w:val="0"/>
                <w:sz w:val="24"/>
              </w:rPr>
              <w:t>废活性炭厂内分类收集暂存于危废暂存间，委托有资质单位处置。</w:t>
            </w:r>
          </w:p>
          <w:p w14:paraId="700F9743">
            <w:pPr>
              <w:autoSpaceDE w:val="0"/>
              <w:autoSpaceDN w:val="0"/>
              <w:adjustRightInd w:val="0"/>
              <w:snapToGrid w:val="0"/>
              <w:spacing w:line="360" w:lineRule="auto"/>
              <w:jc w:val="left"/>
              <w:rPr>
                <w:rFonts w:cs="宋体"/>
                <w:b/>
                <w:kern w:val="0"/>
                <w:sz w:val="24"/>
              </w:rPr>
            </w:pPr>
            <w:r>
              <w:rPr>
                <w:rFonts w:hint="eastAsia" w:cs="宋体"/>
                <w:b/>
                <w:kern w:val="0"/>
                <w:sz w:val="24"/>
              </w:rPr>
              <w:t>4</w:t>
            </w:r>
            <w:r>
              <w:rPr>
                <w:rFonts w:cs="宋体"/>
                <w:b/>
                <w:kern w:val="0"/>
                <w:sz w:val="24"/>
              </w:rPr>
              <w:t>.3</w:t>
            </w:r>
            <w:r>
              <w:rPr>
                <w:rFonts w:hint="eastAsia" w:cs="宋体"/>
                <w:b/>
                <w:kern w:val="0"/>
                <w:sz w:val="24"/>
              </w:rPr>
              <w:t>固废</w:t>
            </w:r>
            <w:r>
              <w:rPr>
                <w:rFonts w:cs="宋体"/>
                <w:b/>
                <w:kern w:val="0"/>
                <w:sz w:val="24"/>
              </w:rPr>
              <w:t>环境管理要求</w:t>
            </w:r>
          </w:p>
          <w:p w14:paraId="212ADF1A">
            <w:pPr>
              <w:widowControl/>
              <w:kinsoku w:val="0"/>
              <w:autoSpaceDE w:val="0"/>
              <w:autoSpaceDN w:val="0"/>
              <w:adjustRightInd w:val="0"/>
              <w:snapToGrid w:val="0"/>
              <w:spacing w:line="360" w:lineRule="auto"/>
              <w:ind w:firstLine="460" w:firstLineChars="200"/>
              <w:textAlignment w:val="baseline"/>
              <w:rPr>
                <w:rFonts w:eastAsia="Times New Roman"/>
                <w:snapToGrid w:val="0"/>
                <w:color w:val="000000"/>
                <w:spacing w:val="-5"/>
                <w:kern w:val="0"/>
                <w:sz w:val="24"/>
              </w:rPr>
            </w:pPr>
            <w:r>
              <w:rPr>
                <w:rFonts w:hint="eastAsia" w:ascii="宋体" w:hAnsi="宋体" w:cs="宋体"/>
                <w:snapToGrid w:val="0"/>
                <w:color w:val="000000"/>
                <w:spacing w:val="-5"/>
                <w:kern w:val="0"/>
                <w:sz w:val="24"/>
              </w:rPr>
              <w:t>根据一般固废种类进行分类收集，分类贮存，贮存场所设置挡风、挡雨和防渗措施，可有效防止扬尘、渗滤液对周围环境造成影响。一般固废临时暂存场所按照《一般工业固体废物贮存和填埋污染控制标准》（</w:t>
            </w:r>
            <w:r>
              <w:rPr>
                <w:rFonts w:eastAsia="Times New Roman"/>
                <w:snapToGrid w:val="0"/>
                <w:color w:val="000000"/>
                <w:spacing w:val="-5"/>
                <w:kern w:val="0"/>
                <w:sz w:val="24"/>
              </w:rPr>
              <w:t>GB18599-2020</w:t>
            </w:r>
            <w:r>
              <w:rPr>
                <w:rFonts w:hint="eastAsia" w:ascii="宋体" w:hAnsi="宋体" w:cs="宋体"/>
                <w:snapToGrid w:val="0"/>
                <w:color w:val="000000"/>
                <w:spacing w:val="-5"/>
                <w:kern w:val="0"/>
                <w:sz w:val="24"/>
              </w:rPr>
              <w:t>）的相关要求进行设置。同时，应将入场的一般工业固体废物的种类和数量资料，详细记录在案，长期保存，供随时查阅。</w:t>
            </w:r>
          </w:p>
          <w:p w14:paraId="04BDA25E">
            <w:pPr>
              <w:spacing w:line="360" w:lineRule="auto"/>
              <w:ind w:firstLine="480" w:firstLineChars="200"/>
              <w:rPr>
                <w:rFonts w:cs="宋体"/>
                <w:kern w:val="0"/>
                <w:sz w:val="24"/>
              </w:rPr>
            </w:pPr>
            <w:bookmarkStart w:id="4" w:name="_Hlk146369442"/>
            <w:r>
              <w:rPr>
                <w:rFonts w:hint="eastAsia" w:cs="宋体"/>
                <w:kern w:val="0"/>
                <w:sz w:val="24"/>
              </w:rPr>
              <w:t>本项目依托原有项目建设1座10m</w:t>
            </w:r>
            <w:r>
              <w:rPr>
                <w:rFonts w:hint="eastAsia" w:cs="宋体"/>
                <w:kern w:val="0"/>
                <w:sz w:val="24"/>
                <w:vertAlign w:val="superscript"/>
              </w:rPr>
              <w:t>2</w:t>
            </w:r>
            <w:r>
              <w:rPr>
                <w:rFonts w:hint="eastAsia" w:cs="宋体"/>
                <w:kern w:val="0"/>
                <w:sz w:val="24"/>
              </w:rPr>
              <w:t>危险废物暂存间，本次评价要求原有项目危废暂存间按照《危险废物贮存污染控制标准》（GB18597-2023）中的要求，建设危废暂存间必须做防渗处理，并满足生态环境管理部门的要求，在醒目的位置安装危废的标识牌。危废暂存间用于暂存废机油，危险废物收集后存放于危废暂存间，并做好防扬散、防流失、防渗漏措施，由危废处置单位委托具有危险货物专业运输资质的运输单位进行承运。</w:t>
            </w:r>
          </w:p>
          <w:p w14:paraId="7A0AB348">
            <w:pPr>
              <w:spacing w:line="360" w:lineRule="auto"/>
              <w:ind w:firstLine="480" w:firstLineChars="200"/>
              <w:rPr>
                <w:rFonts w:cs="宋体"/>
                <w:kern w:val="0"/>
                <w:sz w:val="24"/>
              </w:rPr>
            </w:pPr>
            <w:r>
              <w:rPr>
                <w:rFonts w:hint="eastAsia" w:cs="宋体"/>
                <w:kern w:val="0"/>
                <w:sz w:val="24"/>
              </w:rPr>
              <w:t>（1）贮存场所污染防治措施</w:t>
            </w:r>
          </w:p>
          <w:p w14:paraId="078CC7C6">
            <w:pPr>
              <w:spacing w:line="360" w:lineRule="auto"/>
              <w:ind w:firstLine="480" w:firstLineChars="200"/>
              <w:rPr>
                <w:rFonts w:cs="宋体"/>
                <w:kern w:val="0"/>
                <w:sz w:val="24"/>
              </w:rPr>
            </w:pPr>
            <w:r>
              <w:rPr>
                <w:rFonts w:hint="eastAsia" w:cs="宋体"/>
                <w:kern w:val="0"/>
                <w:sz w:val="24"/>
              </w:rPr>
              <w:t>项目危险废物暂存场所严格按照《危险废物贮存污染控制标准》（GB18597-2023）中的要求规范建设和维护使用，做到防扬散、防流失、防渗漏等措施，具体情况如下：</w:t>
            </w:r>
          </w:p>
          <w:p w14:paraId="3ED898B9">
            <w:pPr>
              <w:spacing w:line="360" w:lineRule="auto"/>
              <w:ind w:firstLine="480" w:firstLineChars="200"/>
              <w:rPr>
                <w:rFonts w:cs="宋体"/>
                <w:kern w:val="0"/>
                <w:sz w:val="24"/>
              </w:rPr>
            </w:pPr>
            <w:r>
              <w:rPr>
                <w:rFonts w:hint="eastAsia" w:cs="宋体"/>
                <w:kern w:val="0"/>
                <w:sz w:val="24"/>
              </w:rPr>
              <w:t>①在危险废物暂存场所显著位置张贴危险废物的标识，根据《危险废物贮存污染控制标准》（GB18597-2023）中的相关要求，盛装危险废物的容器上必须粘贴符合标准的标签。</w:t>
            </w:r>
          </w:p>
          <w:p w14:paraId="1667C7FA">
            <w:pPr>
              <w:spacing w:line="360" w:lineRule="auto"/>
              <w:ind w:firstLine="480" w:firstLineChars="200"/>
              <w:rPr>
                <w:rFonts w:cs="宋体"/>
                <w:kern w:val="0"/>
                <w:sz w:val="24"/>
              </w:rPr>
            </w:pPr>
            <w:r>
              <w:rPr>
                <w:rFonts w:hint="eastAsia" w:cs="宋体"/>
                <w:kern w:val="0"/>
                <w:sz w:val="24"/>
              </w:rPr>
              <w:t>②本项目危险废物暂存场所按照《危险废物贮存污染控制标准》（GB18597-2023）中的要求进行建设，设置防渗、防漏等措施。</w:t>
            </w:r>
          </w:p>
          <w:p w14:paraId="266F8256">
            <w:pPr>
              <w:spacing w:line="360" w:lineRule="auto"/>
              <w:ind w:firstLine="480" w:firstLineChars="200"/>
              <w:rPr>
                <w:rFonts w:cs="宋体"/>
                <w:kern w:val="0"/>
                <w:sz w:val="24"/>
              </w:rPr>
            </w:pPr>
            <w:r>
              <w:rPr>
                <w:rFonts w:hint="eastAsia" w:cs="宋体"/>
                <w:kern w:val="0"/>
                <w:sz w:val="24"/>
              </w:rPr>
              <w:t>③贮存场所地面须作硬化处理，设置废水导排管道或渠道，如产生冲洗废水需收集处理或纳入建设项目废水处理设施处理；贮存液态或半固态废物的，还应设置泄漏液体收集装置；场所应设置警示标志。装载危险废物的容器应确保完好无损。</w:t>
            </w:r>
          </w:p>
          <w:p w14:paraId="1EE7DFC8">
            <w:pPr>
              <w:spacing w:line="360" w:lineRule="auto"/>
              <w:ind w:firstLine="480" w:firstLineChars="200"/>
              <w:rPr>
                <w:rFonts w:cs="宋体"/>
                <w:kern w:val="0"/>
                <w:sz w:val="24"/>
              </w:rPr>
            </w:pPr>
            <w:r>
              <w:rPr>
                <w:rFonts w:hint="eastAsia" w:cs="宋体"/>
                <w:kern w:val="0"/>
                <w:sz w:val="24"/>
              </w:rPr>
              <w:t>④项目应加强危险储存场所的安全防范措施，防止破损、倾倒等情况发生，防止出现危险废物渗滤液、有机废气等二次污染情况。</w:t>
            </w:r>
          </w:p>
          <w:p w14:paraId="4080BA85">
            <w:pPr>
              <w:spacing w:line="360" w:lineRule="auto"/>
              <w:ind w:firstLine="480" w:firstLineChars="200"/>
              <w:rPr>
                <w:rFonts w:cs="宋体"/>
                <w:kern w:val="0"/>
                <w:sz w:val="24"/>
              </w:rPr>
            </w:pPr>
            <w:r>
              <w:rPr>
                <w:rFonts w:hint="eastAsia" w:cs="宋体"/>
                <w:kern w:val="0"/>
                <w:sz w:val="24"/>
              </w:rPr>
              <w:t>（2）管理制度建设</w:t>
            </w:r>
          </w:p>
          <w:p w14:paraId="2580695E">
            <w:pPr>
              <w:spacing w:line="360" w:lineRule="auto"/>
              <w:ind w:firstLine="480" w:firstLineChars="200"/>
              <w:rPr>
                <w:rFonts w:cs="宋体"/>
                <w:kern w:val="0"/>
                <w:sz w:val="24"/>
              </w:rPr>
            </w:pPr>
            <w:r>
              <w:rPr>
                <w:rFonts w:hint="eastAsia" w:cs="宋体"/>
                <w:kern w:val="0"/>
                <w:sz w:val="24"/>
              </w:rPr>
              <w:t>①建立固废防治责任制度：建设单位按要求建立、健全污染环境防治责任制度，明确责任人。负责人熟悉危险废物管理相关法规、标准、规范。</w:t>
            </w:r>
          </w:p>
          <w:p w14:paraId="4A5707F3">
            <w:pPr>
              <w:spacing w:line="360" w:lineRule="auto"/>
              <w:ind w:firstLine="480" w:firstLineChars="200"/>
              <w:rPr>
                <w:rFonts w:cs="宋体"/>
                <w:kern w:val="0"/>
                <w:sz w:val="24"/>
              </w:rPr>
            </w:pPr>
            <w:r>
              <w:rPr>
                <w:rFonts w:hint="eastAsia" w:cs="宋体"/>
                <w:kern w:val="0"/>
                <w:sz w:val="24"/>
              </w:rPr>
              <w:t xml:space="preserve">②制定危险废物管理计划：按要求制定危险废物管理计划，计划涵盖危险废物的产生环节、种类、危害特性、产生量、利用处置方式并报环保部门备案，如发生重大改变及时申报。 </w:t>
            </w:r>
          </w:p>
          <w:p w14:paraId="07D8D617">
            <w:pPr>
              <w:spacing w:line="360" w:lineRule="auto"/>
              <w:ind w:firstLine="480" w:firstLineChars="200"/>
              <w:rPr>
                <w:rFonts w:cs="宋体"/>
                <w:kern w:val="0"/>
                <w:sz w:val="24"/>
              </w:rPr>
            </w:pPr>
            <w:r>
              <w:rPr>
                <w:rFonts w:hint="eastAsia" w:cs="宋体"/>
                <w:kern w:val="0"/>
                <w:sz w:val="24"/>
              </w:rPr>
              <w:t xml:space="preserve">③建立申报登记制度：如实地向所在地县级以上地方人民政府环境保护行 政主管部门申报危险废物的种类、产生量、流向、贮存、处置等有关资料。 </w:t>
            </w:r>
          </w:p>
          <w:p w14:paraId="2499D78C">
            <w:pPr>
              <w:spacing w:line="360" w:lineRule="auto"/>
              <w:ind w:firstLine="480" w:firstLineChars="200"/>
              <w:rPr>
                <w:rFonts w:cs="宋体"/>
                <w:kern w:val="0"/>
                <w:sz w:val="24"/>
              </w:rPr>
            </w:pPr>
            <w:r>
              <w:rPr>
                <w:rFonts w:hint="eastAsia" w:cs="宋体"/>
                <w:kern w:val="0"/>
                <w:sz w:val="24"/>
              </w:rPr>
              <w:t>④固废的暂存制度：项目产生的危险废物贮存执行《危险废物贮存污染控制标准》（GB18597-2023）及《危险废物收集储存运输技术规范》（HJ2025-2012）中相关规定要求，根据危险废物的包装、贮存设施的选址、设计、运行、安全防护、监测和关闭等要求进行合理的贮存。</w:t>
            </w:r>
          </w:p>
          <w:p w14:paraId="3CEEC943">
            <w:pPr>
              <w:spacing w:line="360" w:lineRule="auto"/>
              <w:ind w:firstLine="480" w:firstLineChars="200"/>
              <w:rPr>
                <w:rFonts w:cs="宋体"/>
                <w:sz w:val="24"/>
              </w:rPr>
            </w:pPr>
            <w:r>
              <w:rPr>
                <w:rFonts w:hint="eastAsia" w:cs="宋体"/>
                <w:kern w:val="0"/>
                <w:sz w:val="24"/>
              </w:rPr>
              <w:t>危险废物转运要求：①危险废物的运输应保证运输安全，防止非法转移和非法处置，保证危险废物的安全监控，防止危险废物污染事故发生。②危险废物产生者和危险废物贮存设施经营者均须作好危险废物情况的记录，记录上须注明危险废物的名称、来源、数量、特性和包装容器的类别、入库日期、存放库位、废物出库日期及接收单位名称，危险废物的记录和货单在危险废物回收后应继续保留5年。</w:t>
            </w:r>
            <w:r>
              <w:rPr>
                <w:rFonts w:hint="eastAsia" w:cs="宋体"/>
                <w:sz w:val="24"/>
              </w:rPr>
              <w:t>建设单位确保废物由有资质的单位进行处置，不得随意倾倒。针对危险废物，应严格按照《危险废物贮存污染控制标准》对危险废物进行暂存和转移管理，及时交与具备处理资质的单位进行处理，将危废处理协议送生态环境局备案。</w:t>
            </w:r>
          </w:p>
          <w:p w14:paraId="2FABDA0B">
            <w:pPr>
              <w:spacing w:line="360" w:lineRule="auto"/>
              <w:ind w:firstLine="480" w:firstLineChars="200"/>
              <w:rPr>
                <w:rFonts w:cs="宋体"/>
                <w:kern w:val="0"/>
                <w:sz w:val="24"/>
              </w:rPr>
            </w:pPr>
            <w:r>
              <w:rPr>
                <w:rFonts w:hint="eastAsia" w:cs="宋体"/>
                <w:kern w:val="0"/>
                <w:sz w:val="24"/>
              </w:rPr>
              <w:t>（3）危险废物依托可行性分析</w:t>
            </w:r>
          </w:p>
          <w:p w14:paraId="6ED8B581">
            <w:pPr>
              <w:widowControl/>
              <w:kinsoku w:val="0"/>
              <w:autoSpaceDE w:val="0"/>
              <w:autoSpaceDN w:val="0"/>
              <w:adjustRightInd w:val="0"/>
              <w:snapToGrid w:val="0"/>
              <w:spacing w:line="360" w:lineRule="auto"/>
              <w:ind w:firstLine="460" w:firstLineChars="200"/>
              <w:textAlignment w:val="baseline"/>
              <w:rPr>
                <w:snapToGrid w:val="0"/>
                <w:spacing w:val="-5"/>
                <w:kern w:val="0"/>
                <w:sz w:val="24"/>
              </w:rPr>
            </w:pPr>
            <w:r>
              <w:rPr>
                <w:rFonts w:hint="eastAsia"/>
                <w:snapToGrid w:val="0"/>
                <w:color w:val="000000"/>
                <w:spacing w:val="-5"/>
                <w:kern w:val="0"/>
                <w:sz w:val="24"/>
              </w:rPr>
              <w:t>本项目产</w:t>
            </w:r>
            <w:r>
              <w:rPr>
                <w:rFonts w:hint="eastAsia"/>
                <w:snapToGrid w:val="0"/>
                <w:spacing w:val="-5"/>
                <w:kern w:val="0"/>
                <w:sz w:val="24"/>
              </w:rPr>
              <w:t>生的危险废物依托暂存于原有项目的危废间，原有项目暂存间为1</w:t>
            </w:r>
            <w:r>
              <w:rPr>
                <w:snapToGrid w:val="0"/>
                <w:spacing w:val="-5"/>
                <w:kern w:val="0"/>
                <w:sz w:val="24"/>
              </w:rPr>
              <w:t>0</w:t>
            </w:r>
            <w:r>
              <w:rPr>
                <w:rFonts w:hint="eastAsia"/>
                <w:snapToGrid w:val="0"/>
                <w:spacing w:val="-5"/>
                <w:kern w:val="0"/>
                <w:sz w:val="24"/>
              </w:rPr>
              <w:t>m</w:t>
            </w:r>
            <w:r>
              <w:rPr>
                <w:rFonts w:hint="eastAsia"/>
                <w:snapToGrid w:val="0"/>
                <w:spacing w:val="-5"/>
                <w:kern w:val="0"/>
                <w:sz w:val="24"/>
                <w:vertAlign w:val="superscript"/>
              </w:rPr>
              <w:t>2</w:t>
            </w:r>
            <w:r>
              <w:rPr>
                <w:rFonts w:hint="eastAsia"/>
                <w:snapToGrid w:val="0"/>
                <w:spacing w:val="-5"/>
                <w:kern w:val="0"/>
                <w:sz w:val="24"/>
              </w:rPr>
              <w:t>，危废暂存间实际可堆放区域面积按照70%计，高度按1.5m计，危废最大存放量按 1t/m</w:t>
            </w:r>
            <w:r>
              <w:rPr>
                <w:rFonts w:hint="eastAsia"/>
                <w:snapToGrid w:val="0"/>
                <w:spacing w:val="-5"/>
                <w:kern w:val="0"/>
                <w:sz w:val="24"/>
                <w:vertAlign w:val="superscript"/>
              </w:rPr>
              <w:t>3</w:t>
            </w:r>
            <w:r>
              <w:rPr>
                <w:rFonts w:hint="eastAsia"/>
                <w:snapToGrid w:val="0"/>
                <w:spacing w:val="-5"/>
                <w:kern w:val="0"/>
                <w:sz w:val="24"/>
              </w:rPr>
              <w:t>计，则该危废暂存间最大储存量为</w:t>
            </w:r>
            <w:r>
              <w:rPr>
                <w:snapToGrid w:val="0"/>
                <w:spacing w:val="-5"/>
                <w:kern w:val="0"/>
                <w:sz w:val="24"/>
              </w:rPr>
              <w:t>10.5</w:t>
            </w:r>
            <w:r>
              <w:rPr>
                <w:rFonts w:hint="eastAsia"/>
                <w:snapToGrid w:val="0"/>
                <w:spacing w:val="-5"/>
                <w:kern w:val="0"/>
                <w:sz w:val="24"/>
              </w:rPr>
              <w:t>t，主要存放废机油、废活性炭、废催化剂，原有项目年产危废共0</w:t>
            </w:r>
            <w:r>
              <w:rPr>
                <w:snapToGrid w:val="0"/>
                <w:spacing w:val="-5"/>
                <w:kern w:val="0"/>
                <w:sz w:val="24"/>
              </w:rPr>
              <w:t>.4</w:t>
            </w:r>
            <w:r>
              <w:rPr>
                <w:rFonts w:hint="eastAsia"/>
                <w:snapToGrid w:val="0"/>
                <w:spacing w:val="-5"/>
                <w:kern w:val="0"/>
                <w:sz w:val="24"/>
              </w:rPr>
              <w:t xml:space="preserve"> t/a，本项目产生的危废共计1</w:t>
            </w:r>
            <w:r>
              <w:rPr>
                <w:snapToGrid w:val="0"/>
                <w:spacing w:val="-5"/>
                <w:kern w:val="0"/>
                <w:sz w:val="24"/>
              </w:rPr>
              <w:t>.7</w:t>
            </w:r>
            <w:r>
              <w:rPr>
                <w:rFonts w:hint="eastAsia"/>
                <w:snapToGrid w:val="0"/>
                <w:spacing w:val="-5"/>
                <w:kern w:val="0"/>
                <w:sz w:val="24"/>
              </w:rPr>
              <w:t xml:space="preserve"> t/a，故原有项目危废间可以容纳新增项目产生的危废。本项目依托原有项目危废间是可行的。</w:t>
            </w:r>
          </w:p>
          <w:p w14:paraId="0AB80A15">
            <w:pPr>
              <w:widowControl/>
              <w:kinsoku w:val="0"/>
              <w:autoSpaceDE w:val="0"/>
              <w:autoSpaceDN w:val="0"/>
              <w:adjustRightInd w:val="0"/>
              <w:snapToGrid w:val="0"/>
              <w:spacing w:line="360" w:lineRule="auto"/>
              <w:ind w:firstLine="460" w:firstLineChars="200"/>
              <w:textAlignment w:val="baseline"/>
              <w:rPr>
                <w:snapToGrid w:val="0"/>
                <w:color w:val="000000"/>
                <w:spacing w:val="-5"/>
                <w:kern w:val="0"/>
                <w:sz w:val="24"/>
              </w:rPr>
            </w:pPr>
            <w:r>
              <w:rPr>
                <w:snapToGrid w:val="0"/>
                <w:color w:val="000000"/>
                <w:spacing w:val="-5"/>
                <w:kern w:val="0"/>
                <w:sz w:val="24"/>
              </w:rPr>
              <w:t>本项目</w:t>
            </w:r>
            <w:r>
              <w:rPr>
                <w:rFonts w:hint="eastAsia"/>
                <w:snapToGrid w:val="0"/>
                <w:color w:val="000000"/>
                <w:spacing w:val="-5"/>
                <w:kern w:val="0"/>
                <w:sz w:val="24"/>
              </w:rPr>
              <w:t>危废</w:t>
            </w:r>
            <w:r>
              <w:rPr>
                <w:snapToGrid w:val="0"/>
                <w:color w:val="000000"/>
                <w:spacing w:val="-5"/>
                <w:kern w:val="0"/>
                <w:sz w:val="24"/>
              </w:rPr>
              <w:t>暂存间贮存的危险废物由有资质危废处置单位处置，危废处置单位使用专用车辆，至厂内收集、转移本项目危险废物，本项目建设单位不自行外运、转移，危险废物委托处理后对环境影响不大。</w:t>
            </w:r>
          </w:p>
          <w:bookmarkEnd w:id="4"/>
          <w:p w14:paraId="5167709D">
            <w:pPr>
              <w:widowControl/>
              <w:kinsoku w:val="0"/>
              <w:autoSpaceDE w:val="0"/>
              <w:autoSpaceDN w:val="0"/>
              <w:adjustRightInd w:val="0"/>
              <w:snapToGrid w:val="0"/>
              <w:spacing w:line="360" w:lineRule="auto"/>
              <w:ind w:firstLine="480" w:firstLineChars="200"/>
              <w:textAlignment w:val="baseline"/>
              <w:rPr>
                <w:snapToGrid w:val="0"/>
                <w:color w:val="000000"/>
                <w:kern w:val="0"/>
                <w:sz w:val="24"/>
              </w:rPr>
            </w:pPr>
            <w:r>
              <w:rPr>
                <w:snapToGrid w:val="0"/>
                <w:color w:val="000000"/>
                <w:kern w:val="0"/>
                <w:sz w:val="24"/>
              </w:rPr>
              <w:t>综上所述，本项目产生</w:t>
            </w:r>
            <w:r>
              <w:rPr>
                <w:rFonts w:hint="eastAsia"/>
                <w:snapToGrid w:val="0"/>
                <w:color w:val="000000"/>
                <w:kern w:val="0"/>
                <w:sz w:val="24"/>
              </w:rPr>
              <w:t>的</w:t>
            </w:r>
            <w:r>
              <w:rPr>
                <w:snapToGrid w:val="0"/>
                <w:color w:val="000000"/>
                <w:kern w:val="0"/>
                <w:sz w:val="24"/>
              </w:rPr>
              <w:t>各类固废均合理处置，不会对环境产生不利影响。</w:t>
            </w:r>
          </w:p>
          <w:p w14:paraId="08581E97">
            <w:pPr>
              <w:pStyle w:val="4"/>
              <w:ind w:firstLine="0" w:firstLineChars="0"/>
            </w:pPr>
            <w:r>
              <w:rPr>
                <w:rFonts w:hint="eastAsia"/>
                <w:bCs w:val="0"/>
                <w:kern w:val="2"/>
                <w:szCs w:val="24"/>
              </w:rPr>
              <w:t>5项目“三本账”</w:t>
            </w:r>
          </w:p>
          <w:p w14:paraId="379A3B62">
            <w:pPr>
              <w:spacing w:line="360" w:lineRule="auto"/>
              <w:ind w:firstLine="460" w:firstLineChars="200"/>
              <w:jc w:val="left"/>
              <w:rPr>
                <w:bCs/>
                <w:sz w:val="24"/>
              </w:rPr>
            </w:pPr>
            <w:r>
              <w:rPr>
                <w:rFonts w:hint="eastAsia"/>
                <w:snapToGrid w:val="0"/>
                <w:color w:val="000000"/>
                <w:spacing w:val="-5"/>
                <w:kern w:val="0"/>
                <w:sz w:val="24"/>
              </w:rPr>
              <w:t>扩建前后项目污染物产排情况对比见下表4-</w:t>
            </w:r>
            <w:r>
              <w:rPr>
                <w:snapToGrid w:val="0"/>
                <w:color w:val="000000"/>
                <w:spacing w:val="-5"/>
                <w:kern w:val="0"/>
                <w:sz w:val="24"/>
              </w:rPr>
              <w:t>8</w:t>
            </w:r>
            <w:r>
              <w:rPr>
                <w:rFonts w:hint="eastAsia"/>
                <w:sz w:val="24"/>
              </w:rPr>
              <w:t>。</w:t>
            </w:r>
          </w:p>
          <w:p w14:paraId="32E4DEBE">
            <w:pPr>
              <w:jc w:val="center"/>
              <w:rPr>
                <w:b/>
                <w:bCs/>
                <w:szCs w:val="21"/>
              </w:rPr>
            </w:pPr>
            <w:r>
              <w:rPr>
                <w:b/>
                <w:bCs/>
                <w:szCs w:val="21"/>
              </w:rPr>
              <w:t>表4-8    项目“三本账”一览表</w:t>
            </w:r>
          </w:p>
          <w:tbl>
            <w:tblPr>
              <w:tblStyle w:val="30"/>
              <w:tblW w:w="837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417"/>
              <w:gridCol w:w="1323"/>
              <w:gridCol w:w="1512"/>
              <w:gridCol w:w="992"/>
              <w:gridCol w:w="1542"/>
              <w:gridCol w:w="971"/>
            </w:tblGrid>
            <w:tr w14:paraId="1A8AC4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13" w:type="dxa"/>
                  <w:tcBorders>
                    <w:top w:val="single" w:color="auto" w:sz="12" w:space="0"/>
                    <w:bottom w:val="single" w:color="auto" w:sz="12" w:space="0"/>
                  </w:tcBorders>
                  <w:tcMar>
                    <w:left w:w="28" w:type="dxa"/>
                    <w:right w:w="28" w:type="dxa"/>
                  </w:tcMar>
                  <w:vAlign w:val="center"/>
                </w:tcPr>
                <w:p w14:paraId="27FE2A1A">
                  <w:pPr>
                    <w:widowControl/>
                    <w:jc w:val="center"/>
                    <w:rPr>
                      <w:b/>
                      <w:bCs/>
                      <w:lang w:val="zh-TW" w:eastAsia="zh-TW"/>
                    </w:rPr>
                  </w:pPr>
                  <w:r>
                    <w:rPr>
                      <w:b/>
                      <w:bCs/>
                      <w:lang w:val="zh-TW" w:eastAsia="zh-TW"/>
                    </w:rPr>
                    <w:t>项目分类</w:t>
                  </w:r>
                </w:p>
              </w:tc>
              <w:tc>
                <w:tcPr>
                  <w:tcW w:w="1417" w:type="dxa"/>
                  <w:tcBorders>
                    <w:top w:val="single" w:color="auto" w:sz="12" w:space="0"/>
                    <w:bottom w:val="single" w:color="auto" w:sz="12" w:space="0"/>
                  </w:tcBorders>
                  <w:tcMar>
                    <w:left w:w="28" w:type="dxa"/>
                    <w:right w:w="28" w:type="dxa"/>
                  </w:tcMar>
                  <w:vAlign w:val="center"/>
                </w:tcPr>
                <w:p w14:paraId="5CA1E842">
                  <w:pPr>
                    <w:widowControl/>
                    <w:jc w:val="center"/>
                    <w:rPr>
                      <w:b/>
                      <w:bCs/>
                      <w:lang w:val="zh-TW" w:eastAsia="zh-TW"/>
                    </w:rPr>
                  </w:pPr>
                  <w:r>
                    <w:rPr>
                      <w:b/>
                      <w:bCs/>
                      <w:lang w:val="zh-TW" w:eastAsia="zh-TW"/>
                    </w:rPr>
                    <w:t>污染物名称</w:t>
                  </w:r>
                </w:p>
              </w:tc>
              <w:tc>
                <w:tcPr>
                  <w:tcW w:w="1323" w:type="dxa"/>
                  <w:tcBorders>
                    <w:top w:val="single" w:color="auto" w:sz="12" w:space="0"/>
                    <w:bottom w:val="single" w:color="auto" w:sz="12" w:space="0"/>
                  </w:tcBorders>
                  <w:tcMar>
                    <w:left w:w="28" w:type="dxa"/>
                    <w:right w:w="28" w:type="dxa"/>
                  </w:tcMar>
                  <w:vAlign w:val="center"/>
                </w:tcPr>
                <w:p w14:paraId="4A580A63">
                  <w:pPr>
                    <w:widowControl/>
                    <w:jc w:val="center"/>
                    <w:rPr>
                      <w:b/>
                      <w:bCs/>
                      <w:lang w:val="zh-TW" w:eastAsia="zh-TW"/>
                    </w:rPr>
                  </w:pPr>
                  <w:r>
                    <w:rPr>
                      <w:b/>
                      <w:bCs/>
                      <w:lang w:val="zh-TW" w:eastAsia="zh-TW"/>
                    </w:rPr>
                    <w:t>原有工程排放量（固体废物产生量t/a）</w:t>
                  </w:r>
                </w:p>
              </w:tc>
              <w:tc>
                <w:tcPr>
                  <w:tcW w:w="1512" w:type="dxa"/>
                  <w:tcBorders>
                    <w:top w:val="single" w:color="auto" w:sz="12" w:space="0"/>
                    <w:bottom w:val="single" w:color="auto" w:sz="12" w:space="0"/>
                  </w:tcBorders>
                  <w:tcMar>
                    <w:left w:w="28" w:type="dxa"/>
                    <w:right w:w="28" w:type="dxa"/>
                  </w:tcMar>
                  <w:vAlign w:val="center"/>
                </w:tcPr>
                <w:p w14:paraId="2E934CB6">
                  <w:pPr>
                    <w:widowControl/>
                    <w:jc w:val="center"/>
                    <w:rPr>
                      <w:b/>
                      <w:bCs/>
                      <w:lang w:val="zh-TW" w:eastAsia="zh-TW"/>
                    </w:rPr>
                  </w:pPr>
                  <w:r>
                    <w:rPr>
                      <w:b/>
                      <w:bCs/>
                      <w:lang w:val="zh-TW" w:eastAsia="zh-TW"/>
                    </w:rPr>
                    <w:t>本项目排放量（固体废物产生量t/a）</w:t>
                  </w:r>
                </w:p>
              </w:tc>
              <w:tc>
                <w:tcPr>
                  <w:tcW w:w="992" w:type="dxa"/>
                  <w:tcBorders>
                    <w:top w:val="single" w:color="auto" w:sz="12" w:space="0"/>
                    <w:bottom w:val="single" w:color="auto" w:sz="12" w:space="0"/>
                  </w:tcBorders>
                  <w:tcMar>
                    <w:left w:w="28" w:type="dxa"/>
                    <w:right w:w="28" w:type="dxa"/>
                  </w:tcMar>
                  <w:vAlign w:val="center"/>
                </w:tcPr>
                <w:p w14:paraId="63F2A64D">
                  <w:pPr>
                    <w:widowControl/>
                    <w:jc w:val="center"/>
                    <w:rPr>
                      <w:b/>
                      <w:bCs/>
                      <w:lang w:val="zh-TW" w:eastAsia="zh-TW"/>
                    </w:rPr>
                  </w:pPr>
                  <w:r>
                    <w:rPr>
                      <w:b/>
                      <w:bCs/>
                      <w:lang w:val="zh-TW" w:eastAsia="zh-TW"/>
                    </w:rPr>
                    <w:t>以新带老削减量</w:t>
                  </w:r>
                </w:p>
              </w:tc>
              <w:tc>
                <w:tcPr>
                  <w:tcW w:w="1542" w:type="dxa"/>
                  <w:tcBorders>
                    <w:top w:val="single" w:color="auto" w:sz="12" w:space="0"/>
                    <w:bottom w:val="single" w:color="auto" w:sz="12" w:space="0"/>
                  </w:tcBorders>
                  <w:tcMar>
                    <w:left w:w="28" w:type="dxa"/>
                    <w:right w:w="28" w:type="dxa"/>
                  </w:tcMar>
                  <w:vAlign w:val="center"/>
                </w:tcPr>
                <w:p w14:paraId="6EE2BD0C">
                  <w:pPr>
                    <w:widowControl/>
                    <w:jc w:val="center"/>
                    <w:rPr>
                      <w:b/>
                      <w:bCs/>
                      <w:lang w:val="zh-TW" w:eastAsia="zh-TW"/>
                    </w:rPr>
                  </w:pPr>
                  <w:r>
                    <w:rPr>
                      <w:b/>
                      <w:bCs/>
                      <w:lang w:val="zh-TW" w:eastAsia="zh-TW"/>
                    </w:rPr>
                    <w:t>本项目建成后全厂排放量（固体废物产生量）</w:t>
                  </w:r>
                </w:p>
              </w:tc>
              <w:tc>
                <w:tcPr>
                  <w:tcW w:w="971" w:type="dxa"/>
                  <w:tcBorders>
                    <w:top w:val="single" w:color="auto" w:sz="12" w:space="0"/>
                    <w:bottom w:val="single" w:color="auto" w:sz="12" w:space="0"/>
                  </w:tcBorders>
                  <w:tcMar>
                    <w:left w:w="28" w:type="dxa"/>
                    <w:right w:w="28" w:type="dxa"/>
                  </w:tcMar>
                  <w:vAlign w:val="center"/>
                </w:tcPr>
                <w:p w14:paraId="0B7B76D7">
                  <w:pPr>
                    <w:widowControl/>
                    <w:jc w:val="center"/>
                    <w:rPr>
                      <w:b/>
                      <w:bCs/>
                      <w:lang w:val="zh-TW" w:eastAsia="zh-TW"/>
                    </w:rPr>
                  </w:pPr>
                  <w:r>
                    <w:rPr>
                      <w:b/>
                      <w:bCs/>
                      <w:lang w:val="zh-TW" w:eastAsia="zh-TW"/>
                    </w:rPr>
                    <w:t>变化量</w:t>
                  </w:r>
                </w:p>
              </w:tc>
            </w:tr>
            <w:tr w14:paraId="1E89A3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3" w:type="dxa"/>
                  <w:tcBorders>
                    <w:top w:val="single" w:color="auto" w:sz="12" w:space="0"/>
                  </w:tcBorders>
                  <w:vAlign w:val="center"/>
                </w:tcPr>
                <w:p w14:paraId="58AC3314">
                  <w:pPr>
                    <w:widowControl/>
                    <w:jc w:val="center"/>
                    <w:rPr>
                      <w:lang w:eastAsia="zh-TW"/>
                    </w:rPr>
                  </w:pPr>
                  <w:r>
                    <w:rPr>
                      <w:rFonts w:hint="eastAsia"/>
                      <w:lang w:eastAsia="zh-TW"/>
                    </w:rPr>
                    <w:t>废水</w:t>
                  </w:r>
                </w:p>
              </w:tc>
              <w:tc>
                <w:tcPr>
                  <w:tcW w:w="1417" w:type="dxa"/>
                  <w:tcBorders>
                    <w:top w:val="single" w:color="auto" w:sz="12" w:space="0"/>
                  </w:tcBorders>
                  <w:vAlign w:val="center"/>
                </w:tcPr>
                <w:p w14:paraId="61305ADC">
                  <w:pPr>
                    <w:jc w:val="center"/>
                    <w:rPr>
                      <w:lang w:eastAsia="zh-TW"/>
                    </w:rPr>
                  </w:pPr>
                  <w:r>
                    <w:rPr>
                      <w:rFonts w:hint="eastAsia"/>
                      <w:lang w:eastAsia="zh-TW"/>
                    </w:rPr>
                    <w:t>生活污水</w:t>
                  </w:r>
                </w:p>
              </w:tc>
              <w:tc>
                <w:tcPr>
                  <w:tcW w:w="1323" w:type="dxa"/>
                  <w:tcBorders>
                    <w:top w:val="single" w:color="auto" w:sz="12" w:space="0"/>
                  </w:tcBorders>
                  <w:vAlign w:val="center"/>
                </w:tcPr>
                <w:p w14:paraId="171A8689">
                  <w:pPr>
                    <w:jc w:val="center"/>
                    <w:rPr>
                      <w:lang w:eastAsia="zh-TW"/>
                    </w:rPr>
                  </w:pPr>
                  <w:r>
                    <w:t>576</w:t>
                  </w:r>
                </w:p>
              </w:tc>
              <w:tc>
                <w:tcPr>
                  <w:tcW w:w="1512" w:type="dxa"/>
                  <w:tcBorders>
                    <w:top w:val="single" w:color="auto" w:sz="12" w:space="0"/>
                  </w:tcBorders>
                  <w:vAlign w:val="center"/>
                </w:tcPr>
                <w:p w14:paraId="6FA7FCB9">
                  <w:pPr>
                    <w:jc w:val="center"/>
                    <w:rPr>
                      <w:color w:val="FF0000"/>
                    </w:rPr>
                  </w:pPr>
                  <w:r>
                    <w:t>0</w:t>
                  </w:r>
                </w:p>
              </w:tc>
              <w:tc>
                <w:tcPr>
                  <w:tcW w:w="992" w:type="dxa"/>
                  <w:tcBorders>
                    <w:top w:val="single" w:color="auto" w:sz="12" w:space="0"/>
                  </w:tcBorders>
                  <w:vAlign w:val="center"/>
                </w:tcPr>
                <w:p w14:paraId="1A9745F0">
                  <w:pPr>
                    <w:jc w:val="center"/>
                    <w:rPr>
                      <w:lang w:eastAsia="zh-TW"/>
                    </w:rPr>
                  </w:pPr>
                  <w:r>
                    <w:rPr>
                      <w:rFonts w:hint="eastAsia"/>
                      <w:lang w:eastAsia="zh-TW"/>
                    </w:rPr>
                    <w:t>0</w:t>
                  </w:r>
                </w:p>
              </w:tc>
              <w:tc>
                <w:tcPr>
                  <w:tcW w:w="1542" w:type="dxa"/>
                  <w:tcBorders>
                    <w:top w:val="single" w:color="auto" w:sz="12" w:space="0"/>
                  </w:tcBorders>
                  <w:vAlign w:val="center"/>
                </w:tcPr>
                <w:p w14:paraId="3862BE10">
                  <w:pPr>
                    <w:widowControl/>
                    <w:jc w:val="center"/>
                  </w:pPr>
                  <w:r>
                    <w:rPr>
                      <w:rFonts w:hint="eastAsia"/>
                    </w:rPr>
                    <w:t>5</w:t>
                  </w:r>
                  <w:r>
                    <w:t>76</w:t>
                  </w:r>
                </w:p>
              </w:tc>
              <w:tc>
                <w:tcPr>
                  <w:tcW w:w="971" w:type="dxa"/>
                  <w:tcBorders>
                    <w:top w:val="single" w:color="auto" w:sz="12" w:space="0"/>
                  </w:tcBorders>
                  <w:vAlign w:val="center"/>
                </w:tcPr>
                <w:p w14:paraId="3F22364B">
                  <w:pPr>
                    <w:widowControl/>
                    <w:jc w:val="center"/>
                  </w:pPr>
                  <w:r>
                    <w:t>+</w:t>
                  </w:r>
                  <w:r>
                    <w:rPr>
                      <w:rFonts w:hint="eastAsia"/>
                    </w:rPr>
                    <w:t>0</w:t>
                  </w:r>
                </w:p>
              </w:tc>
            </w:tr>
            <w:tr w14:paraId="1BE170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613" w:type="dxa"/>
                  <w:vMerge w:val="restart"/>
                  <w:tcBorders>
                    <w:tl2br w:val="nil"/>
                    <w:tr2bl w:val="nil"/>
                  </w:tcBorders>
                  <w:vAlign w:val="center"/>
                </w:tcPr>
                <w:p w14:paraId="215FBC69">
                  <w:pPr>
                    <w:widowControl/>
                    <w:jc w:val="center"/>
                    <w:rPr>
                      <w:lang w:eastAsia="zh-TW"/>
                    </w:rPr>
                  </w:pPr>
                  <w:r>
                    <w:rPr>
                      <w:rFonts w:hint="eastAsia"/>
                      <w:lang w:eastAsia="zh-TW"/>
                    </w:rPr>
                    <w:t>废气</w:t>
                  </w:r>
                </w:p>
              </w:tc>
              <w:tc>
                <w:tcPr>
                  <w:tcW w:w="1417" w:type="dxa"/>
                  <w:tcBorders>
                    <w:tl2br w:val="nil"/>
                    <w:tr2bl w:val="nil"/>
                  </w:tcBorders>
                  <w:vAlign w:val="center"/>
                </w:tcPr>
                <w:p w14:paraId="70CBD64B">
                  <w:pPr>
                    <w:widowControl/>
                    <w:jc w:val="center"/>
                    <w:rPr>
                      <w:lang w:eastAsia="zh-TW"/>
                    </w:rPr>
                  </w:pPr>
                  <w:r>
                    <w:rPr>
                      <w:lang w:eastAsia="zh-TW"/>
                    </w:rPr>
                    <w:t>颗粒物</w:t>
                  </w:r>
                </w:p>
              </w:tc>
              <w:tc>
                <w:tcPr>
                  <w:tcW w:w="1323" w:type="dxa"/>
                  <w:tcBorders>
                    <w:tl2br w:val="nil"/>
                    <w:tr2bl w:val="nil"/>
                  </w:tcBorders>
                  <w:vAlign w:val="center"/>
                </w:tcPr>
                <w:p w14:paraId="56E8E664">
                  <w:pPr>
                    <w:widowControl/>
                    <w:jc w:val="center"/>
                    <w:rPr>
                      <w:color w:val="FF0000"/>
                      <w:lang w:eastAsia="zh-TW"/>
                    </w:rPr>
                  </w:pPr>
                  <w:r>
                    <w:t>0.57</w:t>
                  </w:r>
                </w:p>
              </w:tc>
              <w:tc>
                <w:tcPr>
                  <w:tcW w:w="1512" w:type="dxa"/>
                  <w:tcBorders>
                    <w:tl2br w:val="nil"/>
                    <w:tr2bl w:val="nil"/>
                  </w:tcBorders>
                  <w:vAlign w:val="center"/>
                </w:tcPr>
                <w:p w14:paraId="3FDB80F1">
                  <w:pPr>
                    <w:widowControl/>
                    <w:jc w:val="center"/>
                  </w:pPr>
                  <w:r>
                    <w:t>0.928</w:t>
                  </w:r>
                </w:p>
              </w:tc>
              <w:tc>
                <w:tcPr>
                  <w:tcW w:w="992" w:type="dxa"/>
                  <w:tcBorders>
                    <w:tl2br w:val="nil"/>
                    <w:tr2bl w:val="nil"/>
                  </w:tcBorders>
                  <w:vAlign w:val="center"/>
                </w:tcPr>
                <w:p w14:paraId="62EE65A1">
                  <w:pPr>
                    <w:widowControl/>
                    <w:jc w:val="center"/>
                    <w:rPr>
                      <w:lang w:eastAsia="zh-TW"/>
                    </w:rPr>
                  </w:pPr>
                  <w:r>
                    <w:rPr>
                      <w:rFonts w:hint="eastAsia"/>
                      <w:lang w:eastAsia="zh-TW"/>
                    </w:rPr>
                    <w:t>0</w:t>
                  </w:r>
                </w:p>
              </w:tc>
              <w:tc>
                <w:tcPr>
                  <w:tcW w:w="1542" w:type="dxa"/>
                  <w:tcBorders>
                    <w:tl2br w:val="nil"/>
                    <w:tr2bl w:val="nil"/>
                  </w:tcBorders>
                  <w:vAlign w:val="center"/>
                </w:tcPr>
                <w:p w14:paraId="6EBDC7A6">
                  <w:pPr>
                    <w:widowControl/>
                    <w:jc w:val="center"/>
                    <w:rPr>
                      <w:color w:val="FF0000"/>
                    </w:rPr>
                  </w:pPr>
                  <w:r>
                    <w:rPr>
                      <w:rFonts w:hint="eastAsia"/>
                    </w:rPr>
                    <w:t>1</w:t>
                  </w:r>
                  <w:r>
                    <w:t>.498</w:t>
                  </w:r>
                </w:p>
              </w:tc>
              <w:tc>
                <w:tcPr>
                  <w:tcW w:w="971" w:type="dxa"/>
                  <w:tcBorders>
                    <w:tl2br w:val="nil"/>
                    <w:tr2bl w:val="nil"/>
                  </w:tcBorders>
                  <w:vAlign w:val="center"/>
                </w:tcPr>
                <w:p w14:paraId="01A1164E">
                  <w:pPr>
                    <w:widowControl/>
                    <w:jc w:val="center"/>
                    <w:rPr>
                      <w:color w:val="FF0000"/>
                      <w:lang w:eastAsia="zh-TW"/>
                    </w:rPr>
                  </w:pPr>
                  <w:r>
                    <w:t>+0.928</w:t>
                  </w:r>
                </w:p>
              </w:tc>
            </w:tr>
            <w:tr w14:paraId="085818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13" w:type="dxa"/>
                  <w:vMerge w:val="continue"/>
                  <w:tcBorders>
                    <w:tl2br w:val="nil"/>
                    <w:tr2bl w:val="nil"/>
                  </w:tcBorders>
                  <w:vAlign w:val="center"/>
                </w:tcPr>
                <w:p w14:paraId="32A5A0E4">
                  <w:pPr>
                    <w:widowControl/>
                    <w:jc w:val="center"/>
                    <w:rPr>
                      <w:lang w:val="zh-TW" w:eastAsia="zh-TW"/>
                    </w:rPr>
                  </w:pPr>
                </w:p>
              </w:tc>
              <w:tc>
                <w:tcPr>
                  <w:tcW w:w="1417" w:type="dxa"/>
                  <w:tcBorders>
                    <w:tl2br w:val="nil"/>
                    <w:tr2bl w:val="nil"/>
                  </w:tcBorders>
                  <w:vAlign w:val="center"/>
                </w:tcPr>
                <w:p w14:paraId="171A0743">
                  <w:pPr>
                    <w:widowControl/>
                    <w:jc w:val="center"/>
                    <w:rPr>
                      <w:lang w:eastAsia="zh-TW"/>
                    </w:rPr>
                  </w:pPr>
                  <w:r>
                    <w:rPr>
                      <w:rFonts w:hint="eastAsia"/>
                      <w:lang w:eastAsia="zh-TW"/>
                    </w:rPr>
                    <w:t>非甲烷总烃</w:t>
                  </w:r>
                </w:p>
              </w:tc>
              <w:tc>
                <w:tcPr>
                  <w:tcW w:w="1323" w:type="dxa"/>
                  <w:tcBorders>
                    <w:tl2br w:val="nil"/>
                    <w:tr2bl w:val="nil"/>
                  </w:tcBorders>
                  <w:vAlign w:val="center"/>
                </w:tcPr>
                <w:p w14:paraId="5C95488D">
                  <w:pPr>
                    <w:widowControl/>
                    <w:jc w:val="center"/>
                    <w:rPr>
                      <w:color w:val="FF0000"/>
                    </w:rPr>
                  </w:pPr>
                  <w:r>
                    <w:rPr>
                      <w:rFonts w:hint="eastAsia"/>
                    </w:rPr>
                    <w:t>0</w:t>
                  </w:r>
                  <w:r>
                    <w:t>.246</w:t>
                  </w:r>
                </w:p>
              </w:tc>
              <w:tc>
                <w:tcPr>
                  <w:tcW w:w="1512" w:type="dxa"/>
                  <w:tcBorders>
                    <w:tl2br w:val="nil"/>
                    <w:tr2bl w:val="nil"/>
                  </w:tcBorders>
                  <w:vAlign w:val="center"/>
                </w:tcPr>
                <w:p w14:paraId="660D3C0C">
                  <w:pPr>
                    <w:widowControl/>
                    <w:jc w:val="center"/>
                  </w:pPr>
                  <w:r>
                    <w:t>0.0358</w:t>
                  </w:r>
                </w:p>
              </w:tc>
              <w:tc>
                <w:tcPr>
                  <w:tcW w:w="992" w:type="dxa"/>
                  <w:tcBorders>
                    <w:tl2br w:val="nil"/>
                    <w:tr2bl w:val="nil"/>
                  </w:tcBorders>
                  <w:vAlign w:val="center"/>
                </w:tcPr>
                <w:p w14:paraId="24C59365">
                  <w:pPr>
                    <w:widowControl/>
                    <w:jc w:val="center"/>
                    <w:rPr>
                      <w:lang w:eastAsia="zh-TW"/>
                    </w:rPr>
                  </w:pPr>
                  <w:r>
                    <w:rPr>
                      <w:rFonts w:hint="eastAsia"/>
                      <w:lang w:eastAsia="zh-TW"/>
                    </w:rPr>
                    <w:t>0</w:t>
                  </w:r>
                </w:p>
              </w:tc>
              <w:tc>
                <w:tcPr>
                  <w:tcW w:w="1542" w:type="dxa"/>
                  <w:tcBorders>
                    <w:tl2br w:val="nil"/>
                    <w:tr2bl w:val="nil"/>
                  </w:tcBorders>
                  <w:vAlign w:val="center"/>
                </w:tcPr>
                <w:p w14:paraId="4AB446E8">
                  <w:pPr>
                    <w:widowControl/>
                    <w:jc w:val="center"/>
                    <w:rPr>
                      <w:color w:val="FF0000"/>
                    </w:rPr>
                  </w:pPr>
                  <w:r>
                    <w:rPr>
                      <w:rFonts w:hint="eastAsia"/>
                    </w:rPr>
                    <w:t>0</w:t>
                  </w:r>
                  <w:r>
                    <w:t>.2818</w:t>
                  </w:r>
                </w:p>
              </w:tc>
              <w:tc>
                <w:tcPr>
                  <w:tcW w:w="971" w:type="dxa"/>
                  <w:tcBorders>
                    <w:tl2br w:val="nil"/>
                    <w:tr2bl w:val="nil"/>
                  </w:tcBorders>
                  <w:vAlign w:val="center"/>
                </w:tcPr>
                <w:p w14:paraId="01111B7C">
                  <w:pPr>
                    <w:widowControl/>
                    <w:jc w:val="center"/>
                    <w:rPr>
                      <w:color w:val="FF0000"/>
                      <w:lang w:eastAsia="zh-TW"/>
                    </w:rPr>
                  </w:pPr>
                  <w:r>
                    <w:t>+0.0358</w:t>
                  </w:r>
                </w:p>
              </w:tc>
            </w:tr>
            <w:tr w14:paraId="7E5FBE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13" w:type="dxa"/>
                  <w:vMerge w:val="restart"/>
                  <w:tcBorders>
                    <w:tl2br w:val="nil"/>
                    <w:tr2bl w:val="nil"/>
                  </w:tcBorders>
                  <w:vAlign w:val="center"/>
                </w:tcPr>
                <w:p w14:paraId="36ADBFCD">
                  <w:pPr>
                    <w:widowControl/>
                    <w:jc w:val="center"/>
                    <w:rPr>
                      <w:lang w:val="zh-TW" w:eastAsia="zh-TW"/>
                    </w:rPr>
                  </w:pPr>
                  <w:r>
                    <w:rPr>
                      <w:lang w:val="zh-TW" w:eastAsia="zh-TW"/>
                    </w:rPr>
                    <w:t>固体废物</w:t>
                  </w:r>
                </w:p>
              </w:tc>
              <w:tc>
                <w:tcPr>
                  <w:tcW w:w="1417" w:type="dxa"/>
                  <w:tcBorders>
                    <w:tl2br w:val="nil"/>
                    <w:tr2bl w:val="nil"/>
                  </w:tcBorders>
                  <w:vAlign w:val="center"/>
                </w:tcPr>
                <w:p w14:paraId="42A3F546">
                  <w:pPr>
                    <w:widowControl/>
                    <w:jc w:val="center"/>
                    <w:rPr>
                      <w:lang w:eastAsia="zh-TW"/>
                    </w:rPr>
                  </w:pPr>
                  <w:r>
                    <w:rPr>
                      <w:rFonts w:hint="eastAsia"/>
                      <w:lang w:val="zh-TW" w:eastAsia="zh-TW"/>
                    </w:rPr>
                    <w:t>废催化剂</w:t>
                  </w:r>
                </w:p>
              </w:tc>
              <w:tc>
                <w:tcPr>
                  <w:tcW w:w="1323" w:type="dxa"/>
                  <w:tcBorders>
                    <w:tl2br w:val="nil"/>
                    <w:tr2bl w:val="nil"/>
                  </w:tcBorders>
                  <w:vAlign w:val="center"/>
                </w:tcPr>
                <w:p w14:paraId="27055FD7">
                  <w:pPr>
                    <w:widowControl/>
                    <w:jc w:val="center"/>
                    <w:rPr>
                      <w:lang w:eastAsia="zh-TW"/>
                    </w:rPr>
                  </w:pPr>
                  <w:r>
                    <w:rPr>
                      <w:lang w:eastAsia="zh-TW"/>
                    </w:rPr>
                    <w:t>0.1</w:t>
                  </w:r>
                </w:p>
              </w:tc>
              <w:tc>
                <w:tcPr>
                  <w:tcW w:w="1512" w:type="dxa"/>
                  <w:tcBorders>
                    <w:tl2br w:val="nil"/>
                    <w:tr2bl w:val="nil"/>
                  </w:tcBorders>
                  <w:vAlign w:val="center"/>
                </w:tcPr>
                <w:p w14:paraId="143A73AE">
                  <w:pPr>
                    <w:widowControl/>
                    <w:jc w:val="center"/>
                    <w:rPr>
                      <w:lang w:eastAsia="zh-TW"/>
                    </w:rPr>
                  </w:pPr>
                  <w:r>
                    <w:rPr>
                      <w:lang w:eastAsia="zh-TW"/>
                    </w:rPr>
                    <w:t>0.7</w:t>
                  </w:r>
                </w:p>
              </w:tc>
              <w:tc>
                <w:tcPr>
                  <w:tcW w:w="992" w:type="dxa"/>
                  <w:tcBorders>
                    <w:tl2br w:val="nil"/>
                    <w:tr2bl w:val="nil"/>
                  </w:tcBorders>
                  <w:vAlign w:val="center"/>
                </w:tcPr>
                <w:p w14:paraId="21749302">
                  <w:pPr>
                    <w:widowControl/>
                    <w:jc w:val="center"/>
                    <w:rPr>
                      <w:lang w:eastAsia="zh-TW"/>
                    </w:rPr>
                  </w:pPr>
                  <w:r>
                    <w:rPr>
                      <w:rFonts w:hint="eastAsia"/>
                      <w:lang w:eastAsia="zh-TW"/>
                    </w:rPr>
                    <w:t>0</w:t>
                  </w:r>
                </w:p>
              </w:tc>
              <w:tc>
                <w:tcPr>
                  <w:tcW w:w="1542" w:type="dxa"/>
                  <w:tcBorders>
                    <w:tl2br w:val="nil"/>
                    <w:tr2bl w:val="nil"/>
                  </w:tcBorders>
                  <w:vAlign w:val="center"/>
                </w:tcPr>
                <w:p w14:paraId="1038816E">
                  <w:pPr>
                    <w:widowControl/>
                    <w:jc w:val="center"/>
                  </w:pPr>
                  <w:r>
                    <w:rPr>
                      <w:rFonts w:hint="eastAsia"/>
                    </w:rPr>
                    <w:t>0</w:t>
                  </w:r>
                  <w:r>
                    <w:t>.80</w:t>
                  </w:r>
                </w:p>
              </w:tc>
              <w:tc>
                <w:tcPr>
                  <w:tcW w:w="971" w:type="dxa"/>
                  <w:tcBorders>
                    <w:tl2br w:val="nil"/>
                    <w:tr2bl w:val="nil"/>
                  </w:tcBorders>
                  <w:vAlign w:val="center"/>
                </w:tcPr>
                <w:p w14:paraId="62CA1A4C">
                  <w:pPr>
                    <w:widowControl/>
                    <w:jc w:val="center"/>
                    <w:rPr>
                      <w:lang w:eastAsia="zh-TW"/>
                    </w:rPr>
                  </w:pPr>
                  <w:r>
                    <w:rPr>
                      <w:rFonts w:hint="eastAsia"/>
                      <w:lang w:eastAsia="zh-TW"/>
                    </w:rPr>
                    <w:t>+</w:t>
                  </w:r>
                  <w:r>
                    <w:rPr>
                      <w:lang w:eastAsia="zh-TW"/>
                    </w:rPr>
                    <w:t>0.7</w:t>
                  </w:r>
                </w:p>
              </w:tc>
            </w:tr>
            <w:tr w14:paraId="083552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13" w:type="dxa"/>
                  <w:vMerge w:val="continue"/>
                  <w:tcBorders>
                    <w:tl2br w:val="nil"/>
                    <w:tr2bl w:val="nil"/>
                  </w:tcBorders>
                  <w:vAlign w:val="center"/>
                </w:tcPr>
                <w:p w14:paraId="3A198696">
                  <w:pPr>
                    <w:widowControl/>
                    <w:jc w:val="center"/>
                    <w:rPr>
                      <w:lang w:val="zh-TW" w:eastAsia="zh-TW"/>
                    </w:rPr>
                  </w:pPr>
                </w:p>
              </w:tc>
              <w:tc>
                <w:tcPr>
                  <w:tcW w:w="1417" w:type="dxa"/>
                  <w:tcBorders>
                    <w:tl2br w:val="nil"/>
                    <w:tr2bl w:val="nil"/>
                  </w:tcBorders>
                  <w:vAlign w:val="center"/>
                </w:tcPr>
                <w:p w14:paraId="004CEF74">
                  <w:pPr>
                    <w:widowControl/>
                    <w:jc w:val="center"/>
                    <w:rPr>
                      <w:lang w:eastAsia="zh-TW"/>
                    </w:rPr>
                  </w:pPr>
                  <w:r>
                    <w:rPr>
                      <w:rFonts w:hint="eastAsia"/>
                      <w:lang w:eastAsia="zh-TW"/>
                    </w:rPr>
                    <w:t>生活垃圾</w:t>
                  </w:r>
                </w:p>
              </w:tc>
              <w:tc>
                <w:tcPr>
                  <w:tcW w:w="1323" w:type="dxa"/>
                  <w:tcBorders>
                    <w:tl2br w:val="nil"/>
                    <w:tr2bl w:val="nil"/>
                  </w:tcBorders>
                  <w:vAlign w:val="center"/>
                </w:tcPr>
                <w:p w14:paraId="228AE925">
                  <w:pPr>
                    <w:widowControl/>
                    <w:jc w:val="center"/>
                    <w:rPr>
                      <w:lang w:eastAsia="zh-TW"/>
                    </w:rPr>
                  </w:pPr>
                  <w:r>
                    <w:rPr>
                      <w:lang w:eastAsia="zh-TW"/>
                    </w:rPr>
                    <w:t>7</w:t>
                  </w:r>
                </w:p>
              </w:tc>
              <w:tc>
                <w:tcPr>
                  <w:tcW w:w="1512" w:type="dxa"/>
                  <w:tcBorders>
                    <w:tl2br w:val="nil"/>
                    <w:tr2bl w:val="nil"/>
                  </w:tcBorders>
                  <w:vAlign w:val="center"/>
                </w:tcPr>
                <w:p w14:paraId="461EE62B">
                  <w:pPr>
                    <w:widowControl/>
                    <w:jc w:val="center"/>
                  </w:pPr>
                  <w:r>
                    <w:t>0</w:t>
                  </w:r>
                </w:p>
              </w:tc>
              <w:tc>
                <w:tcPr>
                  <w:tcW w:w="992" w:type="dxa"/>
                  <w:tcBorders>
                    <w:tl2br w:val="nil"/>
                    <w:tr2bl w:val="nil"/>
                  </w:tcBorders>
                  <w:vAlign w:val="center"/>
                </w:tcPr>
                <w:p w14:paraId="2A70CA8D">
                  <w:pPr>
                    <w:widowControl/>
                    <w:jc w:val="center"/>
                    <w:rPr>
                      <w:lang w:eastAsia="zh-TW"/>
                    </w:rPr>
                  </w:pPr>
                  <w:r>
                    <w:rPr>
                      <w:rFonts w:hint="eastAsia"/>
                      <w:lang w:eastAsia="zh-TW"/>
                    </w:rPr>
                    <w:t>0</w:t>
                  </w:r>
                </w:p>
              </w:tc>
              <w:tc>
                <w:tcPr>
                  <w:tcW w:w="1542" w:type="dxa"/>
                  <w:tcBorders>
                    <w:tl2br w:val="nil"/>
                    <w:tr2bl w:val="nil"/>
                  </w:tcBorders>
                  <w:vAlign w:val="center"/>
                </w:tcPr>
                <w:p w14:paraId="44174F46">
                  <w:pPr>
                    <w:widowControl/>
                    <w:jc w:val="center"/>
                  </w:pPr>
                  <w:r>
                    <w:rPr>
                      <w:rFonts w:hint="eastAsia"/>
                    </w:rPr>
                    <w:t>7</w:t>
                  </w:r>
                </w:p>
              </w:tc>
              <w:tc>
                <w:tcPr>
                  <w:tcW w:w="971" w:type="dxa"/>
                  <w:tcBorders>
                    <w:tl2br w:val="nil"/>
                    <w:tr2bl w:val="nil"/>
                  </w:tcBorders>
                  <w:vAlign w:val="center"/>
                </w:tcPr>
                <w:p w14:paraId="4D491848">
                  <w:pPr>
                    <w:widowControl/>
                    <w:jc w:val="center"/>
                    <w:rPr>
                      <w:lang w:eastAsia="zh-TW"/>
                    </w:rPr>
                  </w:pPr>
                  <w:r>
                    <w:rPr>
                      <w:rFonts w:hint="eastAsia"/>
                      <w:lang w:eastAsia="zh-TW"/>
                    </w:rPr>
                    <w:t>+</w:t>
                  </w:r>
                  <w:r>
                    <w:rPr>
                      <w:lang w:eastAsia="zh-TW"/>
                    </w:rPr>
                    <w:t>0</w:t>
                  </w:r>
                </w:p>
              </w:tc>
            </w:tr>
            <w:tr w14:paraId="2AC26F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13" w:type="dxa"/>
                  <w:vMerge w:val="continue"/>
                  <w:tcBorders>
                    <w:tl2br w:val="nil"/>
                    <w:tr2bl w:val="nil"/>
                  </w:tcBorders>
                  <w:vAlign w:val="center"/>
                </w:tcPr>
                <w:p w14:paraId="00ACE79C">
                  <w:pPr>
                    <w:widowControl/>
                    <w:jc w:val="center"/>
                    <w:rPr>
                      <w:lang w:val="zh-TW" w:eastAsia="zh-TW"/>
                    </w:rPr>
                  </w:pPr>
                </w:p>
              </w:tc>
              <w:tc>
                <w:tcPr>
                  <w:tcW w:w="1417" w:type="dxa"/>
                  <w:tcBorders>
                    <w:tl2br w:val="nil"/>
                    <w:tr2bl w:val="nil"/>
                  </w:tcBorders>
                  <w:vAlign w:val="center"/>
                </w:tcPr>
                <w:p w14:paraId="043DECDE">
                  <w:pPr>
                    <w:widowControl/>
                    <w:jc w:val="center"/>
                    <w:rPr>
                      <w:rFonts w:eastAsia="PMingLiU"/>
                      <w:lang w:eastAsia="zh-TW"/>
                    </w:rPr>
                  </w:pPr>
                  <w:r>
                    <w:rPr>
                      <w:rFonts w:hint="eastAsia"/>
                      <w:lang w:eastAsia="zh-TW"/>
                    </w:rPr>
                    <w:t>不合格品、边角料</w:t>
                  </w:r>
                </w:p>
              </w:tc>
              <w:tc>
                <w:tcPr>
                  <w:tcW w:w="1323" w:type="dxa"/>
                  <w:tcBorders>
                    <w:tl2br w:val="nil"/>
                    <w:tr2bl w:val="nil"/>
                  </w:tcBorders>
                  <w:vAlign w:val="center"/>
                </w:tcPr>
                <w:p w14:paraId="56B4C608">
                  <w:pPr>
                    <w:widowControl/>
                    <w:jc w:val="center"/>
                  </w:pPr>
                  <w:r>
                    <w:rPr>
                      <w:rFonts w:hint="eastAsia"/>
                    </w:rPr>
                    <w:t>3</w:t>
                  </w:r>
                </w:p>
              </w:tc>
              <w:tc>
                <w:tcPr>
                  <w:tcW w:w="1512" w:type="dxa"/>
                  <w:tcBorders>
                    <w:tl2br w:val="nil"/>
                    <w:tr2bl w:val="nil"/>
                  </w:tcBorders>
                  <w:vAlign w:val="center"/>
                </w:tcPr>
                <w:p w14:paraId="701E0DE2">
                  <w:pPr>
                    <w:widowControl/>
                    <w:jc w:val="center"/>
                  </w:pPr>
                  <w:r>
                    <w:t>5</w:t>
                  </w:r>
                </w:p>
              </w:tc>
              <w:tc>
                <w:tcPr>
                  <w:tcW w:w="992" w:type="dxa"/>
                  <w:tcBorders>
                    <w:tl2br w:val="nil"/>
                    <w:tr2bl w:val="nil"/>
                  </w:tcBorders>
                  <w:vAlign w:val="center"/>
                </w:tcPr>
                <w:p w14:paraId="4C07840C">
                  <w:pPr>
                    <w:widowControl/>
                    <w:jc w:val="center"/>
                  </w:pPr>
                  <w:r>
                    <w:rPr>
                      <w:rFonts w:hint="eastAsia"/>
                    </w:rPr>
                    <w:t>0</w:t>
                  </w:r>
                </w:p>
              </w:tc>
              <w:tc>
                <w:tcPr>
                  <w:tcW w:w="1542" w:type="dxa"/>
                  <w:tcBorders>
                    <w:tl2br w:val="nil"/>
                    <w:tr2bl w:val="nil"/>
                  </w:tcBorders>
                  <w:vAlign w:val="center"/>
                </w:tcPr>
                <w:p w14:paraId="57619E65">
                  <w:pPr>
                    <w:widowControl/>
                    <w:jc w:val="center"/>
                  </w:pPr>
                  <w:r>
                    <w:t>8</w:t>
                  </w:r>
                </w:p>
              </w:tc>
              <w:tc>
                <w:tcPr>
                  <w:tcW w:w="971" w:type="dxa"/>
                  <w:tcBorders>
                    <w:tl2br w:val="nil"/>
                    <w:tr2bl w:val="nil"/>
                  </w:tcBorders>
                  <w:vAlign w:val="center"/>
                </w:tcPr>
                <w:p w14:paraId="570660F5">
                  <w:pPr>
                    <w:widowControl/>
                    <w:jc w:val="center"/>
                  </w:pPr>
                  <w:r>
                    <w:rPr>
                      <w:rFonts w:hint="eastAsia"/>
                    </w:rPr>
                    <w:t>+</w:t>
                  </w:r>
                  <w:r>
                    <w:t>5</w:t>
                  </w:r>
                </w:p>
              </w:tc>
            </w:tr>
            <w:tr w14:paraId="682EF1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13" w:type="dxa"/>
                  <w:vMerge w:val="continue"/>
                  <w:tcBorders>
                    <w:tl2br w:val="nil"/>
                    <w:tr2bl w:val="nil"/>
                  </w:tcBorders>
                  <w:vAlign w:val="center"/>
                </w:tcPr>
                <w:p w14:paraId="0047A1F5">
                  <w:pPr>
                    <w:widowControl/>
                    <w:jc w:val="center"/>
                    <w:rPr>
                      <w:lang w:val="zh-TW" w:eastAsia="zh-TW"/>
                    </w:rPr>
                  </w:pPr>
                </w:p>
              </w:tc>
              <w:tc>
                <w:tcPr>
                  <w:tcW w:w="1417" w:type="dxa"/>
                  <w:tcBorders>
                    <w:tl2br w:val="nil"/>
                    <w:tr2bl w:val="nil"/>
                  </w:tcBorders>
                  <w:vAlign w:val="center"/>
                </w:tcPr>
                <w:p w14:paraId="571CD3FF">
                  <w:pPr>
                    <w:widowControl/>
                    <w:jc w:val="center"/>
                    <w:rPr>
                      <w:lang w:eastAsia="zh-TW"/>
                    </w:rPr>
                  </w:pPr>
                  <w:r>
                    <w:rPr>
                      <w:rFonts w:hint="eastAsia"/>
                      <w:lang w:eastAsia="zh-TW"/>
                    </w:rPr>
                    <w:t>收集尘</w:t>
                  </w:r>
                </w:p>
              </w:tc>
              <w:tc>
                <w:tcPr>
                  <w:tcW w:w="1323" w:type="dxa"/>
                  <w:tcBorders>
                    <w:tl2br w:val="nil"/>
                    <w:tr2bl w:val="nil"/>
                  </w:tcBorders>
                  <w:vAlign w:val="center"/>
                </w:tcPr>
                <w:p w14:paraId="07FDCCFC">
                  <w:pPr>
                    <w:widowControl/>
                    <w:jc w:val="center"/>
                  </w:pPr>
                  <w:r>
                    <w:rPr>
                      <w:rFonts w:hint="eastAsia"/>
                    </w:rPr>
                    <w:t>1</w:t>
                  </w:r>
                  <w:r>
                    <w:t>2</w:t>
                  </w:r>
                </w:p>
              </w:tc>
              <w:tc>
                <w:tcPr>
                  <w:tcW w:w="1512" w:type="dxa"/>
                  <w:tcBorders>
                    <w:tl2br w:val="nil"/>
                    <w:tr2bl w:val="nil"/>
                  </w:tcBorders>
                  <w:vAlign w:val="center"/>
                </w:tcPr>
                <w:p w14:paraId="2EAD9E43">
                  <w:pPr>
                    <w:widowControl/>
                    <w:jc w:val="center"/>
                  </w:pPr>
                  <w:r>
                    <w:t>28.512</w:t>
                  </w:r>
                </w:p>
              </w:tc>
              <w:tc>
                <w:tcPr>
                  <w:tcW w:w="992" w:type="dxa"/>
                  <w:tcBorders>
                    <w:tl2br w:val="nil"/>
                    <w:tr2bl w:val="nil"/>
                  </w:tcBorders>
                  <w:vAlign w:val="center"/>
                </w:tcPr>
                <w:p w14:paraId="559D4B74">
                  <w:pPr>
                    <w:widowControl/>
                    <w:jc w:val="center"/>
                  </w:pPr>
                  <w:r>
                    <w:rPr>
                      <w:rFonts w:hint="eastAsia"/>
                    </w:rPr>
                    <w:t>0</w:t>
                  </w:r>
                </w:p>
              </w:tc>
              <w:tc>
                <w:tcPr>
                  <w:tcW w:w="1542" w:type="dxa"/>
                  <w:tcBorders>
                    <w:tl2br w:val="nil"/>
                    <w:tr2bl w:val="nil"/>
                  </w:tcBorders>
                  <w:vAlign w:val="center"/>
                </w:tcPr>
                <w:p w14:paraId="0E647630">
                  <w:pPr>
                    <w:widowControl/>
                    <w:jc w:val="center"/>
                    <w:rPr>
                      <w:color w:val="FF0000"/>
                    </w:rPr>
                  </w:pPr>
                  <w:r>
                    <w:t>40.512</w:t>
                  </w:r>
                </w:p>
              </w:tc>
              <w:tc>
                <w:tcPr>
                  <w:tcW w:w="971" w:type="dxa"/>
                  <w:tcBorders>
                    <w:tl2br w:val="nil"/>
                    <w:tr2bl w:val="nil"/>
                  </w:tcBorders>
                  <w:vAlign w:val="center"/>
                </w:tcPr>
                <w:p w14:paraId="3F16C922">
                  <w:pPr>
                    <w:widowControl/>
                    <w:jc w:val="center"/>
                    <w:rPr>
                      <w:color w:val="FF0000"/>
                    </w:rPr>
                  </w:pPr>
                  <w:r>
                    <w:t>+28.512</w:t>
                  </w:r>
                </w:p>
              </w:tc>
            </w:tr>
            <w:tr w14:paraId="122DFF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13" w:type="dxa"/>
                  <w:vMerge w:val="continue"/>
                  <w:tcBorders>
                    <w:tl2br w:val="nil"/>
                    <w:tr2bl w:val="nil"/>
                  </w:tcBorders>
                  <w:vAlign w:val="center"/>
                </w:tcPr>
                <w:p w14:paraId="6C04AD86">
                  <w:pPr>
                    <w:widowControl/>
                    <w:jc w:val="center"/>
                    <w:rPr>
                      <w:lang w:val="zh-TW" w:eastAsia="zh-TW"/>
                    </w:rPr>
                  </w:pPr>
                </w:p>
              </w:tc>
              <w:tc>
                <w:tcPr>
                  <w:tcW w:w="1417" w:type="dxa"/>
                  <w:tcBorders>
                    <w:tl2br w:val="nil"/>
                    <w:tr2bl w:val="nil"/>
                  </w:tcBorders>
                  <w:vAlign w:val="center"/>
                </w:tcPr>
                <w:p w14:paraId="0A81DB01">
                  <w:pPr>
                    <w:widowControl/>
                    <w:jc w:val="center"/>
                    <w:rPr>
                      <w:lang w:eastAsia="zh-TW"/>
                    </w:rPr>
                  </w:pPr>
                  <w:r>
                    <w:rPr>
                      <w:rFonts w:hint="eastAsia"/>
                      <w:lang w:eastAsia="zh-TW"/>
                    </w:rPr>
                    <w:t>废活性炭</w:t>
                  </w:r>
                </w:p>
              </w:tc>
              <w:tc>
                <w:tcPr>
                  <w:tcW w:w="1323" w:type="dxa"/>
                  <w:tcBorders>
                    <w:tl2br w:val="nil"/>
                    <w:tr2bl w:val="nil"/>
                  </w:tcBorders>
                  <w:vAlign w:val="center"/>
                </w:tcPr>
                <w:p w14:paraId="32BB6971">
                  <w:pPr>
                    <w:widowControl/>
                    <w:jc w:val="center"/>
                    <w:rPr>
                      <w:lang w:eastAsia="zh-TW"/>
                    </w:rPr>
                  </w:pPr>
                  <w:r>
                    <w:rPr>
                      <w:lang w:eastAsia="zh-TW"/>
                    </w:rPr>
                    <w:t>0.20</w:t>
                  </w:r>
                </w:p>
              </w:tc>
              <w:tc>
                <w:tcPr>
                  <w:tcW w:w="1512" w:type="dxa"/>
                  <w:tcBorders>
                    <w:tl2br w:val="nil"/>
                    <w:tr2bl w:val="nil"/>
                  </w:tcBorders>
                  <w:vAlign w:val="center"/>
                </w:tcPr>
                <w:p w14:paraId="5AC8D0BE">
                  <w:pPr>
                    <w:widowControl/>
                    <w:jc w:val="center"/>
                  </w:pPr>
                  <w:r>
                    <w:t>0.8</w:t>
                  </w:r>
                </w:p>
              </w:tc>
              <w:tc>
                <w:tcPr>
                  <w:tcW w:w="992" w:type="dxa"/>
                  <w:tcBorders>
                    <w:tl2br w:val="nil"/>
                    <w:tr2bl w:val="nil"/>
                  </w:tcBorders>
                  <w:vAlign w:val="center"/>
                </w:tcPr>
                <w:p w14:paraId="64FCE7CE">
                  <w:pPr>
                    <w:widowControl/>
                    <w:jc w:val="center"/>
                    <w:rPr>
                      <w:lang w:eastAsia="zh-TW"/>
                    </w:rPr>
                  </w:pPr>
                  <w:r>
                    <w:rPr>
                      <w:rFonts w:hint="eastAsia"/>
                      <w:lang w:eastAsia="zh-TW"/>
                    </w:rPr>
                    <w:t>0</w:t>
                  </w:r>
                </w:p>
              </w:tc>
              <w:tc>
                <w:tcPr>
                  <w:tcW w:w="1542" w:type="dxa"/>
                  <w:tcBorders>
                    <w:tl2br w:val="nil"/>
                    <w:tr2bl w:val="nil"/>
                  </w:tcBorders>
                  <w:vAlign w:val="center"/>
                </w:tcPr>
                <w:p w14:paraId="5555C16C">
                  <w:pPr>
                    <w:widowControl/>
                    <w:jc w:val="center"/>
                    <w:rPr>
                      <w:color w:val="FF0000"/>
                    </w:rPr>
                  </w:pPr>
                  <w:r>
                    <w:t>1</w:t>
                  </w:r>
                </w:p>
              </w:tc>
              <w:tc>
                <w:tcPr>
                  <w:tcW w:w="971" w:type="dxa"/>
                  <w:tcBorders>
                    <w:tl2br w:val="nil"/>
                    <w:tr2bl w:val="nil"/>
                  </w:tcBorders>
                  <w:vAlign w:val="center"/>
                </w:tcPr>
                <w:p w14:paraId="55EA222D">
                  <w:pPr>
                    <w:widowControl/>
                    <w:jc w:val="center"/>
                    <w:rPr>
                      <w:rFonts w:eastAsia="等线"/>
                      <w:color w:val="FF0000"/>
                    </w:rPr>
                  </w:pPr>
                  <w:r>
                    <w:rPr>
                      <w:rFonts w:hint="eastAsia"/>
                      <w:lang w:eastAsia="zh-TW"/>
                    </w:rPr>
                    <w:t>+</w:t>
                  </w:r>
                  <w:r>
                    <w:rPr>
                      <w:lang w:eastAsia="zh-TW"/>
                    </w:rPr>
                    <w:t>0.8</w:t>
                  </w:r>
                </w:p>
              </w:tc>
            </w:tr>
            <w:tr w14:paraId="4B79AB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13" w:type="dxa"/>
                  <w:vMerge w:val="continue"/>
                  <w:tcBorders>
                    <w:bottom w:val="single" w:color="auto" w:sz="4" w:space="0"/>
                    <w:tl2br w:val="nil"/>
                    <w:tr2bl w:val="nil"/>
                  </w:tcBorders>
                  <w:vAlign w:val="center"/>
                </w:tcPr>
                <w:p w14:paraId="09A7F67B">
                  <w:pPr>
                    <w:widowControl/>
                    <w:jc w:val="center"/>
                    <w:rPr>
                      <w:lang w:val="zh-TW" w:eastAsia="zh-TW"/>
                    </w:rPr>
                  </w:pPr>
                </w:p>
              </w:tc>
              <w:tc>
                <w:tcPr>
                  <w:tcW w:w="1417" w:type="dxa"/>
                  <w:tcBorders>
                    <w:bottom w:val="single" w:color="auto" w:sz="4" w:space="0"/>
                    <w:tl2br w:val="nil"/>
                    <w:tr2bl w:val="nil"/>
                  </w:tcBorders>
                  <w:vAlign w:val="center"/>
                </w:tcPr>
                <w:p w14:paraId="0BA7876E">
                  <w:pPr>
                    <w:widowControl/>
                    <w:jc w:val="center"/>
                    <w:rPr>
                      <w:lang w:eastAsia="zh-TW"/>
                    </w:rPr>
                  </w:pPr>
                  <w:r>
                    <w:rPr>
                      <w:rFonts w:hint="eastAsia"/>
                      <w:lang w:eastAsia="zh-TW"/>
                    </w:rPr>
                    <w:t>废机油</w:t>
                  </w:r>
                </w:p>
              </w:tc>
              <w:tc>
                <w:tcPr>
                  <w:tcW w:w="1323" w:type="dxa"/>
                  <w:tcBorders>
                    <w:bottom w:val="single" w:color="auto" w:sz="4" w:space="0"/>
                    <w:tl2br w:val="nil"/>
                    <w:tr2bl w:val="nil"/>
                  </w:tcBorders>
                  <w:vAlign w:val="center"/>
                </w:tcPr>
                <w:p w14:paraId="35034A06">
                  <w:pPr>
                    <w:widowControl/>
                    <w:jc w:val="center"/>
                  </w:pPr>
                  <w:r>
                    <w:rPr>
                      <w:rFonts w:hint="eastAsia"/>
                    </w:rPr>
                    <w:t>0</w:t>
                  </w:r>
                  <w:r>
                    <w:t>.10</w:t>
                  </w:r>
                </w:p>
              </w:tc>
              <w:tc>
                <w:tcPr>
                  <w:tcW w:w="1512" w:type="dxa"/>
                  <w:tcBorders>
                    <w:bottom w:val="single" w:color="auto" w:sz="4" w:space="0"/>
                    <w:tl2br w:val="nil"/>
                    <w:tr2bl w:val="nil"/>
                  </w:tcBorders>
                  <w:vAlign w:val="center"/>
                </w:tcPr>
                <w:p w14:paraId="5A3B9175">
                  <w:pPr>
                    <w:widowControl/>
                    <w:jc w:val="center"/>
                  </w:pPr>
                  <w:r>
                    <w:rPr>
                      <w:rFonts w:hint="eastAsia"/>
                    </w:rPr>
                    <w:t>0</w:t>
                  </w:r>
                  <w:r>
                    <w:t>.20</w:t>
                  </w:r>
                </w:p>
              </w:tc>
              <w:tc>
                <w:tcPr>
                  <w:tcW w:w="992" w:type="dxa"/>
                  <w:tcBorders>
                    <w:bottom w:val="single" w:color="auto" w:sz="4" w:space="0"/>
                    <w:tl2br w:val="nil"/>
                    <w:tr2bl w:val="nil"/>
                  </w:tcBorders>
                  <w:vAlign w:val="center"/>
                </w:tcPr>
                <w:p w14:paraId="3A482812">
                  <w:pPr>
                    <w:widowControl/>
                    <w:jc w:val="center"/>
                  </w:pPr>
                  <w:r>
                    <w:rPr>
                      <w:rFonts w:hint="eastAsia"/>
                    </w:rPr>
                    <w:t>0</w:t>
                  </w:r>
                </w:p>
              </w:tc>
              <w:tc>
                <w:tcPr>
                  <w:tcW w:w="1542" w:type="dxa"/>
                  <w:tcBorders>
                    <w:bottom w:val="single" w:color="auto" w:sz="4" w:space="0"/>
                    <w:tl2br w:val="nil"/>
                    <w:tr2bl w:val="nil"/>
                  </w:tcBorders>
                  <w:vAlign w:val="center"/>
                </w:tcPr>
                <w:p w14:paraId="7D3609F6">
                  <w:pPr>
                    <w:widowControl/>
                    <w:jc w:val="center"/>
                  </w:pPr>
                  <w:r>
                    <w:rPr>
                      <w:rFonts w:hint="eastAsia"/>
                    </w:rPr>
                    <w:t>0</w:t>
                  </w:r>
                  <w:r>
                    <w:t>.30</w:t>
                  </w:r>
                </w:p>
              </w:tc>
              <w:tc>
                <w:tcPr>
                  <w:tcW w:w="971" w:type="dxa"/>
                  <w:tcBorders>
                    <w:bottom w:val="single" w:color="auto" w:sz="4" w:space="0"/>
                    <w:tl2br w:val="nil"/>
                    <w:tr2bl w:val="nil"/>
                  </w:tcBorders>
                  <w:vAlign w:val="center"/>
                </w:tcPr>
                <w:p w14:paraId="1D2910E4">
                  <w:pPr>
                    <w:widowControl/>
                    <w:jc w:val="center"/>
                  </w:pPr>
                  <w:r>
                    <w:rPr>
                      <w:rFonts w:hint="eastAsia"/>
                    </w:rPr>
                    <w:t>+</w:t>
                  </w:r>
                  <w:r>
                    <w:t>0.20</w:t>
                  </w:r>
                </w:p>
              </w:tc>
            </w:tr>
          </w:tbl>
          <w:p w14:paraId="15ADBD2F">
            <w:pPr>
              <w:pStyle w:val="4"/>
              <w:ind w:firstLine="0" w:firstLineChars="0"/>
            </w:pPr>
            <w:r>
              <w:t>6.</w:t>
            </w:r>
            <w:r>
              <w:rPr>
                <w:rFonts w:hint="eastAsia"/>
              </w:rPr>
              <w:t xml:space="preserve">地下水、土壤防治措施 </w:t>
            </w:r>
          </w:p>
          <w:p w14:paraId="453F727D">
            <w:pPr>
              <w:pStyle w:val="5"/>
              <w:ind w:firstLine="0" w:firstLineChars="0"/>
            </w:pPr>
            <w:r>
              <w:t>6</w:t>
            </w:r>
            <w:r>
              <w:rPr>
                <w:rFonts w:hint="eastAsia"/>
              </w:rPr>
              <w:t>.1地下水、土壤污染源及污染途径</w:t>
            </w:r>
          </w:p>
          <w:p w14:paraId="2E180B04">
            <w:pPr>
              <w:pStyle w:val="55"/>
              <w:ind w:firstLine="480"/>
              <w:rPr>
                <w:color w:val="000000"/>
              </w:rPr>
            </w:pPr>
            <w:r>
              <w:rPr>
                <w:rFonts w:hint="eastAsia"/>
                <w:color w:val="000000"/>
              </w:rPr>
              <w:t>本项目运营过程地下水、土壤污染源主要是项目生产涉及的冷却循环水和生活污水，冷却水循环使用不外排，生活污水直接排入园区排水管网，最终进入阜康市西部城区污水处理厂处理，不存在污染物垂直入渗条件，因此本项目不会对项目区及周围地下水和土壤环境造成不利影响。</w:t>
            </w:r>
          </w:p>
          <w:p w14:paraId="6B6B579E">
            <w:pPr>
              <w:pStyle w:val="5"/>
              <w:ind w:firstLine="0" w:firstLineChars="0"/>
            </w:pPr>
            <w:r>
              <w:t>6</w:t>
            </w:r>
            <w:r>
              <w:rPr>
                <w:rFonts w:hint="eastAsia"/>
              </w:rPr>
              <w:t>.2防控措施</w:t>
            </w:r>
          </w:p>
          <w:p w14:paraId="100D26F6">
            <w:pPr>
              <w:pStyle w:val="55"/>
              <w:ind w:firstLine="480"/>
            </w:pPr>
            <w:r>
              <w:rPr>
                <w:rFonts w:hint="eastAsia"/>
              </w:rPr>
              <w:t>为有效预防地下水及土壤污染，本项目采取分区防渗措施。结合本项目工艺特点，本项目按重点防渗区、一般防渗区和简单防渗区分区域进行防渗处理。</w:t>
            </w:r>
          </w:p>
          <w:p w14:paraId="639C67D5">
            <w:pPr>
              <w:pStyle w:val="55"/>
              <w:ind w:firstLine="480"/>
            </w:pPr>
            <w:r>
              <w:rPr>
                <w:rFonts w:hint="eastAsia"/>
              </w:rPr>
              <w:t>本项目重点防渗区主要为危废暂存间。办公楼、生产车间设为简单防渗区，仅做一般地面硬化。并且结合厂区实际，本工程防渗工程设计标准及维护需满足下列要求：</w:t>
            </w:r>
          </w:p>
          <w:p w14:paraId="024846A0">
            <w:pPr>
              <w:pStyle w:val="55"/>
              <w:ind w:firstLine="480"/>
            </w:pPr>
            <w:r>
              <w:rPr>
                <w:rFonts w:hint="eastAsia"/>
              </w:rPr>
              <w:t>①各单元防渗工程的设计使用年限不低于相对应设备、管道或建筑物的设计使用年限。</w:t>
            </w:r>
          </w:p>
          <w:p w14:paraId="29CA1F59">
            <w:pPr>
              <w:pStyle w:val="55"/>
              <w:ind w:firstLine="480"/>
            </w:pPr>
            <w:r>
              <w:rPr>
                <w:rFonts w:hint="eastAsia"/>
              </w:rPr>
              <w:t>②重点防渗区防渗性能与</w:t>
            </w:r>
            <w:r>
              <w:t>6m</w:t>
            </w:r>
            <w:r>
              <w:rPr>
                <w:rFonts w:hint="eastAsia"/>
              </w:rPr>
              <w:t>厚黏土层（渗透系数</w:t>
            </w:r>
            <w:r>
              <w:t>K≤1×10</w:t>
            </w:r>
            <w:r>
              <w:rPr>
                <w:vertAlign w:val="superscript"/>
              </w:rPr>
              <w:t>-10</w:t>
            </w:r>
            <w:r>
              <w:t>cm/s</w:t>
            </w:r>
            <w:r>
              <w:rPr>
                <w:rFonts w:hint="eastAsia"/>
              </w:rPr>
              <w:t>）等效。</w:t>
            </w:r>
          </w:p>
          <w:p w14:paraId="4A216E27">
            <w:pPr>
              <w:pStyle w:val="55"/>
              <w:ind w:firstLine="480"/>
            </w:pPr>
            <w:r>
              <w:rPr>
                <w:rFonts w:hint="eastAsia"/>
              </w:rPr>
              <w:t>③一般防渗区防渗性能应与</w:t>
            </w:r>
            <w:r>
              <w:t>1.5m</w:t>
            </w:r>
            <w:r>
              <w:rPr>
                <w:rFonts w:hint="eastAsia"/>
              </w:rPr>
              <w:t>厚黏土层（渗透系数</w:t>
            </w:r>
            <w:r>
              <w:t>≤1×10</w:t>
            </w:r>
            <w:r>
              <w:rPr>
                <w:vertAlign w:val="superscript"/>
              </w:rPr>
              <w:t>-7</w:t>
            </w:r>
            <w:r>
              <w:t>cm/s</w:t>
            </w:r>
            <w:r>
              <w:rPr>
                <w:rFonts w:hint="eastAsia"/>
              </w:rPr>
              <w:t>）等效。</w:t>
            </w:r>
          </w:p>
          <w:p w14:paraId="7F8BB052">
            <w:pPr>
              <w:pStyle w:val="55"/>
              <w:ind w:firstLine="480"/>
              <w:rPr>
                <w:spacing w:val="-6"/>
              </w:rPr>
            </w:pPr>
            <w:r>
              <w:rPr>
                <w:rFonts w:hint="eastAsia"/>
              </w:rPr>
              <w:t>④地面防渗方案采用黏土防渗、混凝土防渗，防渗性能满足②、③</w:t>
            </w:r>
            <w:r>
              <w:rPr>
                <w:rFonts w:hint="eastAsia"/>
                <w:spacing w:val="-6"/>
              </w:rPr>
              <w:t>要求。</w:t>
            </w:r>
          </w:p>
          <w:p w14:paraId="2CF8380B">
            <w:pPr>
              <w:pStyle w:val="55"/>
              <w:ind w:firstLine="480"/>
            </w:pPr>
            <w:r>
              <w:rPr>
                <w:rFonts w:hint="eastAsia"/>
              </w:rPr>
              <w:t>⑤加强厂区防渗设施的检查、维修力度，确保防渗措施。</w:t>
            </w:r>
          </w:p>
          <w:p w14:paraId="498ADA62">
            <w:pPr>
              <w:pStyle w:val="55"/>
              <w:ind w:firstLine="480"/>
            </w:pPr>
            <w:r>
              <w:rPr>
                <w:rFonts w:hint="eastAsia"/>
              </w:rPr>
              <w:t>综上，本项目在采取完善的防渗措施后，对地下水及土壤环境影响程度较小</w:t>
            </w:r>
          </w:p>
          <w:p w14:paraId="6EE8BA04">
            <w:pPr>
              <w:pStyle w:val="55"/>
              <w:ind w:firstLine="0" w:firstLineChars="0"/>
            </w:pPr>
            <w:r>
              <w:rPr>
                <w:b/>
                <w:bCs/>
              </w:rPr>
              <w:t>7.</w:t>
            </w:r>
            <w:r>
              <w:rPr>
                <w:rFonts w:hint="eastAsia"/>
                <w:b/>
                <w:bCs/>
              </w:rPr>
              <w:t>环境风险评价</w:t>
            </w:r>
          </w:p>
          <w:p w14:paraId="7135122D">
            <w:pPr>
              <w:pStyle w:val="55"/>
              <w:ind w:firstLine="0" w:firstLineChars="0"/>
              <w:rPr>
                <w:b/>
                <w:bCs/>
              </w:rPr>
            </w:pPr>
            <w:r>
              <w:rPr>
                <w:b/>
                <w:bCs/>
              </w:rPr>
              <w:t>7</w:t>
            </w:r>
            <w:r>
              <w:rPr>
                <w:rFonts w:hint="eastAsia"/>
                <w:b/>
                <w:bCs/>
              </w:rPr>
              <w:t>.1评价依据</w:t>
            </w:r>
          </w:p>
          <w:p w14:paraId="1C0749C0">
            <w:pPr>
              <w:pStyle w:val="55"/>
              <w:ind w:firstLine="480"/>
            </w:pPr>
            <w:r>
              <w:t>（1）风险调查</w:t>
            </w:r>
          </w:p>
          <w:p w14:paraId="5EA518E6">
            <w:pPr>
              <w:pStyle w:val="55"/>
              <w:ind w:firstLine="480"/>
            </w:pPr>
            <w:r>
              <w:t>本项目涉及到原辅材料主要为聚氯乙烯、聚乙烯，产生的污染物主要为挥发性有机物（以非甲烷总烃计）、</w:t>
            </w:r>
            <w:r>
              <w:rPr>
                <w:rFonts w:hint="eastAsia"/>
              </w:rPr>
              <w:t>废机油、</w:t>
            </w:r>
            <w:r>
              <w:t>废活性炭、废催化剂等，根据《建设项目环境风险评价技术导则》(HJ169-2018)附录B、《危险化学品重大危险源辨识》(GB18218-2018)和《危险化学品目录(2015版)》的有关规定，本项目</w:t>
            </w:r>
            <w:r>
              <w:rPr>
                <w:rFonts w:hint="eastAsia"/>
              </w:rPr>
              <w:t>产生的废机油</w:t>
            </w:r>
            <w:r>
              <w:t>被列入《建设项目环境风险评价技术 导则》(HJ169-2018)附录B和《危险化学品重大危险源辨识》(GB18218-2018)监控目录，属于重大危险源。</w:t>
            </w:r>
          </w:p>
          <w:p w14:paraId="7EB91AB3">
            <w:pPr>
              <w:pStyle w:val="55"/>
              <w:ind w:firstLine="480"/>
            </w:pPr>
            <w:r>
              <w:t>（2）风险潜势初判</w:t>
            </w:r>
          </w:p>
          <w:p w14:paraId="1E423B7E">
            <w:pPr>
              <w:widowControl/>
              <w:kinsoku w:val="0"/>
              <w:autoSpaceDE w:val="0"/>
              <w:autoSpaceDN w:val="0"/>
              <w:adjustRightInd w:val="0"/>
              <w:snapToGrid w:val="0"/>
              <w:spacing w:line="360" w:lineRule="auto"/>
              <w:ind w:firstLine="480" w:firstLineChars="200"/>
              <w:textAlignment w:val="baseline"/>
              <w:rPr>
                <w:snapToGrid w:val="0"/>
                <w:color w:val="000000"/>
                <w:kern w:val="0"/>
                <w:sz w:val="24"/>
              </w:rPr>
            </w:pPr>
            <w:r>
              <w:rPr>
                <w:snapToGrid w:val="0"/>
                <w:color w:val="000000"/>
                <w:kern w:val="0"/>
                <w:sz w:val="24"/>
              </w:rPr>
              <w:t>根据《建设项目环境风险评价技术导则》(HJ169-2018) 中附录C的规定：计算项目所涉及的每种危险物质在厂界内的最大存在总量与其在附录B中对应临界量的比值Q。当只涉及一种危险物质时，计算该物质的总量与其临界量的比值，即为Q。</w:t>
            </w:r>
            <w:r>
              <w:rPr>
                <w:rFonts w:hint="eastAsia"/>
                <w:snapToGrid w:val="0"/>
                <w:color w:val="000000"/>
                <w:kern w:val="0"/>
                <w:sz w:val="24"/>
              </w:rPr>
              <w:t>本项目危险物质Q值判定结果详见表4</w:t>
            </w:r>
            <w:r>
              <w:rPr>
                <w:snapToGrid w:val="0"/>
                <w:color w:val="000000"/>
                <w:kern w:val="0"/>
                <w:sz w:val="24"/>
              </w:rPr>
              <w:t>-9</w:t>
            </w:r>
            <w:r>
              <w:rPr>
                <w:rFonts w:hint="eastAsia"/>
                <w:snapToGrid w:val="0"/>
                <w:color w:val="000000"/>
                <w:kern w:val="0"/>
                <w:sz w:val="24"/>
              </w:rPr>
              <w:t>。</w:t>
            </w:r>
          </w:p>
          <w:p w14:paraId="6DF10AFE">
            <w:pPr>
              <w:pStyle w:val="108"/>
            </w:pPr>
            <w:r>
              <w:rPr>
                <w:rFonts w:hint="eastAsia"/>
              </w:rPr>
              <w:t>表4</w:t>
            </w:r>
            <w:r>
              <w:t>-9</w:t>
            </w:r>
            <w:r>
              <w:rPr>
                <w:rFonts w:hint="eastAsia"/>
              </w:rPr>
              <w:t xml:space="preserve">    Q值计算表</w:t>
            </w:r>
          </w:p>
          <w:tbl>
            <w:tblPr>
              <w:tblStyle w:val="30"/>
              <w:tblW w:w="836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524"/>
              <w:gridCol w:w="2785"/>
              <w:gridCol w:w="1640"/>
              <w:gridCol w:w="1291"/>
            </w:tblGrid>
            <w:tr w14:paraId="365EE0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123" w:type="dxa"/>
                  <w:tcBorders>
                    <w:top w:val="single" w:color="auto" w:sz="12" w:space="0"/>
                    <w:bottom w:val="single" w:color="auto" w:sz="12" w:space="0"/>
                  </w:tcBorders>
                  <w:shd w:val="clear" w:color="auto" w:fill="auto"/>
                  <w:vAlign w:val="center"/>
                </w:tcPr>
                <w:p w14:paraId="533F9148">
                  <w:pPr>
                    <w:widowControl/>
                    <w:kinsoku w:val="0"/>
                    <w:autoSpaceDE w:val="0"/>
                    <w:autoSpaceDN w:val="0"/>
                    <w:adjustRightInd w:val="0"/>
                    <w:snapToGrid w:val="0"/>
                    <w:jc w:val="center"/>
                    <w:textAlignment w:val="baseline"/>
                    <w:rPr>
                      <w:b/>
                      <w:bCs/>
                      <w:snapToGrid w:val="0"/>
                      <w:color w:val="000000"/>
                      <w:kern w:val="0"/>
                      <w:szCs w:val="21"/>
                    </w:rPr>
                  </w:pPr>
                  <w:r>
                    <w:rPr>
                      <w:rFonts w:hint="eastAsia"/>
                      <w:b/>
                      <w:bCs/>
                      <w:snapToGrid w:val="0"/>
                      <w:color w:val="000000"/>
                      <w:kern w:val="0"/>
                      <w:szCs w:val="21"/>
                    </w:rPr>
                    <w:t>序号</w:t>
                  </w:r>
                </w:p>
              </w:tc>
              <w:tc>
                <w:tcPr>
                  <w:tcW w:w="1524" w:type="dxa"/>
                  <w:tcBorders>
                    <w:top w:val="single" w:color="auto" w:sz="12" w:space="0"/>
                    <w:bottom w:val="single" w:color="auto" w:sz="12" w:space="0"/>
                  </w:tcBorders>
                  <w:shd w:val="clear" w:color="auto" w:fill="auto"/>
                  <w:vAlign w:val="center"/>
                </w:tcPr>
                <w:p w14:paraId="48B55D49">
                  <w:pPr>
                    <w:widowControl/>
                    <w:kinsoku w:val="0"/>
                    <w:autoSpaceDE w:val="0"/>
                    <w:autoSpaceDN w:val="0"/>
                    <w:adjustRightInd w:val="0"/>
                    <w:snapToGrid w:val="0"/>
                    <w:jc w:val="center"/>
                    <w:textAlignment w:val="baseline"/>
                    <w:rPr>
                      <w:b/>
                      <w:bCs/>
                      <w:snapToGrid w:val="0"/>
                      <w:color w:val="000000"/>
                      <w:kern w:val="0"/>
                      <w:szCs w:val="21"/>
                    </w:rPr>
                  </w:pPr>
                  <w:r>
                    <w:rPr>
                      <w:rFonts w:hint="eastAsia"/>
                      <w:b/>
                      <w:bCs/>
                      <w:snapToGrid w:val="0"/>
                      <w:color w:val="000000"/>
                      <w:kern w:val="0"/>
                      <w:szCs w:val="21"/>
                    </w:rPr>
                    <w:t>原料名称</w:t>
                  </w:r>
                </w:p>
              </w:tc>
              <w:tc>
                <w:tcPr>
                  <w:tcW w:w="2785" w:type="dxa"/>
                  <w:tcBorders>
                    <w:top w:val="single" w:color="auto" w:sz="12" w:space="0"/>
                    <w:bottom w:val="single" w:color="auto" w:sz="12" w:space="0"/>
                  </w:tcBorders>
                  <w:shd w:val="clear" w:color="auto" w:fill="auto"/>
                  <w:vAlign w:val="center"/>
                </w:tcPr>
                <w:p w14:paraId="70C88319">
                  <w:pPr>
                    <w:widowControl/>
                    <w:kinsoku w:val="0"/>
                    <w:autoSpaceDE w:val="0"/>
                    <w:autoSpaceDN w:val="0"/>
                    <w:adjustRightInd w:val="0"/>
                    <w:snapToGrid w:val="0"/>
                    <w:jc w:val="center"/>
                    <w:textAlignment w:val="baseline"/>
                    <w:rPr>
                      <w:b/>
                      <w:bCs/>
                      <w:snapToGrid w:val="0"/>
                      <w:color w:val="000000"/>
                      <w:kern w:val="0"/>
                      <w:szCs w:val="21"/>
                    </w:rPr>
                  </w:pPr>
                  <w:r>
                    <w:rPr>
                      <w:rFonts w:hint="eastAsia"/>
                      <w:b/>
                      <w:bCs/>
                      <w:snapToGrid w:val="0"/>
                      <w:color w:val="000000"/>
                      <w:kern w:val="0"/>
                      <w:szCs w:val="21"/>
                    </w:rPr>
                    <w:t>厂界最大储存量q/t</w:t>
                  </w:r>
                </w:p>
              </w:tc>
              <w:tc>
                <w:tcPr>
                  <w:tcW w:w="1640" w:type="dxa"/>
                  <w:tcBorders>
                    <w:top w:val="single" w:color="auto" w:sz="12" w:space="0"/>
                    <w:bottom w:val="single" w:color="auto" w:sz="12" w:space="0"/>
                  </w:tcBorders>
                  <w:shd w:val="clear" w:color="auto" w:fill="auto"/>
                  <w:vAlign w:val="center"/>
                </w:tcPr>
                <w:p w14:paraId="575A3E28">
                  <w:pPr>
                    <w:widowControl/>
                    <w:kinsoku w:val="0"/>
                    <w:autoSpaceDE w:val="0"/>
                    <w:autoSpaceDN w:val="0"/>
                    <w:adjustRightInd w:val="0"/>
                    <w:snapToGrid w:val="0"/>
                    <w:jc w:val="center"/>
                    <w:textAlignment w:val="baseline"/>
                    <w:rPr>
                      <w:b/>
                      <w:bCs/>
                      <w:snapToGrid w:val="0"/>
                      <w:color w:val="000000"/>
                      <w:kern w:val="0"/>
                      <w:szCs w:val="21"/>
                    </w:rPr>
                  </w:pPr>
                  <w:r>
                    <w:rPr>
                      <w:rFonts w:hint="eastAsia"/>
                      <w:b/>
                      <w:bCs/>
                      <w:snapToGrid w:val="0"/>
                      <w:color w:val="000000"/>
                      <w:kern w:val="0"/>
                      <w:szCs w:val="21"/>
                    </w:rPr>
                    <w:t>临界量Q/t</w:t>
                  </w:r>
                </w:p>
              </w:tc>
              <w:tc>
                <w:tcPr>
                  <w:tcW w:w="1291" w:type="dxa"/>
                  <w:tcBorders>
                    <w:top w:val="single" w:color="auto" w:sz="12" w:space="0"/>
                    <w:bottom w:val="single" w:color="auto" w:sz="12" w:space="0"/>
                  </w:tcBorders>
                  <w:shd w:val="clear" w:color="auto" w:fill="auto"/>
                  <w:vAlign w:val="center"/>
                </w:tcPr>
                <w:p w14:paraId="3C0F69E9">
                  <w:pPr>
                    <w:widowControl/>
                    <w:kinsoku w:val="0"/>
                    <w:autoSpaceDE w:val="0"/>
                    <w:autoSpaceDN w:val="0"/>
                    <w:adjustRightInd w:val="0"/>
                    <w:snapToGrid w:val="0"/>
                    <w:jc w:val="center"/>
                    <w:textAlignment w:val="baseline"/>
                    <w:rPr>
                      <w:b/>
                      <w:bCs/>
                      <w:snapToGrid w:val="0"/>
                      <w:color w:val="000000"/>
                      <w:kern w:val="0"/>
                      <w:szCs w:val="21"/>
                    </w:rPr>
                  </w:pPr>
                  <w:r>
                    <w:rPr>
                      <w:rFonts w:hint="eastAsia"/>
                      <w:b/>
                      <w:bCs/>
                      <w:snapToGrid w:val="0"/>
                      <w:color w:val="000000"/>
                      <w:kern w:val="0"/>
                      <w:szCs w:val="21"/>
                    </w:rPr>
                    <w:t>比值Q</w:t>
                  </w:r>
                </w:p>
              </w:tc>
            </w:tr>
            <w:tr w14:paraId="19D8E2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23" w:type="dxa"/>
                  <w:tcBorders>
                    <w:top w:val="single" w:color="auto" w:sz="12" w:space="0"/>
                  </w:tcBorders>
                  <w:shd w:val="clear" w:color="auto" w:fill="auto"/>
                  <w:vAlign w:val="center"/>
                </w:tcPr>
                <w:p w14:paraId="70CE7BA0">
                  <w:pPr>
                    <w:widowControl/>
                    <w:kinsoku w:val="0"/>
                    <w:autoSpaceDE w:val="0"/>
                    <w:autoSpaceDN w:val="0"/>
                    <w:adjustRightInd w:val="0"/>
                    <w:snapToGrid w:val="0"/>
                    <w:jc w:val="center"/>
                    <w:textAlignment w:val="baseline"/>
                    <w:rPr>
                      <w:snapToGrid w:val="0"/>
                      <w:color w:val="000000"/>
                      <w:kern w:val="0"/>
                      <w:szCs w:val="21"/>
                    </w:rPr>
                  </w:pPr>
                  <w:r>
                    <w:rPr>
                      <w:snapToGrid w:val="0"/>
                      <w:color w:val="000000"/>
                      <w:kern w:val="0"/>
                      <w:szCs w:val="21"/>
                    </w:rPr>
                    <w:t>1</w:t>
                  </w:r>
                </w:p>
              </w:tc>
              <w:tc>
                <w:tcPr>
                  <w:tcW w:w="1524" w:type="dxa"/>
                  <w:tcBorders>
                    <w:top w:val="single" w:color="auto" w:sz="12" w:space="0"/>
                  </w:tcBorders>
                  <w:shd w:val="clear" w:color="auto" w:fill="auto"/>
                  <w:vAlign w:val="center"/>
                </w:tcPr>
                <w:p w14:paraId="3C698AAF">
                  <w:pPr>
                    <w:widowControl/>
                    <w:kinsoku w:val="0"/>
                    <w:autoSpaceDE w:val="0"/>
                    <w:autoSpaceDN w:val="0"/>
                    <w:adjustRightInd w:val="0"/>
                    <w:snapToGrid w:val="0"/>
                    <w:jc w:val="center"/>
                    <w:textAlignment w:val="baseline"/>
                    <w:rPr>
                      <w:snapToGrid w:val="0"/>
                      <w:color w:val="000000"/>
                      <w:kern w:val="0"/>
                      <w:szCs w:val="21"/>
                    </w:rPr>
                  </w:pPr>
                  <w:r>
                    <w:rPr>
                      <w:snapToGrid w:val="0"/>
                      <w:color w:val="000000"/>
                      <w:kern w:val="0"/>
                      <w:szCs w:val="21"/>
                    </w:rPr>
                    <w:t>废机油</w:t>
                  </w:r>
                </w:p>
              </w:tc>
              <w:tc>
                <w:tcPr>
                  <w:tcW w:w="2785" w:type="dxa"/>
                  <w:tcBorders>
                    <w:top w:val="single" w:color="auto" w:sz="12" w:space="0"/>
                  </w:tcBorders>
                  <w:shd w:val="clear" w:color="auto" w:fill="auto"/>
                  <w:vAlign w:val="center"/>
                </w:tcPr>
                <w:p w14:paraId="37FA223B">
                  <w:pPr>
                    <w:widowControl/>
                    <w:kinsoku w:val="0"/>
                    <w:autoSpaceDE w:val="0"/>
                    <w:autoSpaceDN w:val="0"/>
                    <w:adjustRightInd w:val="0"/>
                    <w:snapToGrid w:val="0"/>
                    <w:jc w:val="center"/>
                    <w:textAlignment w:val="baseline"/>
                    <w:rPr>
                      <w:snapToGrid w:val="0"/>
                      <w:color w:val="000000"/>
                      <w:kern w:val="0"/>
                      <w:szCs w:val="21"/>
                    </w:rPr>
                  </w:pPr>
                  <w:r>
                    <w:rPr>
                      <w:snapToGrid w:val="0"/>
                      <w:color w:val="000000"/>
                      <w:kern w:val="0"/>
                      <w:szCs w:val="21"/>
                    </w:rPr>
                    <w:t>0.2</w:t>
                  </w:r>
                </w:p>
              </w:tc>
              <w:tc>
                <w:tcPr>
                  <w:tcW w:w="1640" w:type="dxa"/>
                  <w:tcBorders>
                    <w:top w:val="single" w:color="auto" w:sz="12" w:space="0"/>
                  </w:tcBorders>
                  <w:shd w:val="clear" w:color="auto" w:fill="auto"/>
                  <w:vAlign w:val="center"/>
                </w:tcPr>
                <w:p w14:paraId="1200164A">
                  <w:pPr>
                    <w:widowControl/>
                    <w:kinsoku w:val="0"/>
                    <w:autoSpaceDE w:val="0"/>
                    <w:autoSpaceDN w:val="0"/>
                    <w:adjustRightInd w:val="0"/>
                    <w:snapToGrid w:val="0"/>
                    <w:jc w:val="center"/>
                    <w:textAlignment w:val="baseline"/>
                    <w:rPr>
                      <w:snapToGrid w:val="0"/>
                      <w:color w:val="000000"/>
                      <w:kern w:val="0"/>
                      <w:szCs w:val="21"/>
                    </w:rPr>
                  </w:pPr>
                  <w:r>
                    <w:rPr>
                      <w:snapToGrid w:val="0"/>
                      <w:color w:val="000000"/>
                      <w:kern w:val="0"/>
                      <w:szCs w:val="21"/>
                    </w:rPr>
                    <w:t>2500</w:t>
                  </w:r>
                </w:p>
              </w:tc>
              <w:tc>
                <w:tcPr>
                  <w:tcW w:w="1291" w:type="dxa"/>
                  <w:tcBorders>
                    <w:top w:val="single" w:color="auto" w:sz="12" w:space="0"/>
                  </w:tcBorders>
                  <w:shd w:val="clear" w:color="auto" w:fill="auto"/>
                  <w:vAlign w:val="center"/>
                </w:tcPr>
                <w:p w14:paraId="2863DB18">
                  <w:pPr>
                    <w:widowControl/>
                    <w:kinsoku w:val="0"/>
                    <w:autoSpaceDE w:val="0"/>
                    <w:autoSpaceDN w:val="0"/>
                    <w:adjustRightInd w:val="0"/>
                    <w:snapToGrid w:val="0"/>
                    <w:jc w:val="center"/>
                    <w:textAlignment w:val="baseline"/>
                    <w:rPr>
                      <w:snapToGrid w:val="0"/>
                      <w:color w:val="000000"/>
                      <w:kern w:val="0"/>
                      <w:szCs w:val="21"/>
                    </w:rPr>
                  </w:pPr>
                  <w:r>
                    <w:rPr>
                      <w:snapToGrid w:val="0"/>
                      <w:color w:val="000000"/>
                      <w:kern w:val="0"/>
                      <w:szCs w:val="21"/>
                    </w:rPr>
                    <w:t>0.00008</w:t>
                  </w:r>
                </w:p>
              </w:tc>
            </w:tr>
          </w:tbl>
          <w:p w14:paraId="308031C6">
            <w:pPr>
              <w:pStyle w:val="55"/>
              <w:ind w:firstLine="0" w:firstLineChars="0"/>
              <w:rPr>
                <w:color w:val="000000"/>
              </w:rPr>
            </w:pPr>
            <w:r>
              <w:rPr>
                <w:color w:val="000000"/>
              </w:rPr>
              <w:t xml:space="preserve">根据《建设项目环境风险评价技术导则》（HJ169-2018）附录 </w:t>
            </w:r>
            <w:r>
              <w:rPr>
                <w:rFonts w:hint="eastAsia"/>
                <w:color w:val="000000"/>
              </w:rPr>
              <w:t>C</w:t>
            </w:r>
            <w:r>
              <w:rPr>
                <w:color w:val="000000"/>
              </w:rPr>
              <w:t>中C.1.1“当Q＜1，该项目风险潜势为Ⅰ级”，因此本项目评价工作等级为简单分析</w:t>
            </w:r>
            <w:r>
              <w:rPr>
                <w:rFonts w:hint="eastAsia"/>
                <w:color w:val="000000"/>
              </w:rPr>
              <w:t>。</w:t>
            </w:r>
          </w:p>
          <w:p w14:paraId="41025817">
            <w:pPr>
              <w:pStyle w:val="55"/>
              <w:ind w:firstLine="0" w:firstLineChars="0"/>
              <w:rPr>
                <w:b/>
                <w:bCs/>
              </w:rPr>
            </w:pPr>
            <w:r>
              <w:rPr>
                <w:b/>
                <w:bCs/>
              </w:rPr>
              <w:t>7.2</w:t>
            </w:r>
            <w:r>
              <w:rPr>
                <w:rFonts w:hint="eastAsia"/>
                <w:b/>
                <w:bCs/>
              </w:rPr>
              <w:t>环境风险分析</w:t>
            </w:r>
          </w:p>
          <w:p w14:paraId="11FA380F">
            <w:pPr>
              <w:pStyle w:val="55"/>
              <w:ind w:firstLine="480"/>
            </w:pPr>
            <w:r>
              <w:rPr>
                <w:rFonts w:hint="eastAsia"/>
              </w:rPr>
              <w:t>本项目不涉及到危险物质，且3km范围内无主要环境敏感目标分布，因此几乎不会对大气、地下水、土壤产生环境风险影响。</w:t>
            </w:r>
          </w:p>
          <w:p w14:paraId="474558C9">
            <w:pPr>
              <w:pStyle w:val="55"/>
              <w:ind w:firstLine="0" w:firstLineChars="0"/>
              <w:rPr>
                <w:b/>
                <w:bCs/>
              </w:rPr>
            </w:pPr>
            <w:r>
              <w:rPr>
                <w:b/>
                <w:bCs/>
              </w:rPr>
              <w:t>7.3</w:t>
            </w:r>
            <w:r>
              <w:rPr>
                <w:rFonts w:hint="eastAsia"/>
                <w:b/>
                <w:bCs/>
              </w:rPr>
              <w:t>环境风险防范措施及应急要求</w:t>
            </w:r>
          </w:p>
          <w:p w14:paraId="4A6BFFD8">
            <w:pPr>
              <w:pStyle w:val="55"/>
              <w:ind w:firstLine="480"/>
            </w:pPr>
            <w:r>
              <w:rPr>
                <w:rFonts w:hint="eastAsia"/>
              </w:rPr>
              <w:t>落实安全检查制度，定期检查，排除火灾隐患；加强厂区消防检查和管理，在厂区按照消防要求设置灭火器材；要加强对各岗位员工进行风险意识、风险知识、安全技能、规章制度、应变能力等素质等各方面的培训和教育；企业应严格执行相关风险控制措施；准备各项应急救援物资。</w:t>
            </w:r>
          </w:p>
          <w:p w14:paraId="2C42DFBB">
            <w:pPr>
              <w:autoSpaceDE w:val="0"/>
              <w:autoSpaceDN w:val="0"/>
              <w:adjustRightInd w:val="0"/>
              <w:snapToGrid w:val="0"/>
              <w:spacing w:line="360" w:lineRule="auto"/>
              <w:jc w:val="left"/>
              <w:rPr>
                <w:rFonts w:cs="宋体"/>
                <w:b/>
                <w:kern w:val="0"/>
                <w:sz w:val="24"/>
              </w:rPr>
            </w:pPr>
            <w:r>
              <w:rPr>
                <w:rFonts w:cs="宋体"/>
                <w:b/>
                <w:kern w:val="0"/>
                <w:sz w:val="24"/>
              </w:rPr>
              <w:t>7.3.1环境风险防控措施</w:t>
            </w:r>
          </w:p>
          <w:p w14:paraId="1C8DCFBE">
            <w:pPr>
              <w:widowControl/>
              <w:kinsoku w:val="0"/>
              <w:autoSpaceDE w:val="0"/>
              <w:autoSpaceDN w:val="0"/>
              <w:adjustRightInd w:val="0"/>
              <w:snapToGrid w:val="0"/>
              <w:spacing w:line="360" w:lineRule="auto"/>
              <w:ind w:firstLine="480" w:firstLineChars="200"/>
              <w:textAlignment w:val="baseline"/>
              <w:rPr>
                <w:rFonts w:ascii="宋体" w:hAnsi="宋体" w:cs="宋体"/>
                <w:snapToGrid w:val="0"/>
                <w:color w:val="000000"/>
                <w:kern w:val="0"/>
                <w:sz w:val="24"/>
              </w:rPr>
            </w:pPr>
            <w:r>
              <w:rPr>
                <w:rFonts w:hint="eastAsia"/>
                <w:snapToGrid w:val="0"/>
                <w:color w:val="000000"/>
                <w:kern w:val="0"/>
                <w:sz w:val="24"/>
              </w:rPr>
              <w:t>（1）</w:t>
            </w:r>
            <w:r>
              <w:rPr>
                <w:snapToGrid w:val="0"/>
                <w:color w:val="000000"/>
                <w:kern w:val="0"/>
                <w:sz w:val="24"/>
              </w:rPr>
              <w:t>建立完善的安全生产管理制度和消防安全规定，制定设备操作规程并严格遵照执行</w:t>
            </w:r>
            <w:r>
              <w:rPr>
                <w:rFonts w:hint="eastAsia"/>
                <w:snapToGrid w:val="0"/>
                <w:color w:val="000000"/>
                <w:kern w:val="0"/>
                <w:sz w:val="24"/>
              </w:rPr>
              <w:t>。</w:t>
            </w:r>
          </w:p>
          <w:p w14:paraId="07677874">
            <w:pPr>
              <w:widowControl/>
              <w:kinsoku w:val="0"/>
              <w:autoSpaceDE w:val="0"/>
              <w:autoSpaceDN w:val="0"/>
              <w:adjustRightInd w:val="0"/>
              <w:snapToGrid w:val="0"/>
              <w:spacing w:line="360" w:lineRule="auto"/>
              <w:ind w:firstLine="480" w:firstLineChars="200"/>
              <w:textAlignment w:val="baseline"/>
              <w:rPr>
                <w:snapToGrid w:val="0"/>
                <w:color w:val="000000"/>
                <w:kern w:val="0"/>
                <w:sz w:val="24"/>
              </w:rPr>
            </w:pPr>
            <w:r>
              <w:rPr>
                <w:rFonts w:hint="eastAsia"/>
                <w:snapToGrid w:val="0"/>
                <w:color w:val="000000"/>
                <w:kern w:val="0"/>
                <w:sz w:val="24"/>
              </w:rPr>
              <w:t>（2）</w:t>
            </w:r>
            <w:r>
              <w:rPr>
                <w:snapToGrid w:val="0"/>
                <w:color w:val="000000"/>
                <w:kern w:val="0"/>
                <w:sz w:val="24"/>
              </w:rPr>
              <w:t>生产车间等应按照《建筑设计防火规范》等文件的要求设置消防给水和灭火设施、火灾探测及火灾报警系统。生产车间、库房配备灭火器、消防栓等消防器材</w:t>
            </w:r>
            <w:r>
              <w:rPr>
                <w:rFonts w:hint="eastAsia"/>
                <w:snapToGrid w:val="0"/>
                <w:color w:val="000000"/>
                <w:kern w:val="0"/>
                <w:sz w:val="24"/>
              </w:rPr>
              <w:t>。</w:t>
            </w:r>
          </w:p>
          <w:p w14:paraId="2784B81C">
            <w:pPr>
              <w:widowControl/>
              <w:kinsoku w:val="0"/>
              <w:autoSpaceDE w:val="0"/>
              <w:autoSpaceDN w:val="0"/>
              <w:adjustRightInd w:val="0"/>
              <w:snapToGrid w:val="0"/>
              <w:spacing w:line="360" w:lineRule="auto"/>
              <w:ind w:firstLine="480" w:firstLineChars="200"/>
              <w:textAlignment w:val="baseline"/>
              <w:rPr>
                <w:snapToGrid w:val="0"/>
                <w:color w:val="000000"/>
                <w:kern w:val="0"/>
                <w:sz w:val="24"/>
              </w:rPr>
            </w:pPr>
            <w:r>
              <w:rPr>
                <w:rFonts w:hint="eastAsia"/>
                <w:snapToGrid w:val="0"/>
                <w:color w:val="000000"/>
                <w:kern w:val="0"/>
                <w:sz w:val="24"/>
              </w:rPr>
              <w:t>（3）</w:t>
            </w:r>
            <w:r>
              <w:rPr>
                <w:snapToGrid w:val="0"/>
                <w:color w:val="000000"/>
                <w:kern w:val="0"/>
                <w:sz w:val="24"/>
              </w:rPr>
              <w:t>生产区域应加强管理，避免和及时消除各种激发能源的产生和积累，杜绝火种及违章违纪现象，进入车辆必须装阻火器。</w:t>
            </w:r>
          </w:p>
          <w:p w14:paraId="2997C5F7">
            <w:pPr>
              <w:widowControl/>
              <w:kinsoku w:val="0"/>
              <w:autoSpaceDE w:val="0"/>
              <w:autoSpaceDN w:val="0"/>
              <w:adjustRightInd w:val="0"/>
              <w:snapToGrid w:val="0"/>
              <w:spacing w:line="360" w:lineRule="auto"/>
              <w:ind w:firstLine="480" w:firstLineChars="200"/>
              <w:textAlignment w:val="baseline"/>
              <w:rPr>
                <w:snapToGrid w:val="0"/>
                <w:color w:val="000000"/>
                <w:kern w:val="0"/>
                <w:sz w:val="24"/>
              </w:rPr>
            </w:pPr>
            <w:r>
              <w:rPr>
                <w:rFonts w:hint="eastAsia"/>
                <w:snapToGrid w:val="0"/>
                <w:color w:val="000000"/>
                <w:kern w:val="0"/>
                <w:sz w:val="24"/>
              </w:rPr>
              <w:t>（4）</w:t>
            </w:r>
            <w:r>
              <w:rPr>
                <w:snapToGrid w:val="0"/>
                <w:color w:val="000000"/>
                <w:kern w:val="0"/>
                <w:sz w:val="24"/>
              </w:rPr>
              <w:t>加强员工的思想教育，提高员工的责任心和主观能动性：完善并严格遵守相关的操作规程，加强岗位培训，落实岗位责任制，加强设备管理。</w:t>
            </w:r>
          </w:p>
          <w:p w14:paraId="3E926C9F">
            <w:pPr>
              <w:widowControl/>
              <w:kinsoku w:val="0"/>
              <w:autoSpaceDE w:val="0"/>
              <w:autoSpaceDN w:val="0"/>
              <w:adjustRightInd w:val="0"/>
              <w:snapToGrid w:val="0"/>
              <w:spacing w:line="360" w:lineRule="auto"/>
              <w:ind w:firstLine="480" w:firstLineChars="200"/>
              <w:textAlignment w:val="baseline"/>
              <w:rPr>
                <w:snapToGrid w:val="0"/>
                <w:color w:val="000000"/>
                <w:kern w:val="0"/>
                <w:sz w:val="24"/>
              </w:rPr>
            </w:pPr>
            <w:r>
              <w:rPr>
                <w:rFonts w:hint="eastAsia"/>
                <w:snapToGrid w:val="0"/>
                <w:color w:val="000000"/>
                <w:kern w:val="0"/>
                <w:sz w:val="24"/>
              </w:rPr>
              <w:t>（5）</w:t>
            </w:r>
            <w:r>
              <w:rPr>
                <w:snapToGrid w:val="0"/>
                <w:color w:val="000000"/>
                <w:kern w:val="0"/>
                <w:sz w:val="24"/>
              </w:rPr>
              <w:t>加强事故管理，在生产过程中注意对其它单位相关事故的研究，充分吸取经验和教训。</w:t>
            </w:r>
          </w:p>
          <w:p w14:paraId="125DEC14">
            <w:pPr>
              <w:autoSpaceDE w:val="0"/>
              <w:autoSpaceDN w:val="0"/>
              <w:adjustRightInd w:val="0"/>
              <w:snapToGrid w:val="0"/>
              <w:spacing w:line="360" w:lineRule="auto"/>
              <w:jc w:val="left"/>
              <w:rPr>
                <w:rFonts w:cs="宋体"/>
                <w:b/>
                <w:kern w:val="0"/>
                <w:sz w:val="24"/>
              </w:rPr>
            </w:pPr>
            <w:r>
              <w:rPr>
                <w:rFonts w:cs="宋体"/>
                <w:b/>
                <w:kern w:val="0"/>
                <w:sz w:val="24"/>
              </w:rPr>
              <w:t>7.4风险事故应急预案</w:t>
            </w:r>
          </w:p>
          <w:p w14:paraId="3836665A">
            <w:pPr>
              <w:widowControl/>
              <w:kinsoku w:val="0"/>
              <w:autoSpaceDE w:val="0"/>
              <w:autoSpaceDN w:val="0"/>
              <w:adjustRightInd w:val="0"/>
              <w:snapToGrid w:val="0"/>
              <w:spacing w:line="360" w:lineRule="auto"/>
              <w:ind w:firstLine="480" w:firstLineChars="200"/>
              <w:textAlignment w:val="baseline"/>
              <w:rPr>
                <w:snapToGrid w:val="0"/>
                <w:color w:val="000000"/>
                <w:kern w:val="0"/>
                <w:sz w:val="24"/>
              </w:rPr>
            </w:pPr>
            <w:r>
              <w:rPr>
                <w:snapToGrid w:val="0"/>
                <w:color w:val="000000"/>
                <w:kern w:val="0"/>
                <w:sz w:val="24"/>
              </w:rPr>
              <w:t>建设单位应按照《企业事业单位突发环境事件应急预案备案管理办法（试行）》（环发〔2015〕4号）的要求建立环境风险事故应急预案，应急预案所要求的基本内容可参照表4-10中的相关内容。</w:t>
            </w:r>
          </w:p>
          <w:p w14:paraId="1A014F2F">
            <w:pPr>
              <w:jc w:val="center"/>
              <w:rPr>
                <w:b/>
                <w:bCs/>
                <w:szCs w:val="21"/>
              </w:rPr>
            </w:pPr>
            <w:r>
              <w:rPr>
                <w:b/>
                <w:bCs/>
                <w:szCs w:val="21"/>
              </w:rPr>
              <w:t>表4-10    应急预案内容一览表</w:t>
            </w:r>
          </w:p>
          <w:tbl>
            <w:tblPr>
              <w:tblStyle w:val="3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292"/>
              <w:gridCol w:w="5464"/>
            </w:tblGrid>
            <w:tr w14:paraId="377ABD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tcBorders>
                    <w:top w:val="single" w:color="auto" w:sz="12" w:space="0"/>
                    <w:bottom w:val="single" w:color="auto" w:sz="12" w:space="0"/>
                  </w:tcBorders>
                  <w:vAlign w:val="center"/>
                </w:tcPr>
                <w:p w14:paraId="3F47724D">
                  <w:pPr>
                    <w:jc w:val="center"/>
                    <w:rPr>
                      <w:b/>
                      <w:bCs/>
                    </w:rPr>
                  </w:pPr>
                  <w:r>
                    <w:rPr>
                      <w:b/>
                      <w:bCs/>
                    </w:rPr>
                    <w:t>序号</w:t>
                  </w:r>
                </w:p>
              </w:tc>
              <w:tc>
                <w:tcPr>
                  <w:tcW w:w="1353" w:type="pct"/>
                  <w:tcBorders>
                    <w:top w:val="single" w:color="auto" w:sz="12" w:space="0"/>
                    <w:bottom w:val="single" w:color="auto" w:sz="12" w:space="0"/>
                  </w:tcBorders>
                  <w:vAlign w:val="center"/>
                </w:tcPr>
                <w:p w14:paraId="32F8BE9A">
                  <w:pPr>
                    <w:jc w:val="center"/>
                    <w:rPr>
                      <w:b/>
                      <w:bCs/>
                    </w:rPr>
                  </w:pPr>
                  <w:r>
                    <w:rPr>
                      <w:b/>
                      <w:bCs/>
                    </w:rPr>
                    <w:t>项目</w:t>
                  </w:r>
                </w:p>
              </w:tc>
              <w:tc>
                <w:tcPr>
                  <w:tcW w:w="3225" w:type="pct"/>
                  <w:tcBorders>
                    <w:top w:val="single" w:color="auto" w:sz="12" w:space="0"/>
                    <w:bottom w:val="single" w:color="auto" w:sz="12" w:space="0"/>
                  </w:tcBorders>
                  <w:vAlign w:val="center"/>
                </w:tcPr>
                <w:p w14:paraId="0BB4F07E">
                  <w:pPr>
                    <w:jc w:val="center"/>
                    <w:rPr>
                      <w:b/>
                      <w:bCs/>
                    </w:rPr>
                  </w:pPr>
                  <w:r>
                    <w:rPr>
                      <w:b/>
                      <w:bCs/>
                    </w:rPr>
                    <w:t>内容及要求</w:t>
                  </w:r>
                </w:p>
              </w:tc>
            </w:tr>
            <w:tr w14:paraId="60F3C2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tcBorders>
                    <w:top w:val="single" w:color="auto" w:sz="12" w:space="0"/>
                  </w:tcBorders>
                  <w:vAlign w:val="center"/>
                </w:tcPr>
                <w:p w14:paraId="7AC0277F">
                  <w:pPr>
                    <w:jc w:val="center"/>
                  </w:pPr>
                  <w:r>
                    <w:t>1</w:t>
                  </w:r>
                </w:p>
              </w:tc>
              <w:tc>
                <w:tcPr>
                  <w:tcW w:w="1353" w:type="pct"/>
                  <w:tcBorders>
                    <w:top w:val="single" w:color="auto" w:sz="12" w:space="0"/>
                  </w:tcBorders>
                  <w:vAlign w:val="center"/>
                </w:tcPr>
                <w:p w14:paraId="38B83D9B">
                  <w:pPr>
                    <w:jc w:val="center"/>
                  </w:pPr>
                  <w:r>
                    <w:t>应急计划区</w:t>
                  </w:r>
                </w:p>
              </w:tc>
              <w:tc>
                <w:tcPr>
                  <w:tcW w:w="3225" w:type="pct"/>
                  <w:tcBorders>
                    <w:top w:val="single" w:color="auto" w:sz="12" w:space="0"/>
                  </w:tcBorders>
                  <w:vAlign w:val="center"/>
                </w:tcPr>
                <w:p w14:paraId="0F203090">
                  <w:r>
                    <w:t>主要危险源：危废间、相关环保设施等；</w:t>
                  </w:r>
                </w:p>
              </w:tc>
            </w:tr>
            <w:tr w14:paraId="3DD4A7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vAlign w:val="center"/>
                </w:tcPr>
                <w:p w14:paraId="026E2015">
                  <w:pPr>
                    <w:jc w:val="center"/>
                  </w:pPr>
                  <w:r>
                    <w:t>2</w:t>
                  </w:r>
                </w:p>
              </w:tc>
              <w:tc>
                <w:tcPr>
                  <w:tcW w:w="1353" w:type="pct"/>
                  <w:vAlign w:val="center"/>
                </w:tcPr>
                <w:p w14:paraId="55D17B47">
                  <w:pPr>
                    <w:jc w:val="center"/>
                  </w:pPr>
                  <w:r>
                    <w:t>应急组织机构、人员</w:t>
                  </w:r>
                </w:p>
              </w:tc>
              <w:tc>
                <w:tcPr>
                  <w:tcW w:w="3225" w:type="pct"/>
                  <w:vAlign w:val="center"/>
                </w:tcPr>
                <w:p w14:paraId="60732EBB">
                  <w:r>
                    <w:rPr>
                      <w:kern w:val="0"/>
                    </w:rPr>
                    <w:t>公司设应急组织机构，经理为应急计划、协调第一人，应急人员必须为培训上岗熟练工；由当地政府进行统一调度。</w:t>
                  </w:r>
                </w:p>
              </w:tc>
            </w:tr>
            <w:tr w14:paraId="12F0D6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vAlign w:val="center"/>
                </w:tcPr>
                <w:p w14:paraId="223A3F4F">
                  <w:pPr>
                    <w:jc w:val="center"/>
                  </w:pPr>
                  <w:r>
                    <w:t>3</w:t>
                  </w:r>
                </w:p>
              </w:tc>
              <w:tc>
                <w:tcPr>
                  <w:tcW w:w="1353" w:type="pct"/>
                  <w:vAlign w:val="center"/>
                </w:tcPr>
                <w:p w14:paraId="2F9B6CE0">
                  <w:pPr>
                    <w:jc w:val="center"/>
                  </w:pPr>
                  <w:r>
                    <w:t>预案分级响应条件</w:t>
                  </w:r>
                </w:p>
              </w:tc>
              <w:tc>
                <w:tcPr>
                  <w:tcW w:w="3225" w:type="pct"/>
                  <w:vAlign w:val="center"/>
                </w:tcPr>
                <w:p w14:paraId="78ACA989">
                  <w:r>
                    <w:rPr>
                      <w:kern w:val="0"/>
                    </w:rPr>
                    <w:t>根据事故的严重程度制定相应级别的应急预案，以及适合相应情况的处理措施。</w:t>
                  </w:r>
                </w:p>
              </w:tc>
            </w:tr>
            <w:tr w14:paraId="460F91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vAlign w:val="center"/>
                </w:tcPr>
                <w:p w14:paraId="3C6744BE">
                  <w:pPr>
                    <w:jc w:val="center"/>
                  </w:pPr>
                  <w:r>
                    <w:t>4</w:t>
                  </w:r>
                </w:p>
              </w:tc>
              <w:tc>
                <w:tcPr>
                  <w:tcW w:w="1353" w:type="pct"/>
                  <w:vAlign w:val="center"/>
                </w:tcPr>
                <w:p w14:paraId="60C50DD4">
                  <w:pPr>
                    <w:jc w:val="center"/>
                  </w:pPr>
                  <w:r>
                    <w:t>应急救援保障</w:t>
                  </w:r>
                </w:p>
              </w:tc>
              <w:tc>
                <w:tcPr>
                  <w:tcW w:w="3225" w:type="pct"/>
                  <w:vAlign w:val="center"/>
                </w:tcPr>
                <w:p w14:paraId="02B071EF">
                  <w:pPr>
                    <w:jc w:val="center"/>
                  </w:pPr>
                  <w:r>
                    <w:t>应急设施，设备与器材</w:t>
                  </w:r>
                </w:p>
              </w:tc>
            </w:tr>
            <w:tr w14:paraId="56700E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vAlign w:val="center"/>
                </w:tcPr>
                <w:p w14:paraId="5E4328C6">
                  <w:pPr>
                    <w:jc w:val="center"/>
                  </w:pPr>
                  <w:r>
                    <w:t>5</w:t>
                  </w:r>
                </w:p>
              </w:tc>
              <w:tc>
                <w:tcPr>
                  <w:tcW w:w="1353" w:type="pct"/>
                  <w:vAlign w:val="center"/>
                </w:tcPr>
                <w:p w14:paraId="51802871">
                  <w:r>
                    <w:t>报警、通讯联络方式</w:t>
                  </w:r>
                </w:p>
              </w:tc>
              <w:tc>
                <w:tcPr>
                  <w:tcW w:w="3225" w:type="pct"/>
                  <w:vAlign w:val="center"/>
                </w:tcPr>
                <w:p w14:paraId="3C9C6233">
                  <w:r>
                    <w:rPr>
                      <w:kern w:val="0"/>
                    </w:rPr>
                    <w:t>逐一细化应急状态下各主要负责部门的报警通讯方式、地点、电话号码以及相关配套的交通保障、管制、消防联络方法，涉及跨区域的还应与相关区域环境保护部门和上级环保部门保持联系，以获得区域性支援</w:t>
                  </w:r>
                  <w:r>
                    <w:rPr>
                      <w:rFonts w:hint="eastAsia"/>
                      <w:kern w:val="0"/>
                    </w:rPr>
                    <w:t>。</w:t>
                  </w:r>
                </w:p>
              </w:tc>
            </w:tr>
            <w:tr w14:paraId="78B8A7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vAlign w:val="center"/>
                </w:tcPr>
                <w:p w14:paraId="23EDF0A2">
                  <w:pPr>
                    <w:jc w:val="center"/>
                  </w:pPr>
                  <w:r>
                    <w:t>6</w:t>
                  </w:r>
                </w:p>
              </w:tc>
              <w:tc>
                <w:tcPr>
                  <w:tcW w:w="1353" w:type="pct"/>
                  <w:vAlign w:val="center"/>
                </w:tcPr>
                <w:p w14:paraId="7A354EE4">
                  <w:r>
                    <w:t>应急环境监测、抢险、救援及控制措施</w:t>
                  </w:r>
                </w:p>
              </w:tc>
              <w:tc>
                <w:tcPr>
                  <w:tcW w:w="3225" w:type="pct"/>
                  <w:vAlign w:val="center"/>
                </w:tcPr>
                <w:p w14:paraId="6A206B13">
                  <w:r>
                    <w:t>由专业队伍负责对事故现场进行侦查监测，对事故性质、参数与后果进行评估，为指挥部门提供决策依据</w:t>
                  </w:r>
                </w:p>
              </w:tc>
            </w:tr>
            <w:tr w14:paraId="446938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vAlign w:val="center"/>
                </w:tcPr>
                <w:p w14:paraId="5F0351EE">
                  <w:pPr>
                    <w:jc w:val="center"/>
                  </w:pPr>
                  <w:r>
                    <w:t>7</w:t>
                  </w:r>
                </w:p>
              </w:tc>
              <w:tc>
                <w:tcPr>
                  <w:tcW w:w="1353" w:type="pct"/>
                  <w:vAlign w:val="center"/>
                </w:tcPr>
                <w:p w14:paraId="1D6B0948">
                  <w:r>
                    <w:t>应急检测、防护措施、清楚泄露措施和器材</w:t>
                  </w:r>
                </w:p>
              </w:tc>
              <w:tc>
                <w:tcPr>
                  <w:tcW w:w="3225" w:type="pct"/>
                  <w:vAlign w:val="center"/>
                </w:tcPr>
                <w:p w14:paraId="2E4FBF43">
                  <w:r>
                    <w:t>事故现场、临近区域、控制防火措施，控制和清楚污染措施及相应设备</w:t>
                  </w:r>
                </w:p>
              </w:tc>
            </w:tr>
            <w:tr w14:paraId="02445A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vAlign w:val="center"/>
                </w:tcPr>
                <w:p w14:paraId="13A35AFE">
                  <w:pPr>
                    <w:jc w:val="center"/>
                  </w:pPr>
                  <w:r>
                    <w:t>8</w:t>
                  </w:r>
                </w:p>
              </w:tc>
              <w:tc>
                <w:tcPr>
                  <w:tcW w:w="1353" w:type="pct"/>
                  <w:vAlign w:val="center"/>
                </w:tcPr>
                <w:p w14:paraId="7CE67FA3">
                  <w:r>
                    <w:t>人员紧急撤离、疏散，应急剂量控制、撤离组织计划</w:t>
                  </w:r>
                </w:p>
              </w:tc>
              <w:tc>
                <w:tcPr>
                  <w:tcW w:w="3225" w:type="pct"/>
                  <w:vAlign w:val="center"/>
                </w:tcPr>
                <w:p w14:paraId="31BB875A">
                  <w:r>
                    <w:t>事故现场、厂区临近区、受事故影响的区域人员及公众对毒物应急剂量控制规定，撤离组织计划及救护，医疗救护与公众健康</w:t>
                  </w:r>
                </w:p>
              </w:tc>
            </w:tr>
            <w:tr w14:paraId="5227C3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vAlign w:val="center"/>
                </w:tcPr>
                <w:p w14:paraId="134AA2DC">
                  <w:pPr>
                    <w:jc w:val="center"/>
                  </w:pPr>
                  <w:r>
                    <w:t>9</w:t>
                  </w:r>
                </w:p>
              </w:tc>
              <w:tc>
                <w:tcPr>
                  <w:tcW w:w="1353" w:type="pct"/>
                  <w:vAlign w:val="center"/>
                </w:tcPr>
                <w:p w14:paraId="315690F1">
                  <w:r>
                    <w:t>事故应急救援关闭程序与恢复措施</w:t>
                  </w:r>
                </w:p>
              </w:tc>
              <w:tc>
                <w:tcPr>
                  <w:tcW w:w="3225" w:type="pct"/>
                  <w:vAlign w:val="center"/>
                </w:tcPr>
                <w:p w14:paraId="61032ED0">
                  <w:r>
                    <w:rPr>
                      <w:kern w:val="0"/>
                    </w:rPr>
                    <w:t>制定相关应急状态终止程序，事故现场、受影响范围内的善后处理、恢复措施，邻近区域解除事故警戒及善后恢复措施</w:t>
                  </w:r>
                </w:p>
              </w:tc>
            </w:tr>
            <w:tr w14:paraId="3CC4C3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vAlign w:val="center"/>
                </w:tcPr>
                <w:p w14:paraId="5A80C240">
                  <w:pPr>
                    <w:jc w:val="center"/>
                  </w:pPr>
                  <w:r>
                    <w:t>10</w:t>
                  </w:r>
                </w:p>
              </w:tc>
              <w:tc>
                <w:tcPr>
                  <w:tcW w:w="1353" w:type="pct"/>
                  <w:vAlign w:val="center"/>
                </w:tcPr>
                <w:p w14:paraId="18A8FE0C">
                  <w:pPr>
                    <w:jc w:val="center"/>
                  </w:pPr>
                  <w:r>
                    <w:t>应急培训计划</w:t>
                  </w:r>
                </w:p>
              </w:tc>
              <w:tc>
                <w:tcPr>
                  <w:tcW w:w="3225" w:type="pct"/>
                  <w:vAlign w:val="center"/>
                </w:tcPr>
                <w:p w14:paraId="2626E24F">
                  <w:pPr>
                    <w:jc w:val="center"/>
                  </w:pPr>
                  <w:r>
                    <w:t>定期安排有关人员进行培训与演练</w:t>
                  </w:r>
                </w:p>
              </w:tc>
            </w:tr>
            <w:tr w14:paraId="6DC994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0" w:type="pct"/>
                  <w:vAlign w:val="center"/>
                </w:tcPr>
                <w:p w14:paraId="63840E59">
                  <w:pPr>
                    <w:jc w:val="center"/>
                  </w:pPr>
                  <w:r>
                    <w:t>11</w:t>
                  </w:r>
                </w:p>
              </w:tc>
              <w:tc>
                <w:tcPr>
                  <w:tcW w:w="1353" w:type="pct"/>
                  <w:vAlign w:val="center"/>
                </w:tcPr>
                <w:p w14:paraId="5C2755D4">
                  <w:pPr>
                    <w:jc w:val="center"/>
                  </w:pPr>
                  <w:r>
                    <w:t>公众教育和信息</w:t>
                  </w:r>
                </w:p>
              </w:tc>
              <w:tc>
                <w:tcPr>
                  <w:tcW w:w="3225" w:type="pct"/>
                  <w:vAlign w:val="center"/>
                </w:tcPr>
                <w:p w14:paraId="6C149CA0">
                  <w:r>
                    <w:t>对工厂邻近地区开展公众教育、培训和发布有关信息</w:t>
                  </w:r>
                </w:p>
              </w:tc>
            </w:tr>
          </w:tbl>
          <w:p w14:paraId="695574FC">
            <w:pPr>
              <w:autoSpaceDE w:val="0"/>
              <w:autoSpaceDN w:val="0"/>
              <w:adjustRightInd w:val="0"/>
              <w:snapToGrid w:val="0"/>
              <w:spacing w:line="360" w:lineRule="auto"/>
              <w:jc w:val="left"/>
              <w:rPr>
                <w:rFonts w:cs="宋体"/>
                <w:b/>
                <w:kern w:val="0"/>
                <w:sz w:val="24"/>
              </w:rPr>
            </w:pPr>
            <w:r>
              <w:rPr>
                <w:rFonts w:cs="宋体"/>
                <w:b/>
                <w:kern w:val="0"/>
                <w:sz w:val="24"/>
              </w:rPr>
              <w:t>7.</w:t>
            </w:r>
            <w:r>
              <w:rPr>
                <w:rFonts w:hint="eastAsia" w:cs="宋体"/>
                <w:b/>
                <w:kern w:val="0"/>
                <w:sz w:val="24"/>
              </w:rPr>
              <w:t>5</w:t>
            </w:r>
            <w:r>
              <w:rPr>
                <w:rFonts w:cs="宋体"/>
                <w:b/>
                <w:kern w:val="0"/>
                <w:sz w:val="24"/>
              </w:rPr>
              <w:t>环境风险评价结论</w:t>
            </w:r>
          </w:p>
          <w:p w14:paraId="0E75E08F">
            <w:pPr>
              <w:widowControl/>
              <w:kinsoku w:val="0"/>
              <w:autoSpaceDE w:val="0"/>
              <w:autoSpaceDN w:val="0"/>
              <w:adjustRightInd w:val="0"/>
              <w:snapToGrid w:val="0"/>
              <w:spacing w:line="360" w:lineRule="auto"/>
              <w:ind w:firstLine="480" w:firstLineChars="200"/>
              <w:textAlignment w:val="baseline"/>
              <w:rPr>
                <w:snapToGrid w:val="0"/>
                <w:color w:val="000000"/>
                <w:kern w:val="0"/>
                <w:sz w:val="24"/>
              </w:rPr>
            </w:pPr>
            <w:r>
              <w:rPr>
                <w:rFonts w:hint="eastAsia"/>
                <w:snapToGrid w:val="0"/>
                <w:color w:val="000000"/>
                <w:kern w:val="0"/>
                <w:sz w:val="24"/>
              </w:rPr>
              <w:t>落实上述风险防范措施后，尽管风险事故发生的可能性依然存在，但是通过有效组织，严格管理控制，以及严密的事故应急预案，可将项目事故发生的环境风险降至最低，环境风险可接受。</w:t>
            </w:r>
          </w:p>
          <w:p w14:paraId="5B348ED6">
            <w:pPr>
              <w:pStyle w:val="55"/>
              <w:ind w:firstLine="480"/>
            </w:pPr>
            <w:r>
              <w:rPr>
                <w:rFonts w:hint="eastAsia"/>
              </w:rPr>
              <w:t>本项目环境风险简单分析内容见表4-</w:t>
            </w:r>
            <w:r>
              <w:t>11</w:t>
            </w:r>
            <w:r>
              <w:rPr>
                <w:rFonts w:hint="eastAsia"/>
              </w:rPr>
              <w:t>。</w:t>
            </w:r>
          </w:p>
          <w:p w14:paraId="0A588D20">
            <w:pPr>
              <w:pStyle w:val="6"/>
              <w:rPr>
                <w:rFonts w:ascii="Times New Roman" w:hAnsi="Times New Roman" w:eastAsia="宋体"/>
              </w:rPr>
            </w:pPr>
            <w:r>
              <w:rPr>
                <w:rFonts w:hint="eastAsia" w:ascii="Times New Roman" w:hAnsi="Times New Roman" w:eastAsia="宋体"/>
              </w:rPr>
              <w:t>表4-</w:t>
            </w:r>
            <w:r>
              <w:rPr>
                <w:rFonts w:ascii="Times New Roman" w:hAnsi="Times New Roman" w:eastAsia="宋体"/>
              </w:rPr>
              <w:t>11</w:t>
            </w:r>
            <w:r>
              <w:rPr>
                <w:rFonts w:hint="eastAsia" w:ascii="Times New Roman" w:hAnsi="Times New Roman" w:eastAsia="宋体"/>
              </w:rPr>
              <w:t xml:space="preserve">  建设项目环境风险简单分析内容表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162"/>
              <w:gridCol w:w="1407"/>
              <w:gridCol w:w="1267"/>
              <w:gridCol w:w="844"/>
              <w:gridCol w:w="2113"/>
            </w:tblGrid>
            <w:tr w14:paraId="74DB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 w:type="pct"/>
                  <w:vAlign w:val="center"/>
                </w:tcPr>
                <w:p w14:paraId="022AAEE3">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建设项目名称</w:t>
                  </w:r>
                </w:p>
              </w:tc>
              <w:tc>
                <w:tcPr>
                  <w:tcW w:w="4016" w:type="pct"/>
                  <w:gridSpan w:val="5"/>
                  <w:vAlign w:val="center"/>
                </w:tcPr>
                <w:p w14:paraId="3A83FF06">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新疆宏鸟节水材料有限公司年产2万吨全塑管道建设项目</w:t>
                  </w:r>
                </w:p>
              </w:tc>
            </w:tr>
            <w:tr w14:paraId="2E75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 w:type="pct"/>
                  <w:vAlign w:val="center"/>
                </w:tcPr>
                <w:p w14:paraId="209AB22C">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建设地点</w:t>
                  </w:r>
                </w:p>
              </w:tc>
              <w:tc>
                <w:tcPr>
                  <w:tcW w:w="687" w:type="pct"/>
                  <w:vAlign w:val="center"/>
                </w:tcPr>
                <w:p w14:paraId="69B20FD5">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新疆</w:t>
                  </w:r>
                  <w:r>
                    <w:rPr>
                      <w:rFonts w:ascii="Times New Roman" w:hAnsi="Times New Roman"/>
                      <w:b w:val="0"/>
                      <w:bCs/>
                      <w:sz w:val="21"/>
                    </w:rPr>
                    <w:t>维吾尔自治区</w:t>
                  </w:r>
                </w:p>
              </w:tc>
              <w:tc>
                <w:tcPr>
                  <w:tcW w:w="832" w:type="pct"/>
                  <w:vAlign w:val="center"/>
                </w:tcPr>
                <w:p w14:paraId="6F165404">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（阜康）市</w:t>
                  </w:r>
                </w:p>
              </w:tc>
              <w:tc>
                <w:tcPr>
                  <w:tcW w:w="749" w:type="pct"/>
                  <w:vAlign w:val="center"/>
                </w:tcPr>
                <w:p w14:paraId="46A1FE09">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w:t>
                  </w:r>
                  <w:r>
                    <w:rPr>
                      <w:rFonts w:ascii="Times New Roman" w:hAnsi="Times New Roman"/>
                      <w:b w:val="0"/>
                      <w:bCs/>
                      <w:sz w:val="21"/>
                    </w:rPr>
                    <w:t>/）</w:t>
                  </w:r>
                  <w:r>
                    <w:rPr>
                      <w:rFonts w:hint="default" w:ascii="Times New Roman" w:hAnsi="Times New Roman"/>
                      <w:b w:val="0"/>
                      <w:bCs/>
                      <w:sz w:val="21"/>
                    </w:rPr>
                    <w:t>区</w:t>
                  </w:r>
                </w:p>
              </w:tc>
              <w:tc>
                <w:tcPr>
                  <w:tcW w:w="499" w:type="pct"/>
                  <w:vAlign w:val="center"/>
                </w:tcPr>
                <w:p w14:paraId="4F9B7E5A">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（/）县</w:t>
                  </w:r>
                </w:p>
              </w:tc>
              <w:tc>
                <w:tcPr>
                  <w:tcW w:w="1250" w:type="pct"/>
                  <w:vAlign w:val="center"/>
                </w:tcPr>
                <w:p w14:paraId="1B4B2FCB">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（苏通小微创业园）园区</w:t>
                  </w:r>
                </w:p>
              </w:tc>
            </w:tr>
            <w:tr w14:paraId="5527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 w:type="pct"/>
                  <w:vAlign w:val="center"/>
                </w:tcPr>
                <w:p w14:paraId="63C66757">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地理坐标</w:t>
                  </w:r>
                </w:p>
              </w:tc>
              <w:tc>
                <w:tcPr>
                  <w:tcW w:w="687" w:type="pct"/>
                  <w:vAlign w:val="center"/>
                </w:tcPr>
                <w:p w14:paraId="4D775663">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经度</w:t>
                  </w:r>
                </w:p>
              </w:tc>
              <w:tc>
                <w:tcPr>
                  <w:tcW w:w="832" w:type="pct"/>
                  <w:vAlign w:val="center"/>
                </w:tcPr>
                <w:p w14:paraId="7639EF60">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87°49′5.115″</w:t>
                  </w:r>
                </w:p>
              </w:tc>
              <w:tc>
                <w:tcPr>
                  <w:tcW w:w="749" w:type="pct"/>
                  <w:vAlign w:val="center"/>
                </w:tcPr>
                <w:p w14:paraId="27A126CB">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纬度</w:t>
                  </w:r>
                </w:p>
              </w:tc>
              <w:tc>
                <w:tcPr>
                  <w:tcW w:w="1749" w:type="pct"/>
                  <w:gridSpan w:val="2"/>
                  <w:vAlign w:val="center"/>
                </w:tcPr>
                <w:p w14:paraId="6C5A0964">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44°9′53.467″</w:t>
                  </w:r>
                </w:p>
              </w:tc>
            </w:tr>
            <w:tr w14:paraId="789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 w:type="pct"/>
                  <w:vAlign w:val="center"/>
                </w:tcPr>
                <w:p w14:paraId="5E856AAA">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主要危险物质及分布</w:t>
                  </w:r>
                </w:p>
              </w:tc>
              <w:tc>
                <w:tcPr>
                  <w:tcW w:w="4016" w:type="pct"/>
                  <w:gridSpan w:val="5"/>
                  <w:vAlign w:val="center"/>
                </w:tcPr>
                <w:p w14:paraId="3F59F1B2">
                  <w:pPr>
                    <w:pStyle w:val="52"/>
                    <w:adjustRightInd/>
                    <w:snapToGrid/>
                    <w:textAlignment w:val="baseline"/>
                    <w:rPr>
                      <w:rFonts w:hint="default" w:ascii="Times New Roman" w:hAnsi="Times New Roman"/>
                      <w:b w:val="0"/>
                      <w:bCs/>
                      <w:sz w:val="21"/>
                    </w:rPr>
                  </w:pPr>
                  <w:r>
                    <w:rPr>
                      <w:rFonts w:ascii="Times New Roman" w:hAnsi="Times New Roman"/>
                      <w:b w:val="0"/>
                      <w:bCs/>
                      <w:sz w:val="21"/>
                    </w:rPr>
                    <w:t>原辅材料、成品、废机油，分布于生产车间、库房和危废暂存间</w:t>
                  </w:r>
                </w:p>
              </w:tc>
            </w:tr>
            <w:tr w14:paraId="0AD7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 w:type="pct"/>
                  <w:vAlign w:val="center"/>
                </w:tcPr>
                <w:p w14:paraId="495B5400">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环境影响途径及危害后果（大气、地表水、地下水等）</w:t>
                  </w:r>
                </w:p>
              </w:tc>
              <w:tc>
                <w:tcPr>
                  <w:tcW w:w="4016" w:type="pct"/>
                  <w:gridSpan w:val="5"/>
                  <w:vAlign w:val="center"/>
                </w:tcPr>
                <w:p w14:paraId="4FB26BA0">
                  <w:pPr>
                    <w:pStyle w:val="52"/>
                    <w:adjustRightInd/>
                    <w:snapToGrid/>
                    <w:textAlignment w:val="baseline"/>
                    <w:rPr>
                      <w:rFonts w:hint="default" w:ascii="Times New Roman" w:hAnsi="Times New Roman"/>
                      <w:b w:val="0"/>
                      <w:bCs/>
                      <w:sz w:val="21"/>
                    </w:rPr>
                  </w:pPr>
                  <w:r>
                    <w:rPr>
                      <w:rFonts w:ascii="Times New Roman" w:hAnsi="Times New Roman"/>
                      <w:b w:val="0"/>
                      <w:bCs/>
                      <w:sz w:val="21"/>
                    </w:rPr>
                    <w:t>本项目可能的风险事故为原辅材料、成品和废机油等由于存放、管理不当遇明火引发火灾，火灾事故次生、伴生灾害主要为产生的烟雾对周围人群和环境的影响，不会对地表水和底下水产生影响。</w:t>
                  </w:r>
                </w:p>
              </w:tc>
            </w:tr>
            <w:tr w14:paraId="06AF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4" w:type="pct"/>
                  <w:vAlign w:val="center"/>
                </w:tcPr>
                <w:p w14:paraId="112D1191">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风险防范措施要求</w:t>
                  </w:r>
                </w:p>
              </w:tc>
              <w:tc>
                <w:tcPr>
                  <w:tcW w:w="4016" w:type="pct"/>
                  <w:gridSpan w:val="5"/>
                  <w:vAlign w:val="center"/>
                </w:tcPr>
                <w:p w14:paraId="0907AE1D">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落实安全检查制度，定期检查，排除火灾隐患；加强厂区消防检查和管理，在厂区按照消防要求设置灭火器材；要加强对各岗位员工进行风险意识、风险知识、安全技能、规章制度、应变能力等素质等各方面的培训和教育；企业应当按照安全监督管理部门和消防部门要求，严格执行相关风险控制措施；准备各项应急救援物资。</w:t>
                  </w:r>
                </w:p>
              </w:tc>
            </w:tr>
            <w:tr w14:paraId="6C19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vAlign w:val="center"/>
                </w:tcPr>
                <w:p w14:paraId="0B08CFD6">
                  <w:pPr>
                    <w:pStyle w:val="52"/>
                    <w:adjustRightInd/>
                    <w:snapToGrid/>
                    <w:textAlignment w:val="baseline"/>
                    <w:rPr>
                      <w:rFonts w:hint="default" w:ascii="Times New Roman" w:hAnsi="Times New Roman"/>
                      <w:b w:val="0"/>
                      <w:bCs/>
                      <w:sz w:val="21"/>
                    </w:rPr>
                  </w:pPr>
                  <w:r>
                    <w:rPr>
                      <w:rFonts w:hint="default" w:ascii="Times New Roman" w:hAnsi="Times New Roman"/>
                      <w:b w:val="0"/>
                      <w:bCs/>
                      <w:sz w:val="21"/>
                    </w:rPr>
                    <w:t>填表说明（列出项目相关信息及评价说明）：本项目不涉及到危险物质，项目环境风险潜势为 I，评价等级为简单分析。</w:t>
                  </w:r>
                </w:p>
              </w:tc>
            </w:tr>
          </w:tbl>
          <w:p w14:paraId="3C4B82E5">
            <w:pPr>
              <w:pStyle w:val="112"/>
              <w:rPr>
                <w:sz w:val="24"/>
                <w:szCs w:val="24"/>
              </w:rPr>
            </w:pPr>
            <w:r>
              <w:rPr>
                <w:sz w:val="24"/>
                <w:szCs w:val="24"/>
              </w:rPr>
              <w:t>8.环保投资估算</w:t>
            </w:r>
          </w:p>
          <w:p w14:paraId="37E95B71">
            <w:pPr>
              <w:spacing w:line="360" w:lineRule="auto"/>
              <w:ind w:firstLine="480" w:firstLineChars="200"/>
              <w:rPr>
                <w:sz w:val="24"/>
              </w:rPr>
            </w:pPr>
            <w:r>
              <w:rPr>
                <w:rFonts w:hint="eastAsia"/>
                <w:sz w:val="24"/>
              </w:rPr>
              <w:t>本项目总投资2</w:t>
            </w:r>
            <w:r>
              <w:rPr>
                <w:sz w:val="24"/>
              </w:rPr>
              <w:t>800</w:t>
            </w:r>
            <w:r>
              <w:rPr>
                <w:rFonts w:hint="eastAsia"/>
                <w:sz w:val="24"/>
              </w:rPr>
              <w:t>万元，</w:t>
            </w:r>
            <w:r>
              <w:rPr>
                <w:sz w:val="24"/>
              </w:rPr>
              <w:t>环保投资为52万元，占总投资的1.86%。环保投资明细见表4-13。</w:t>
            </w:r>
          </w:p>
          <w:p w14:paraId="0E65C623">
            <w:pPr>
              <w:pStyle w:val="108"/>
              <w:ind w:firstLine="0"/>
            </w:pPr>
            <w:r>
              <w:t>表4-13    环境保护投资估算一览表</w:t>
            </w:r>
          </w:p>
          <w:tbl>
            <w:tblPr>
              <w:tblStyle w:val="30"/>
              <w:tblW w:w="8342"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5731"/>
              <w:gridCol w:w="1423"/>
            </w:tblGrid>
            <w:tr w14:paraId="06EEE9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188" w:type="dxa"/>
                  <w:tcBorders>
                    <w:top w:val="single" w:color="auto" w:sz="12" w:space="0"/>
                    <w:bottom w:val="single" w:color="auto" w:sz="12" w:space="0"/>
                  </w:tcBorders>
                </w:tcPr>
                <w:p w14:paraId="716ED626">
                  <w:pPr>
                    <w:widowControl/>
                    <w:kinsoku w:val="0"/>
                    <w:autoSpaceDE w:val="0"/>
                    <w:autoSpaceDN w:val="0"/>
                    <w:adjustRightInd w:val="0"/>
                    <w:snapToGrid w:val="0"/>
                    <w:spacing w:before="34" w:line="221" w:lineRule="auto"/>
                    <w:ind w:left="333"/>
                    <w:jc w:val="left"/>
                    <w:textAlignment w:val="baseline"/>
                    <w:rPr>
                      <w:b/>
                      <w:bCs/>
                      <w:snapToGrid w:val="0"/>
                      <w:color w:val="000000"/>
                      <w:kern w:val="0"/>
                      <w:szCs w:val="21"/>
                    </w:rPr>
                  </w:pPr>
                  <w:r>
                    <w:rPr>
                      <w:b/>
                      <w:bCs/>
                      <w:snapToGrid w:val="0"/>
                      <w:color w:val="000000"/>
                      <w:spacing w:val="-3"/>
                      <w:kern w:val="0"/>
                      <w:szCs w:val="21"/>
                    </w:rPr>
                    <w:t>项</w:t>
                  </w:r>
                  <w:r>
                    <w:rPr>
                      <w:b/>
                      <w:bCs/>
                      <w:snapToGrid w:val="0"/>
                      <w:color w:val="000000"/>
                      <w:spacing w:val="-2"/>
                      <w:kern w:val="0"/>
                      <w:szCs w:val="21"/>
                    </w:rPr>
                    <w:t>目</w:t>
                  </w:r>
                </w:p>
              </w:tc>
              <w:tc>
                <w:tcPr>
                  <w:tcW w:w="5731" w:type="dxa"/>
                  <w:tcBorders>
                    <w:top w:val="single" w:color="auto" w:sz="12" w:space="0"/>
                    <w:bottom w:val="single" w:color="auto" w:sz="12" w:space="0"/>
                  </w:tcBorders>
                </w:tcPr>
                <w:p w14:paraId="441A5ACD">
                  <w:pPr>
                    <w:widowControl/>
                    <w:kinsoku w:val="0"/>
                    <w:autoSpaceDE w:val="0"/>
                    <w:autoSpaceDN w:val="0"/>
                    <w:adjustRightInd w:val="0"/>
                    <w:snapToGrid w:val="0"/>
                    <w:spacing w:before="34" w:line="221" w:lineRule="auto"/>
                    <w:ind w:left="2159"/>
                    <w:jc w:val="left"/>
                    <w:textAlignment w:val="baseline"/>
                    <w:rPr>
                      <w:b/>
                      <w:bCs/>
                      <w:snapToGrid w:val="0"/>
                      <w:color w:val="000000"/>
                      <w:kern w:val="0"/>
                      <w:szCs w:val="21"/>
                    </w:rPr>
                  </w:pPr>
                  <w:r>
                    <w:rPr>
                      <w:b/>
                      <w:bCs/>
                      <w:snapToGrid w:val="0"/>
                      <w:color w:val="000000"/>
                      <w:spacing w:val="-2"/>
                      <w:kern w:val="0"/>
                      <w:szCs w:val="21"/>
                    </w:rPr>
                    <w:t>环</w:t>
                  </w:r>
                  <w:r>
                    <w:rPr>
                      <w:b/>
                      <w:bCs/>
                      <w:snapToGrid w:val="0"/>
                      <w:color w:val="000000"/>
                      <w:spacing w:val="-1"/>
                      <w:kern w:val="0"/>
                      <w:szCs w:val="21"/>
                    </w:rPr>
                    <w:t>保措施</w:t>
                  </w:r>
                </w:p>
              </w:tc>
              <w:tc>
                <w:tcPr>
                  <w:tcW w:w="1423" w:type="dxa"/>
                  <w:tcBorders>
                    <w:top w:val="single" w:color="auto" w:sz="12" w:space="0"/>
                    <w:bottom w:val="single" w:color="auto" w:sz="12" w:space="0"/>
                  </w:tcBorders>
                </w:tcPr>
                <w:p w14:paraId="421A52FF">
                  <w:pPr>
                    <w:widowControl/>
                    <w:kinsoku w:val="0"/>
                    <w:autoSpaceDE w:val="0"/>
                    <w:autoSpaceDN w:val="0"/>
                    <w:adjustRightInd w:val="0"/>
                    <w:snapToGrid w:val="0"/>
                    <w:spacing w:before="34" w:line="221" w:lineRule="auto"/>
                    <w:jc w:val="left"/>
                    <w:textAlignment w:val="baseline"/>
                    <w:rPr>
                      <w:b/>
                      <w:bCs/>
                      <w:snapToGrid w:val="0"/>
                      <w:color w:val="000000"/>
                      <w:kern w:val="0"/>
                      <w:szCs w:val="21"/>
                    </w:rPr>
                  </w:pPr>
                  <w:r>
                    <w:rPr>
                      <w:b/>
                      <w:bCs/>
                      <w:snapToGrid w:val="0"/>
                      <w:color w:val="000000"/>
                      <w:spacing w:val="-2"/>
                      <w:kern w:val="0"/>
                      <w:szCs w:val="21"/>
                    </w:rPr>
                    <w:t>投</w:t>
                  </w:r>
                  <w:r>
                    <w:rPr>
                      <w:b/>
                      <w:bCs/>
                      <w:snapToGrid w:val="0"/>
                      <w:color w:val="000000"/>
                      <w:spacing w:val="-1"/>
                      <w:kern w:val="0"/>
                      <w:szCs w:val="21"/>
                    </w:rPr>
                    <w:t>资(万元)</w:t>
                  </w:r>
                </w:p>
              </w:tc>
            </w:tr>
            <w:tr w14:paraId="06832C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8" w:type="dxa"/>
                  <w:vMerge w:val="restart"/>
                  <w:tcBorders>
                    <w:top w:val="single" w:color="auto" w:sz="12" w:space="0"/>
                  </w:tcBorders>
                  <w:vAlign w:val="center"/>
                </w:tcPr>
                <w:p w14:paraId="167C5242">
                  <w:pPr>
                    <w:widowControl/>
                    <w:kinsoku w:val="0"/>
                    <w:autoSpaceDE w:val="0"/>
                    <w:autoSpaceDN w:val="0"/>
                    <w:adjustRightInd w:val="0"/>
                    <w:snapToGrid w:val="0"/>
                    <w:jc w:val="left"/>
                    <w:textAlignment w:val="baseline"/>
                    <w:rPr>
                      <w:snapToGrid w:val="0"/>
                      <w:color w:val="000000"/>
                      <w:spacing w:val="-1"/>
                      <w:kern w:val="0"/>
                      <w:szCs w:val="21"/>
                    </w:rPr>
                  </w:pPr>
                  <w:r>
                    <w:rPr>
                      <w:snapToGrid w:val="0"/>
                      <w:color w:val="000000"/>
                      <w:spacing w:val="-1"/>
                      <w:kern w:val="0"/>
                      <w:szCs w:val="21"/>
                    </w:rPr>
                    <w:t>废气治理</w:t>
                  </w:r>
                </w:p>
              </w:tc>
              <w:tc>
                <w:tcPr>
                  <w:tcW w:w="5731" w:type="dxa"/>
                  <w:tcBorders>
                    <w:top w:val="single" w:color="auto" w:sz="12" w:space="0"/>
                  </w:tcBorders>
                </w:tcPr>
                <w:p w14:paraId="3A6C78E8">
                  <w:pPr>
                    <w:widowControl/>
                    <w:kinsoku w:val="0"/>
                    <w:autoSpaceDE w:val="0"/>
                    <w:autoSpaceDN w:val="0"/>
                    <w:adjustRightInd w:val="0"/>
                    <w:snapToGrid w:val="0"/>
                    <w:spacing w:before="30" w:line="220" w:lineRule="auto"/>
                    <w:jc w:val="center"/>
                    <w:textAlignment w:val="baseline"/>
                    <w:rPr>
                      <w:snapToGrid w:val="0"/>
                      <w:color w:val="000000"/>
                      <w:spacing w:val="-2"/>
                      <w:kern w:val="0"/>
                      <w:szCs w:val="21"/>
                    </w:rPr>
                  </w:pPr>
                  <w:r>
                    <w:rPr>
                      <w:rFonts w:hint="eastAsia"/>
                      <w:snapToGrid w:val="0"/>
                      <w:color w:val="000000"/>
                      <w:spacing w:val="-2"/>
                      <w:kern w:val="0"/>
                      <w:szCs w:val="21"/>
                    </w:rPr>
                    <w:t>一套</w:t>
                  </w:r>
                  <w:r>
                    <w:rPr>
                      <w:snapToGrid w:val="0"/>
                      <w:color w:val="000000"/>
                      <w:spacing w:val="-2"/>
                      <w:kern w:val="0"/>
                      <w:szCs w:val="21"/>
                    </w:rPr>
                    <w:t>活性炭吸附+催化燃烧装置＋</w:t>
                  </w:r>
                  <w:r>
                    <w:rPr>
                      <w:rFonts w:hint="eastAsia"/>
                      <w:snapToGrid w:val="0"/>
                      <w:color w:val="000000"/>
                      <w:spacing w:val="-2"/>
                      <w:kern w:val="0"/>
                      <w:szCs w:val="21"/>
                    </w:rPr>
                    <w:t>一根</w:t>
                  </w:r>
                  <w:r>
                    <w:rPr>
                      <w:rFonts w:eastAsia="Times New Roman"/>
                      <w:snapToGrid w:val="0"/>
                      <w:color w:val="000000"/>
                      <w:spacing w:val="-2"/>
                      <w:kern w:val="0"/>
                      <w:szCs w:val="21"/>
                    </w:rPr>
                    <w:t>15m</w:t>
                  </w:r>
                  <w:r>
                    <w:rPr>
                      <w:snapToGrid w:val="0"/>
                      <w:color w:val="000000"/>
                      <w:spacing w:val="-2"/>
                      <w:kern w:val="0"/>
                      <w:szCs w:val="21"/>
                    </w:rPr>
                    <w:t>排气筒</w:t>
                  </w:r>
                </w:p>
              </w:tc>
              <w:tc>
                <w:tcPr>
                  <w:tcW w:w="1423" w:type="dxa"/>
                  <w:tcBorders>
                    <w:top w:val="single" w:color="auto" w:sz="12" w:space="0"/>
                  </w:tcBorders>
                </w:tcPr>
                <w:p w14:paraId="6E672855">
                  <w:pPr>
                    <w:widowControl/>
                    <w:kinsoku w:val="0"/>
                    <w:autoSpaceDE w:val="0"/>
                    <w:autoSpaceDN w:val="0"/>
                    <w:adjustRightInd w:val="0"/>
                    <w:snapToGrid w:val="0"/>
                    <w:spacing w:before="76" w:line="187" w:lineRule="auto"/>
                    <w:jc w:val="center"/>
                    <w:textAlignment w:val="baseline"/>
                    <w:rPr>
                      <w:rFonts w:eastAsia="Times New Roman"/>
                      <w:snapToGrid w:val="0"/>
                      <w:color w:val="000000"/>
                      <w:kern w:val="0"/>
                      <w:szCs w:val="21"/>
                    </w:rPr>
                  </w:pPr>
                  <w:r>
                    <w:rPr>
                      <w:rFonts w:eastAsia="Times New Roman"/>
                      <w:snapToGrid w:val="0"/>
                      <w:kern w:val="0"/>
                      <w:szCs w:val="21"/>
                    </w:rPr>
                    <w:t>30</w:t>
                  </w:r>
                </w:p>
              </w:tc>
            </w:tr>
            <w:tr w14:paraId="03D81D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8" w:type="dxa"/>
                  <w:vMerge w:val="continue"/>
                </w:tcPr>
                <w:p w14:paraId="7157D27B">
                  <w:pPr>
                    <w:widowControl/>
                    <w:kinsoku w:val="0"/>
                    <w:autoSpaceDE w:val="0"/>
                    <w:autoSpaceDN w:val="0"/>
                    <w:adjustRightInd w:val="0"/>
                    <w:snapToGrid w:val="0"/>
                    <w:spacing w:before="30" w:line="221" w:lineRule="auto"/>
                    <w:jc w:val="left"/>
                    <w:textAlignment w:val="baseline"/>
                    <w:rPr>
                      <w:snapToGrid w:val="0"/>
                      <w:color w:val="000000"/>
                      <w:spacing w:val="-1"/>
                      <w:kern w:val="0"/>
                      <w:szCs w:val="21"/>
                    </w:rPr>
                  </w:pPr>
                </w:p>
              </w:tc>
              <w:tc>
                <w:tcPr>
                  <w:tcW w:w="5731" w:type="dxa"/>
                </w:tcPr>
                <w:p w14:paraId="51329CA3">
                  <w:pPr>
                    <w:widowControl/>
                    <w:kinsoku w:val="0"/>
                    <w:autoSpaceDE w:val="0"/>
                    <w:autoSpaceDN w:val="0"/>
                    <w:adjustRightInd w:val="0"/>
                    <w:snapToGrid w:val="0"/>
                    <w:spacing w:before="30" w:line="220" w:lineRule="auto"/>
                    <w:jc w:val="center"/>
                    <w:textAlignment w:val="baseline"/>
                    <w:rPr>
                      <w:snapToGrid w:val="0"/>
                      <w:color w:val="000000"/>
                      <w:spacing w:val="-2"/>
                      <w:kern w:val="0"/>
                      <w:szCs w:val="21"/>
                    </w:rPr>
                  </w:pPr>
                  <w:r>
                    <w:rPr>
                      <w:rFonts w:hint="eastAsia"/>
                      <w:snapToGrid w:val="0"/>
                      <w:color w:val="000000"/>
                      <w:spacing w:val="-2"/>
                      <w:kern w:val="0"/>
                      <w:szCs w:val="21"/>
                    </w:rPr>
                    <w:t>一套</w:t>
                  </w:r>
                  <w:r>
                    <w:rPr>
                      <w:snapToGrid w:val="0"/>
                      <w:color w:val="000000"/>
                      <w:spacing w:val="-2"/>
                      <w:kern w:val="0"/>
                      <w:szCs w:val="21"/>
                    </w:rPr>
                    <w:t>布袋除尘器+</w:t>
                  </w:r>
                  <w:r>
                    <w:rPr>
                      <w:rFonts w:hint="eastAsia"/>
                      <w:snapToGrid w:val="0"/>
                      <w:color w:val="000000"/>
                      <w:spacing w:val="-2"/>
                      <w:kern w:val="0"/>
                      <w:szCs w:val="21"/>
                    </w:rPr>
                    <w:t>一根</w:t>
                  </w:r>
                  <w:r>
                    <w:rPr>
                      <w:snapToGrid w:val="0"/>
                      <w:color w:val="000000"/>
                      <w:spacing w:val="-2"/>
                      <w:kern w:val="0"/>
                      <w:szCs w:val="21"/>
                    </w:rPr>
                    <w:t>15m排气筒</w:t>
                  </w:r>
                </w:p>
              </w:tc>
              <w:tc>
                <w:tcPr>
                  <w:tcW w:w="1423" w:type="dxa"/>
                </w:tcPr>
                <w:p w14:paraId="1DAFFF0B">
                  <w:pPr>
                    <w:widowControl/>
                    <w:kinsoku w:val="0"/>
                    <w:autoSpaceDE w:val="0"/>
                    <w:autoSpaceDN w:val="0"/>
                    <w:adjustRightInd w:val="0"/>
                    <w:snapToGrid w:val="0"/>
                    <w:spacing w:before="76" w:line="187" w:lineRule="auto"/>
                    <w:jc w:val="center"/>
                    <w:textAlignment w:val="baseline"/>
                    <w:rPr>
                      <w:rFonts w:eastAsia="等线"/>
                      <w:snapToGrid w:val="0"/>
                      <w:kern w:val="0"/>
                      <w:szCs w:val="21"/>
                    </w:rPr>
                  </w:pPr>
                  <w:r>
                    <w:rPr>
                      <w:rFonts w:eastAsia="等线"/>
                      <w:snapToGrid w:val="0"/>
                      <w:kern w:val="0"/>
                      <w:szCs w:val="21"/>
                    </w:rPr>
                    <w:t>20</w:t>
                  </w:r>
                </w:p>
              </w:tc>
            </w:tr>
            <w:tr w14:paraId="112C12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88" w:type="dxa"/>
                </w:tcPr>
                <w:p w14:paraId="14DFE760">
                  <w:pPr>
                    <w:widowControl/>
                    <w:kinsoku w:val="0"/>
                    <w:autoSpaceDE w:val="0"/>
                    <w:autoSpaceDN w:val="0"/>
                    <w:adjustRightInd w:val="0"/>
                    <w:snapToGrid w:val="0"/>
                    <w:spacing w:before="31" w:line="221" w:lineRule="auto"/>
                    <w:jc w:val="left"/>
                    <w:textAlignment w:val="baseline"/>
                    <w:rPr>
                      <w:snapToGrid w:val="0"/>
                      <w:color w:val="000000"/>
                      <w:kern w:val="0"/>
                      <w:szCs w:val="21"/>
                    </w:rPr>
                  </w:pPr>
                  <w:r>
                    <w:rPr>
                      <w:snapToGrid w:val="0"/>
                      <w:color w:val="000000"/>
                      <w:spacing w:val="-6"/>
                      <w:kern w:val="0"/>
                      <w:szCs w:val="21"/>
                    </w:rPr>
                    <w:t>噪</w:t>
                  </w:r>
                  <w:r>
                    <w:rPr>
                      <w:snapToGrid w:val="0"/>
                      <w:color w:val="000000"/>
                      <w:spacing w:val="-3"/>
                      <w:kern w:val="0"/>
                      <w:szCs w:val="21"/>
                    </w:rPr>
                    <w:t>声治理</w:t>
                  </w:r>
                </w:p>
              </w:tc>
              <w:tc>
                <w:tcPr>
                  <w:tcW w:w="5731" w:type="dxa"/>
                </w:tcPr>
                <w:p w14:paraId="6CBC0B50">
                  <w:pPr>
                    <w:widowControl/>
                    <w:kinsoku w:val="0"/>
                    <w:autoSpaceDE w:val="0"/>
                    <w:autoSpaceDN w:val="0"/>
                    <w:adjustRightInd w:val="0"/>
                    <w:snapToGrid w:val="0"/>
                    <w:spacing w:before="31" w:line="220" w:lineRule="auto"/>
                    <w:jc w:val="center"/>
                    <w:textAlignment w:val="baseline"/>
                    <w:rPr>
                      <w:snapToGrid w:val="0"/>
                      <w:color w:val="000000"/>
                      <w:kern w:val="0"/>
                      <w:szCs w:val="21"/>
                    </w:rPr>
                  </w:pPr>
                  <w:r>
                    <w:rPr>
                      <w:snapToGrid w:val="0"/>
                      <w:color w:val="000000"/>
                      <w:spacing w:val="-1"/>
                      <w:kern w:val="0"/>
                      <w:szCs w:val="21"/>
                    </w:rPr>
                    <w:t>采取隔、</w:t>
                  </w:r>
                  <w:r>
                    <w:rPr>
                      <w:snapToGrid w:val="0"/>
                      <w:color w:val="000000"/>
                      <w:kern w:val="0"/>
                      <w:szCs w:val="21"/>
                    </w:rPr>
                    <w:t>吸音、减振等措施</w:t>
                  </w:r>
                </w:p>
              </w:tc>
              <w:tc>
                <w:tcPr>
                  <w:tcW w:w="1423" w:type="dxa"/>
                </w:tcPr>
                <w:p w14:paraId="050AFA2C">
                  <w:pPr>
                    <w:widowControl/>
                    <w:kinsoku w:val="0"/>
                    <w:autoSpaceDE w:val="0"/>
                    <w:autoSpaceDN w:val="0"/>
                    <w:adjustRightInd w:val="0"/>
                    <w:snapToGrid w:val="0"/>
                    <w:spacing w:before="79" w:line="187" w:lineRule="auto"/>
                    <w:jc w:val="center"/>
                    <w:textAlignment w:val="baseline"/>
                    <w:rPr>
                      <w:rFonts w:eastAsia="Times New Roman"/>
                      <w:snapToGrid w:val="0"/>
                      <w:color w:val="000000"/>
                      <w:kern w:val="0"/>
                      <w:szCs w:val="21"/>
                    </w:rPr>
                  </w:pPr>
                  <w:r>
                    <w:rPr>
                      <w:rFonts w:eastAsia="Times New Roman"/>
                      <w:snapToGrid w:val="0"/>
                      <w:color w:val="000000"/>
                      <w:kern w:val="0"/>
                      <w:szCs w:val="21"/>
                    </w:rPr>
                    <w:t>1</w:t>
                  </w:r>
                </w:p>
              </w:tc>
            </w:tr>
            <w:tr w14:paraId="65C33C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188" w:type="dxa"/>
                  <w:tcBorders>
                    <w:bottom w:val="single" w:color="auto" w:sz="4" w:space="0"/>
                  </w:tcBorders>
                </w:tcPr>
                <w:p w14:paraId="2623ED9C">
                  <w:pPr>
                    <w:widowControl/>
                    <w:kinsoku w:val="0"/>
                    <w:autoSpaceDE w:val="0"/>
                    <w:autoSpaceDN w:val="0"/>
                    <w:adjustRightInd w:val="0"/>
                    <w:snapToGrid w:val="0"/>
                    <w:spacing w:before="31" w:line="221" w:lineRule="auto"/>
                    <w:jc w:val="left"/>
                    <w:textAlignment w:val="baseline"/>
                    <w:rPr>
                      <w:snapToGrid w:val="0"/>
                      <w:color w:val="000000"/>
                      <w:spacing w:val="-6"/>
                      <w:kern w:val="0"/>
                      <w:szCs w:val="21"/>
                    </w:rPr>
                  </w:pPr>
                  <w:r>
                    <w:rPr>
                      <w:rFonts w:hint="eastAsia"/>
                      <w:snapToGrid w:val="0"/>
                      <w:color w:val="000000"/>
                      <w:spacing w:val="-6"/>
                      <w:kern w:val="0"/>
                      <w:szCs w:val="21"/>
                    </w:rPr>
                    <w:t>固废治理</w:t>
                  </w:r>
                </w:p>
              </w:tc>
              <w:tc>
                <w:tcPr>
                  <w:tcW w:w="5731" w:type="dxa"/>
                  <w:tcBorders>
                    <w:bottom w:val="single" w:color="auto" w:sz="4" w:space="0"/>
                  </w:tcBorders>
                </w:tcPr>
                <w:p w14:paraId="4B5F499F">
                  <w:pPr>
                    <w:widowControl/>
                    <w:kinsoku w:val="0"/>
                    <w:autoSpaceDE w:val="0"/>
                    <w:autoSpaceDN w:val="0"/>
                    <w:adjustRightInd w:val="0"/>
                    <w:snapToGrid w:val="0"/>
                    <w:spacing w:before="31" w:line="220" w:lineRule="auto"/>
                    <w:jc w:val="center"/>
                    <w:textAlignment w:val="baseline"/>
                    <w:rPr>
                      <w:snapToGrid w:val="0"/>
                      <w:color w:val="000000"/>
                      <w:spacing w:val="-1"/>
                      <w:kern w:val="0"/>
                      <w:szCs w:val="21"/>
                    </w:rPr>
                  </w:pPr>
                  <w:r>
                    <w:rPr>
                      <w:rFonts w:hint="eastAsia"/>
                      <w:snapToGrid w:val="0"/>
                      <w:color w:val="000000"/>
                      <w:spacing w:val="-1"/>
                      <w:kern w:val="0"/>
                      <w:szCs w:val="21"/>
                    </w:rPr>
                    <w:t>危废间按要求进行防渗</w:t>
                  </w:r>
                </w:p>
              </w:tc>
              <w:tc>
                <w:tcPr>
                  <w:tcW w:w="1423" w:type="dxa"/>
                  <w:tcBorders>
                    <w:bottom w:val="single" w:color="auto" w:sz="4" w:space="0"/>
                  </w:tcBorders>
                </w:tcPr>
                <w:p w14:paraId="21982B56">
                  <w:pPr>
                    <w:widowControl/>
                    <w:kinsoku w:val="0"/>
                    <w:autoSpaceDE w:val="0"/>
                    <w:autoSpaceDN w:val="0"/>
                    <w:adjustRightInd w:val="0"/>
                    <w:snapToGrid w:val="0"/>
                    <w:spacing w:before="79" w:line="187" w:lineRule="auto"/>
                    <w:jc w:val="center"/>
                    <w:textAlignment w:val="baseline"/>
                    <w:rPr>
                      <w:rFonts w:eastAsiaTheme="minorEastAsia"/>
                      <w:snapToGrid w:val="0"/>
                      <w:color w:val="000000"/>
                      <w:kern w:val="0"/>
                      <w:szCs w:val="21"/>
                    </w:rPr>
                  </w:pPr>
                  <w:r>
                    <w:rPr>
                      <w:rFonts w:hint="eastAsia" w:eastAsiaTheme="minorEastAsia"/>
                      <w:snapToGrid w:val="0"/>
                      <w:color w:val="000000"/>
                      <w:kern w:val="0"/>
                      <w:szCs w:val="21"/>
                    </w:rPr>
                    <w:t>1</w:t>
                  </w:r>
                </w:p>
              </w:tc>
            </w:tr>
            <w:tr w14:paraId="7E0060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919" w:type="dxa"/>
                  <w:gridSpan w:val="2"/>
                  <w:tcBorders>
                    <w:bottom w:val="single" w:color="auto" w:sz="12" w:space="0"/>
                  </w:tcBorders>
                </w:tcPr>
                <w:p w14:paraId="62BE1D32">
                  <w:pPr>
                    <w:widowControl/>
                    <w:kinsoku w:val="0"/>
                    <w:autoSpaceDE w:val="0"/>
                    <w:autoSpaceDN w:val="0"/>
                    <w:adjustRightInd w:val="0"/>
                    <w:snapToGrid w:val="0"/>
                    <w:spacing w:before="35" w:line="221" w:lineRule="auto"/>
                    <w:jc w:val="center"/>
                    <w:textAlignment w:val="baseline"/>
                    <w:rPr>
                      <w:snapToGrid w:val="0"/>
                      <w:color w:val="000000"/>
                      <w:spacing w:val="-1"/>
                      <w:kern w:val="0"/>
                      <w:szCs w:val="21"/>
                    </w:rPr>
                  </w:pPr>
                  <w:r>
                    <w:rPr>
                      <w:snapToGrid w:val="0"/>
                      <w:color w:val="000000"/>
                      <w:spacing w:val="-1"/>
                      <w:kern w:val="0"/>
                      <w:szCs w:val="21"/>
                    </w:rPr>
                    <w:t>合计</w:t>
                  </w:r>
                </w:p>
              </w:tc>
              <w:tc>
                <w:tcPr>
                  <w:tcW w:w="1423" w:type="dxa"/>
                  <w:tcBorders>
                    <w:bottom w:val="single" w:color="auto" w:sz="12" w:space="0"/>
                  </w:tcBorders>
                </w:tcPr>
                <w:p w14:paraId="3272ED25">
                  <w:pPr>
                    <w:widowControl/>
                    <w:kinsoku w:val="0"/>
                    <w:autoSpaceDE w:val="0"/>
                    <w:autoSpaceDN w:val="0"/>
                    <w:adjustRightInd w:val="0"/>
                    <w:snapToGrid w:val="0"/>
                    <w:spacing w:before="81" w:line="187" w:lineRule="auto"/>
                    <w:jc w:val="center"/>
                    <w:textAlignment w:val="baseline"/>
                    <w:rPr>
                      <w:rFonts w:eastAsia="等线"/>
                      <w:snapToGrid w:val="0"/>
                      <w:color w:val="000000"/>
                      <w:spacing w:val="-2"/>
                      <w:kern w:val="0"/>
                      <w:szCs w:val="21"/>
                    </w:rPr>
                  </w:pPr>
                  <w:r>
                    <w:rPr>
                      <w:rFonts w:eastAsia="等线"/>
                      <w:snapToGrid w:val="0"/>
                      <w:spacing w:val="-2"/>
                      <w:kern w:val="0"/>
                      <w:szCs w:val="21"/>
                    </w:rPr>
                    <w:t>52</w:t>
                  </w:r>
                </w:p>
              </w:tc>
            </w:tr>
          </w:tbl>
          <w:p w14:paraId="6F72F5F2">
            <w:pPr>
              <w:pStyle w:val="112"/>
              <w:rPr>
                <w:sz w:val="24"/>
                <w:szCs w:val="24"/>
              </w:rPr>
            </w:pPr>
            <w:r>
              <w:rPr>
                <w:sz w:val="24"/>
                <w:szCs w:val="24"/>
              </w:rPr>
              <w:t>9.建设项目竣工环保验收</w:t>
            </w:r>
          </w:p>
          <w:p w14:paraId="2852298B">
            <w:pPr>
              <w:topLinePunct/>
              <w:adjustRightInd w:val="0"/>
              <w:snapToGrid w:val="0"/>
              <w:spacing w:line="360" w:lineRule="auto"/>
              <w:ind w:firstLine="480" w:firstLineChars="200"/>
              <w:rPr>
                <w:kern w:val="0"/>
                <w:sz w:val="24"/>
              </w:rPr>
            </w:pPr>
            <w:r>
              <w:rPr>
                <w:kern w:val="0"/>
                <w:sz w:val="24"/>
              </w:rPr>
              <w:t>建设项目竣工环保“三同时”验收内容具体见表4-14。</w:t>
            </w:r>
          </w:p>
          <w:p w14:paraId="7310913C">
            <w:pPr>
              <w:pStyle w:val="108"/>
            </w:pPr>
            <w:r>
              <w:t>表4-14    环保“三同时”验收一览表</w:t>
            </w:r>
          </w:p>
          <w:tbl>
            <w:tblPr>
              <w:tblStyle w:val="30"/>
              <w:tblW w:w="8376"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571"/>
              <w:gridCol w:w="2551"/>
              <w:gridCol w:w="3400"/>
            </w:tblGrid>
            <w:tr w14:paraId="5C5DBF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pct"/>
                  <w:tcBorders>
                    <w:top w:val="single" w:color="auto" w:sz="12" w:space="0"/>
                    <w:bottom w:val="single" w:color="auto" w:sz="12" w:space="0"/>
                  </w:tcBorders>
                  <w:vAlign w:val="center"/>
                </w:tcPr>
                <w:p w14:paraId="40371870">
                  <w:pPr>
                    <w:pStyle w:val="104"/>
                    <w:spacing w:line="240" w:lineRule="auto"/>
                    <w:rPr>
                      <w:b/>
                      <w:bCs/>
                    </w:rPr>
                  </w:pPr>
                  <w:r>
                    <w:rPr>
                      <w:b/>
                      <w:bCs/>
                      <w:spacing w:val="-6"/>
                    </w:rPr>
                    <w:t>污染源分类</w:t>
                  </w:r>
                </w:p>
              </w:tc>
              <w:tc>
                <w:tcPr>
                  <w:tcW w:w="938" w:type="pct"/>
                  <w:tcBorders>
                    <w:top w:val="single" w:color="auto" w:sz="12" w:space="0"/>
                    <w:bottom w:val="single" w:color="auto" w:sz="12" w:space="0"/>
                  </w:tcBorders>
                  <w:vAlign w:val="center"/>
                </w:tcPr>
                <w:p w14:paraId="1CB15D3A">
                  <w:pPr>
                    <w:pStyle w:val="104"/>
                    <w:spacing w:line="240" w:lineRule="auto"/>
                    <w:rPr>
                      <w:b/>
                      <w:bCs/>
                    </w:rPr>
                  </w:pPr>
                  <w:r>
                    <w:rPr>
                      <w:b/>
                      <w:bCs/>
                    </w:rPr>
                    <w:t>验收监测因子</w:t>
                  </w:r>
                </w:p>
              </w:tc>
              <w:tc>
                <w:tcPr>
                  <w:tcW w:w="1523" w:type="pct"/>
                  <w:tcBorders>
                    <w:top w:val="single" w:color="auto" w:sz="12" w:space="0"/>
                    <w:bottom w:val="single" w:color="auto" w:sz="12" w:space="0"/>
                  </w:tcBorders>
                  <w:vAlign w:val="center"/>
                </w:tcPr>
                <w:p w14:paraId="5B523A0F">
                  <w:pPr>
                    <w:pStyle w:val="104"/>
                    <w:spacing w:line="240" w:lineRule="auto"/>
                    <w:rPr>
                      <w:b/>
                      <w:bCs/>
                    </w:rPr>
                  </w:pPr>
                  <w:r>
                    <w:rPr>
                      <w:b/>
                      <w:bCs/>
                    </w:rPr>
                    <w:t>环保措施</w:t>
                  </w:r>
                </w:p>
              </w:tc>
              <w:tc>
                <w:tcPr>
                  <w:tcW w:w="2029" w:type="pct"/>
                  <w:tcBorders>
                    <w:top w:val="single" w:color="auto" w:sz="12" w:space="0"/>
                    <w:bottom w:val="single" w:color="auto" w:sz="12" w:space="0"/>
                  </w:tcBorders>
                  <w:vAlign w:val="center"/>
                </w:tcPr>
                <w:p w14:paraId="7C8A2FEE">
                  <w:pPr>
                    <w:pStyle w:val="104"/>
                    <w:spacing w:line="240" w:lineRule="auto"/>
                    <w:rPr>
                      <w:b/>
                      <w:bCs/>
                    </w:rPr>
                  </w:pPr>
                  <w:r>
                    <w:rPr>
                      <w:b/>
                      <w:bCs/>
                    </w:rPr>
                    <w:t>验收要求</w:t>
                  </w:r>
                </w:p>
              </w:tc>
            </w:tr>
            <w:tr w14:paraId="5CF5EC0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510" w:type="pct"/>
                  <w:vMerge w:val="restart"/>
                  <w:tcBorders>
                    <w:top w:val="single" w:color="auto" w:sz="12" w:space="0"/>
                  </w:tcBorders>
                  <w:vAlign w:val="center"/>
                </w:tcPr>
                <w:p w14:paraId="1389D133">
                  <w:pPr>
                    <w:pStyle w:val="104"/>
                    <w:spacing w:line="240" w:lineRule="auto"/>
                  </w:pPr>
                  <w:r>
                    <w:t>废气</w:t>
                  </w:r>
                </w:p>
              </w:tc>
              <w:tc>
                <w:tcPr>
                  <w:tcW w:w="938" w:type="pct"/>
                  <w:tcBorders>
                    <w:top w:val="single" w:color="auto" w:sz="12" w:space="0"/>
                  </w:tcBorders>
                  <w:vAlign w:val="center"/>
                </w:tcPr>
                <w:p w14:paraId="292B509E">
                  <w:pPr>
                    <w:pStyle w:val="104"/>
                    <w:spacing w:line="240" w:lineRule="auto"/>
                  </w:pPr>
                  <w:r>
                    <w:t>有组织非甲烷总烃</w:t>
                  </w:r>
                  <w:r>
                    <w:rPr>
                      <w:rFonts w:hint="eastAsia"/>
                    </w:rPr>
                    <w:t>、氯化氢</w:t>
                  </w:r>
                </w:p>
              </w:tc>
              <w:tc>
                <w:tcPr>
                  <w:tcW w:w="1523" w:type="pct"/>
                  <w:tcBorders>
                    <w:top w:val="single" w:color="auto" w:sz="12" w:space="0"/>
                  </w:tcBorders>
                  <w:vAlign w:val="center"/>
                </w:tcPr>
                <w:p w14:paraId="7DC094FC">
                  <w:pPr>
                    <w:pStyle w:val="104"/>
                    <w:spacing w:line="240" w:lineRule="auto"/>
                  </w:pPr>
                  <w:r>
                    <w:t>活性炭吸附+催化燃烧</w:t>
                  </w:r>
                  <w:r>
                    <w:rPr>
                      <w:rFonts w:hint="eastAsia"/>
                    </w:rPr>
                    <w:t>装置</w:t>
                  </w:r>
                  <w:r>
                    <w:t>处理</w:t>
                  </w:r>
                  <w:r>
                    <w:rPr>
                      <w:rFonts w:hint="eastAsia"/>
                    </w:rPr>
                    <w:t>1</w:t>
                  </w:r>
                  <w:r>
                    <w:t>5</w:t>
                  </w:r>
                  <w:r>
                    <w:rPr>
                      <w:rFonts w:hint="eastAsia"/>
                    </w:rPr>
                    <w:t>m排气筒排放</w:t>
                  </w:r>
                </w:p>
              </w:tc>
              <w:tc>
                <w:tcPr>
                  <w:tcW w:w="2029" w:type="pct"/>
                  <w:vMerge w:val="restart"/>
                  <w:tcBorders>
                    <w:top w:val="single" w:color="auto" w:sz="12" w:space="0"/>
                  </w:tcBorders>
                  <w:vAlign w:val="center"/>
                </w:tcPr>
                <w:p w14:paraId="602094B6">
                  <w:pPr>
                    <w:pStyle w:val="104"/>
                    <w:spacing w:line="240" w:lineRule="auto"/>
                  </w:pPr>
                  <w:r>
                    <w:t>《合成树脂工业污染物排放标准》(GB31572-2015)表5</w:t>
                  </w:r>
                  <w:r>
                    <w:rPr>
                      <w:rFonts w:hint="eastAsia"/>
                    </w:rPr>
                    <w:t>中特别排放限值（非甲烷总烃6</w:t>
                  </w:r>
                  <w:r>
                    <w:t>0</w:t>
                  </w:r>
                  <w:r>
                    <w:rPr>
                      <w:rFonts w:hint="eastAsia"/>
                    </w:rPr>
                    <w:t xml:space="preserve"> mg</w:t>
                  </w:r>
                  <w:r>
                    <w:t>/m</w:t>
                  </w:r>
                  <w:r>
                    <w:rPr>
                      <w:vertAlign w:val="superscript"/>
                    </w:rPr>
                    <w:t>3</w:t>
                  </w:r>
                  <w:r>
                    <w:rPr>
                      <w:rFonts w:hint="eastAsia"/>
                    </w:rPr>
                    <w:t>、氯化氢、颗粒物2</w:t>
                  </w:r>
                  <w:r>
                    <w:t>0</w:t>
                  </w:r>
                  <w:r>
                    <w:rPr>
                      <w:rFonts w:hint="eastAsia"/>
                    </w:rPr>
                    <w:t>mg</w:t>
                  </w:r>
                  <w:r>
                    <w:t>/m</w:t>
                  </w:r>
                  <w:r>
                    <w:rPr>
                      <w:vertAlign w:val="superscript"/>
                    </w:rPr>
                    <w:t>3</w:t>
                  </w:r>
                  <w:r>
                    <w:rPr>
                      <w:rFonts w:hint="eastAsia"/>
                    </w:rPr>
                    <w:t>）</w:t>
                  </w:r>
                </w:p>
              </w:tc>
            </w:tr>
            <w:tr w14:paraId="311224B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pct"/>
                  <w:vMerge w:val="continue"/>
                  <w:vAlign w:val="center"/>
                </w:tcPr>
                <w:p w14:paraId="616D71B5">
                  <w:pPr>
                    <w:pStyle w:val="104"/>
                    <w:spacing w:line="240" w:lineRule="auto"/>
                  </w:pPr>
                </w:p>
              </w:tc>
              <w:tc>
                <w:tcPr>
                  <w:tcW w:w="938" w:type="pct"/>
                  <w:vAlign w:val="center"/>
                </w:tcPr>
                <w:p w14:paraId="3EB0156E">
                  <w:pPr>
                    <w:pStyle w:val="104"/>
                    <w:spacing w:line="240" w:lineRule="auto"/>
                  </w:pPr>
                  <w:r>
                    <w:rPr>
                      <w:rFonts w:hint="eastAsia"/>
                    </w:rPr>
                    <w:t>有组织</w:t>
                  </w:r>
                  <w:r>
                    <w:t>颗粒物</w:t>
                  </w:r>
                </w:p>
              </w:tc>
              <w:tc>
                <w:tcPr>
                  <w:tcW w:w="1523" w:type="pct"/>
                  <w:vAlign w:val="center"/>
                </w:tcPr>
                <w:p w14:paraId="0432ED4A">
                  <w:pPr>
                    <w:pStyle w:val="104"/>
                    <w:spacing w:line="240" w:lineRule="auto"/>
                  </w:pPr>
                  <w:r>
                    <w:rPr>
                      <w:rFonts w:hint="eastAsia"/>
                    </w:rPr>
                    <w:t>袋式除尘器处理由1</w:t>
                  </w:r>
                  <w:r>
                    <w:t>5</w:t>
                  </w:r>
                  <w:r>
                    <w:rPr>
                      <w:rFonts w:hint="eastAsia"/>
                    </w:rPr>
                    <w:t>m高排气筒排放</w:t>
                  </w:r>
                </w:p>
              </w:tc>
              <w:tc>
                <w:tcPr>
                  <w:tcW w:w="2029" w:type="pct"/>
                  <w:vMerge w:val="continue"/>
                  <w:vAlign w:val="center"/>
                </w:tcPr>
                <w:p w14:paraId="30C5D892">
                  <w:pPr>
                    <w:pStyle w:val="104"/>
                    <w:spacing w:line="240" w:lineRule="auto"/>
                  </w:pPr>
                </w:p>
              </w:tc>
            </w:tr>
            <w:tr w14:paraId="6B00E5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pct"/>
                  <w:vMerge w:val="continue"/>
                  <w:vAlign w:val="center"/>
                </w:tcPr>
                <w:p w14:paraId="20176BDB">
                  <w:pPr>
                    <w:pStyle w:val="104"/>
                    <w:spacing w:line="240" w:lineRule="auto"/>
                  </w:pPr>
                </w:p>
              </w:tc>
              <w:tc>
                <w:tcPr>
                  <w:tcW w:w="938" w:type="pct"/>
                  <w:vAlign w:val="center"/>
                </w:tcPr>
                <w:p w14:paraId="3D916F33">
                  <w:pPr>
                    <w:pStyle w:val="104"/>
                    <w:spacing w:line="240" w:lineRule="auto"/>
                  </w:pPr>
                  <w:r>
                    <w:t>无组织非甲烷总烃</w:t>
                  </w:r>
                  <w:r>
                    <w:rPr>
                      <w:rFonts w:hint="eastAsia"/>
                    </w:rPr>
                    <w:t>、颗粒物、氯化氢</w:t>
                  </w:r>
                </w:p>
              </w:tc>
              <w:tc>
                <w:tcPr>
                  <w:tcW w:w="1523" w:type="pct"/>
                  <w:vMerge w:val="restart"/>
                  <w:vAlign w:val="center"/>
                </w:tcPr>
                <w:p w14:paraId="0F63CBAD">
                  <w:pPr>
                    <w:pStyle w:val="104"/>
                    <w:spacing w:line="240" w:lineRule="auto"/>
                  </w:pPr>
                  <w:r>
                    <w:t>加强车间通风</w:t>
                  </w:r>
                </w:p>
              </w:tc>
              <w:tc>
                <w:tcPr>
                  <w:tcW w:w="2029" w:type="pct"/>
                  <w:vAlign w:val="center"/>
                </w:tcPr>
                <w:p w14:paraId="02895EA7">
                  <w:pPr>
                    <w:pStyle w:val="104"/>
                    <w:spacing w:line="240" w:lineRule="auto"/>
                  </w:pPr>
                  <w:r>
                    <w:rPr>
                      <w:rFonts w:hint="eastAsia"/>
                    </w:rPr>
                    <w:t>《合成树脂工业污染物排放标准》（</w:t>
                  </w:r>
                  <w:r>
                    <w:t>GB31572-2015</w:t>
                  </w:r>
                  <w:r>
                    <w:rPr>
                      <w:rFonts w:hint="eastAsia"/>
                    </w:rPr>
                    <w:t>）中表</w:t>
                  </w:r>
                  <w:r>
                    <w:t>9</w:t>
                  </w:r>
                  <w:r>
                    <w:rPr>
                      <w:rFonts w:hint="eastAsia"/>
                    </w:rPr>
                    <w:t>企业边界大气污染物浓度限值（非甲烷总烃</w:t>
                  </w:r>
                  <w:r>
                    <w:t>4</w:t>
                  </w:r>
                  <w:r>
                    <w:rPr>
                      <w:rFonts w:hint="eastAsia"/>
                    </w:rPr>
                    <w:t>mg/m</w:t>
                  </w:r>
                  <w:r>
                    <w:rPr>
                      <w:rFonts w:hint="eastAsia"/>
                      <w:vertAlign w:val="superscript"/>
                    </w:rPr>
                    <w:t>3</w:t>
                  </w:r>
                  <w:r>
                    <w:rPr>
                      <w:rFonts w:hint="eastAsia"/>
                    </w:rPr>
                    <w:t>、氯化氢0</w:t>
                  </w:r>
                  <w:r>
                    <w:t>.2</w:t>
                  </w:r>
                  <w:r>
                    <w:rPr>
                      <w:rFonts w:hint="eastAsia"/>
                    </w:rPr>
                    <w:t xml:space="preserve"> mg/m</w:t>
                  </w:r>
                  <w:r>
                    <w:rPr>
                      <w:rFonts w:hint="eastAsia"/>
                      <w:vertAlign w:val="superscript"/>
                    </w:rPr>
                    <w:t>3</w:t>
                  </w:r>
                  <w:r>
                    <w:rPr>
                      <w:rFonts w:hint="eastAsia"/>
                    </w:rPr>
                    <w:t>、颗粒物</w:t>
                  </w:r>
                  <w:r>
                    <w:t>1</w:t>
                  </w:r>
                  <w:r>
                    <w:rPr>
                      <w:rFonts w:hint="eastAsia"/>
                    </w:rPr>
                    <w:t>mg/m</w:t>
                  </w:r>
                  <w:r>
                    <w:rPr>
                      <w:rFonts w:hint="eastAsia"/>
                      <w:vertAlign w:val="superscript"/>
                    </w:rPr>
                    <w:t>3</w:t>
                  </w:r>
                  <w:r>
                    <w:rPr>
                      <w:rFonts w:hint="eastAsia"/>
                    </w:rPr>
                    <w:t>）</w:t>
                  </w:r>
                </w:p>
              </w:tc>
            </w:tr>
            <w:tr w14:paraId="56E584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pct"/>
                  <w:vMerge w:val="continue"/>
                  <w:vAlign w:val="center"/>
                </w:tcPr>
                <w:p w14:paraId="1C83F308">
                  <w:pPr>
                    <w:pStyle w:val="104"/>
                    <w:spacing w:line="240" w:lineRule="auto"/>
                  </w:pPr>
                </w:p>
              </w:tc>
              <w:tc>
                <w:tcPr>
                  <w:tcW w:w="938" w:type="pct"/>
                  <w:vAlign w:val="center"/>
                </w:tcPr>
                <w:p w14:paraId="0D0F357A">
                  <w:pPr>
                    <w:pStyle w:val="104"/>
                    <w:spacing w:line="240" w:lineRule="auto"/>
                  </w:pPr>
                  <w:r>
                    <w:rPr>
                      <w:rFonts w:hint="eastAsia"/>
                    </w:rPr>
                    <w:t>厂区内非甲烷总烃</w:t>
                  </w:r>
                </w:p>
              </w:tc>
              <w:tc>
                <w:tcPr>
                  <w:tcW w:w="1523" w:type="pct"/>
                  <w:vMerge w:val="continue"/>
                  <w:vAlign w:val="center"/>
                </w:tcPr>
                <w:p w14:paraId="1B834C4F">
                  <w:pPr>
                    <w:pStyle w:val="104"/>
                    <w:spacing w:line="240" w:lineRule="auto"/>
                  </w:pPr>
                </w:p>
              </w:tc>
              <w:tc>
                <w:tcPr>
                  <w:tcW w:w="2029" w:type="pct"/>
                  <w:vAlign w:val="center"/>
                </w:tcPr>
                <w:p w14:paraId="17133503">
                  <w:pPr>
                    <w:pStyle w:val="104"/>
                    <w:spacing w:line="240" w:lineRule="auto"/>
                  </w:pPr>
                  <w:r>
                    <w:t>《挥发性有机物无组织排放控制标准》（GB37822-2019）表A.1规定特别排放限值要求</w:t>
                  </w:r>
                </w:p>
              </w:tc>
            </w:tr>
            <w:tr w14:paraId="5F23F1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10" w:type="pct"/>
                  <w:vAlign w:val="center"/>
                </w:tcPr>
                <w:p w14:paraId="3E15A58F">
                  <w:pPr>
                    <w:pStyle w:val="104"/>
                    <w:spacing w:line="240" w:lineRule="auto"/>
                  </w:pPr>
                  <w:r>
                    <w:t>噪声</w:t>
                  </w:r>
                </w:p>
              </w:tc>
              <w:tc>
                <w:tcPr>
                  <w:tcW w:w="938" w:type="pct"/>
                  <w:vAlign w:val="center"/>
                </w:tcPr>
                <w:p w14:paraId="5F7D2AA0">
                  <w:pPr>
                    <w:pStyle w:val="104"/>
                    <w:spacing w:line="240" w:lineRule="auto"/>
                  </w:pPr>
                  <w:r>
                    <w:t>等效连续A声级(Leq(A))</w:t>
                  </w:r>
                </w:p>
              </w:tc>
              <w:tc>
                <w:tcPr>
                  <w:tcW w:w="1523" w:type="pct"/>
                  <w:vAlign w:val="center"/>
                </w:tcPr>
                <w:p w14:paraId="5FD9277F">
                  <w:pPr>
                    <w:pStyle w:val="104"/>
                    <w:spacing w:line="240" w:lineRule="auto"/>
                  </w:pPr>
                  <w:r>
                    <w:t>噪声源全部安装在室内，设备采取减振措施</w:t>
                  </w:r>
                </w:p>
              </w:tc>
              <w:tc>
                <w:tcPr>
                  <w:tcW w:w="2029" w:type="pct"/>
                  <w:vAlign w:val="center"/>
                </w:tcPr>
                <w:p w14:paraId="28CD1824">
                  <w:pPr>
                    <w:pStyle w:val="104"/>
                    <w:spacing w:line="240" w:lineRule="auto"/>
                    <w:jc w:val="both"/>
                  </w:pPr>
                  <w:r>
                    <w:t>《工业企业厂界环境噪声排放标准》（GB12348-2008）中的3类标准</w:t>
                  </w:r>
                  <w:r>
                    <w:rPr>
                      <w:rFonts w:hint="eastAsia"/>
                    </w:rPr>
                    <w:t>（昼间65 dB（A）夜间55 dB（A））</w:t>
                  </w:r>
                </w:p>
              </w:tc>
            </w:tr>
            <w:tr w14:paraId="5D137F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10" w:type="pct"/>
                  <w:vMerge w:val="restart"/>
                  <w:vAlign w:val="center"/>
                </w:tcPr>
                <w:p w14:paraId="00E9F0E0">
                  <w:pPr>
                    <w:pStyle w:val="104"/>
                    <w:spacing w:line="240" w:lineRule="auto"/>
                  </w:pPr>
                  <w:r>
                    <w:t>固废</w:t>
                  </w:r>
                </w:p>
              </w:tc>
              <w:tc>
                <w:tcPr>
                  <w:tcW w:w="938" w:type="pct"/>
                  <w:tcBorders>
                    <w:bottom w:val="single" w:color="auto" w:sz="4" w:space="0"/>
                  </w:tcBorders>
                  <w:vAlign w:val="center"/>
                </w:tcPr>
                <w:p w14:paraId="29CA7AB2">
                  <w:pPr>
                    <w:pStyle w:val="104"/>
                    <w:spacing w:line="240" w:lineRule="auto"/>
                  </w:pPr>
                  <w:r>
                    <w:rPr>
                      <w:rFonts w:hint="eastAsia"/>
                    </w:rPr>
                    <w:t>收集尘</w:t>
                  </w:r>
                </w:p>
              </w:tc>
              <w:tc>
                <w:tcPr>
                  <w:tcW w:w="1523" w:type="pct"/>
                  <w:vMerge w:val="restart"/>
                  <w:tcBorders>
                    <w:bottom w:val="single" w:color="auto" w:sz="4" w:space="0"/>
                  </w:tcBorders>
                  <w:vAlign w:val="center"/>
                </w:tcPr>
                <w:p w14:paraId="57D1D6C8">
                  <w:pPr>
                    <w:pStyle w:val="104"/>
                    <w:spacing w:line="240" w:lineRule="auto"/>
                  </w:pPr>
                  <w:r>
                    <w:rPr>
                      <w:rFonts w:hint="eastAsia"/>
                    </w:rPr>
                    <w:t>收集回用</w:t>
                  </w:r>
                </w:p>
              </w:tc>
              <w:tc>
                <w:tcPr>
                  <w:tcW w:w="2029" w:type="pct"/>
                  <w:vMerge w:val="restart"/>
                  <w:tcBorders>
                    <w:bottom w:val="single" w:color="auto" w:sz="4" w:space="0"/>
                  </w:tcBorders>
                  <w:vAlign w:val="center"/>
                </w:tcPr>
                <w:p w14:paraId="28298D03">
                  <w:pPr>
                    <w:pStyle w:val="104"/>
                    <w:spacing w:line="240" w:lineRule="auto"/>
                  </w:pPr>
                  <w:r>
                    <w:t>《一般工业固体废物贮存和填埋污染控制标准》（GB18599-2020）要求</w:t>
                  </w:r>
                </w:p>
              </w:tc>
            </w:tr>
            <w:tr w14:paraId="6C32A5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10" w:type="pct"/>
                  <w:vMerge w:val="continue"/>
                  <w:vAlign w:val="center"/>
                </w:tcPr>
                <w:p w14:paraId="501CF79C">
                  <w:pPr>
                    <w:pStyle w:val="104"/>
                    <w:spacing w:line="240" w:lineRule="auto"/>
                  </w:pPr>
                </w:p>
              </w:tc>
              <w:tc>
                <w:tcPr>
                  <w:tcW w:w="938" w:type="pct"/>
                  <w:vAlign w:val="center"/>
                </w:tcPr>
                <w:p w14:paraId="0253E99A">
                  <w:pPr>
                    <w:pStyle w:val="104"/>
                    <w:spacing w:line="240" w:lineRule="auto"/>
                  </w:pPr>
                  <w:r>
                    <w:rPr>
                      <w:rFonts w:hint="eastAsia"/>
                    </w:rPr>
                    <w:t>不合格品</w:t>
                  </w:r>
                </w:p>
              </w:tc>
              <w:tc>
                <w:tcPr>
                  <w:tcW w:w="1523" w:type="pct"/>
                  <w:vMerge w:val="continue"/>
                  <w:vAlign w:val="center"/>
                </w:tcPr>
                <w:p w14:paraId="683568D3">
                  <w:pPr>
                    <w:pStyle w:val="104"/>
                    <w:spacing w:line="240" w:lineRule="auto"/>
                    <w:jc w:val="both"/>
                  </w:pPr>
                </w:p>
              </w:tc>
              <w:tc>
                <w:tcPr>
                  <w:tcW w:w="2029" w:type="pct"/>
                  <w:vMerge w:val="continue"/>
                  <w:vAlign w:val="center"/>
                </w:tcPr>
                <w:p w14:paraId="6403431D">
                  <w:pPr>
                    <w:pStyle w:val="104"/>
                    <w:spacing w:line="240" w:lineRule="auto"/>
                  </w:pPr>
                </w:p>
              </w:tc>
            </w:tr>
            <w:tr w14:paraId="160BF0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510" w:type="pct"/>
                  <w:vMerge w:val="continue"/>
                  <w:vAlign w:val="center"/>
                </w:tcPr>
                <w:p w14:paraId="6E142845">
                  <w:pPr>
                    <w:pStyle w:val="104"/>
                    <w:spacing w:line="240" w:lineRule="auto"/>
                  </w:pPr>
                </w:p>
              </w:tc>
              <w:tc>
                <w:tcPr>
                  <w:tcW w:w="938" w:type="pct"/>
                  <w:vAlign w:val="center"/>
                </w:tcPr>
                <w:p w14:paraId="1659E1AB">
                  <w:pPr>
                    <w:pStyle w:val="104"/>
                    <w:spacing w:line="240" w:lineRule="auto"/>
                  </w:pPr>
                  <w:r>
                    <w:rPr>
                      <w:rFonts w:hint="eastAsia"/>
                    </w:rPr>
                    <w:t>边角料</w:t>
                  </w:r>
                </w:p>
              </w:tc>
              <w:tc>
                <w:tcPr>
                  <w:tcW w:w="1523" w:type="pct"/>
                  <w:vMerge w:val="continue"/>
                  <w:vAlign w:val="center"/>
                </w:tcPr>
                <w:p w14:paraId="113327AE">
                  <w:pPr>
                    <w:pStyle w:val="104"/>
                    <w:spacing w:line="240" w:lineRule="auto"/>
                    <w:jc w:val="both"/>
                  </w:pPr>
                </w:p>
              </w:tc>
              <w:tc>
                <w:tcPr>
                  <w:tcW w:w="2029" w:type="pct"/>
                  <w:vMerge w:val="continue"/>
                  <w:vAlign w:val="center"/>
                </w:tcPr>
                <w:p w14:paraId="7285E76B">
                  <w:pPr>
                    <w:pStyle w:val="104"/>
                    <w:spacing w:line="240" w:lineRule="auto"/>
                  </w:pPr>
                </w:p>
              </w:tc>
            </w:tr>
            <w:tr w14:paraId="283CA4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10" w:type="pct"/>
                  <w:vMerge w:val="continue"/>
                  <w:vAlign w:val="center"/>
                </w:tcPr>
                <w:p w14:paraId="630F951D">
                  <w:pPr>
                    <w:pStyle w:val="104"/>
                    <w:spacing w:line="240" w:lineRule="auto"/>
                  </w:pPr>
                </w:p>
              </w:tc>
              <w:tc>
                <w:tcPr>
                  <w:tcW w:w="938" w:type="pct"/>
                  <w:vAlign w:val="center"/>
                </w:tcPr>
                <w:p w14:paraId="67D86821">
                  <w:pPr>
                    <w:pStyle w:val="104"/>
                    <w:spacing w:line="240" w:lineRule="auto"/>
                  </w:pPr>
                  <w:r>
                    <w:rPr>
                      <w:rFonts w:hint="eastAsia"/>
                    </w:rPr>
                    <w:t>废催化剂</w:t>
                  </w:r>
                </w:p>
              </w:tc>
              <w:tc>
                <w:tcPr>
                  <w:tcW w:w="1523" w:type="pct"/>
                  <w:vMerge w:val="restart"/>
                  <w:vAlign w:val="center"/>
                </w:tcPr>
                <w:p w14:paraId="741F97B9">
                  <w:pPr>
                    <w:pStyle w:val="104"/>
                    <w:spacing w:line="240" w:lineRule="auto"/>
                  </w:pPr>
                  <w:r>
                    <w:t>集中收集至危废暂存间后，定期交由资质单位处置</w:t>
                  </w:r>
                </w:p>
              </w:tc>
              <w:tc>
                <w:tcPr>
                  <w:tcW w:w="2029" w:type="pct"/>
                  <w:vMerge w:val="restart"/>
                  <w:vAlign w:val="center"/>
                </w:tcPr>
                <w:p w14:paraId="7B0C76F6">
                  <w:pPr>
                    <w:pStyle w:val="104"/>
                    <w:spacing w:line="240" w:lineRule="auto"/>
                  </w:pPr>
                  <w:r>
                    <w:t>《危险废物贮存污染控制标准》（GB18597-2023）及其修改单的相关要求</w:t>
                  </w:r>
                </w:p>
              </w:tc>
            </w:tr>
            <w:tr w14:paraId="53C236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10" w:type="pct"/>
                  <w:vMerge w:val="continue"/>
                  <w:vAlign w:val="center"/>
                </w:tcPr>
                <w:p w14:paraId="398AC91A">
                  <w:pPr>
                    <w:pStyle w:val="104"/>
                    <w:spacing w:line="240" w:lineRule="auto"/>
                  </w:pPr>
                </w:p>
              </w:tc>
              <w:tc>
                <w:tcPr>
                  <w:tcW w:w="938" w:type="pct"/>
                  <w:vAlign w:val="center"/>
                </w:tcPr>
                <w:p w14:paraId="1C51BD9E">
                  <w:pPr>
                    <w:pStyle w:val="104"/>
                    <w:spacing w:line="240" w:lineRule="auto"/>
                  </w:pPr>
                  <w:r>
                    <w:rPr>
                      <w:rFonts w:hint="eastAsia"/>
                    </w:rPr>
                    <w:t>废活性炭</w:t>
                  </w:r>
                </w:p>
              </w:tc>
              <w:tc>
                <w:tcPr>
                  <w:tcW w:w="1523" w:type="pct"/>
                  <w:vMerge w:val="continue"/>
                  <w:vAlign w:val="center"/>
                </w:tcPr>
                <w:p w14:paraId="06E421B5">
                  <w:pPr>
                    <w:pStyle w:val="104"/>
                    <w:spacing w:line="240" w:lineRule="auto"/>
                  </w:pPr>
                </w:p>
              </w:tc>
              <w:tc>
                <w:tcPr>
                  <w:tcW w:w="2029" w:type="pct"/>
                  <w:vMerge w:val="continue"/>
                  <w:vAlign w:val="center"/>
                </w:tcPr>
                <w:p w14:paraId="78EDBEEB">
                  <w:pPr>
                    <w:pStyle w:val="104"/>
                    <w:spacing w:line="240" w:lineRule="auto"/>
                  </w:pPr>
                </w:p>
              </w:tc>
            </w:tr>
            <w:tr w14:paraId="5DCAC1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10" w:type="pct"/>
                  <w:vMerge w:val="continue"/>
                  <w:vAlign w:val="center"/>
                </w:tcPr>
                <w:p w14:paraId="5CC40D87">
                  <w:pPr>
                    <w:pStyle w:val="104"/>
                    <w:spacing w:line="240" w:lineRule="auto"/>
                  </w:pPr>
                </w:p>
              </w:tc>
              <w:tc>
                <w:tcPr>
                  <w:tcW w:w="938" w:type="pct"/>
                  <w:vAlign w:val="center"/>
                </w:tcPr>
                <w:p w14:paraId="6847E5C8">
                  <w:pPr>
                    <w:pStyle w:val="104"/>
                    <w:spacing w:line="240" w:lineRule="auto"/>
                  </w:pPr>
                  <w:r>
                    <w:rPr>
                      <w:rFonts w:hint="eastAsia"/>
                    </w:rPr>
                    <w:t>废机油</w:t>
                  </w:r>
                </w:p>
              </w:tc>
              <w:tc>
                <w:tcPr>
                  <w:tcW w:w="1523" w:type="pct"/>
                  <w:vMerge w:val="continue"/>
                  <w:vAlign w:val="center"/>
                </w:tcPr>
                <w:p w14:paraId="29471F85">
                  <w:pPr>
                    <w:pStyle w:val="104"/>
                    <w:spacing w:line="240" w:lineRule="auto"/>
                  </w:pPr>
                </w:p>
              </w:tc>
              <w:tc>
                <w:tcPr>
                  <w:tcW w:w="2029" w:type="pct"/>
                  <w:vMerge w:val="continue"/>
                  <w:vAlign w:val="center"/>
                </w:tcPr>
                <w:p w14:paraId="28910071">
                  <w:pPr>
                    <w:pStyle w:val="104"/>
                    <w:spacing w:line="240" w:lineRule="auto"/>
                  </w:pPr>
                </w:p>
              </w:tc>
            </w:tr>
          </w:tbl>
          <w:p w14:paraId="4115299D">
            <w:pPr>
              <w:pStyle w:val="55"/>
              <w:ind w:firstLine="0" w:firstLineChars="0"/>
            </w:pPr>
          </w:p>
          <w:p w14:paraId="2ABE941F">
            <w:pPr>
              <w:pStyle w:val="55"/>
              <w:ind w:firstLine="0" w:firstLineChars="0"/>
            </w:pPr>
          </w:p>
          <w:p w14:paraId="3609E6B1">
            <w:pPr>
              <w:pStyle w:val="55"/>
              <w:ind w:firstLine="0" w:firstLineChars="0"/>
            </w:pPr>
          </w:p>
          <w:p w14:paraId="23BE5496">
            <w:pPr>
              <w:pStyle w:val="55"/>
              <w:ind w:firstLine="0" w:firstLineChars="0"/>
            </w:pPr>
          </w:p>
          <w:p w14:paraId="708883D9">
            <w:pPr>
              <w:pStyle w:val="55"/>
              <w:ind w:firstLine="0" w:firstLineChars="0"/>
            </w:pPr>
          </w:p>
          <w:p w14:paraId="61A19BA2">
            <w:pPr>
              <w:pStyle w:val="55"/>
              <w:ind w:firstLine="0" w:firstLineChars="0"/>
            </w:pPr>
          </w:p>
          <w:p w14:paraId="1756A3BC">
            <w:pPr>
              <w:pStyle w:val="55"/>
              <w:ind w:firstLine="0" w:firstLineChars="0"/>
            </w:pPr>
          </w:p>
          <w:p w14:paraId="70523D69">
            <w:pPr>
              <w:pStyle w:val="55"/>
              <w:ind w:firstLine="0" w:firstLineChars="0"/>
            </w:pPr>
          </w:p>
          <w:p w14:paraId="2021FAB5">
            <w:pPr>
              <w:pStyle w:val="55"/>
              <w:ind w:firstLine="0" w:firstLineChars="0"/>
            </w:pPr>
          </w:p>
          <w:p w14:paraId="38B13383">
            <w:pPr>
              <w:pStyle w:val="55"/>
              <w:ind w:firstLine="0" w:firstLineChars="0"/>
            </w:pPr>
          </w:p>
          <w:p w14:paraId="28228818">
            <w:pPr>
              <w:pStyle w:val="55"/>
              <w:ind w:firstLine="0" w:firstLineChars="0"/>
            </w:pPr>
          </w:p>
          <w:p w14:paraId="5A44A05B">
            <w:pPr>
              <w:pStyle w:val="55"/>
              <w:ind w:firstLine="0" w:firstLineChars="0"/>
            </w:pPr>
          </w:p>
          <w:p w14:paraId="4C8B517A">
            <w:pPr>
              <w:pStyle w:val="55"/>
              <w:ind w:firstLine="0" w:firstLineChars="0"/>
            </w:pPr>
          </w:p>
          <w:p w14:paraId="76E311F8">
            <w:pPr>
              <w:pStyle w:val="55"/>
              <w:ind w:firstLine="0" w:firstLineChars="0"/>
            </w:pPr>
          </w:p>
          <w:p w14:paraId="1937B239">
            <w:pPr>
              <w:pStyle w:val="55"/>
              <w:ind w:firstLine="0" w:firstLineChars="0"/>
            </w:pPr>
          </w:p>
          <w:p w14:paraId="5596AB69">
            <w:pPr>
              <w:pStyle w:val="55"/>
              <w:ind w:firstLine="0" w:firstLineChars="0"/>
            </w:pPr>
          </w:p>
          <w:p w14:paraId="31DF6324">
            <w:pPr>
              <w:pStyle w:val="55"/>
              <w:ind w:firstLine="0" w:firstLineChars="0"/>
            </w:pPr>
          </w:p>
        </w:tc>
      </w:tr>
    </w:tbl>
    <w:p w14:paraId="373A462C">
      <w:pPr>
        <w:adjustRightInd w:val="0"/>
        <w:snapToGrid w:val="0"/>
        <w:spacing w:line="360" w:lineRule="auto"/>
        <w:rPr>
          <w:rFonts w:ascii="宋体" w:cs="宋体"/>
          <w:b/>
          <w:color w:val="000000"/>
          <w:kern w:val="0"/>
          <w:sz w:val="28"/>
          <w:szCs w:val="28"/>
        </w:rPr>
        <w:sectPr>
          <w:pgSz w:w="11907" w:h="16840"/>
          <w:pgMar w:top="1701" w:right="1531" w:bottom="2127" w:left="1531" w:header="851" w:footer="851" w:gutter="0"/>
          <w:cols w:space="720" w:num="1"/>
          <w:docGrid w:linePitch="312" w:charSpace="0"/>
        </w:sectPr>
      </w:pPr>
    </w:p>
    <w:p w14:paraId="6161B2E8">
      <w:pPr>
        <w:pStyle w:val="26"/>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五、</w:t>
      </w:r>
      <w:bookmarkStart w:id="5" w:name="_Hlk54167917"/>
      <w:r>
        <w:rPr>
          <w:rFonts w:hint="eastAsia" w:ascii="黑体" w:hAnsi="黑体" w:eastAsia="黑体"/>
          <w:snapToGrid w:val="0"/>
          <w:color w:val="000000"/>
          <w:sz w:val="30"/>
          <w:szCs w:val="30"/>
        </w:rPr>
        <w:t>环境保护措施监督检查清单</w:t>
      </w:r>
      <w:bookmarkEnd w:id="5"/>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624"/>
        <w:gridCol w:w="1276"/>
        <w:gridCol w:w="1547"/>
        <w:gridCol w:w="3152"/>
      </w:tblGrid>
      <w:tr w14:paraId="726FA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tcBorders>
              <w:tl2br w:val="single" w:color="auto" w:sz="4" w:space="0"/>
            </w:tcBorders>
          </w:tcPr>
          <w:p w14:paraId="7C194A71">
            <w:pPr>
              <w:adjustRightInd w:val="0"/>
              <w:snapToGrid w:val="0"/>
              <w:ind w:firstLine="420" w:firstLineChars="200"/>
              <w:rPr>
                <w:color w:val="000000"/>
                <w:szCs w:val="21"/>
              </w:rPr>
            </w:pPr>
            <w:r>
              <w:rPr>
                <w:color w:val="000000"/>
                <w:szCs w:val="21"/>
              </w:rPr>
              <w:t>内容</w:t>
            </w:r>
          </w:p>
          <w:p w14:paraId="7149BAEC">
            <w:pPr>
              <w:adjustRightInd w:val="0"/>
              <w:snapToGrid w:val="0"/>
              <w:rPr>
                <w:color w:val="000000"/>
                <w:szCs w:val="21"/>
              </w:rPr>
            </w:pPr>
            <w:r>
              <w:rPr>
                <w:color w:val="000000"/>
                <w:szCs w:val="21"/>
              </w:rPr>
              <w:t>要素</w:t>
            </w:r>
          </w:p>
        </w:tc>
        <w:tc>
          <w:tcPr>
            <w:tcW w:w="1624" w:type="dxa"/>
            <w:vAlign w:val="center"/>
          </w:tcPr>
          <w:p w14:paraId="3494E2E6">
            <w:pPr>
              <w:adjustRightInd w:val="0"/>
              <w:snapToGrid w:val="0"/>
              <w:jc w:val="center"/>
              <w:rPr>
                <w:color w:val="000000"/>
                <w:szCs w:val="21"/>
              </w:rPr>
            </w:pPr>
            <w:r>
              <w:rPr>
                <w:color w:val="000000"/>
                <w:szCs w:val="21"/>
              </w:rPr>
              <w:t>排放口(编号、名称)/污染源</w:t>
            </w:r>
          </w:p>
        </w:tc>
        <w:tc>
          <w:tcPr>
            <w:tcW w:w="1276" w:type="dxa"/>
            <w:vAlign w:val="center"/>
          </w:tcPr>
          <w:p w14:paraId="4ED17270">
            <w:pPr>
              <w:adjustRightInd w:val="0"/>
              <w:snapToGrid w:val="0"/>
              <w:jc w:val="center"/>
              <w:rPr>
                <w:color w:val="000000"/>
                <w:szCs w:val="21"/>
              </w:rPr>
            </w:pPr>
            <w:r>
              <w:rPr>
                <w:color w:val="000000"/>
                <w:szCs w:val="21"/>
              </w:rPr>
              <w:t>污染物项目</w:t>
            </w:r>
          </w:p>
        </w:tc>
        <w:tc>
          <w:tcPr>
            <w:tcW w:w="1547" w:type="dxa"/>
            <w:vAlign w:val="center"/>
          </w:tcPr>
          <w:p w14:paraId="54200735">
            <w:pPr>
              <w:adjustRightInd w:val="0"/>
              <w:snapToGrid w:val="0"/>
              <w:jc w:val="center"/>
              <w:rPr>
                <w:color w:val="000000"/>
                <w:szCs w:val="21"/>
              </w:rPr>
            </w:pPr>
            <w:r>
              <w:rPr>
                <w:color w:val="000000"/>
                <w:szCs w:val="21"/>
              </w:rPr>
              <w:t>环境保护措施</w:t>
            </w:r>
          </w:p>
        </w:tc>
        <w:tc>
          <w:tcPr>
            <w:tcW w:w="3152" w:type="dxa"/>
            <w:vAlign w:val="center"/>
          </w:tcPr>
          <w:p w14:paraId="6BC151E5">
            <w:pPr>
              <w:adjustRightInd w:val="0"/>
              <w:snapToGrid w:val="0"/>
              <w:jc w:val="center"/>
              <w:rPr>
                <w:color w:val="000000"/>
                <w:szCs w:val="21"/>
              </w:rPr>
            </w:pPr>
            <w:r>
              <w:rPr>
                <w:color w:val="000000"/>
                <w:szCs w:val="21"/>
              </w:rPr>
              <w:t>执行标准</w:t>
            </w:r>
          </w:p>
        </w:tc>
      </w:tr>
      <w:tr w14:paraId="6A5D2E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01" w:type="dxa"/>
            <w:vMerge w:val="restart"/>
            <w:vAlign w:val="center"/>
          </w:tcPr>
          <w:p w14:paraId="41B1B3FE">
            <w:pPr>
              <w:adjustRightInd w:val="0"/>
              <w:snapToGrid w:val="0"/>
              <w:jc w:val="center"/>
              <w:rPr>
                <w:color w:val="000000"/>
                <w:szCs w:val="21"/>
              </w:rPr>
            </w:pPr>
            <w:r>
              <w:rPr>
                <w:color w:val="000000"/>
                <w:szCs w:val="21"/>
              </w:rPr>
              <w:t>大气环境</w:t>
            </w:r>
          </w:p>
        </w:tc>
        <w:tc>
          <w:tcPr>
            <w:tcW w:w="1624" w:type="dxa"/>
            <w:vAlign w:val="center"/>
          </w:tcPr>
          <w:p w14:paraId="5952DE87">
            <w:pPr>
              <w:widowControl/>
              <w:jc w:val="center"/>
              <w:rPr>
                <w:color w:val="000000"/>
                <w:szCs w:val="21"/>
              </w:rPr>
            </w:pPr>
            <w:r>
              <w:rPr>
                <w:color w:val="000000"/>
                <w:szCs w:val="21"/>
              </w:rPr>
              <w:t>有机废气排放口</w:t>
            </w:r>
          </w:p>
        </w:tc>
        <w:tc>
          <w:tcPr>
            <w:tcW w:w="1276" w:type="dxa"/>
            <w:vAlign w:val="center"/>
          </w:tcPr>
          <w:p w14:paraId="5B2FD747">
            <w:pPr>
              <w:adjustRightInd w:val="0"/>
              <w:snapToGrid w:val="0"/>
              <w:jc w:val="center"/>
              <w:rPr>
                <w:color w:val="000000"/>
                <w:szCs w:val="21"/>
              </w:rPr>
            </w:pPr>
            <w:r>
              <w:rPr>
                <w:color w:val="000000"/>
                <w:szCs w:val="21"/>
              </w:rPr>
              <w:t>有组织非甲烷总烃</w:t>
            </w:r>
            <w:r>
              <w:rPr>
                <w:rFonts w:hint="eastAsia"/>
                <w:color w:val="000000"/>
                <w:szCs w:val="21"/>
              </w:rPr>
              <w:t>、氯化氢</w:t>
            </w:r>
          </w:p>
        </w:tc>
        <w:tc>
          <w:tcPr>
            <w:tcW w:w="1547" w:type="dxa"/>
            <w:vAlign w:val="center"/>
          </w:tcPr>
          <w:p w14:paraId="5562B0C2">
            <w:pPr>
              <w:pStyle w:val="90"/>
            </w:pPr>
            <w:r>
              <w:t>集气罩+活性炭吸附+催化燃烧处理+15m排气筒</w:t>
            </w:r>
          </w:p>
        </w:tc>
        <w:tc>
          <w:tcPr>
            <w:tcW w:w="3152" w:type="dxa"/>
            <w:vMerge w:val="restart"/>
            <w:vAlign w:val="center"/>
          </w:tcPr>
          <w:p w14:paraId="4623E6E1">
            <w:pPr>
              <w:pStyle w:val="90"/>
            </w:pPr>
            <w:r>
              <w:rPr>
                <w:rFonts w:hint="eastAsia"/>
              </w:rPr>
              <w:t>《合成树脂工业污染物排放标准》(GB31572-2015)表5中特别排放限值（非甲烷总烃60 mg/m</w:t>
            </w:r>
            <w:r>
              <w:rPr>
                <w:rFonts w:hint="eastAsia"/>
                <w:vertAlign w:val="superscript"/>
              </w:rPr>
              <w:t>3</w:t>
            </w:r>
            <w:r>
              <w:rPr>
                <w:rFonts w:hint="eastAsia"/>
              </w:rPr>
              <w:t>、氯化氢、颗粒物20mg/m</w:t>
            </w:r>
            <w:r>
              <w:rPr>
                <w:rFonts w:hint="eastAsia"/>
                <w:vertAlign w:val="superscript"/>
              </w:rPr>
              <w:t>3</w:t>
            </w:r>
            <w:r>
              <w:rPr>
                <w:rFonts w:hint="eastAsia"/>
              </w:rPr>
              <w:t>）</w:t>
            </w:r>
          </w:p>
        </w:tc>
      </w:tr>
      <w:tr w14:paraId="25007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1" w:type="dxa"/>
            <w:vMerge w:val="continue"/>
            <w:vAlign w:val="center"/>
          </w:tcPr>
          <w:p w14:paraId="13DBA80F">
            <w:pPr>
              <w:pStyle w:val="90"/>
            </w:pPr>
          </w:p>
        </w:tc>
        <w:tc>
          <w:tcPr>
            <w:tcW w:w="1624" w:type="dxa"/>
            <w:vAlign w:val="center"/>
          </w:tcPr>
          <w:p w14:paraId="6CCAFDC5">
            <w:pPr>
              <w:pStyle w:val="90"/>
              <w:rPr>
                <w:color w:val="000000"/>
              </w:rPr>
            </w:pPr>
            <w:r>
              <w:rPr>
                <w:color w:val="000000"/>
              </w:rPr>
              <w:t>布袋除尘器排放口</w:t>
            </w:r>
          </w:p>
        </w:tc>
        <w:tc>
          <w:tcPr>
            <w:tcW w:w="1276" w:type="dxa"/>
            <w:vAlign w:val="center"/>
          </w:tcPr>
          <w:p w14:paraId="427662DB">
            <w:pPr>
              <w:pStyle w:val="90"/>
              <w:rPr>
                <w:color w:val="000000"/>
              </w:rPr>
            </w:pPr>
            <w:r>
              <w:rPr>
                <w:color w:val="000000"/>
              </w:rPr>
              <w:t>颗粒物</w:t>
            </w:r>
          </w:p>
        </w:tc>
        <w:tc>
          <w:tcPr>
            <w:tcW w:w="1547" w:type="dxa"/>
            <w:vAlign w:val="center"/>
          </w:tcPr>
          <w:p w14:paraId="52BB41CD">
            <w:pPr>
              <w:widowControl/>
              <w:jc w:val="left"/>
              <w:rPr>
                <w:color w:val="000000"/>
                <w:szCs w:val="21"/>
              </w:rPr>
            </w:pPr>
            <w:r>
              <w:rPr>
                <w:color w:val="000000"/>
                <w:kern w:val="0"/>
                <w:szCs w:val="21"/>
                <w:lang w:bidi="ar"/>
              </w:rPr>
              <w:t>布袋除尘器+15m排气筒</w:t>
            </w:r>
          </w:p>
        </w:tc>
        <w:tc>
          <w:tcPr>
            <w:tcW w:w="3152" w:type="dxa"/>
            <w:vMerge w:val="continue"/>
            <w:vAlign w:val="center"/>
          </w:tcPr>
          <w:p w14:paraId="74D831EE">
            <w:pPr>
              <w:pStyle w:val="90"/>
              <w:rPr>
                <w:color w:val="000000"/>
              </w:rPr>
            </w:pPr>
          </w:p>
        </w:tc>
      </w:tr>
      <w:tr w14:paraId="29D0A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01" w:type="dxa"/>
            <w:vMerge w:val="continue"/>
            <w:vAlign w:val="center"/>
          </w:tcPr>
          <w:p w14:paraId="1ED03CF0">
            <w:pPr>
              <w:pStyle w:val="90"/>
            </w:pPr>
          </w:p>
        </w:tc>
        <w:tc>
          <w:tcPr>
            <w:tcW w:w="1624" w:type="dxa"/>
            <w:vAlign w:val="center"/>
          </w:tcPr>
          <w:p w14:paraId="35BE7F22">
            <w:pPr>
              <w:jc w:val="center"/>
              <w:rPr>
                <w:color w:val="000000"/>
                <w:szCs w:val="21"/>
              </w:rPr>
            </w:pPr>
            <w:r>
              <w:rPr>
                <w:szCs w:val="21"/>
              </w:rPr>
              <w:t>厂界四周</w:t>
            </w:r>
          </w:p>
        </w:tc>
        <w:tc>
          <w:tcPr>
            <w:tcW w:w="1276" w:type="dxa"/>
            <w:vAlign w:val="center"/>
          </w:tcPr>
          <w:p w14:paraId="681FFAD0">
            <w:pPr>
              <w:pStyle w:val="90"/>
              <w:rPr>
                <w:color w:val="000000"/>
              </w:rPr>
            </w:pPr>
            <w:r>
              <w:t>颗粒物、非甲烷总烃</w:t>
            </w:r>
            <w:r>
              <w:rPr>
                <w:rFonts w:hint="eastAsia"/>
              </w:rPr>
              <w:t>、氯化氢</w:t>
            </w:r>
          </w:p>
        </w:tc>
        <w:tc>
          <w:tcPr>
            <w:tcW w:w="1547" w:type="dxa"/>
            <w:vMerge w:val="restart"/>
            <w:vAlign w:val="center"/>
          </w:tcPr>
          <w:p w14:paraId="2DE5F7FF">
            <w:pPr>
              <w:pStyle w:val="90"/>
              <w:rPr>
                <w:color w:val="000000"/>
                <w:kern w:val="0"/>
                <w:lang w:bidi="ar"/>
              </w:rPr>
            </w:pPr>
            <w:r>
              <w:rPr>
                <w:rFonts w:hint="eastAsia"/>
                <w:color w:val="000000"/>
                <w:kern w:val="0"/>
                <w:lang w:bidi="ar"/>
              </w:rPr>
              <w:t>加强通风</w:t>
            </w:r>
          </w:p>
        </w:tc>
        <w:tc>
          <w:tcPr>
            <w:tcW w:w="3152" w:type="dxa"/>
            <w:vAlign w:val="center"/>
          </w:tcPr>
          <w:p w14:paraId="6A67C3D5">
            <w:pPr>
              <w:pStyle w:val="90"/>
            </w:pPr>
            <w:r>
              <w:rPr>
                <w:rFonts w:hint="eastAsia"/>
              </w:rPr>
              <w:t>《合成树脂工业污染物排放标准》（</w:t>
            </w:r>
            <w:r>
              <w:t>GB31572-2015</w:t>
            </w:r>
            <w:r>
              <w:rPr>
                <w:rFonts w:hint="eastAsia"/>
              </w:rPr>
              <w:t>）中表</w:t>
            </w:r>
            <w:r>
              <w:t>9</w:t>
            </w:r>
            <w:r>
              <w:rPr>
                <w:rFonts w:hint="eastAsia"/>
              </w:rPr>
              <w:t>企业边界大气污染物浓度限值（非甲烷总烃</w:t>
            </w:r>
            <w:r>
              <w:t>4</w:t>
            </w:r>
            <w:r>
              <w:rPr>
                <w:rFonts w:hint="eastAsia"/>
              </w:rPr>
              <w:t>mg/m</w:t>
            </w:r>
            <w:r>
              <w:rPr>
                <w:rFonts w:hint="eastAsia"/>
                <w:vertAlign w:val="superscript"/>
              </w:rPr>
              <w:t>3</w:t>
            </w:r>
            <w:r>
              <w:rPr>
                <w:rFonts w:hint="eastAsia"/>
              </w:rPr>
              <w:t>、氯化氢0</w:t>
            </w:r>
            <w:r>
              <w:t>.2</w:t>
            </w:r>
            <w:r>
              <w:rPr>
                <w:rFonts w:hint="eastAsia"/>
              </w:rPr>
              <w:t xml:space="preserve"> mg/m</w:t>
            </w:r>
            <w:r>
              <w:rPr>
                <w:rFonts w:hint="eastAsia"/>
                <w:vertAlign w:val="superscript"/>
              </w:rPr>
              <w:t>3</w:t>
            </w:r>
            <w:r>
              <w:rPr>
                <w:rFonts w:hint="eastAsia"/>
              </w:rPr>
              <w:t>、颗粒物</w:t>
            </w:r>
            <w:r>
              <w:t>1</w:t>
            </w:r>
            <w:r>
              <w:rPr>
                <w:rFonts w:hint="eastAsia"/>
              </w:rPr>
              <w:t>mg/m</w:t>
            </w:r>
            <w:r>
              <w:rPr>
                <w:rFonts w:hint="eastAsia"/>
                <w:vertAlign w:val="superscript"/>
              </w:rPr>
              <w:t>3</w:t>
            </w:r>
            <w:r>
              <w:rPr>
                <w:rFonts w:hint="eastAsia"/>
              </w:rPr>
              <w:t>）</w:t>
            </w:r>
          </w:p>
        </w:tc>
      </w:tr>
      <w:tr w14:paraId="7AFF9E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01" w:type="dxa"/>
            <w:vMerge w:val="continue"/>
            <w:vAlign w:val="center"/>
          </w:tcPr>
          <w:p w14:paraId="448430D1">
            <w:pPr>
              <w:pStyle w:val="90"/>
              <w:rPr>
                <w:color w:val="000000"/>
              </w:rPr>
            </w:pPr>
          </w:p>
        </w:tc>
        <w:tc>
          <w:tcPr>
            <w:tcW w:w="1624" w:type="dxa"/>
            <w:vAlign w:val="center"/>
          </w:tcPr>
          <w:p w14:paraId="1E51904E">
            <w:pPr>
              <w:jc w:val="center"/>
              <w:rPr>
                <w:color w:val="000000"/>
                <w:szCs w:val="21"/>
              </w:rPr>
            </w:pPr>
            <w:r>
              <w:rPr>
                <w:szCs w:val="21"/>
              </w:rPr>
              <w:t>厂区内</w:t>
            </w:r>
          </w:p>
        </w:tc>
        <w:tc>
          <w:tcPr>
            <w:tcW w:w="1276" w:type="dxa"/>
            <w:vAlign w:val="center"/>
          </w:tcPr>
          <w:p w14:paraId="3A19B3AA">
            <w:pPr>
              <w:pStyle w:val="90"/>
              <w:rPr>
                <w:color w:val="000000"/>
              </w:rPr>
            </w:pPr>
            <w:r>
              <w:rPr>
                <w:color w:val="000000"/>
              </w:rPr>
              <w:t>非甲烷总烃</w:t>
            </w:r>
          </w:p>
        </w:tc>
        <w:tc>
          <w:tcPr>
            <w:tcW w:w="1547" w:type="dxa"/>
            <w:vMerge w:val="continue"/>
            <w:vAlign w:val="center"/>
          </w:tcPr>
          <w:p w14:paraId="070E447F">
            <w:pPr>
              <w:pStyle w:val="90"/>
              <w:rPr>
                <w:color w:val="000000"/>
              </w:rPr>
            </w:pPr>
          </w:p>
        </w:tc>
        <w:tc>
          <w:tcPr>
            <w:tcW w:w="3152" w:type="dxa"/>
            <w:vAlign w:val="center"/>
          </w:tcPr>
          <w:p w14:paraId="49667768">
            <w:pPr>
              <w:pStyle w:val="90"/>
              <w:rPr>
                <w:color w:val="000000"/>
              </w:rPr>
            </w:pPr>
            <w:r>
              <w:t>《挥发性有机物无组织排放控制标准》（GB37822-2019）</w:t>
            </w:r>
          </w:p>
        </w:tc>
      </w:tr>
      <w:tr w14:paraId="72A27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201" w:type="dxa"/>
            <w:vAlign w:val="center"/>
          </w:tcPr>
          <w:p w14:paraId="7DC7A6D3">
            <w:pPr>
              <w:adjustRightInd w:val="0"/>
              <w:snapToGrid w:val="0"/>
              <w:jc w:val="center"/>
              <w:rPr>
                <w:color w:val="000000"/>
                <w:szCs w:val="21"/>
              </w:rPr>
            </w:pPr>
            <w:r>
              <w:rPr>
                <w:color w:val="000000"/>
                <w:szCs w:val="21"/>
              </w:rPr>
              <w:t>地表水环境</w:t>
            </w:r>
          </w:p>
        </w:tc>
        <w:tc>
          <w:tcPr>
            <w:tcW w:w="1624" w:type="dxa"/>
            <w:vAlign w:val="center"/>
          </w:tcPr>
          <w:p w14:paraId="6F57F71E">
            <w:pPr>
              <w:adjustRightInd w:val="0"/>
              <w:snapToGrid w:val="0"/>
              <w:jc w:val="center"/>
              <w:rPr>
                <w:color w:val="000000"/>
                <w:szCs w:val="21"/>
              </w:rPr>
            </w:pPr>
            <w:r>
              <w:rPr>
                <w:color w:val="000000"/>
                <w:szCs w:val="21"/>
              </w:rPr>
              <w:t>/</w:t>
            </w:r>
          </w:p>
        </w:tc>
        <w:tc>
          <w:tcPr>
            <w:tcW w:w="1276" w:type="dxa"/>
            <w:vAlign w:val="center"/>
          </w:tcPr>
          <w:p w14:paraId="1CB02D84">
            <w:pPr>
              <w:adjustRightInd w:val="0"/>
              <w:snapToGrid w:val="0"/>
              <w:jc w:val="center"/>
              <w:rPr>
                <w:color w:val="000000"/>
                <w:szCs w:val="21"/>
              </w:rPr>
            </w:pPr>
            <w:r>
              <w:rPr>
                <w:color w:val="000000"/>
                <w:szCs w:val="21"/>
              </w:rPr>
              <w:t>/</w:t>
            </w:r>
          </w:p>
        </w:tc>
        <w:tc>
          <w:tcPr>
            <w:tcW w:w="1547" w:type="dxa"/>
            <w:vAlign w:val="center"/>
          </w:tcPr>
          <w:p w14:paraId="2DCEDEEC">
            <w:pPr>
              <w:adjustRightInd w:val="0"/>
              <w:snapToGrid w:val="0"/>
              <w:jc w:val="center"/>
              <w:rPr>
                <w:color w:val="000000"/>
                <w:szCs w:val="21"/>
              </w:rPr>
            </w:pPr>
            <w:r>
              <w:rPr>
                <w:color w:val="000000"/>
                <w:szCs w:val="21"/>
              </w:rPr>
              <w:t>/</w:t>
            </w:r>
          </w:p>
        </w:tc>
        <w:tc>
          <w:tcPr>
            <w:tcW w:w="3152" w:type="dxa"/>
            <w:vAlign w:val="center"/>
          </w:tcPr>
          <w:p w14:paraId="744ABF86">
            <w:pPr>
              <w:adjustRightInd w:val="0"/>
              <w:snapToGrid w:val="0"/>
              <w:jc w:val="center"/>
              <w:rPr>
                <w:color w:val="000000"/>
                <w:szCs w:val="21"/>
              </w:rPr>
            </w:pPr>
            <w:r>
              <w:rPr>
                <w:color w:val="000000"/>
                <w:szCs w:val="21"/>
              </w:rPr>
              <w:t>/</w:t>
            </w:r>
          </w:p>
        </w:tc>
      </w:tr>
      <w:tr w14:paraId="0E6D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01" w:type="dxa"/>
            <w:vAlign w:val="center"/>
          </w:tcPr>
          <w:p w14:paraId="5D932E36">
            <w:pPr>
              <w:adjustRightInd w:val="0"/>
              <w:snapToGrid w:val="0"/>
              <w:jc w:val="center"/>
              <w:rPr>
                <w:color w:val="000000"/>
                <w:szCs w:val="21"/>
              </w:rPr>
            </w:pPr>
            <w:r>
              <w:rPr>
                <w:color w:val="000000"/>
                <w:szCs w:val="21"/>
              </w:rPr>
              <w:t>声环境</w:t>
            </w:r>
          </w:p>
        </w:tc>
        <w:tc>
          <w:tcPr>
            <w:tcW w:w="1624" w:type="dxa"/>
            <w:vAlign w:val="center"/>
          </w:tcPr>
          <w:p w14:paraId="7260A61B">
            <w:pPr>
              <w:adjustRightInd w:val="0"/>
              <w:snapToGrid w:val="0"/>
              <w:jc w:val="center"/>
              <w:rPr>
                <w:color w:val="000000"/>
                <w:szCs w:val="21"/>
              </w:rPr>
            </w:pPr>
            <w:r>
              <w:rPr>
                <w:color w:val="000000"/>
                <w:szCs w:val="21"/>
              </w:rPr>
              <w:t>设备噪声</w:t>
            </w:r>
          </w:p>
        </w:tc>
        <w:tc>
          <w:tcPr>
            <w:tcW w:w="1276" w:type="dxa"/>
            <w:vAlign w:val="center"/>
          </w:tcPr>
          <w:p w14:paraId="00D14782">
            <w:pPr>
              <w:adjustRightInd w:val="0"/>
              <w:snapToGrid w:val="0"/>
              <w:jc w:val="center"/>
              <w:rPr>
                <w:color w:val="000000"/>
                <w:szCs w:val="21"/>
              </w:rPr>
            </w:pPr>
            <w:r>
              <w:rPr>
                <w:color w:val="000000"/>
                <w:szCs w:val="21"/>
              </w:rPr>
              <w:t>噪声</w:t>
            </w:r>
          </w:p>
        </w:tc>
        <w:tc>
          <w:tcPr>
            <w:tcW w:w="1547" w:type="dxa"/>
            <w:vAlign w:val="center"/>
          </w:tcPr>
          <w:p w14:paraId="77B0F6B4">
            <w:pPr>
              <w:adjustRightInd w:val="0"/>
              <w:snapToGrid w:val="0"/>
              <w:jc w:val="center"/>
              <w:rPr>
                <w:color w:val="000000"/>
                <w:szCs w:val="21"/>
              </w:rPr>
            </w:pPr>
            <w:r>
              <w:rPr>
                <w:color w:val="000000"/>
                <w:szCs w:val="21"/>
              </w:rPr>
              <w:t>噪声基础减震、隔声措施</w:t>
            </w:r>
          </w:p>
        </w:tc>
        <w:tc>
          <w:tcPr>
            <w:tcW w:w="3152" w:type="dxa"/>
            <w:vAlign w:val="center"/>
          </w:tcPr>
          <w:p w14:paraId="5AF5453C">
            <w:pPr>
              <w:adjustRightInd w:val="0"/>
              <w:snapToGrid w:val="0"/>
              <w:jc w:val="center"/>
              <w:rPr>
                <w:color w:val="000000"/>
                <w:szCs w:val="21"/>
              </w:rPr>
            </w:pPr>
            <w:r>
              <w:rPr>
                <w:color w:val="000000"/>
                <w:szCs w:val="21"/>
              </w:rPr>
              <w:t>《工业企业厂界环境噪声排放标准》（GB12348-2008）3类标准要求</w:t>
            </w:r>
            <w:r>
              <w:rPr>
                <w:rFonts w:hint="eastAsia"/>
                <w:color w:val="000000"/>
                <w:szCs w:val="21"/>
              </w:rPr>
              <w:t>（昼间65 dB（A）夜间55 dB（A））</w:t>
            </w:r>
          </w:p>
        </w:tc>
      </w:tr>
      <w:tr w14:paraId="5E935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01" w:type="dxa"/>
            <w:vAlign w:val="center"/>
          </w:tcPr>
          <w:p w14:paraId="2CE0E017">
            <w:pPr>
              <w:adjustRightInd w:val="0"/>
              <w:snapToGrid w:val="0"/>
              <w:jc w:val="center"/>
              <w:rPr>
                <w:color w:val="000000"/>
                <w:szCs w:val="21"/>
              </w:rPr>
            </w:pPr>
            <w:r>
              <w:rPr>
                <w:color w:val="000000"/>
                <w:szCs w:val="21"/>
              </w:rPr>
              <w:t>电磁辐射</w:t>
            </w:r>
          </w:p>
        </w:tc>
        <w:tc>
          <w:tcPr>
            <w:tcW w:w="1624" w:type="dxa"/>
            <w:vAlign w:val="center"/>
          </w:tcPr>
          <w:p w14:paraId="4A01A30E">
            <w:pPr>
              <w:adjustRightInd w:val="0"/>
              <w:snapToGrid w:val="0"/>
              <w:jc w:val="center"/>
              <w:rPr>
                <w:color w:val="000000"/>
                <w:szCs w:val="21"/>
              </w:rPr>
            </w:pPr>
            <w:r>
              <w:rPr>
                <w:color w:val="000000"/>
                <w:szCs w:val="21"/>
              </w:rPr>
              <w:t>/</w:t>
            </w:r>
          </w:p>
        </w:tc>
        <w:tc>
          <w:tcPr>
            <w:tcW w:w="1276" w:type="dxa"/>
            <w:vAlign w:val="center"/>
          </w:tcPr>
          <w:p w14:paraId="3BD91B9D">
            <w:pPr>
              <w:adjustRightInd w:val="0"/>
              <w:snapToGrid w:val="0"/>
              <w:jc w:val="center"/>
              <w:rPr>
                <w:color w:val="000000"/>
                <w:szCs w:val="21"/>
              </w:rPr>
            </w:pPr>
            <w:r>
              <w:rPr>
                <w:color w:val="000000"/>
                <w:szCs w:val="21"/>
              </w:rPr>
              <w:t>/</w:t>
            </w:r>
          </w:p>
        </w:tc>
        <w:tc>
          <w:tcPr>
            <w:tcW w:w="1547" w:type="dxa"/>
            <w:vAlign w:val="center"/>
          </w:tcPr>
          <w:p w14:paraId="13053379">
            <w:pPr>
              <w:adjustRightInd w:val="0"/>
              <w:snapToGrid w:val="0"/>
              <w:jc w:val="center"/>
              <w:rPr>
                <w:color w:val="000000"/>
                <w:szCs w:val="21"/>
              </w:rPr>
            </w:pPr>
            <w:r>
              <w:rPr>
                <w:color w:val="000000"/>
                <w:szCs w:val="21"/>
              </w:rPr>
              <w:t>/</w:t>
            </w:r>
          </w:p>
        </w:tc>
        <w:tc>
          <w:tcPr>
            <w:tcW w:w="3152" w:type="dxa"/>
            <w:vAlign w:val="center"/>
          </w:tcPr>
          <w:p w14:paraId="49946FD7">
            <w:pPr>
              <w:adjustRightInd w:val="0"/>
              <w:snapToGrid w:val="0"/>
              <w:jc w:val="center"/>
              <w:rPr>
                <w:color w:val="000000"/>
                <w:szCs w:val="21"/>
              </w:rPr>
            </w:pPr>
            <w:r>
              <w:rPr>
                <w:color w:val="000000"/>
                <w:szCs w:val="21"/>
              </w:rPr>
              <w:t>/</w:t>
            </w:r>
          </w:p>
        </w:tc>
      </w:tr>
      <w:tr w14:paraId="317EBC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201" w:type="dxa"/>
            <w:vAlign w:val="center"/>
          </w:tcPr>
          <w:p w14:paraId="569D34B5">
            <w:pPr>
              <w:adjustRightInd w:val="0"/>
              <w:snapToGrid w:val="0"/>
              <w:jc w:val="center"/>
              <w:rPr>
                <w:color w:val="000000"/>
                <w:szCs w:val="21"/>
              </w:rPr>
            </w:pPr>
            <w:r>
              <w:rPr>
                <w:color w:val="000000"/>
                <w:szCs w:val="21"/>
              </w:rPr>
              <w:t>固体废物</w:t>
            </w:r>
          </w:p>
        </w:tc>
        <w:tc>
          <w:tcPr>
            <w:tcW w:w="7599" w:type="dxa"/>
            <w:gridSpan w:val="4"/>
            <w:vAlign w:val="center"/>
          </w:tcPr>
          <w:p w14:paraId="67FBE648">
            <w:pPr>
              <w:pStyle w:val="55"/>
              <w:spacing w:line="240" w:lineRule="auto"/>
              <w:ind w:firstLine="420"/>
              <w:rPr>
                <w:color w:val="000000"/>
                <w:sz w:val="21"/>
                <w:szCs w:val="21"/>
              </w:rPr>
            </w:pPr>
            <w:r>
              <w:rPr>
                <w:color w:val="000000"/>
                <w:sz w:val="21"/>
                <w:szCs w:val="21"/>
              </w:rPr>
              <w:t>（1）一般工业固废：边角料、不合格品均经破碎后作为原料回用于生产；布袋除尘器收集粉尘作为原料回用于生产。</w:t>
            </w:r>
          </w:p>
          <w:p w14:paraId="45BE52E4">
            <w:pPr>
              <w:pStyle w:val="55"/>
              <w:spacing w:line="240" w:lineRule="auto"/>
              <w:ind w:firstLine="420"/>
              <w:rPr>
                <w:color w:val="000000"/>
                <w:sz w:val="21"/>
                <w:szCs w:val="21"/>
              </w:rPr>
            </w:pPr>
            <w:r>
              <w:rPr>
                <w:color w:val="000000"/>
                <w:sz w:val="21"/>
                <w:szCs w:val="21"/>
              </w:rPr>
              <w:t>（2）危险废物：产生的废活性炭、废催化剂、废机油，暂存在危废暂存间（依托厂区原有）后定期委托有资质的单位进行处置，合理处置后不会对项目区所在环境造成不利影响。</w:t>
            </w:r>
          </w:p>
        </w:tc>
      </w:tr>
      <w:tr w14:paraId="1BEA0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01" w:type="dxa"/>
            <w:vAlign w:val="center"/>
          </w:tcPr>
          <w:p w14:paraId="6613A716">
            <w:pPr>
              <w:adjustRightInd w:val="0"/>
              <w:snapToGrid w:val="0"/>
              <w:jc w:val="center"/>
              <w:rPr>
                <w:color w:val="000000"/>
                <w:szCs w:val="21"/>
              </w:rPr>
            </w:pPr>
            <w:r>
              <w:rPr>
                <w:color w:val="000000"/>
                <w:szCs w:val="21"/>
              </w:rPr>
              <w:t>土壤及地下水污染防治措施</w:t>
            </w:r>
          </w:p>
        </w:tc>
        <w:tc>
          <w:tcPr>
            <w:tcW w:w="7599" w:type="dxa"/>
            <w:gridSpan w:val="4"/>
            <w:vAlign w:val="center"/>
          </w:tcPr>
          <w:p w14:paraId="1AFDF699">
            <w:pPr>
              <w:adjustRightInd w:val="0"/>
              <w:snapToGrid w:val="0"/>
              <w:jc w:val="center"/>
              <w:rPr>
                <w:color w:val="000000"/>
                <w:szCs w:val="21"/>
              </w:rPr>
            </w:pPr>
            <w:r>
              <w:rPr>
                <w:color w:val="000000"/>
                <w:szCs w:val="21"/>
              </w:rPr>
              <w:t>按照“源头控制、分区防治、污染监控、应急响应”相结合的原则，从污染物的产生、入渗、扩散、应急响应全方位进行控制。</w:t>
            </w:r>
          </w:p>
        </w:tc>
      </w:tr>
      <w:tr w14:paraId="52598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01" w:type="dxa"/>
            <w:vAlign w:val="center"/>
          </w:tcPr>
          <w:p w14:paraId="7CD63E01">
            <w:pPr>
              <w:adjustRightInd w:val="0"/>
              <w:snapToGrid w:val="0"/>
              <w:jc w:val="center"/>
              <w:rPr>
                <w:color w:val="000000"/>
                <w:szCs w:val="21"/>
              </w:rPr>
            </w:pPr>
            <w:r>
              <w:rPr>
                <w:color w:val="000000"/>
                <w:szCs w:val="21"/>
              </w:rPr>
              <w:t>生态保护措施</w:t>
            </w:r>
          </w:p>
        </w:tc>
        <w:tc>
          <w:tcPr>
            <w:tcW w:w="7599" w:type="dxa"/>
            <w:gridSpan w:val="4"/>
            <w:vAlign w:val="center"/>
          </w:tcPr>
          <w:p w14:paraId="42159DF4">
            <w:pPr>
              <w:pStyle w:val="55"/>
              <w:ind w:firstLine="420"/>
              <w:jc w:val="center"/>
              <w:rPr>
                <w:bCs/>
                <w:color w:val="000000"/>
                <w:sz w:val="21"/>
                <w:szCs w:val="21"/>
              </w:rPr>
            </w:pPr>
            <w:r>
              <w:rPr>
                <w:bCs/>
                <w:color w:val="000000"/>
                <w:sz w:val="21"/>
                <w:szCs w:val="21"/>
              </w:rPr>
              <w:t>/</w:t>
            </w:r>
          </w:p>
        </w:tc>
      </w:tr>
      <w:tr w14:paraId="6BD03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201" w:type="dxa"/>
            <w:vAlign w:val="center"/>
          </w:tcPr>
          <w:p w14:paraId="4ECC6F0B">
            <w:pPr>
              <w:adjustRightInd w:val="0"/>
              <w:snapToGrid w:val="0"/>
              <w:jc w:val="center"/>
              <w:rPr>
                <w:color w:val="000000"/>
                <w:szCs w:val="21"/>
              </w:rPr>
            </w:pPr>
            <w:r>
              <w:rPr>
                <w:color w:val="000000"/>
                <w:szCs w:val="21"/>
              </w:rPr>
              <w:t>环境风险</w:t>
            </w:r>
          </w:p>
          <w:p w14:paraId="13CCCAE5">
            <w:pPr>
              <w:adjustRightInd w:val="0"/>
              <w:snapToGrid w:val="0"/>
              <w:jc w:val="center"/>
              <w:rPr>
                <w:color w:val="000000"/>
                <w:szCs w:val="21"/>
              </w:rPr>
            </w:pPr>
            <w:r>
              <w:rPr>
                <w:color w:val="000000"/>
                <w:szCs w:val="21"/>
              </w:rPr>
              <w:t>防范措施</w:t>
            </w:r>
          </w:p>
        </w:tc>
        <w:tc>
          <w:tcPr>
            <w:tcW w:w="7599" w:type="dxa"/>
            <w:gridSpan w:val="4"/>
            <w:vAlign w:val="center"/>
          </w:tcPr>
          <w:p w14:paraId="32907B20">
            <w:pPr>
              <w:adjustRightInd w:val="0"/>
              <w:snapToGrid w:val="0"/>
              <w:spacing w:line="360" w:lineRule="auto"/>
              <w:jc w:val="left"/>
              <w:rPr>
                <w:color w:val="000000"/>
                <w:szCs w:val="21"/>
              </w:rPr>
            </w:pPr>
            <w:r>
              <w:rPr>
                <w:rFonts w:hint="eastAsia" w:ascii="宋体" w:hAnsi="宋体" w:cs="宋体"/>
                <w:color w:val="000000"/>
                <w:szCs w:val="21"/>
              </w:rPr>
              <w:t>①</w:t>
            </w:r>
            <w:r>
              <w:rPr>
                <w:color w:val="000000"/>
                <w:szCs w:val="21"/>
              </w:rPr>
              <w:t>加强检修；</w:t>
            </w:r>
            <w:r>
              <w:rPr>
                <w:rFonts w:hint="eastAsia" w:ascii="宋体" w:hAnsi="宋体" w:cs="宋体"/>
                <w:color w:val="000000"/>
                <w:szCs w:val="21"/>
              </w:rPr>
              <w:t>②</w:t>
            </w:r>
            <w:r>
              <w:rPr>
                <w:color w:val="000000"/>
                <w:szCs w:val="21"/>
              </w:rPr>
              <w:t>生产过程加强事故防范措施；</w:t>
            </w:r>
            <w:r>
              <w:rPr>
                <w:rFonts w:hint="eastAsia" w:ascii="宋体" w:hAnsi="宋体" w:cs="宋体"/>
                <w:color w:val="000000"/>
                <w:szCs w:val="21"/>
              </w:rPr>
              <w:t>③</w:t>
            </w:r>
            <w:r>
              <w:rPr>
                <w:color w:val="000000"/>
                <w:szCs w:val="21"/>
              </w:rPr>
              <w:t>修编突发环境事件应急预案。</w:t>
            </w:r>
          </w:p>
        </w:tc>
      </w:tr>
      <w:tr w14:paraId="7D44C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01" w:type="dxa"/>
            <w:vAlign w:val="center"/>
          </w:tcPr>
          <w:p w14:paraId="2EAD544A">
            <w:pPr>
              <w:adjustRightInd w:val="0"/>
              <w:snapToGrid w:val="0"/>
              <w:jc w:val="center"/>
              <w:rPr>
                <w:color w:val="000000"/>
                <w:spacing w:val="-8"/>
                <w:szCs w:val="21"/>
              </w:rPr>
            </w:pPr>
            <w:r>
              <w:rPr>
                <w:color w:val="000000"/>
                <w:spacing w:val="-8"/>
                <w:szCs w:val="21"/>
              </w:rPr>
              <w:t>其他环境</w:t>
            </w:r>
          </w:p>
          <w:p w14:paraId="4A875C72">
            <w:pPr>
              <w:adjustRightInd w:val="0"/>
              <w:snapToGrid w:val="0"/>
              <w:jc w:val="center"/>
              <w:rPr>
                <w:color w:val="000000"/>
                <w:spacing w:val="-8"/>
                <w:szCs w:val="21"/>
              </w:rPr>
            </w:pPr>
            <w:r>
              <w:rPr>
                <w:color w:val="000000"/>
                <w:spacing w:val="-8"/>
                <w:szCs w:val="21"/>
              </w:rPr>
              <w:t>管理要求</w:t>
            </w:r>
          </w:p>
        </w:tc>
        <w:tc>
          <w:tcPr>
            <w:tcW w:w="7599" w:type="dxa"/>
            <w:gridSpan w:val="4"/>
            <w:vAlign w:val="center"/>
          </w:tcPr>
          <w:p w14:paraId="45F258C8">
            <w:pPr>
              <w:pStyle w:val="55"/>
              <w:spacing w:line="240" w:lineRule="auto"/>
              <w:ind w:firstLine="0" w:firstLineChars="0"/>
              <w:rPr>
                <w:sz w:val="21"/>
                <w:szCs w:val="21"/>
              </w:rPr>
            </w:pPr>
            <w:r>
              <w:rPr>
                <w:sz w:val="21"/>
                <w:szCs w:val="21"/>
              </w:rPr>
              <w:t>根据国务院令第682号《建设项目环境保护管理条例》(2017 年修订)，编制环境影响报告书、环境影响报告表的建设项目竣工后，建设单位应当按照国务院环境保护行政主管部门规定的标准和程序，对配套建设的环境保护设施进行验收，编制竣工验收报告，配套建设的环境保护设施经验收合格，方可投入生产或者使用。本项目竣工环保验收内容及要求按本节环境保护措施监督检查清单验收。</w:t>
            </w:r>
          </w:p>
        </w:tc>
      </w:tr>
    </w:tbl>
    <w:p w14:paraId="51E88984">
      <w:pPr>
        <w:pStyle w:val="26"/>
        <w:keepNext/>
        <w:keepLines/>
        <w:widowControl w:val="0"/>
        <w:jc w:val="center"/>
        <w:outlineLvl w:val="0"/>
        <w:rPr>
          <w:rFonts w:ascii="黑体" w:hAnsi="黑体" w:eastAsia="黑体"/>
          <w:snapToGrid w:val="0"/>
          <w:color w:val="000000"/>
          <w:sz w:val="30"/>
          <w:szCs w:val="30"/>
        </w:rPr>
      </w:pPr>
      <w:r>
        <w:rPr>
          <w:snapToGrid w:val="0"/>
          <w:color w:val="000000"/>
        </w:rPr>
        <w:br w:type="page"/>
      </w:r>
      <w:r>
        <w:rPr>
          <w:rFonts w:hint="eastAsia" w:ascii="黑体" w:hAnsi="黑体" w:eastAsia="黑体"/>
          <w:snapToGrid w:val="0"/>
          <w:color w:val="000000"/>
          <w:sz w:val="30"/>
          <w:szCs w:val="30"/>
        </w:rPr>
        <w:t>六、结论</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865"/>
      </w:tblGrid>
      <w:tr w14:paraId="28072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jc w:val="center"/>
        </w:trPr>
        <w:tc>
          <w:tcPr>
            <w:tcW w:w="8865" w:type="dxa"/>
            <w:vAlign w:val="center"/>
          </w:tcPr>
          <w:p w14:paraId="60F0752D">
            <w:pPr>
              <w:pStyle w:val="55"/>
              <w:ind w:firstLine="480"/>
            </w:pPr>
            <w:bookmarkStart w:id="6" w:name="_Toc332094619"/>
            <w:bookmarkStart w:id="7" w:name="_Toc375586183"/>
            <w:bookmarkStart w:id="8" w:name="_Toc336178377"/>
            <w:r>
              <w:t>综上所述，本项目具有较明显的社会经济效益及环境效益，在采取相应的治理</w:t>
            </w:r>
          </w:p>
          <w:p w14:paraId="03CC3297">
            <w:pPr>
              <w:pStyle w:val="55"/>
              <w:ind w:firstLine="0" w:firstLineChars="0"/>
            </w:pPr>
            <w:r>
              <w:t>措施后，污染物排放可满足相应的国家排放标准。通过对本项目环境影响评价，认为只要在本项目的建设中认真执行环保“三同时”制度，具体落实本环评中提出的各污染防治措施，从环保角度看，本项目的实施是可行的。</w:t>
            </w:r>
          </w:p>
          <w:p w14:paraId="4BBD8C44">
            <w:pPr>
              <w:pStyle w:val="55"/>
              <w:ind w:firstLine="480"/>
              <w:rPr>
                <w:color w:val="000000"/>
              </w:rPr>
            </w:pPr>
          </w:p>
          <w:p w14:paraId="41BAFC7F">
            <w:pPr>
              <w:pStyle w:val="55"/>
              <w:ind w:firstLine="480"/>
              <w:rPr>
                <w:color w:val="000000"/>
              </w:rPr>
            </w:pPr>
          </w:p>
          <w:p w14:paraId="3D756E47">
            <w:pPr>
              <w:pStyle w:val="55"/>
              <w:ind w:firstLine="480"/>
              <w:rPr>
                <w:color w:val="000000"/>
              </w:rPr>
            </w:pPr>
          </w:p>
          <w:p w14:paraId="5D1460F9">
            <w:pPr>
              <w:pStyle w:val="55"/>
              <w:ind w:firstLine="480"/>
              <w:rPr>
                <w:color w:val="000000"/>
              </w:rPr>
            </w:pPr>
          </w:p>
          <w:p w14:paraId="71D91FB9">
            <w:pPr>
              <w:pStyle w:val="55"/>
              <w:ind w:firstLine="480"/>
              <w:rPr>
                <w:color w:val="000000"/>
              </w:rPr>
            </w:pPr>
          </w:p>
          <w:p w14:paraId="31A2F24C">
            <w:pPr>
              <w:pStyle w:val="55"/>
              <w:ind w:firstLine="480"/>
              <w:rPr>
                <w:color w:val="000000"/>
              </w:rPr>
            </w:pPr>
          </w:p>
          <w:p w14:paraId="53360B46">
            <w:pPr>
              <w:pStyle w:val="55"/>
              <w:ind w:firstLine="480"/>
              <w:rPr>
                <w:color w:val="000000"/>
              </w:rPr>
            </w:pPr>
          </w:p>
          <w:p w14:paraId="5B5B6913">
            <w:pPr>
              <w:pStyle w:val="55"/>
              <w:ind w:firstLine="480"/>
              <w:rPr>
                <w:color w:val="000000"/>
              </w:rPr>
            </w:pPr>
          </w:p>
          <w:p w14:paraId="5CDAE647">
            <w:pPr>
              <w:pStyle w:val="55"/>
              <w:ind w:firstLine="480"/>
              <w:rPr>
                <w:color w:val="000000"/>
              </w:rPr>
            </w:pPr>
          </w:p>
          <w:p w14:paraId="54C10C9B">
            <w:pPr>
              <w:pStyle w:val="55"/>
              <w:ind w:firstLine="480"/>
              <w:rPr>
                <w:color w:val="000000"/>
              </w:rPr>
            </w:pPr>
          </w:p>
          <w:p w14:paraId="0D0D75D8">
            <w:pPr>
              <w:pStyle w:val="55"/>
              <w:ind w:firstLine="480"/>
              <w:rPr>
                <w:color w:val="000000"/>
              </w:rPr>
            </w:pPr>
          </w:p>
          <w:p w14:paraId="586EA9A6">
            <w:pPr>
              <w:pStyle w:val="55"/>
              <w:ind w:firstLine="480"/>
              <w:rPr>
                <w:color w:val="000000"/>
              </w:rPr>
            </w:pPr>
          </w:p>
          <w:p w14:paraId="286F1867">
            <w:pPr>
              <w:pStyle w:val="55"/>
              <w:ind w:firstLine="480"/>
              <w:rPr>
                <w:color w:val="000000"/>
              </w:rPr>
            </w:pPr>
          </w:p>
          <w:p w14:paraId="4907EBC1">
            <w:pPr>
              <w:pStyle w:val="55"/>
              <w:ind w:firstLine="480"/>
              <w:rPr>
                <w:rFonts w:ascii="宋体" w:hAnsi="宋体" w:cs="宋体"/>
                <w:color w:val="000000"/>
                <w:szCs w:val="24"/>
                <w:lang w:bidi="ar"/>
              </w:rPr>
            </w:pPr>
          </w:p>
          <w:p w14:paraId="4FEC17C4">
            <w:pPr>
              <w:pStyle w:val="55"/>
              <w:ind w:firstLine="480"/>
              <w:rPr>
                <w:rFonts w:ascii="宋体" w:hAnsi="宋体" w:cs="宋体"/>
                <w:color w:val="000000"/>
                <w:szCs w:val="24"/>
                <w:lang w:bidi="ar"/>
              </w:rPr>
            </w:pPr>
          </w:p>
          <w:p w14:paraId="2F588D13">
            <w:pPr>
              <w:pStyle w:val="55"/>
              <w:ind w:firstLine="480"/>
              <w:rPr>
                <w:rFonts w:ascii="宋体" w:hAnsi="宋体" w:cs="宋体"/>
                <w:color w:val="000000"/>
                <w:szCs w:val="24"/>
                <w:lang w:bidi="ar"/>
              </w:rPr>
            </w:pPr>
          </w:p>
          <w:p w14:paraId="7328E7B1">
            <w:pPr>
              <w:pStyle w:val="55"/>
              <w:ind w:firstLine="480"/>
              <w:rPr>
                <w:rFonts w:ascii="宋体" w:hAnsi="宋体" w:cs="宋体"/>
                <w:color w:val="000000"/>
                <w:szCs w:val="24"/>
                <w:lang w:bidi="ar"/>
              </w:rPr>
            </w:pPr>
          </w:p>
          <w:p w14:paraId="034D70AF">
            <w:pPr>
              <w:pStyle w:val="55"/>
              <w:ind w:firstLine="480"/>
              <w:rPr>
                <w:rFonts w:ascii="宋体" w:hAnsi="宋体" w:cs="宋体"/>
                <w:color w:val="000000"/>
                <w:szCs w:val="24"/>
                <w:lang w:bidi="ar"/>
              </w:rPr>
            </w:pPr>
          </w:p>
          <w:p w14:paraId="4CE894F5">
            <w:pPr>
              <w:pStyle w:val="55"/>
              <w:ind w:firstLine="480"/>
              <w:rPr>
                <w:rFonts w:ascii="宋体" w:hAnsi="宋体" w:cs="宋体"/>
                <w:color w:val="000000"/>
                <w:szCs w:val="24"/>
                <w:lang w:bidi="ar"/>
              </w:rPr>
            </w:pPr>
          </w:p>
          <w:p w14:paraId="11A75B5E">
            <w:pPr>
              <w:pStyle w:val="55"/>
              <w:ind w:firstLine="480"/>
              <w:rPr>
                <w:rFonts w:ascii="宋体" w:hAnsi="宋体" w:cs="宋体"/>
                <w:color w:val="000000"/>
                <w:szCs w:val="24"/>
                <w:lang w:bidi="ar"/>
              </w:rPr>
            </w:pPr>
          </w:p>
          <w:p w14:paraId="5C68DFE4">
            <w:pPr>
              <w:pStyle w:val="55"/>
              <w:ind w:firstLine="480"/>
              <w:rPr>
                <w:rFonts w:ascii="宋体" w:hAnsi="宋体" w:cs="宋体"/>
                <w:color w:val="000000"/>
                <w:szCs w:val="24"/>
                <w:lang w:bidi="ar"/>
              </w:rPr>
            </w:pPr>
          </w:p>
          <w:p w14:paraId="3E621741">
            <w:pPr>
              <w:pStyle w:val="55"/>
              <w:ind w:firstLine="480"/>
              <w:rPr>
                <w:rFonts w:ascii="宋体" w:hAnsi="宋体" w:cs="宋体"/>
                <w:color w:val="000000"/>
                <w:szCs w:val="24"/>
                <w:lang w:bidi="ar"/>
              </w:rPr>
            </w:pPr>
          </w:p>
          <w:p w14:paraId="5422E1E4">
            <w:pPr>
              <w:pStyle w:val="55"/>
              <w:ind w:firstLine="480"/>
              <w:rPr>
                <w:rFonts w:ascii="宋体" w:hAnsi="宋体" w:cs="宋体"/>
                <w:color w:val="000000"/>
                <w:szCs w:val="24"/>
                <w:lang w:bidi="ar"/>
              </w:rPr>
            </w:pPr>
          </w:p>
          <w:bookmarkEnd w:id="6"/>
          <w:bookmarkEnd w:id="7"/>
          <w:bookmarkEnd w:id="8"/>
          <w:p w14:paraId="5940DA64">
            <w:pPr>
              <w:pStyle w:val="55"/>
              <w:ind w:firstLine="480"/>
              <w:rPr>
                <w:color w:val="000000"/>
              </w:rPr>
            </w:pPr>
          </w:p>
        </w:tc>
      </w:tr>
    </w:tbl>
    <w:p w14:paraId="6928B5DB">
      <w:pPr>
        <w:rPr>
          <w:rFonts w:ascii="宋体"/>
        </w:rPr>
        <w:sectPr>
          <w:pgSz w:w="11906" w:h="16838"/>
          <w:pgMar w:top="1701" w:right="1531" w:bottom="1701" w:left="1531" w:header="851" w:footer="851" w:gutter="0"/>
          <w:cols w:space="720" w:num="1"/>
          <w:docGrid w:linePitch="312" w:charSpace="0"/>
        </w:sectPr>
      </w:pPr>
    </w:p>
    <w:p w14:paraId="100EFEDB">
      <w:pPr>
        <w:pStyle w:val="26"/>
        <w:adjustRightInd w:val="0"/>
        <w:snapToGrid w:val="0"/>
        <w:spacing w:before="0" w:beforeAutospacing="0" w:after="0" w:afterAutospacing="0" w:line="648" w:lineRule="auto"/>
        <w:outlineLvl w:val="0"/>
        <w:rPr>
          <w:rFonts w:ascii="黑体" w:hAnsi="黑体" w:eastAsia="黑体"/>
          <w:snapToGrid w:val="0"/>
          <w:sz w:val="32"/>
          <w:szCs w:val="32"/>
        </w:rPr>
      </w:pPr>
      <w:r>
        <w:rPr>
          <w:rFonts w:hint="eastAsia" w:ascii="黑体" w:hAnsi="黑体" w:eastAsia="黑体"/>
          <w:snapToGrid w:val="0"/>
          <w:sz w:val="32"/>
          <w:szCs w:val="32"/>
        </w:rPr>
        <w:t>附表</w:t>
      </w:r>
    </w:p>
    <w:p w14:paraId="2A53D813">
      <w:pPr>
        <w:pStyle w:val="6"/>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2057"/>
        <w:gridCol w:w="1417"/>
        <w:gridCol w:w="1138"/>
        <w:gridCol w:w="1654"/>
        <w:gridCol w:w="1530"/>
        <w:gridCol w:w="1710"/>
        <w:gridCol w:w="1655"/>
        <w:gridCol w:w="1109"/>
      </w:tblGrid>
      <w:tr w14:paraId="4F2418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53" w:type="dxa"/>
            <w:tcBorders>
              <w:tl2br w:val="single" w:color="auto" w:sz="4" w:space="0"/>
            </w:tcBorders>
            <w:tcMar>
              <w:left w:w="28" w:type="dxa"/>
              <w:right w:w="28" w:type="dxa"/>
            </w:tcMar>
            <w:vAlign w:val="center"/>
          </w:tcPr>
          <w:p w14:paraId="6D951370">
            <w:pPr>
              <w:pStyle w:val="72"/>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14:paraId="0B1794EB">
            <w:pPr>
              <w:pStyle w:val="72"/>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2112" w:type="dxa"/>
            <w:tcMar>
              <w:left w:w="28" w:type="dxa"/>
              <w:right w:w="28" w:type="dxa"/>
            </w:tcMar>
            <w:vAlign w:val="center"/>
          </w:tcPr>
          <w:p w14:paraId="22B8BE22">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445" w:type="dxa"/>
            <w:tcMar>
              <w:left w:w="28" w:type="dxa"/>
              <w:right w:w="28" w:type="dxa"/>
            </w:tcMar>
            <w:vAlign w:val="center"/>
          </w:tcPr>
          <w:p w14:paraId="2462F220">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原有工程</w:t>
            </w:r>
          </w:p>
          <w:p w14:paraId="02EF6BF4">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ascii="Times New Roman" w:eastAsia="黑体"/>
                <w:kern w:val="2"/>
                <w:szCs w:val="21"/>
              </w:rPr>
              <w:t>①</w:t>
            </w:r>
            <w:r>
              <w:rPr>
                <w:rFonts w:ascii="Times New Roman" w:eastAsia="黑体"/>
                <w:snapToGrid w:val="0"/>
                <w:color w:val="000000"/>
                <w:spacing w:val="-6"/>
                <w:kern w:val="21"/>
                <w:szCs w:val="21"/>
              </w:rPr>
              <w:fldChar w:fldCharType="end"/>
            </w:r>
          </w:p>
        </w:tc>
        <w:tc>
          <w:tcPr>
            <w:tcW w:w="1172" w:type="dxa"/>
            <w:tcMar>
              <w:left w:w="28" w:type="dxa"/>
              <w:right w:w="28" w:type="dxa"/>
            </w:tcMar>
            <w:vAlign w:val="center"/>
          </w:tcPr>
          <w:p w14:paraId="360D1734">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原有工程</w:t>
            </w:r>
          </w:p>
          <w:p w14:paraId="2F3FFC23">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14:paraId="44B897D1">
            <w:pPr>
              <w:pStyle w:val="72"/>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ascii="Times New Roman" w:eastAsia="黑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14:paraId="78A5033D">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14:paraId="6D7A44F3">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ascii="Times New Roman" w:eastAsia="黑体"/>
                <w:kern w:val="2"/>
                <w:szCs w:val="21"/>
              </w:rPr>
              <w:t>③</w:t>
            </w:r>
            <w:r>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14:paraId="06B41FFB">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14:paraId="473BA3D8">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ascii="Times New Roman" w:eastAsia="黑体"/>
                <w:kern w:val="2"/>
                <w:szCs w:val="21"/>
              </w:rPr>
              <w:t>④</w:t>
            </w:r>
            <w:r>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14:paraId="56097022">
            <w:pPr>
              <w:pStyle w:val="72"/>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14:paraId="431F99F3">
            <w:pPr>
              <w:pStyle w:val="72"/>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ascii="Times New Roman" w:eastAsia="黑体"/>
                <w:kern w:val="2"/>
                <w:szCs w:val="21"/>
              </w:rPr>
              <w:t>⑤</w:t>
            </w:r>
            <w:r>
              <w:rPr>
                <w:rFonts w:ascii="Times New Roman" w:eastAsia="黑体"/>
                <w:snapToGrid w:val="0"/>
                <w:color w:val="000000"/>
                <w:spacing w:val="-16"/>
                <w:kern w:val="21"/>
                <w:szCs w:val="21"/>
              </w:rPr>
              <w:fldChar w:fldCharType="end"/>
            </w:r>
          </w:p>
        </w:tc>
        <w:tc>
          <w:tcPr>
            <w:tcW w:w="1689" w:type="dxa"/>
            <w:tcMar>
              <w:left w:w="28" w:type="dxa"/>
              <w:right w:w="28" w:type="dxa"/>
            </w:tcMar>
            <w:vAlign w:val="center"/>
          </w:tcPr>
          <w:p w14:paraId="2E61D1B3">
            <w:pPr>
              <w:pStyle w:val="72"/>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14:paraId="79B6925F">
            <w:pPr>
              <w:pStyle w:val="72"/>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ascii="Times New Roman" w:eastAsia="黑体"/>
                <w:kern w:val="2"/>
                <w:szCs w:val="21"/>
              </w:rPr>
              <w:t>⑥</w:t>
            </w:r>
            <w:r>
              <w:rPr>
                <w:rFonts w:ascii="Times New Roman" w:eastAsia="黑体"/>
                <w:snapToGrid w:val="0"/>
                <w:color w:val="000000"/>
                <w:spacing w:val="-16"/>
                <w:kern w:val="21"/>
                <w:szCs w:val="21"/>
              </w:rPr>
              <w:fldChar w:fldCharType="end"/>
            </w:r>
          </w:p>
        </w:tc>
        <w:tc>
          <w:tcPr>
            <w:tcW w:w="1116" w:type="dxa"/>
            <w:tcMar>
              <w:left w:w="28" w:type="dxa"/>
              <w:right w:w="28" w:type="dxa"/>
            </w:tcMar>
            <w:vAlign w:val="center"/>
          </w:tcPr>
          <w:p w14:paraId="6C1A3840">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14:paraId="44ECE543">
            <w:pPr>
              <w:pStyle w:val="72"/>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ascii="Times New Roman" w:eastAsia="黑体"/>
                <w:kern w:val="2"/>
                <w:szCs w:val="21"/>
              </w:rPr>
              <w:t>⑦</w:t>
            </w:r>
            <w:r>
              <w:rPr>
                <w:rFonts w:ascii="Times New Roman" w:eastAsia="黑体"/>
                <w:snapToGrid w:val="0"/>
                <w:color w:val="000000"/>
                <w:spacing w:val="-6"/>
                <w:kern w:val="21"/>
                <w:szCs w:val="21"/>
              </w:rPr>
              <w:fldChar w:fldCharType="end"/>
            </w:r>
          </w:p>
        </w:tc>
      </w:tr>
      <w:tr w14:paraId="51EF9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253" w:type="dxa"/>
            <w:vMerge w:val="restart"/>
            <w:vAlign w:val="center"/>
          </w:tcPr>
          <w:p w14:paraId="36CBD1B1">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2112" w:type="dxa"/>
            <w:vAlign w:val="center"/>
          </w:tcPr>
          <w:p w14:paraId="4438572E">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非甲烷总烃</w:t>
            </w:r>
          </w:p>
        </w:tc>
        <w:tc>
          <w:tcPr>
            <w:tcW w:w="1445" w:type="dxa"/>
            <w:vAlign w:val="center"/>
          </w:tcPr>
          <w:p w14:paraId="40755E6C">
            <w:pPr>
              <w:pStyle w:val="72"/>
              <w:spacing w:beforeLines="0" w:afterLines="0" w:line="240" w:lineRule="auto"/>
              <w:rPr>
                <w:rFonts w:ascii="Times New Roman"/>
                <w:snapToGrid w:val="0"/>
                <w:color w:val="FF0000"/>
                <w:kern w:val="21"/>
                <w:szCs w:val="21"/>
              </w:rPr>
            </w:pPr>
            <w:r>
              <w:rPr>
                <w:rFonts w:ascii="Times New Roman"/>
                <w:snapToGrid w:val="0"/>
                <w:kern w:val="21"/>
                <w:szCs w:val="21"/>
              </w:rPr>
              <w:t>0.246</w:t>
            </w:r>
          </w:p>
        </w:tc>
        <w:tc>
          <w:tcPr>
            <w:tcW w:w="1172" w:type="dxa"/>
            <w:vAlign w:val="center"/>
          </w:tcPr>
          <w:p w14:paraId="71B41F7C">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14:paraId="2628D87A">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14:paraId="080580B0">
            <w:pPr>
              <w:pStyle w:val="72"/>
              <w:spacing w:beforeLines="0" w:afterLines="0" w:line="240" w:lineRule="auto"/>
              <w:rPr>
                <w:rFonts w:ascii="Times New Roman"/>
                <w:snapToGrid w:val="0"/>
                <w:kern w:val="21"/>
                <w:szCs w:val="21"/>
              </w:rPr>
            </w:pPr>
            <w:r>
              <w:rPr>
                <w:rFonts w:ascii="Times New Roman"/>
                <w:snapToGrid w:val="0"/>
                <w:kern w:val="21"/>
                <w:szCs w:val="21"/>
              </w:rPr>
              <w:t>0.0358</w:t>
            </w:r>
          </w:p>
        </w:tc>
        <w:tc>
          <w:tcPr>
            <w:tcW w:w="1761" w:type="dxa"/>
            <w:vAlign w:val="center"/>
          </w:tcPr>
          <w:p w14:paraId="56269489">
            <w:pPr>
              <w:pStyle w:val="72"/>
              <w:spacing w:beforeLines="0" w:afterLines="0" w:line="240" w:lineRule="auto"/>
              <w:rPr>
                <w:rFonts w:ascii="Times New Roman"/>
                <w:snapToGrid w:val="0"/>
                <w:kern w:val="21"/>
                <w:szCs w:val="21"/>
              </w:rPr>
            </w:pPr>
            <w:r>
              <w:rPr>
                <w:rFonts w:ascii="Times New Roman"/>
                <w:snapToGrid w:val="0"/>
                <w:kern w:val="21"/>
                <w:szCs w:val="21"/>
              </w:rPr>
              <w:t>0</w:t>
            </w:r>
          </w:p>
        </w:tc>
        <w:tc>
          <w:tcPr>
            <w:tcW w:w="1689" w:type="dxa"/>
            <w:vAlign w:val="center"/>
          </w:tcPr>
          <w:p w14:paraId="211D393E">
            <w:pPr>
              <w:pStyle w:val="72"/>
              <w:spacing w:beforeLines="0" w:afterLines="0" w:line="240" w:lineRule="auto"/>
              <w:rPr>
                <w:rFonts w:ascii="Times New Roman"/>
                <w:snapToGrid w:val="0"/>
                <w:color w:val="FF0000"/>
                <w:kern w:val="21"/>
                <w:szCs w:val="21"/>
              </w:rPr>
            </w:pPr>
            <w:r>
              <w:rPr>
                <w:rFonts w:ascii="Times New Roman"/>
                <w:snapToGrid w:val="0"/>
                <w:kern w:val="21"/>
                <w:szCs w:val="21"/>
              </w:rPr>
              <w:t>0.2818</w:t>
            </w:r>
          </w:p>
        </w:tc>
        <w:tc>
          <w:tcPr>
            <w:tcW w:w="1116" w:type="dxa"/>
            <w:vAlign w:val="center"/>
          </w:tcPr>
          <w:p w14:paraId="7929C175">
            <w:pPr>
              <w:pStyle w:val="72"/>
              <w:spacing w:beforeLines="0" w:afterLines="0" w:line="240" w:lineRule="auto"/>
              <w:rPr>
                <w:rFonts w:ascii="Times New Roman"/>
                <w:snapToGrid w:val="0"/>
                <w:kern w:val="21"/>
                <w:szCs w:val="21"/>
              </w:rPr>
            </w:pPr>
            <w:r>
              <w:rPr>
                <w:rFonts w:hint="eastAsia" w:ascii="Times New Roman"/>
                <w:snapToGrid w:val="0"/>
                <w:kern w:val="21"/>
                <w:szCs w:val="21"/>
              </w:rPr>
              <w:t>+</w:t>
            </w:r>
            <w:r>
              <w:rPr>
                <w:rFonts w:ascii="Times New Roman"/>
                <w:snapToGrid w:val="0"/>
                <w:kern w:val="21"/>
                <w:szCs w:val="21"/>
              </w:rPr>
              <w:t>0.0358</w:t>
            </w:r>
          </w:p>
        </w:tc>
      </w:tr>
      <w:tr w14:paraId="39441E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1253" w:type="dxa"/>
            <w:vMerge w:val="continue"/>
            <w:vAlign w:val="center"/>
          </w:tcPr>
          <w:p w14:paraId="70CEECD8">
            <w:pPr>
              <w:pStyle w:val="72"/>
              <w:spacing w:beforeLines="0" w:afterLines="0" w:line="240" w:lineRule="auto"/>
              <w:rPr>
                <w:rFonts w:ascii="Times New Roman"/>
              </w:rPr>
            </w:pPr>
          </w:p>
        </w:tc>
        <w:tc>
          <w:tcPr>
            <w:tcW w:w="2112" w:type="dxa"/>
            <w:vAlign w:val="center"/>
          </w:tcPr>
          <w:p w14:paraId="4D61119B">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颗粒物</w:t>
            </w:r>
          </w:p>
        </w:tc>
        <w:tc>
          <w:tcPr>
            <w:tcW w:w="1445" w:type="dxa"/>
            <w:vAlign w:val="center"/>
          </w:tcPr>
          <w:p w14:paraId="1FED39F5">
            <w:pPr>
              <w:pStyle w:val="72"/>
              <w:spacing w:beforeLines="0" w:afterLines="0" w:line="240" w:lineRule="auto"/>
              <w:rPr>
                <w:rFonts w:ascii="Times New Roman"/>
                <w:snapToGrid w:val="0"/>
                <w:kern w:val="21"/>
                <w:szCs w:val="21"/>
              </w:rPr>
            </w:pPr>
            <w:r>
              <w:rPr>
                <w:rFonts w:ascii="Times New Roman"/>
                <w:snapToGrid w:val="0"/>
                <w:kern w:val="21"/>
                <w:szCs w:val="21"/>
              </w:rPr>
              <w:t>0.57</w:t>
            </w:r>
          </w:p>
        </w:tc>
        <w:tc>
          <w:tcPr>
            <w:tcW w:w="1172" w:type="dxa"/>
            <w:vAlign w:val="center"/>
          </w:tcPr>
          <w:p w14:paraId="6AD52CE4">
            <w:pPr>
              <w:pStyle w:val="72"/>
              <w:spacing w:beforeLines="0" w:afterLines="0" w:line="240" w:lineRule="auto"/>
              <w:rPr>
                <w:rFonts w:ascii="Times New Roman"/>
                <w:snapToGrid w:val="0"/>
                <w:kern w:val="21"/>
                <w:szCs w:val="21"/>
              </w:rPr>
            </w:pPr>
            <w:r>
              <w:rPr>
                <w:rFonts w:ascii="Times New Roman"/>
                <w:snapToGrid w:val="0"/>
                <w:kern w:val="21"/>
                <w:szCs w:val="21"/>
              </w:rPr>
              <w:t>/</w:t>
            </w:r>
          </w:p>
        </w:tc>
        <w:tc>
          <w:tcPr>
            <w:tcW w:w="1701" w:type="dxa"/>
            <w:vAlign w:val="center"/>
          </w:tcPr>
          <w:p w14:paraId="0F280C36">
            <w:pPr>
              <w:pStyle w:val="72"/>
              <w:spacing w:beforeLines="0" w:afterLines="0" w:line="240" w:lineRule="auto"/>
              <w:rPr>
                <w:rFonts w:ascii="Times New Roman"/>
                <w:snapToGrid w:val="0"/>
                <w:kern w:val="21"/>
                <w:szCs w:val="21"/>
              </w:rPr>
            </w:pPr>
            <w:r>
              <w:rPr>
                <w:rFonts w:ascii="Times New Roman"/>
                <w:snapToGrid w:val="0"/>
                <w:kern w:val="21"/>
                <w:szCs w:val="21"/>
              </w:rPr>
              <w:t>/</w:t>
            </w:r>
          </w:p>
        </w:tc>
        <w:tc>
          <w:tcPr>
            <w:tcW w:w="1559" w:type="dxa"/>
            <w:vAlign w:val="center"/>
          </w:tcPr>
          <w:p w14:paraId="0E691DF4">
            <w:pPr>
              <w:pStyle w:val="72"/>
              <w:spacing w:beforeLines="0" w:afterLines="0" w:line="240" w:lineRule="auto"/>
              <w:rPr>
                <w:rFonts w:ascii="Times New Roman"/>
                <w:snapToGrid w:val="0"/>
                <w:kern w:val="21"/>
                <w:szCs w:val="21"/>
              </w:rPr>
            </w:pPr>
            <w:r>
              <w:rPr>
                <w:rFonts w:ascii="Times New Roman"/>
                <w:snapToGrid w:val="0"/>
                <w:kern w:val="21"/>
                <w:szCs w:val="21"/>
              </w:rPr>
              <w:t>0.928</w:t>
            </w:r>
          </w:p>
        </w:tc>
        <w:tc>
          <w:tcPr>
            <w:tcW w:w="1761" w:type="dxa"/>
            <w:vAlign w:val="center"/>
          </w:tcPr>
          <w:p w14:paraId="71AEE52A">
            <w:pPr>
              <w:pStyle w:val="72"/>
              <w:spacing w:beforeLines="0" w:afterLines="0" w:line="240" w:lineRule="auto"/>
              <w:rPr>
                <w:rFonts w:ascii="Times New Roman"/>
                <w:snapToGrid w:val="0"/>
                <w:kern w:val="21"/>
                <w:szCs w:val="21"/>
              </w:rPr>
            </w:pPr>
            <w:r>
              <w:rPr>
                <w:rFonts w:ascii="Times New Roman"/>
                <w:snapToGrid w:val="0"/>
                <w:kern w:val="21"/>
                <w:szCs w:val="21"/>
              </w:rPr>
              <w:t>0</w:t>
            </w:r>
          </w:p>
        </w:tc>
        <w:tc>
          <w:tcPr>
            <w:tcW w:w="1689" w:type="dxa"/>
            <w:vAlign w:val="center"/>
          </w:tcPr>
          <w:p w14:paraId="5D9A800E">
            <w:pPr>
              <w:pStyle w:val="72"/>
              <w:spacing w:beforeLines="0" w:afterLines="0" w:line="240" w:lineRule="auto"/>
              <w:rPr>
                <w:rFonts w:ascii="Times New Roman"/>
                <w:snapToGrid w:val="0"/>
                <w:kern w:val="21"/>
                <w:szCs w:val="21"/>
              </w:rPr>
            </w:pPr>
            <w:r>
              <w:rPr>
                <w:rFonts w:ascii="Times New Roman"/>
                <w:snapToGrid w:val="0"/>
                <w:kern w:val="21"/>
                <w:szCs w:val="21"/>
              </w:rPr>
              <w:t>1.498</w:t>
            </w:r>
          </w:p>
        </w:tc>
        <w:tc>
          <w:tcPr>
            <w:tcW w:w="1116" w:type="dxa"/>
            <w:vAlign w:val="center"/>
          </w:tcPr>
          <w:p w14:paraId="0B2F8669">
            <w:pPr>
              <w:pStyle w:val="72"/>
              <w:spacing w:beforeLines="0" w:afterLines="0" w:line="240" w:lineRule="auto"/>
              <w:rPr>
                <w:rFonts w:ascii="Times New Roman"/>
                <w:snapToGrid w:val="0"/>
                <w:kern w:val="21"/>
                <w:szCs w:val="21"/>
              </w:rPr>
            </w:pPr>
            <w:r>
              <w:rPr>
                <w:rFonts w:hint="eastAsia" w:ascii="Times New Roman"/>
                <w:snapToGrid w:val="0"/>
                <w:kern w:val="21"/>
                <w:szCs w:val="21"/>
              </w:rPr>
              <w:t>+</w:t>
            </w:r>
            <w:r>
              <w:rPr>
                <w:rFonts w:ascii="Times New Roman"/>
                <w:snapToGrid w:val="0"/>
                <w:kern w:val="21"/>
                <w:szCs w:val="21"/>
              </w:rPr>
              <w:t>0.928</w:t>
            </w:r>
          </w:p>
        </w:tc>
      </w:tr>
      <w:tr w14:paraId="5380C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53" w:type="dxa"/>
            <w:vAlign w:val="center"/>
          </w:tcPr>
          <w:p w14:paraId="05454D88">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2112" w:type="dxa"/>
            <w:vAlign w:val="center"/>
          </w:tcPr>
          <w:p w14:paraId="4EBC16F3">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生活污水</w:t>
            </w:r>
          </w:p>
        </w:tc>
        <w:tc>
          <w:tcPr>
            <w:tcW w:w="1445" w:type="dxa"/>
            <w:vAlign w:val="center"/>
          </w:tcPr>
          <w:p w14:paraId="20C93921">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5</w:t>
            </w:r>
            <w:r>
              <w:rPr>
                <w:rFonts w:ascii="Times New Roman"/>
                <w:snapToGrid w:val="0"/>
                <w:color w:val="000000"/>
                <w:kern w:val="21"/>
                <w:szCs w:val="21"/>
              </w:rPr>
              <w:t>76</w:t>
            </w:r>
          </w:p>
        </w:tc>
        <w:tc>
          <w:tcPr>
            <w:tcW w:w="1172" w:type="dxa"/>
            <w:vAlign w:val="center"/>
          </w:tcPr>
          <w:p w14:paraId="62A15A16">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14:paraId="6309F98C">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14:paraId="10B75DDB">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761" w:type="dxa"/>
            <w:vAlign w:val="center"/>
          </w:tcPr>
          <w:p w14:paraId="659866E9">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689" w:type="dxa"/>
            <w:vAlign w:val="center"/>
          </w:tcPr>
          <w:p w14:paraId="22B0D602">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5</w:t>
            </w:r>
            <w:r>
              <w:rPr>
                <w:rFonts w:ascii="Times New Roman"/>
                <w:snapToGrid w:val="0"/>
                <w:color w:val="000000"/>
                <w:kern w:val="21"/>
                <w:szCs w:val="21"/>
              </w:rPr>
              <w:t>76</w:t>
            </w:r>
          </w:p>
        </w:tc>
        <w:tc>
          <w:tcPr>
            <w:tcW w:w="1116" w:type="dxa"/>
            <w:vAlign w:val="center"/>
          </w:tcPr>
          <w:p w14:paraId="750ECAA3">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r>
      <w:tr w14:paraId="7A282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253" w:type="dxa"/>
            <w:vMerge w:val="restart"/>
            <w:vAlign w:val="center"/>
          </w:tcPr>
          <w:p w14:paraId="0F48F18E">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14:paraId="7C679446">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2112" w:type="dxa"/>
            <w:vAlign w:val="center"/>
          </w:tcPr>
          <w:p w14:paraId="2CB02A68">
            <w:pPr>
              <w:pStyle w:val="90"/>
              <w:rPr>
                <w:snapToGrid w:val="0"/>
                <w:color w:val="000000"/>
                <w:kern w:val="21"/>
              </w:rPr>
            </w:pPr>
            <w:r>
              <w:t>边角料、不合格品</w:t>
            </w:r>
          </w:p>
        </w:tc>
        <w:tc>
          <w:tcPr>
            <w:tcW w:w="1445" w:type="dxa"/>
            <w:vAlign w:val="center"/>
          </w:tcPr>
          <w:p w14:paraId="7D579DB0">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3</w:t>
            </w:r>
          </w:p>
        </w:tc>
        <w:tc>
          <w:tcPr>
            <w:tcW w:w="1172" w:type="dxa"/>
            <w:vAlign w:val="center"/>
          </w:tcPr>
          <w:p w14:paraId="254954D6">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14:paraId="09485ECD">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14:paraId="386995C5">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5</w:t>
            </w:r>
          </w:p>
        </w:tc>
        <w:tc>
          <w:tcPr>
            <w:tcW w:w="1761" w:type="dxa"/>
            <w:vAlign w:val="center"/>
          </w:tcPr>
          <w:p w14:paraId="45A3825B">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689" w:type="dxa"/>
            <w:vAlign w:val="center"/>
          </w:tcPr>
          <w:p w14:paraId="2CCCA418">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8</w:t>
            </w:r>
          </w:p>
        </w:tc>
        <w:tc>
          <w:tcPr>
            <w:tcW w:w="1116" w:type="dxa"/>
            <w:vAlign w:val="center"/>
          </w:tcPr>
          <w:p w14:paraId="41BFE7B0">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w:t>
            </w:r>
            <w:r>
              <w:rPr>
                <w:rFonts w:ascii="Times New Roman"/>
                <w:snapToGrid w:val="0"/>
                <w:color w:val="000000"/>
                <w:kern w:val="21"/>
                <w:szCs w:val="21"/>
              </w:rPr>
              <w:t>5</w:t>
            </w:r>
          </w:p>
        </w:tc>
      </w:tr>
      <w:tr w14:paraId="33A8F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253" w:type="dxa"/>
            <w:vMerge w:val="continue"/>
            <w:vAlign w:val="center"/>
          </w:tcPr>
          <w:p w14:paraId="70CFDB32">
            <w:pPr>
              <w:pStyle w:val="72"/>
              <w:spacing w:beforeLines="0" w:afterLines="0" w:line="240" w:lineRule="auto"/>
              <w:rPr>
                <w:rFonts w:ascii="Times New Roman"/>
                <w:snapToGrid w:val="0"/>
                <w:color w:val="000000"/>
                <w:kern w:val="21"/>
                <w:szCs w:val="21"/>
              </w:rPr>
            </w:pPr>
          </w:p>
        </w:tc>
        <w:tc>
          <w:tcPr>
            <w:tcW w:w="2112" w:type="dxa"/>
            <w:vAlign w:val="center"/>
          </w:tcPr>
          <w:p w14:paraId="711900ED">
            <w:pPr>
              <w:pStyle w:val="90"/>
            </w:pPr>
            <w:r>
              <w:t>收集尘</w:t>
            </w:r>
          </w:p>
        </w:tc>
        <w:tc>
          <w:tcPr>
            <w:tcW w:w="1445" w:type="dxa"/>
            <w:vAlign w:val="center"/>
          </w:tcPr>
          <w:p w14:paraId="6745765C">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1</w:t>
            </w:r>
            <w:r>
              <w:rPr>
                <w:rFonts w:ascii="Times New Roman"/>
                <w:snapToGrid w:val="0"/>
                <w:color w:val="000000"/>
                <w:kern w:val="21"/>
                <w:szCs w:val="21"/>
              </w:rPr>
              <w:t>2</w:t>
            </w:r>
          </w:p>
        </w:tc>
        <w:tc>
          <w:tcPr>
            <w:tcW w:w="1172" w:type="dxa"/>
            <w:vAlign w:val="center"/>
          </w:tcPr>
          <w:p w14:paraId="6EDAA7C6">
            <w:pPr>
              <w:pStyle w:val="72"/>
              <w:spacing w:beforeLines="0" w:afterLines="0" w:line="240" w:lineRule="auto"/>
              <w:rPr>
                <w:rFonts w:ascii="Times New Roman"/>
                <w:snapToGrid w:val="0"/>
                <w:color w:val="000000"/>
                <w:kern w:val="21"/>
                <w:szCs w:val="21"/>
              </w:rPr>
            </w:pPr>
          </w:p>
        </w:tc>
        <w:tc>
          <w:tcPr>
            <w:tcW w:w="1701" w:type="dxa"/>
            <w:vAlign w:val="center"/>
          </w:tcPr>
          <w:p w14:paraId="5563368A">
            <w:pPr>
              <w:pStyle w:val="72"/>
              <w:spacing w:beforeLines="0" w:afterLines="0" w:line="240" w:lineRule="auto"/>
              <w:rPr>
                <w:rFonts w:ascii="Times New Roman"/>
                <w:snapToGrid w:val="0"/>
                <w:color w:val="000000"/>
                <w:kern w:val="21"/>
                <w:szCs w:val="21"/>
              </w:rPr>
            </w:pPr>
          </w:p>
        </w:tc>
        <w:tc>
          <w:tcPr>
            <w:tcW w:w="1559" w:type="dxa"/>
            <w:vAlign w:val="center"/>
          </w:tcPr>
          <w:p w14:paraId="5A301D47">
            <w:pPr>
              <w:pStyle w:val="72"/>
              <w:spacing w:beforeLines="0" w:afterLines="0" w:line="240" w:lineRule="auto"/>
              <w:rPr>
                <w:rFonts w:ascii="Times New Roman"/>
                <w:snapToGrid w:val="0"/>
                <w:kern w:val="21"/>
                <w:szCs w:val="21"/>
              </w:rPr>
            </w:pPr>
            <w:r>
              <w:rPr>
                <w:rFonts w:ascii="Times New Roman"/>
                <w:snapToGrid w:val="0"/>
                <w:kern w:val="21"/>
                <w:szCs w:val="21"/>
              </w:rPr>
              <w:t>5</w:t>
            </w:r>
          </w:p>
        </w:tc>
        <w:tc>
          <w:tcPr>
            <w:tcW w:w="1761" w:type="dxa"/>
            <w:vAlign w:val="center"/>
          </w:tcPr>
          <w:p w14:paraId="02E02222">
            <w:pPr>
              <w:pStyle w:val="72"/>
              <w:spacing w:beforeLines="0" w:afterLines="0" w:line="240" w:lineRule="auto"/>
              <w:rPr>
                <w:rFonts w:ascii="Times New Roman"/>
                <w:snapToGrid w:val="0"/>
                <w:kern w:val="21"/>
                <w:szCs w:val="21"/>
              </w:rPr>
            </w:pPr>
            <w:r>
              <w:rPr>
                <w:rFonts w:ascii="Times New Roman"/>
                <w:snapToGrid w:val="0"/>
                <w:kern w:val="21"/>
                <w:szCs w:val="21"/>
              </w:rPr>
              <w:t>0</w:t>
            </w:r>
          </w:p>
        </w:tc>
        <w:tc>
          <w:tcPr>
            <w:tcW w:w="1689" w:type="dxa"/>
            <w:vAlign w:val="center"/>
          </w:tcPr>
          <w:p w14:paraId="6B8A370F">
            <w:pPr>
              <w:pStyle w:val="72"/>
              <w:spacing w:beforeLines="0" w:afterLines="0" w:line="240" w:lineRule="auto"/>
              <w:rPr>
                <w:rFonts w:ascii="Times New Roman"/>
                <w:snapToGrid w:val="0"/>
                <w:kern w:val="21"/>
                <w:szCs w:val="21"/>
              </w:rPr>
            </w:pPr>
            <w:r>
              <w:rPr>
                <w:rFonts w:ascii="Times New Roman"/>
                <w:snapToGrid w:val="0"/>
                <w:kern w:val="21"/>
                <w:szCs w:val="21"/>
              </w:rPr>
              <w:t>8</w:t>
            </w:r>
          </w:p>
        </w:tc>
        <w:tc>
          <w:tcPr>
            <w:tcW w:w="1116" w:type="dxa"/>
            <w:vAlign w:val="center"/>
          </w:tcPr>
          <w:p w14:paraId="306F29F2">
            <w:pPr>
              <w:pStyle w:val="72"/>
              <w:spacing w:beforeLines="0" w:afterLines="0" w:line="240" w:lineRule="auto"/>
              <w:rPr>
                <w:rFonts w:ascii="Times New Roman"/>
                <w:snapToGrid w:val="0"/>
                <w:kern w:val="21"/>
                <w:szCs w:val="21"/>
              </w:rPr>
            </w:pPr>
            <w:r>
              <w:rPr>
                <w:rFonts w:hint="eastAsia" w:ascii="Times New Roman"/>
                <w:snapToGrid w:val="0"/>
                <w:kern w:val="21"/>
                <w:szCs w:val="21"/>
              </w:rPr>
              <w:t>+</w:t>
            </w:r>
            <w:r>
              <w:rPr>
                <w:rFonts w:ascii="Times New Roman"/>
                <w:snapToGrid w:val="0"/>
                <w:kern w:val="21"/>
                <w:szCs w:val="21"/>
              </w:rPr>
              <w:t>5</w:t>
            </w:r>
          </w:p>
        </w:tc>
      </w:tr>
      <w:tr w14:paraId="1D7AB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253" w:type="dxa"/>
            <w:vMerge w:val="continue"/>
            <w:vAlign w:val="center"/>
          </w:tcPr>
          <w:p w14:paraId="752EFF8B">
            <w:pPr>
              <w:pStyle w:val="72"/>
              <w:spacing w:beforeLines="0" w:afterLines="0" w:line="240" w:lineRule="auto"/>
              <w:rPr>
                <w:rFonts w:ascii="Times New Roman"/>
                <w:snapToGrid w:val="0"/>
                <w:color w:val="000000"/>
                <w:kern w:val="21"/>
                <w:szCs w:val="21"/>
              </w:rPr>
            </w:pPr>
          </w:p>
        </w:tc>
        <w:tc>
          <w:tcPr>
            <w:tcW w:w="2112" w:type="dxa"/>
            <w:vAlign w:val="center"/>
          </w:tcPr>
          <w:p w14:paraId="270E61F9">
            <w:pPr>
              <w:pStyle w:val="90"/>
            </w:pPr>
            <w:r>
              <w:rPr>
                <w:rFonts w:hint="eastAsia"/>
              </w:rPr>
              <w:t>生活垃圾</w:t>
            </w:r>
          </w:p>
        </w:tc>
        <w:tc>
          <w:tcPr>
            <w:tcW w:w="1445" w:type="dxa"/>
            <w:vAlign w:val="center"/>
          </w:tcPr>
          <w:p w14:paraId="6DD14547">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7</w:t>
            </w:r>
          </w:p>
        </w:tc>
        <w:tc>
          <w:tcPr>
            <w:tcW w:w="1172" w:type="dxa"/>
            <w:vAlign w:val="center"/>
          </w:tcPr>
          <w:p w14:paraId="105B9B00">
            <w:pPr>
              <w:pStyle w:val="72"/>
              <w:spacing w:beforeLines="0" w:afterLines="0" w:line="240" w:lineRule="auto"/>
              <w:rPr>
                <w:rFonts w:ascii="Times New Roman"/>
                <w:snapToGrid w:val="0"/>
                <w:color w:val="000000"/>
                <w:kern w:val="21"/>
                <w:szCs w:val="21"/>
              </w:rPr>
            </w:pPr>
          </w:p>
        </w:tc>
        <w:tc>
          <w:tcPr>
            <w:tcW w:w="1701" w:type="dxa"/>
            <w:vAlign w:val="center"/>
          </w:tcPr>
          <w:p w14:paraId="2555F930">
            <w:pPr>
              <w:pStyle w:val="72"/>
              <w:spacing w:beforeLines="0" w:afterLines="0" w:line="240" w:lineRule="auto"/>
              <w:rPr>
                <w:rFonts w:ascii="Times New Roman"/>
                <w:snapToGrid w:val="0"/>
                <w:color w:val="000000"/>
                <w:kern w:val="21"/>
                <w:szCs w:val="21"/>
              </w:rPr>
            </w:pPr>
          </w:p>
        </w:tc>
        <w:tc>
          <w:tcPr>
            <w:tcW w:w="1559" w:type="dxa"/>
            <w:vAlign w:val="center"/>
          </w:tcPr>
          <w:p w14:paraId="6E456407">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761" w:type="dxa"/>
            <w:vAlign w:val="center"/>
          </w:tcPr>
          <w:p w14:paraId="771B4638">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689" w:type="dxa"/>
            <w:vAlign w:val="center"/>
          </w:tcPr>
          <w:p w14:paraId="6C61BEEA">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7</w:t>
            </w:r>
          </w:p>
        </w:tc>
        <w:tc>
          <w:tcPr>
            <w:tcW w:w="1116" w:type="dxa"/>
            <w:vAlign w:val="center"/>
          </w:tcPr>
          <w:p w14:paraId="7CE5F87C">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r>
              <w:rPr>
                <w:rFonts w:hint="eastAsia" w:ascii="Times New Roman"/>
                <w:snapToGrid w:val="0"/>
                <w:color w:val="000000"/>
                <w:kern w:val="21"/>
                <w:szCs w:val="21"/>
              </w:rPr>
              <w:t>0</w:t>
            </w:r>
          </w:p>
        </w:tc>
      </w:tr>
      <w:tr w14:paraId="76C7F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53" w:type="dxa"/>
            <w:vMerge w:val="restart"/>
            <w:vAlign w:val="center"/>
          </w:tcPr>
          <w:p w14:paraId="0826ED0D">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危险废物</w:t>
            </w:r>
          </w:p>
        </w:tc>
        <w:tc>
          <w:tcPr>
            <w:tcW w:w="2112" w:type="dxa"/>
            <w:vAlign w:val="center"/>
          </w:tcPr>
          <w:p w14:paraId="5860B648">
            <w:pPr>
              <w:pStyle w:val="90"/>
              <w:rPr>
                <w:snapToGrid w:val="0"/>
                <w:color w:val="000000"/>
                <w:kern w:val="21"/>
              </w:rPr>
            </w:pPr>
            <w:r>
              <w:t>废活性炭</w:t>
            </w:r>
          </w:p>
        </w:tc>
        <w:tc>
          <w:tcPr>
            <w:tcW w:w="1445" w:type="dxa"/>
            <w:vAlign w:val="center"/>
          </w:tcPr>
          <w:p w14:paraId="113DC898">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r>
              <w:rPr>
                <w:rFonts w:ascii="Times New Roman"/>
                <w:snapToGrid w:val="0"/>
                <w:color w:val="000000"/>
                <w:kern w:val="21"/>
                <w:szCs w:val="21"/>
              </w:rPr>
              <w:t>.2</w:t>
            </w:r>
          </w:p>
        </w:tc>
        <w:tc>
          <w:tcPr>
            <w:tcW w:w="1172" w:type="dxa"/>
            <w:vAlign w:val="center"/>
          </w:tcPr>
          <w:p w14:paraId="0A4519EE">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14:paraId="18008778">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14:paraId="6759CF6C">
            <w:pPr>
              <w:pStyle w:val="72"/>
              <w:spacing w:beforeLines="0" w:afterLines="0" w:line="240" w:lineRule="auto"/>
              <w:rPr>
                <w:rFonts w:ascii="Times New Roman"/>
                <w:snapToGrid w:val="0"/>
                <w:kern w:val="21"/>
                <w:szCs w:val="21"/>
              </w:rPr>
            </w:pPr>
            <w:r>
              <w:rPr>
                <w:rFonts w:ascii="Times New Roman"/>
                <w:snapToGrid w:val="0"/>
                <w:kern w:val="21"/>
                <w:szCs w:val="21"/>
              </w:rPr>
              <w:t>0.8</w:t>
            </w:r>
          </w:p>
        </w:tc>
        <w:tc>
          <w:tcPr>
            <w:tcW w:w="1761" w:type="dxa"/>
            <w:vAlign w:val="center"/>
          </w:tcPr>
          <w:p w14:paraId="7B77515A">
            <w:pPr>
              <w:pStyle w:val="72"/>
              <w:spacing w:beforeLines="0" w:afterLines="0" w:line="240" w:lineRule="auto"/>
              <w:rPr>
                <w:rFonts w:ascii="Times New Roman"/>
                <w:snapToGrid w:val="0"/>
                <w:kern w:val="21"/>
                <w:szCs w:val="21"/>
              </w:rPr>
            </w:pPr>
            <w:r>
              <w:rPr>
                <w:rFonts w:ascii="Times New Roman"/>
                <w:snapToGrid w:val="0"/>
                <w:kern w:val="21"/>
                <w:szCs w:val="21"/>
              </w:rPr>
              <w:t>0</w:t>
            </w:r>
          </w:p>
        </w:tc>
        <w:tc>
          <w:tcPr>
            <w:tcW w:w="1689" w:type="dxa"/>
            <w:vAlign w:val="center"/>
          </w:tcPr>
          <w:p w14:paraId="2B78D1D9">
            <w:pPr>
              <w:pStyle w:val="72"/>
              <w:spacing w:beforeLines="0" w:afterLines="0" w:line="240" w:lineRule="auto"/>
              <w:rPr>
                <w:rFonts w:ascii="Times New Roman"/>
                <w:snapToGrid w:val="0"/>
                <w:kern w:val="21"/>
                <w:szCs w:val="21"/>
              </w:rPr>
            </w:pPr>
            <w:r>
              <w:rPr>
                <w:rFonts w:ascii="Times New Roman"/>
                <w:snapToGrid w:val="0"/>
                <w:kern w:val="21"/>
                <w:szCs w:val="21"/>
              </w:rPr>
              <w:t>1.0</w:t>
            </w:r>
          </w:p>
        </w:tc>
        <w:tc>
          <w:tcPr>
            <w:tcW w:w="1116" w:type="dxa"/>
            <w:vAlign w:val="center"/>
          </w:tcPr>
          <w:p w14:paraId="551737E4">
            <w:pPr>
              <w:pStyle w:val="72"/>
              <w:spacing w:beforeLines="0" w:afterLines="0" w:line="240" w:lineRule="auto"/>
              <w:rPr>
                <w:rFonts w:ascii="Times New Roman"/>
                <w:snapToGrid w:val="0"/>
                <w:kern w:val="21"/>
                <w:szCs w:val="21"/>
              </w:rPr>
            </w:pPr>
            <w:r>
              <w:rPr>
                <w:rFonts w:hint="eastAsia" w:ascii="Times New Roman"/>
                <w:snapToGrid w:val="0"/>
                <w:kern w:val="21"/>
                <w:szCs w:val="21"/>
              </w:rPr>
              <w:t>+</w:t>
            </w:r>
            <w:r>
              <w:rPr>
                <w:rFonts w:ascii="Times New Roman"/>
                <w:snapToGrid w:val="0"/>
                <w:kern w:val="21"/>
                <w:szCs w:val="21"/>
              </w:rPr>
              <w:t>0.8</w:t>
            </w:r>
          </w:p>
        </w:tc>
      </w:tr>
      <w:tr w14:paraId="56427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53" w:type="dxa"/>
            <w:vMerge w:val="continue"/>
            <w:vAlign w:val="center"/>
          </w:tcPr>
          <w:p w14:paraId="70B3BFC8">
            <w:pPr>
              <w:pStyle w:val="72"/>
              <w:spacing w:beforeLines="0" w:afterLines="0" w:line="240" w:lineRule="auto"/>
              <w:rPr>
                <w:rFonts w:ascii="Times New Roman"/>
                <w:snapToGrid w:val="0"/>
                <w:color w:val="000000"/>
                <w:kern w:val="21"/>
                <w:szCs w:val="21"/>
              </w:rPr>
            </w:pPr>
          </w:p>
        </w:tc>
        <w:tc>
          <w:tcPr>
            <w:tcW w:w="2112" w:type="dxa"/>
            <w:vAlign w:val="center"/>
          </w:tcPr>
          <w:p w14:paraId="3AD16081">
            <w:pPr>
              <w:pStyle w:val="90"/>
              <w:rPr>
                <w:snapToGrid w:val="0"/>
                <w:color w:val="000000"/>
                <w:kern w:val="21"/>
              </w:rPr>
            </w:pPr>
            <w:r>
              <w:rPr>
                <w:snapToGrid w:val="0"/>
                <w:color w:val="000000"/>
                <w:kern w:val="21"/>
              </w:rPr>
              <w:t>废催化剂</w:t>
            </w:r>
          </w:p>
        </w:tc>
        <w:tc>
          <w:tcPr>
            <w:tcW w:w="1445" w:type="dxa"/>
            <w:vAlign w:val="center"/>
          </w:tcPr>
          <w:p w14:paraId="0D7010A7">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r>
              <w:rPr>
                <w:rFonts w:ascii="Times New Roman"/>
                <w:snapToGrid w:val="0"/>
                <w:color w:val="000000"/>
                <w:kern w:val="21"/>
                <w:szCs w:val="21"/>
              </w:rPr>
              <w:t>.1</w:t>
            </w:r>
          </w:p>
        </w:tc>
        <w:tc>
          <w:tcPr>
            <w:tcW w:w="1172" w:type="dxa"/>
            <w:vAlign w:val="center"/>
          </w:tcPr>
          <w:p w14:paraId="1F3B9DB4">
            <w:pPr>
              <w:pStyle w:val="72"/>
              <w:spacing w:beforeLines="0" w:afterLines="0" w:line="240" w:lineRule="auto"/>
              <w:rPr>
                <w:rFonts w:ascii="Times New Roman"/>
                <w:snapToGrid w:val="0"/>
                <w:color w:val="000000"/>
                <w:kern w:val="21"/>
                <w:szCs w:val="21"/>
              </w:rPr>
            </w:pPr>
          </w:p>
        </w:tc>
        <w:tc>
          <w:tcPr>
            <w:tcW w:w="1701" w:type="dxa"/>
            <w:vAlign w:val="center"/>
          </w:tcPr>
          <w:p w14:paraId="4D1DBD5C">
            <w:pPr>
              <w:pStyle w:val="72"/>
              <w:spacing w:beforeLines="0" w:afterLines="0" w:line="240" w:lineRule="auto"/>
              <w:rPr>
                <w:rFonts w:ascii="Times New Roman"/>
                <w:snapToGrid w:val="0"/>
                <w:color w:val="000000"/>
                <w:kern w:val="21"/>
                <w:szCs w:val="21"/>
              </w:rPr>
            </w:pPr>
          </w:p>
        </w:tc>
        <w:tc>
          <w:tcPr>
            <w:tcW w:w="1559" w:type="dxa"/>
            <w:vAlign w:val="center"/>
          </w:tcPr>
          <w:p w14:paraId="08F64A64">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r>
              <w:rPr>
                <w:rFonts w:ascii="Times New Roman"/>
                <w:snapToGrid w:val="0"/>
                <w:color w:val="000000"/>
                <w:kern w:val="21"/>
                <w:szCs w:val="21"/>
              </w:rPr>
              <w:t>.7</w:t>
            </w:r>
          </w:p>
        </w:tc>
        <w:tc>
          <w:tcPr>
            <w:tcW w:w="1761" w:type="dxa"/>
            <w:vAlign w:val="center"/>
          </w:tcPr>
          <w:p w14:paraId="6B909B3E">
            <w:pPr>
              <w:pStyle w:val="72"/>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p>
        </w:tc>
        <w:tc>
          <w:tcPr>
            <w:tcW w:w="1689" w:type="dxa"/>
            <w:vAlign w:val="center"/>
          </w:tcPr>
          <w:p w14:paraId="25A08D37">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r>
              <w:rPr>
                <w:rFonts w:ascii="Times New Roman"/>
                <w:snapToGrid w:val="0"/>
                <w:color w:val="000000"/>
                <w:kern w:val="21"/>
                <w:szCs w:val="21"/>
              </w:rPr>
              <w:t>.8</w:t>
            </w:r>
          </w:p>
        </w:tc>
        <w:tc>
          <w:tcPr>
            <w:tcW w:w="1116" w:type="dxa"/>
            <w:vAlign w:val="center"/>
          </w:tcPr>
          <w:p w14:paraId="1B563BD8">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w:t>
            </w:r>
            <w:r>
              <w:rPr>
                <w:rFonts w:ascii="Times New Roman"/>
                <w:snapToGrid w:val="0"/>
                <w:color w:val="000000"/>
                <w:kern w:val="21"/>
                <w:szCs w:val="21"/>
              </w:rPr>
              <w:t>0.7</w:t>
            </w:r>
          </w:p>
        </w:tc>
      </w:tr>
      <w:tr w14:paraId="41940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253" w:type="dxa"/>
            <w:vMerge w:val="continue"/>
            <w:vAlign w:val="center"/>
          </w:tcPr>
          <w:p w14:paraId="4FEF3A5F">
            <w:pPr>
              <w:pStyle w:val="72"/>
              <w:spacing w:beforeLines="0" w:afterLines="0" w:line="240" w:lineRule="auto"/>
              <w:rPr>
                <w:rFonts w:ascii="Times New Roman"/>
                <w:snapToGrid w:val="0"/>
                <w:color w:val="000000"/>
                <w:kern w:val="21"/>
                <w:szCs w:val="21"/>
              </w:rPr>
            </w:pPr>
          </w:p>
        </w:tc>
        <w:tc>
          <w:tcPr>
            <w:tcW w:w="2112" w:type="dxa"/>
            <w:vAlign w:val="center"/>
          </w:tcPr>
          <w:p w14:paraId="279F26EE">
            <w:pPr>
              <w:pStyle w:val="90"/>
              <w:rPr>
                <w:snapToGrid w:val="0"/>
                <w:color w:val="000000"/>
                <w:kern w:val="21"/>
              </w:rPr>
            </w:pPr>
            <w:r>
              <w:rPr>
                <w:rFonts w:hint="eastAsia"/>
                <w:snapToGrid w:val="0"/>
                <w:color w:val="000000"/>
                <w:kern w:val="21"/>
              </w:rPr>
              <w:t>废机油</w:t>
            </w:r>
          </w:p>
        </w:tc>
        <w:tc>
          <w:tcPr>
            <w:tcW w:w="1445" w:type="dxa"/>
            <w:vAlign w:val="center"/>
          </w:tcPr>
          <w:p w14:paraId="1FA538D4">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r>
              <w:rPr>
                <w:rFonts w:ascii="Times New Roman"/>
                <w:snapToGrid w:val="0"/>
                <w:color w:val="000000"/>
                <w:kern w:val="21"/>
                <w:szCs w:val="21"/>
              </w:rPr>
              <w:t>.1</w:t>
            </w:r>
          </w:p>
        </w:tc>
        <w:tc>
          <w:tcPr>
            <w:tcW w:w="1172" w:type="dxa"/>
            <w:vAlign w:val="center"/>
          </w:tcPr>
          <w:p w14:paraId="2081D19E">
            <w:pPr>
              <w:pStyle w:val="72"/>
              <w:spacing w:beforeLines="0" w:afterLines="0" w:line="240" w:lineRule="auto"/>
              <w:rPr>
                <w:rFonts w:ascii="Times New Roman"/>
                <w:snapToGrid w:val="0"/>
                <w:color w:val="000000"/>
                <w:kern w:val="21"/>
                <w:szCs w:val="21"/>
              </w:rPr>
            </w:pPr>
          </w:p>
        </w:tc>
        <w:tc>
          <w:tcPr>
            <w:tcW w:w="1701" w:type="dxa"/>
            <w:vAlign w:val="center"/>
          </w:tcPr>
          <w:p w14:paraId="2F536182">
            <w:pPr>
              <w:pStyle w:val="72"/>
              <w:spacing w:beforeLines="0" w:afterLines="0" w:line="240" w:lineRule="auto"/>
              <w:rPr>
                <w:rFonts w:ascii="Times New Roman"/>
                <w:snapToGrid w:val="0"/>
                <w:color w:val="000000"/>
                <w:kern w:val="21"/>
                <w:szCs w:val="21"/>
              </w:rPr>
            </w:pPr>
          </w:p>
        </w:tc>
        <w:tc>
          <w:tcPr>
            <w:tcW w:w="1559" w:type="dxa"/>
            <w:vAlign w:val="center"/>
          </w:tcPr>
          <w:p w14:paraId="2CD07A2A">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r>
              <w:rPr>
                <w:rFonts w:ascii="Times New Roman"/>
                <w:snapToGrid w:val="0"/>
                <w:color w:val="000000"/>
                <w:kern w:val="21"/>
                <w:szCs w:val="21"/>
              </w:rPr>
              <w:t>.2</w:t>
            </w:r>
          </w:p>
        </w:tc>
        <w:tc>
          <w:tcPr>
            <w:tcW w:w="1761" w:type="dxa"/>
            <w:vAlign w:val="center"/>
          </w:tcPr>
          <w:p w14:paraId="54EB711A">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p>
        </w:tc>
        <w:tc>
          <w:tcPr>
            <w:tcW w:w="1689" w:type="dxa"/>
            <w:vAlign w:val="center"/>
          </w:tcPr>
          <w:p w14:paraId="675ED619">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r>
              <w:rPr>
                <w:rFonts w:ascii="Times New Roman"/>
                <w:snapToGrid w:val="0"/>
                <w:color w:val="000000"/>
                <w:kern w:val="21"/>
                <w:szCs w:val="21"/>
              </w:rPr>
              <w:t>.3</w:t>
            </w:r>
          </w:p>
        </w:tc>
        <w:tc>
          <w:tcPr>
            <w:tcW w:w="1116" w:type="dxa"/>
            <w:vAlign w:val="center"/>
          </w:tcPr>
          <w:p w14:paraId="3C486D40">
            <w:pPr>
              <w:pStyle w:val="72"/>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w:t>
            </w:r>
            <w:r>
              <w:rPr>
                <w:rFonts w:ascii="Times New Roman"/>
                <w:snapToGrid w:val="0"/>
                <w:color w:val="000000"/>
                <w:kern w:val="21"/>
                <w:szCs w:val="21"/>
              </w:rPr>
              <w:t>0.2</w:t>
            </w:r>
          </w:p>
        </w:tc>
      </w:tr>
    </w:tbl>
    <w:p w14:paraId="66D84B96">
      <w:pPr>
        <w:pStyle w:val="72"/>
        <w:spacing w:before="192" w:beforeLines="80" w:after="24"/>
        <w:jc w:val="left"/>
      </w:pPr>
      <w:r>
        <w:rPr>
          <w:rFonts w:hAnsi="宋体"/>
          <w:snapToGrid w:val="0"/>
          <w:color w:val="00000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int="eastAsia" w:hAnsi="宋体"/>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int="eastAsia" w:hAnsi="宋体"/>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int="eastAsia" w:hAnsi="宋体"/>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int="eastAsia" w:hAnsi="宋体"/>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int="eastAsia" w:hAnsi="宋体"/>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int="eastAsia" w:hAnsi="宋体"/>
          <w:szCs w:val="21"/>
        </w:rPr>
        <w:t>①</w:t>
      </w:r>
      <w:r>
        <w:rPr>
          <w:rFonts w:hAnsi="宋体"/>
          <w:snapToGrid w:val="0"/>
          <w:spacing w:val="-6"/>
          <w:kern w:val="21"/>
          <w:szCs w:val="21"/>
        </w:rPr>
        <w:fldChar w:fldCharType="end"/>
      </w:r>
    </w:p>
    <w:sectPr>
      <w:footerReference r:id="rId4"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9E0F9B-D2B8-41C1-A643-4FC751D740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Microsoft JhengHei UI"/>
    <w:panose1 w:val="02010601000101010101"/>
    <w:charset w:val="88"/>
    <w:family w:val="roman"/>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script"/>
    <w:pitch w:val="default"/>
    <w:sig w:usb0="A00002BF" w:usb1="38CF7CFA" w:usb2="00082016" w:usb3="00000000" w:csb0="00040001" w:csb1="00000000"/>
    <w:embedRegular r:id="rId2" w:fontKey="{4CC06FC9-71B4-4101-B959-8E46305098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52508">
    <w:pPr>
      <w:pStyle w:val="22"/>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31445"/>
              <wp:effectExtent l="0" t="0" r="0" b="0"/>
              <wp:wrapNone/>
              <wp:docPr id="1692696347"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400685" cy="131445"/>
                      </a:xfrm>
                      <a:prstGeom prst="rect">
                        <a:avLst/>
                      </a:prstGeom>
                      <a:noFill/>
                      <a:ln>
                        <a:noFill/>
                      </a:ln>
                    </wps:spPr>
                    <wps:txbx>
                      <w:txbxContent>
                        <w:p w14:paraId="3D20564B">
                          <w:pPr>
                            <w:pStyle w:val="22"/>
                          </w:pPr>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31.55pt;mso-position-horizontal:center;mso-position-horizontal-relative:margin;mso-wrap-style:none;z-index:251659264;mso-width-relative:page;mso-height-relative:page;" filled="f" stroked="f" coordsize="21600,21600" o:gfxdata="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xA2m00QAAAAMBAAAPAAAAAAAAAAEAIAAA&#10;ACIAAABkcnMvZG93bnJldi54bWxQSwECFAAUAAAACACHTuJAX0gV3RMCAAAMBAAADgAAAAAAAAAB&#10;ACAAAAAgAQAAZHJzL2Uyb0RvYy54bWxQSwUGAAAAAAYABgBZAQAApQUAAAAA&#10;">
              <v:fill on="f" focussize="0,0"/>
              <v:stroke on="f"/>
              <v:imagedata o:title=""/>
              <o:lock v:ext="edit" aspectratio="f"/>
              <v:textbox inset="0mm,0mm,0mm,0mm" style="mso-fit-shape-to-text:t;">
                <w:txbxContent>
                  <w:p w14:paraId="3D20564B">
                    <w:pPr>
                      <w:pStyle w:val="2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7A74E">
    <w:pPr>
      <w:pStyle w:val="22"/>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57835" cy="131445"/>
              <wp:effectExtent l="0" t="0" r="0" b="0"/>
              <wp:wrapNone/>
              <wp:docPr id="1657817651"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57835" cy="131445"/>
                      </a:xfrm>
                      <a:prstGeom prst="rect">
                        <a:avLst/>
                      </a:prstGeom>
                      <a:noFill/>
                      <a:ln>
                        <a:noFill/>
                      </a:ln>
                    </wps:spPr>
                    <wps:txbx>
                      <w:txbxContent>
                        <w:p w14:paraId="0FE22A3C">
                          <w:pPr>
                            <w:pStyle w:val="22"/>
                          </w:pPr>
                          <w:r>
                            <w:t xml:space="preserve">— </w:t>
                          </w:r>
                          <w:r>
                            <w:fldChar w:fldCharType="begin"/>
                          </w:r>
                          <w:r>
                            <w:instrText xml:space="preserve"> PAGE  \* MERGEFORMAT </w:instrText>
                          </w:r>
                          <w:r>
                            <w:fldChar w:fldCharType="separate"/>
                          </w:r>
                          <w:r>
                            <w:t>43</w:t>
                          </w:r>
                          <w:r>
                            <w:fldChar w:fldCharType="end"/>
                          </w:r>
                          <w:r>
                            <w:t xml:space="preserve"> —</w:t>
                          </w:r>
                        </w:p>
                      </w:txbxContent>
                    </wps:txbx>
                    <wps:bodyPr rot="0" vert="horz" wrap="none" lIns="0" tIns="0" rIns="0" bIns="0" anchor="t" anchorCtr="0" upright="1">
                      <a:spAutoFit/>
                    </wps:bodyPr>
                  </wps:wsp>
                </a:graphicData>
              </a:graphic>
            </wp:anchor>
          </w:drawing>
        </mc:Choice>
        <mc:Fallback>
          <w:pict>
            <v:shape id="文本框 18" o:spid="_x0000_s1026" o:spt="202" type="#_x0000_t202" style="position:absolute;left:0pt;margin-top:0pt;height:10.35pt;width:36.05pt;mso-position-horizontal:center;mso-position-horizontal-relative:margin;mso-wrap-style:none;z-index:251660288;mso-width-relative:page;mso-height-relative:page;" filled="f" stroked="f" coordsize="21600,21600" o:gfxdata="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Cfb1tAAAAADAQAADwAAAAAAAAABACAAAAAi&#10;AAAAZHJzL2Rvd25yZXYueG1sUEsBAhQAFAAAAAgAh07iQGup2rcSAgAADAQAAA4AAAAAAAAAAQAg&#10;AAAAHwEAAGRycy9lMm9Eb2MueG1sUEsFBgAAAAAGAAYAWQEAAKMFAAAAAA==&#10;">
              <v:fill on="f" focussize="0,0"/>
              <v:stroke on="f"/>
              <v:imagedata o:title=""/>
              <o:lock v:ext="edit" aspectratio="f"/>
              <v:textbox inset="0mm,0mm,0mm,0mm" style="mso-fit-shape-to-text:t;">
                <w:txbxContent>
                  <w:p w14:paraId="0FE22A3C">
                    <w:pPr>
                      <w:pStyle w:val="22"/>
                    </w:pPr>
                    <w:r>
                      <w:t xml:space="preserve">— </w:t>
                    </w:r>
                    <w:r>
                      <w:fldChar w:fldCharType="begin"/>
                    </w:r>
                    <w:r>
                      <w:instrText xml:space="preserve"> PAGE  \* MERGEFORMAT </w:instrText>
                    </w:r>
                    <w:r>
                      <w:fldChar w:fldCharType="separate"/>
                    </w:r>
                    <w:r>
                      <w:t>43</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pStyle w:val="106"/>
      <w:lvlText w:val="表 %1 "/>
      <w:lvlJc w:val="left"/>
      <w:pPr>
        <w:tabs>
          <w:tab w:val="left" w:pos="900"/>
        </w:tabs>
        <w:ind w:left="540" w:hanging="360"/>
      </w:pPr>
      <w:rPr>
        <w:rFonts w:hint="default" w:ascii="Times New Roman" w:hAnsi="Times New Roman" w:cs="Times New Roman"/>
        <w:sz w:val="28"/>
        <w:szCs w:val="28"/>
      </w:rPr>
    </w:lvl>
    <w:lvl w:ilvl="1" w:tentative="0">
      <w:start w:val="1"/>
      <w:numFmt w:val="decimal"/>
      <w:lvlText w:val="%2)"/>
      <w:lvlJc w:val="left"/>
      <w:pPr>
        <w:tabs>
          <w:tab w:val="left" w:pos="840"/>
        </w:tabs>
        <w:ind w:left="840" w:hanging="420"/>
      </w:pPr>
      <w:rPr>
        <w:rFonts w:hint="eastAsia"/>
        <w:sz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140"/>
        </w:tabs>
        <w:ind w:left="1140" w:hanging="420"/>
      </w:pPr>
      <w:rPr>
        <w:rFonts w:hint="eastAsia"/>
        <w:sz w:val="28"/>
        <w:szCs w:val="28"/>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7C063B"/>
    <w:multiLevelType w:val="multilevel"/>
    <w:tmpl w:val="1C7C063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lvl>
    <w:lvl w:ilvl="2" w:tentative="0">
      <w:start w:val="1"/>
      <w:numFmt w:val="decimal"/>
      <w:pStyle w:val="83"/>
      <w:lvlText w:val="%1.%2.%3"/>
      <w:lvlJc w:val="left"/>
      <w:pPr>
        <w:ind w:left="1418" w:hanging="567"/>
      </w:pPr>
    </w:lvl>
    <w:lvl w:ilvl="3" w:tentative="0">
      <w:start w:val="1"/>
      <w:numFmt w:val="decimal"/>
      <w:pStyle w:val="82"/>
      <w:lvlText w:val="%1.%2.%3.%4"/>
      <w:lvlJc w:val="left"/>
      <w:pPr>
        <w:ind w:left="4393"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7B5346F2"/>
    <w:multiLevelType w:val="singleLevel"/>
    <w:tmpl w:val="7B5346F2"/>
    <w:lvl w:ilvl="0" w:tentative="0">
      <w:start w:val="1"/>
      <w:numFmt w:val="decimal"/>
      <w:pStyle w:val="18"/>
      <w:lvlText w:val="%1."/>
      <w:lvlJc w:val="left"/>
      <w:pPr>
        <w:tabs>
          <w:tab w:val="left" w:pos="2040"/>
        </w:tabs>
        <w:ind w:left="20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mMjg3MDQ2MzExNDk0OWY5M2UwNzBmOWViMDBkMGMifQ=="/>
  </w:docVars>
  <w:rsids>
    <w:rsidRoot w:val="00172A27"/>
    <w:rsid w:val="000060B3"/>
    <w:rsid w:val="0001576F"/>
    <w:rsid w:val="00016669"/>
    <w:rsid w:val="00022DCE"/>
    <w:rsid w:val="00027954"/>
    <w:rsid w:val="00037782"/>
    <w:rsid w:val="0003793C"/>
    <w:rsid w:val="0004364B"/>
    <w:rsid w:val="00043FAB"/>
    <w:rsid w:val="00046BC7"/>
    <w:rsid w:val="000471F2"/>
    <w:rsid w:val="00047F3C"/>
    <w:rsid w:val="00053560"/>
    <w:rsid w:val="000565D3"/>
    <w:rsid w:val="00061B1F"/>
    <w:rsid w:val="00063CA9"/>
    <w:rsid w:val="00065C31"/>
    <w:rsid w:val="00067E9C"/>
    <w:rsid w:val="000713AF"/>
    <w:rsid w:val="000725E8"/>
    <w:rsid w:val="000733C4"/>
    <w:rsid w:val="00074783"/>
    <w:rsid w:val="00076D6B"/>
    <w:rsid w:val="0008070B"/>
    <w:rsid w:val="000810AC"/>
    <w:rsid w:val="00081A02"/>
    <w:rsid w:val="00082231"/>
    <w:rsid w:val="00083272"/>
    <w:rsid w:val="00090BD2"/>
    <w:rsid w:val="00092D38"/>
    <w:rsid w:val="0009377B"/>
    <w:rsid w:val="000A20C9"/>
    <w:rsid w:val="000A432B"/>
    <w:rsid w:val="000A66F2"/>
    <w:rsid w:val="000A7DB7"/>
    <w:rsid w:val="000B058F"/>
    <w:rsid w:val="000B3D81"/>
    <w:rsid w:val="000B4467"/>
    <w:rsid w:val="000B4DB9"/>
    <w:rsid w:val="000B61DA"/>
    <w:rsid w:val="000C09AC"/>
    <w:rsid w:val="000C767F"/>
    <w:rsid w:val="000D4CF8"/>
    <w:rsid w:val="000D5A44"/>
    <w:rsid w:val="000D7245"/>
    <w:rsid w:val="000E3ED2"/>
    <w:rsid w:val="000F4CA7"/>
    <w:rsid w:val="000F61BF"/>
    <w:rsid w:val="000F788A"/>
    <w:rsid w:val="00104ED4"/>
    <w:rsid w:val="0010791E"/>
    <w:rsid w:val="00114412"/>
    <w:rsid w:val="00117FC1"/>
    <w:rsid w:val="00123BA2"/>
    <w:rsid w:val="00125CA7"/>
    <w:rsid w:val="0013198A"/>
    <w:rsid w:val="00131F42"/>
    <w:rsid w:val="001357F1"/>
    <w:rsid w:val="00140FA8"/>
    <w:rsid w:val="00142FEB"/>
    <w:rsid w:val="00143A2D"/>
    <w:rsid w:val="00145A41"/>
    <w:rsid w:val="00146F9E"/>
    <w:rsid w:val="00147ABE"/>
    <w:rsid w:val="00151675"/>
    <w:rsid w:val="001559C4"/>
    <w:rsid w:val="00156A87"/>
    <w:rsid w:val="00157351"/>
    <w:rsid w:val="00157435"/>
    <w:rsid w:val="00157E3B"/>
    <w:rsid w:val="00160F38"/>
    <w:rsid w:val="001620CA"/>
    <w:rsid w:val="00164AE6"/>
    <w:rsid w:val="00166D7F"/>
    <w:rsid w:val="00170EEE"/>
    <w:rsid w:val="00171D37"/>
    <w:rsid w:val="00172A27"/>
    <w:rsid w:val="00173111"/>
    <w:rsid w:val="0017504D"/>
    <w:rsid w:val="00176592"/>
    <w:rsid w:val="0017671A"/>
    <w:rsid w:val="00177422"/>
    <w:rsid w:val="001810B9"/>
    <w:rsid w:val="00184590"/>
    <w:rsid w:val="00184D3B"/>
    <w:rsid w:val="001870D1"/>
    <w:rsid w:val="0018781E"/>
    <w:rsid w:val="001915D4"/>
    <w:rsid w:val="0019262D"/>
    <w:rsid w:val="001932D7"/>
    <w:rsid w:val="001A1B35"/>
    <w:rsid w:val="001A48A2"/>
    <w:rsid w:val="001A6F61"/>
    <w:rsid w:val="001A7632"/>
    <w:rsid w:val="001B18AE"/>
    <w:rsid w:val="001B1B25"/>
    <w:rsid w:val="001B3B2B"/>
    <w:rsid w:val="001B4354"/>
    <w:rsid w:val="001B72B8"/>
    <w:rsid w:val="001C2A5A"/>
    <w:rsid w:val="001C3FAE"/>
    <w:rsid w:val="001C4F57"/>
    <w:rsid w:val="001C676D"/>
    <w:rsid w:val="001C69B3"/>
    <w:rsid w:val="001D5595"/>
    <w:rsid w:val="001D7874"/>
    <w:rsid w:val="001D7F22"/>
    <w:rsid w:val="001E2D22"/>
    <w:rsid w:val="001E2E1E"/>
    <w:rsid w:val="001F050E"/>
    <w:rsid w:val="001F0F17"/>
    <w:rsid w:val="001F3347"/>
    <w:rsid w:val="001F3949"/>
    <w:rsid w:val="001F4D09"/>
    <w:rsid w:val="001F69E4"/>
    <w:rsid w:val="002006B1"/>
    <w:rsid w:val="00200830"/>
    <w:rsid w:val="00204872"/>
    <w:rsid w:val="00204908"/>
    <w:rsid w:val="00207CBF"/>
    <w:rsid w:val="00210CA3"/>
    <w:rsid w:val="00210F54"/>
    <w:rsid w:val="002125B4"/>
    <w:rsid w:val="00212837"/>
    <w:rsid w:val="002133E4"/>
    <w:rsid w:val="002146DF"/>
    <w:rsid w:val="00214C1A"/>
    <w:rsid w:val="002155B8"/>
    <w:rsid w:val="00224839"/>
    <w:rsid w:val="002249B2"/>
    <w:rsid w:val="00225B73"/>
    <w:rsid w:val="00226574"/>
    <w:rsid w:val="002269E9"/>
    <w:rsid w:val="002278EC"/>
    <w:rsid w:val="0023280E"/>
    <w:rsid w:val="0023330E"/>
    <w:rsid w:val="002362EA"/>
    <w:rsid w:val="002377D1"/>
    <w:rsid w:val="0024406A"/>
    <w:rsid w:val="002447FE"/>
    <w:rsid w:val="00244D83"/>
    <w:rsid w:val="002475D3"/>
    <w:rsid w:val="00247D3A"/>
    <w:rsid w:val="002506BC"/>
    <w:rsid w:val="00254345"/>
    <w:rsid w:val="0026233F"/>
    <w:rsid w:val="00264557"/>
    <w:rsid w:val="00267410"/>
    <w:rsid w:val="002728DA"/>
    <w:rsid w:val="002770D4"/>
    <w:rsid w:val="002805AB"/>
    <w:rsid w:val="00282544"/>
    <w:rsid w:val="00284204"/>
    <w:rsid w:val="00291773"/>
    <w:rsid w:val="00291C40"/>
    <w:rsid w:val="002A168C"/>
    <w:rsid w:val="002A223D"/>
    <w:rsid w:val="002A2D47"/>
    <w:rsid w:val="002A3DC7"/>
    <w:rsid w:val="002B49E2"/>
    <w:rsid w:val="002B7B00"/>
    <w:rsid w:val="002B7C44"/>
    <w:rsid w:val="002C2B17"/>
    <w:rsid w:val="002C4EF9"/>
    <w:rsid w:val="002D3403"/>
    <w:rsid w:val="002D3DD0"/>
    <w:rsid w:val="002E1F3A"/>
    <w:rsid w:val="002E281B"/>
    <w:rsid w:val="002E298A"/>
    <w:rsid w:val="002E2FC9"/>
    <w:rsid w:val="002E52B6"/>
    <w:rsid w:val="002E73BA"/>
    <w:rsid w:val="002F48D8"/>
    <w:rsid w:val="00301978"/>
    <w:rsid w:val="0030332C"/>
    <w:rsid w:val="003043B7"/>
    <w:rsid w:val="003051C2"/>
    <w:rsid w:val="003067C3"/>
    <w:rsid w:val="00310052"/>
    <w:rsid w:val="00310397"/>
    <w:rsid w:val="003116C0"/>
    <w:rsid w:val="00312296"/>
    <w:rsid w:val="00314EE0"/>
    <w:rsid w:val="00314F0E"/>
    <w:rsid w:val="00317ED3"/>
    <w:rsid w:val="00321D8E"/>
    <w:rsid w:val="00324740"/>
    <w:rsid w:val="00325928"/>
    <w:rsid w:val="00325C57"/>
    <w:rsid w:val="00331A4A"/>
    <w:rsid w:val="00332863"/>
    <w:rsid w:val="0033684D"/>
    <w:rsid w:val="003369A9"/>
    <w:rsid w:val="00337B42"/>
    <w:rsid w:val="00341B42"/>
    <w:rsid w:val="0034348F"/>
    <w:rsid w:val="00346279"/>
    <w:rsid w:val="003468AF"/>
    <w:rsid w:val="003477BA"/>
    <w:rsid w:val="00350CBF"/>
    <w:rsid w:val="0035287A"/>
    <w:rsid w:val="00356653"/>
    <w:rsid w:val="0035743F"/>
    <w:rsid w:val="00357BE2"/>
    <w:rsid w:val="0036099D"/>
    <w:rsid w:val="0036170C"/>
    <w:rsid w:val="00363F17"/>
    <w:rsid w:val="00364EED"/>
    <w:rsid w:val="00365E9B"/>
    <w:rsid w:val="00366E0F"/>
    <w:rsid w:val="00371627"/>
    <w:rsid w:val="00371F7B"/>
    <w:rsid w:val="00375C50"/>
    <w:rsid w:val="00380211"/>
    <w:rsid w:val="00381A72"/>
    <w:rsid w:val="00384676"/>
    <w:rsid w:val="0038478E"/>
    <w:rsid w:val="00387908"/>
    <w:rsid w:val="00390857"/>
    <w:rsid w:val="003909D9"/>
    <w:rsid w:val="0039390B"/>
    <w:rsid w:val="003976BA"/>
    <w:rsid w:val="003A0B4B"/>
    <w:rsid w:val="003A4BF3"/>
    <w:rsid w:val="003B2A89"/>
    <w:rsid w:val="003B420D"/>
    <w:rsid w:val="003B4C51"/>
    <w:rsid w:val="003C6C16"/>
    <w:rsid w:val="003D3195"/>
    <w:rsid w:val="003D5F2B"/>
    <w:rsid w:val="003D69A3"/>
    <w:rsid w:val="003D794D"/>
    <w:rsid w:val="003E3058"/>
    <w:rsid w:val="003E43A4"/>
    <w:rsid w:val="003E6CE9"/>
    <w:rsid w:val="003E76A9"/>
    <w:rsid w:val="003F0809"/>
    <w:rsid w:val="003F55FE"/>
    <w:rsid w:val="003F6A8C"/>
    <w:rsid w:val="003F755C"/>
    <w:rsid w:val="003F7C43"/>
    <w:rsid w:val="0040421E"/>
    <w:rsid w:val="004047F0"/>
    <w:rsid w:val="00405E15"/>
    <w:rsid w:val="00406F01"/>
    <w:rsid w:val="004072D6"/>
    <w:rsid w:val="00413592"/>
    <w:rsid w:val="00413B31"/>
    <w:rsid w:val="004166F5"/>
    <w:rsid w:val="00416D50"/>
    <w:rsid w:val="00416FD5"/>
    <w:rsid w:val="00417772"/>
    <w:rsid w:val="00417F8B"/>
    <w:rsid w:val="00420E6A"/>
    <w:rsid w:val="00421287"/>
    <w:rsid w:val="0042528C"/>
    <w:rsid w:val="00425A9E"/>
    <w:rsid w:val="00426D6B"/>
    <w:rsid w:val="00430020"/>
    <w:rsid w:val="00431E6C"/>
    <w:rsid w:val="0043379A"/>
    <w:rsid w:val="00433CE7"/>
    <w:rsid w:val="0044231A"/>
    <w:rsid w:val="00452738"/>
    <w:rsid w:val="004530EB"/>
    <w:rsid w:val="00455A94"/>
    <w:rsid w:val="00456091"/>
    <w:rsid w:val="00461AEC"/>
    <w:rsid w:val="00462ABF"/>
    <w:rsid w:val="00463F69"/>
    <w:rsid w:val="00464023"/>
    <w:rsid w:val="004651D7"/>
    <w:rsid w:val="00466321"/>
    <w:rsid w:val="0046686F"/>
    <w:rsid w:val="00481B40"/>
    <w:rsid w:val="00484B9B"/>
    <w:rsid w:val="004855F6"/>
    <w:rsid w:val="0048661E"/>
    <w:rsid w:val="00491710"/>
    <w:rsid w:val="004921BF"/>
    <w:rsid w:val="00494670"/>
    <w:rsid w:val="004A3823"/>
    <w:rsid w:val="004A4740"/>
    <w:rsid w:val="004A528C"/>
    <w:rsid w:val="004B0AAD"/>
    <w:rsid w:val="004C33DF"/>
    <w:rsid w:val="004C7EBB"/>
    <w:rsid w:val="004D5780"/>
    <w:rsid w:val="004E0DC4"/>
    <w:rsid w:val="004E6946"/>
    <w:rsid w:val="004F1AD8"/>
    <w:rsid w:val="004F5B61"/>
    <w:rsid w:val="005012D8"/>
    <w:rsid w:val="005039CB"/>
    <w:rsid w:val="00504479"/>
    <w:rsid w:val="0050558F"/>
    <w:rsid w:val="00506286"/>
    <w:rsid w:val="00510813"/>
    <w:rsid w:val="0051163E"/>
    <w:rsid w:val="00511990"/>
    <w:rsid w:val="00511DE0"/>
    <w:rsid w:val="00514870"/>
    <w:rsid w:val="00514B9B"/>
    <w:rsid w:val="00517F02"/>
    <w:rsid w:val="005202DB"/>
    <w:rsid w:val="0052330F"/>
    <w:rsid w:val="00524303"/>
    <w:rsid w:val="00524B3E"/>
    <w:rsid w:val="005256FE"/>
    <w:rsid w:val="005258A2"/>
    <w:rsid w:val="0053306A"/>
    <w:rsid w:val="00533624"/>
    <w:rsid w:val="005401AE"/>
    <w:rsid w:val="00541FC7"/>
    <w:rsid w:val="00542E07"/>
    <w:rsid w:val="00543621"/>
    <w:rsid w:val="00543728"/>
    <w:rsid w:val="00545424"/>
    <w:rsid w:val="00546C89"/>
    <w:rsid w:val="00553604"/>
    <w:rsid w:val="00554A7B"/>
    <w:rsid w:val="0055572C"/>
    <w:rsid w:val="00555A06"/>
    <w:rsid w:val="0055635D"/>
    <w:rsid w:val="00557333"/>
    <w:rsid w:val="00560BC4"/>
    <w:rsid w:val="0056106A"/>
    <w:rsid w:val="005619C2"/>
    <w:rsid w:val="00562178"/>
    <w:rsid w:val="00562933"/>
    <w:rsid w:val="00565813"/>
    <w:rsid w:val="005720AE"/>
    <w:rsid w:val="00576BD7"/>
    <w:rsid w:val="005810FC"/>
    <w:rsid w:val="00582D0E"/>
    <w:rsid w:val="00586247"/>
    <w:rsid w:val="00586BE6"/>
    <w:rsid w:val="0059109B"/>
    <w:rsid w:val="00594AC9"/>
    <w:rsid w:val="00594D77"/>
    <w:rsid w:val="005969E4"/>
    <w:rsid w:val="00597076"/>
    <w:rsid w:val="005A06B7"/>
    <w:rsid w:val="005A1759"/>
    <w:rsid w:val="005A17BD"/>
    <w:rsid w:val="005A3215"/>
    <w:rsid w:val="005A3B64"/>
    <w:rsid w:val="005A4739"/>
    <w:rsid w:val="005A68A7"/>
    <w:rsid w:val="005A7610"/>
    <w:rsid w:val="005B5B42"/>
    <w:rsid w:val="005C16E1"/>
    <w:rsid w:val="005D13BF"/>
    <w:rsid w:val="005D36AB"/>
    <w:rsid w:val="005E1267"/>
    <w:rsid w:val="005E66EF"/>
    <w:rsid w:val="005F0C1C"/>
    <w:rsid w:val="005F7EDA"/>
    <w:rsid w:val="006126AB"/>
    <w:rsid w:val="00613753"/>
    <w:rsid w:val="00614A22"/>
    <w:rsid w:val="00617CC3"/>
    <w:rsid w:val="00622A77"/>
    <w:rsid w:val="00633567"/>
    <w:rsid w:val="006377A6"/>
    <w:rsid w:val="00637A3D"/>
    <w:rsid w:val="006411EF"/>
    <w:rsid w:val="00642B8E"/>
    <w:rsid w:val="00645766"/>
    <w:rsid w:val="00650169"/>
    <w:rsid w:val="00651173"/>
    <w:rsid w:val="00657AC5"/>
    <w:rsid w:val="00663460"/>
    <w:rsid w:val="00670E85"/>
    <w:rsid w:val="00671A0E"/>
    <w:rsid w:val="006748B8"/>
    <w:rsid w:val="006775C3"/>
    <w:rsid w:val="0069290A"/>
    <w:rsid w:val="006942AC"/>
    <w:rsid w:val="0069775A"/>
    <w:rsid w:val="00697813"/>
    <w:rsid w:val="006A3CA2"/>
    <w:rsid w:val="006A3EE8"/>
    <w:rsid w:val="006A5434"/>
    <w:rsid w:val="006A72BF"/>
    <w:rsid w:val="006B03F2"/>
    <w:rsid w:val="006B37DC"/>
    <w:rsid w:val="006B4F68"/>
    <w:rsid w:val="006C0592"/>
    <w:rsid w:val="006C09B8"/>
    <w:rsid w:val="006C272E"/>
    <w:rsid w:val="006C2FAF"/>
    <w:rsid w:val="006C4A55"/>
    <w:rsid w:val="006C5479"/>
    <w:rsid w:val="006C66E3"/>
    <w:rsid w:val="006C6D5D"/>
    <w:rsid w:val="006D13B5"/>
    <w:rsid w:val="006D22EC"/>
    <w:rsid w:val="006D27A4"/>
    <w:rsid w:val="006D3286"/>
    <w:rsid w:val="006E12FF"/>
    <w:rsid w:val="006E607E"/>
    <w:rsid w:val="006F0D9A"/>
    <w:rsid w:val="006F49D2"/>
    <w:rsid w:val="006F53D3"/>
    <w:rsid w:val="007005AA"/>
    <w:rsid w:val="007052C1"/>
    <w:rsid w:val="00706C5D"/>
    <w:rsid w:val="00713060"/>
    <w:rsid w:val="00714D46"/>
    <w:rsid w:val="007243EB"/>
    <w:rsid w:val="00727EF0"/>
    <w:rsid w:val="00731C44"/>
    <w:rsid w:val="00732922"/>
    <w:rsid w:val="0073438B"/>
    <w:rsid w:val="00740348"/>
    <w:rsid w:val="00740BFB"/>
    <w:rsid w:val="00742B80"/>
    <w:rsid w:val="00745F1E"/>
    <w:rsid w:val="00746017"/>
    <w:rsid w:val="0075162E"/>
    <w:rsid w:val="007517F0"/>
    <w:rsid w:val="00754034"/>
    <w:rsid w:val="00756556"/>
    <w:rsid w:val="00757B0B"/>
    <w:rsid w:val="007618C4"/>
    <w:rsid w:val="00767980"/>
    <w:rsid w:val="00770B19"/>
    <w:rsid w:val="0077463F"/>
    <w:rsid w:val="007824F9"/>
    <w:rsid w:val="0078316E"/>
    <w:rsid w:val="007836EA"/>
    <w:rsid w:val="00784CDA"/>
    <w:rsid w:val="007906C4"/>
    <w:rsid w:val="0079373B"/>
    <w:rsid w:val="007940EA"/>
    <w:rsid w:val="007967E8"/>
    <w:rsid w:val="007A2170"/>
    <w:rsid w:val="007A22BF"/>
    <w:rsid w:val="007A3323"/>
    <w:rsid w:val="007A75EA"/>
    <w:rsid w:val="007B72B8"/>
    <w:rsid w:val="007B7A58"/>
    <w:rsid w:val="007C21B5"/>
    <w:rsid w:val="007C3159"/>
    <w:rsid w:val="007D41DF"/>
    <w:rsid w:val="007D70F3"/>
    <w:rsid w:val="007E094B"/>
    <w:rsid w:val="007E4BD2"/>
    <w:rsid w:val="007E63DC"/>
    <w:rsid w:val="007E689C"/>
    <w:rsid w:val="007E6919"/>
    <w:rsid w:val="007E6F13"/>
    <w:rsid w:val="007F00B2"/>
    <w:rsid w:val="007F150B"/>
    <w:rsid w:val="007F171C"/>
    <w:rsid w:val="007F2EA3"/>
    <w:rsid w:val="00801393"/>
    <w:rsid w:val="00802F88"/>
    <w:rsid w:val="008036AB"/>
    <w:rsid w:val="008043B7"/>
    <w:rsid w:val="00806E0B"/>
    <w:rsid w:val="0081293E"/>
    <w:rsid w:val="00815465"/>
    <w:rsid w:val="00817E9A"/>
    <w:rsid w:val="0082562C"/>
    <w:rsid w:val="008267EE"/>
    <w:rsid w:val="00826947"/>
    <w:rsid w:val="00830083"/>
    <w:rsid w:val="008306BD"/>
    <w:rsid w:val="00831A80"/>
    <w:rsid w:val="00833743"/>
    <w:rsid w:val="008340A4"/>
    <w:rsid w:val="00834425"/>
    <w:rsid w:val="00835317"/>
    <w:rsid w:val="008357FC"/>
    <w:rsid w:val="00835A4B"/>
    <w:rsid w:val="0083606B"/>
    <w:rsid w:val="00842B84"/>
    <w:rsid w:val="00843AF8"/>
    <w:rsid w:val="00846C93"/>
    <w:rsid w:val="00852E99"/>
    <w:rsid w:val="00857424"/>
    <w:rsid w:val="0086026E"/>
    <w:rsid w:val="00860634"/>
    <w:rsid w:val="0086301C"/>
    <w:rsid w:val="0086601D"/>
    <w:rsid w:val="0087135F"/>
    <w:rsid w:val="00872D94"/>
    <w:rsid w:val="00874EFC"/>
    <w:rsid w:val="00880364"/>
    <w:rsid w:val="00881441"/>
    <w:rsid w:val="008829DD"/>
    <w:rsid w:val="008876E6"/>
    <w:rsid w:val="00890064"/>
    <w:rsid w:val="00891592"/>
    <w:rsid w:val="00891E9E"/>
    <w:rsid w:val="008A0B25"/>
    <w:rsid w:val="008A2F68"/>
    <w:rsid w:val="008A3548"/>
    <w:rsid w:val="008B1336"/>
    <w:rsid w:val="008B17C8"/>
    <w:rsid w:val="008B4FA6"/>
    <w:rsid w:val="008B5282"/>
    <w:rsid w:val="008B6E9D"/>
    <w:rsid w:val="008B7C17"/>
    <w:rsid w:val="008C2D01"/>
    <w:rsid w:val="008C2ED5"/>
    <w:rsid w:val="008C40E6"/>
    <w:rsid w:val="008C48A2"/>
    <w:rsid w:val="008D0F7A"/>
    <w:rsid w:val="008D5BE6"/>
    <w:rsid w:val="008D64DF"/>
    <w:rsid w:val="008D68E4"/>
    <w:rsid w:val="008D797E"/>
    <w:rsid w:val="008E0506"/>
    <w:rsid w:val="008E0CFF"/>
    <w:rsid w:val="008E5D6B"/>
    <w:rsid w:val="008E76F0"/>
    <w:rsid w:val="008F0DF9"/>
    <w:rsid w:val="008F15FE"/>
    <w:rsid w:val="008F2D29"/>
    <w:rsid w:val="008F5187"/>
    <w:rsid w:val="008F60D8"/>
    <w:rsid w:val="00902727"/>
    <w:rsid w:val="0090312B"/>
    <w:rsid w:val="0091327D"/>
    <w:rsid w:val="00915E14"/>
    <w:rsid w:val="0091669D"/>
    <w:rsid w:val="0091736D"/>
    <w:rsid w:val="00927B22"/>
    <w:rsid w:val="0093037A"/>
    <w:rsid w:val="009345AC"/>
    <w:rsid w:val="0094154D"/>
    <w:rsid w:val="00942352"/>
    <w:rsid w:val="00946B4A"/>
    <w:rsid w:val="009474D9"/>
    <w:rsid w:val="009478E4"/>
    <w:rsid w:val="00947E47"/>
    <w:rsid w:val="00950169"/>
    <w:rsid w:val="0095155F"/>
    <w:rsid w:val="00954429"/>
    <w:rsid w:val="009563CE"/>
    <w:rsid w:val="00956A42"/>
    <w:rsid w:val="00976328"/>
    <w:rsid w:val="0097680D"/>
    <w:rsid w:val="00982438"/>
    <w:rsid w:val="0098404C"/>
    <w:rsid w:val="00984711"/>
    <w:rsid w:val="00985283"/>
    <w:rsid w:val="00986743"/>
    <w:rsid w:val="00994BB1"/>
    <w:rsid w:val="00994F8D"/>
    <w:rsid w:val="00995992"/>
    <w:rsid w:val="00996081"/>
    <w:rsid w:val="00996DF3"/>
    <w:rsid w:val="00997782"/>
    <w:rsid w:val="009A03E5"/>
    <w:rsid w:val="009A0F3B"/>
    <w:rsid w:val="009A123F"/>
    <w:rsid w:val="009A1BB4"/>
    <w:rsid w:val="009A2628"/>
    <w:rsid w:val="009A3200"/>
    <w:rsid w:val="009A361E"/>
    <w:rsid w:val="009B0897"/>
    <w:rsid w:val="009B2F3D"/>
    <w:rsid w:val="009B4521"/>
    <w:rsid w:val="009B7BD9"/>
    <w:rsid w:val="009C16BD"/>
    <w:rsid w:val="009C4BE2"/>
    <w:rsid w:val="009C7DD5"/>
    <w:rsid w:val="009D199E"/>
    <w:rsid w:val="009E227D"/>
    <w:rsid w:val="009E2C02"/>
    <w:rsid w:val="009E341B"/>
    <w:rsid w:val="009E4C80"/>
    <w:rsid w:val="009E4D8F"/>
    <w:rsid w:val="009E5019"/>
    <w:rsid w:val="009E5881"/>
    <w:rsid w:val="009E5F82"/>
    <w:rsid w:val="009F16DD"/>
    <w:rsid w:val="009F2E2B"/>
    <w:rsid w:val="009F7116"/>
    <w:rsid w:val="00A04F1B"/>
    <w:rsid w:val="00A0501B"/>
    <w:rsid w:val="00A14947"/>
    <w:rsid w:val="00A149B1"/>
    <w:rsid w:val="00A16AD3"/>
    <w:rsid w:val="00A17270"/>
    <w:rsid w:val="00A17521"/>
    <w:rsid w:val="00A217AF"/>
    <w:rsid w:val="00A3180E"/>
    <w:rsid w:val="00A32A83"/>
    <w:rsid w:val="00A35ABE"/>
    <w:rsid w:val="00A368DB"/>
    <w:rsid w:val="00A423AA"/>
    <w:rsid w:val="00A433FF"/>
    <w:rsid w:val="00A53EC6"/>
    <w:rsid w:val="00A55C0F"/>
    <w:rsid w:val="00A63EC9"/>
    <w:rsid w:val="00A642C9"/>
    <w:rsid w:val="00A657E8"/>
    <w:rsid w:val="00A71594"/>
    <w:rsid w:val="00A730F2"/>
    <w:rsid w:val="00A83D9B"/>
    <w:rsid w:val="00A852BD"/>
    <w:rsid w:val="00A8713F"/>
    <w:rsid w:val="00A87B0E"/>
    <w:rsid w:val="00A90BA1"/>
    <w:rsid w:val="00A92A3B"/>
    <w:rsid w:val="00A97A9A"/>
    <w:rsid w:val="00AA0671"/>
    <w:rsid w:val="00AA0AA4"/>
    <w:rsid w:val="00AA2531"/>
    <w:rsid w:val="00AA2EED"/>
    <w:rsid w:val="00AA4296"/>
    <w:rsid w:val="00AA793E"/>
    <w:rsid w:val="00AB1E09"/>
    <w:rsid w:val="00AB52DF"/>
    <w:rsid w:val="00AB5330"/>
    <w:rsid w:val="00AB68FF"/>
    <w:rsid w:val="00AB6BBD"/>
    <w:rsid w:val="00AB7747"/>
    <w:rsid w:val="00AC14CE"/>
    <w:rsid w:val="00AC2A56"/>
    <w:rsid w:val="00AC31AF"/>
    <w:rsid w:val="00AC7302"/>
    <w:rsid w:val="00AD055E"/>
    <w:rsid w:val="00AD2EA4"/>
    <w:rsid w:val="00AD47A7"/>
    <w:rsid w:val="00AE14C6"/>
    <w:rsid w:val="00AE236D"/>
    <w:rsid w:val="00AE2FC2"/>
    <w:rsid w:val="00AE7371"/>
    <w:rsid w:val="00AF0CBF"/>
    <w:rsid w:val="00AF257F"/>
    <w:rsid w:val="00AF33CF"/>
    <w:rsid w:val="00AF4D50"/>
    <w:rsid w:val="00AF6179"/>
    <w:rsid w:val="00B014F4"/>
    <w:rsid w:val="00B032CF"/>
    <w:rsid w:val="00B10FB6"/>
    <w:rsid w:val="00B1295A"/>
    <w:rsid w:val="00B145D1"/>
    <w:rsid w:val="00B15ED1"/>
    <w:rsid w:val="00B20A45"/>
    <w:rsid w:val="00B21108"/>
    <w:rsid w:val="00B22C5C"/>
    <w:rsid w:val="00B24F30"/>
    <w:rsid w:val="00B301CF"/>
    <w:rsid w:val="00B31ABF"/>
    <w:rsid w:val="00B33BE3"/>
    <w:rsid w:val="00B34F34"/>
    <w:rsid w:val="00B353FB"/>
    <w:rsid w:val="00B41649"/>
    <w:rsid w:val="00B44DD7"/>
    <w:rsid w:val="00B47D19"/>
    <w:rsid w:val="00B53B5D"/>
    <w:rsid w:val="00B54FB8"/>
    <w:rsid w:val="00B559E4"/>
    <w:rsid w:val="00B6055E"/>
    <w:rsid w:val="00B6317D"/>
    <w:rsid w:val="00B64C4B"/>
    <w:rsid w:val="00B72E01"/>
    <w:rsid w:val="00B7535E"/>
    <w:rsid w:val="00B7723F"/>
    <w:rsid w:val="00B80534"/>
    <w:rsid w:val="00B8115B"/>
    <w:rsid w:val="00B8433C"/>
    <w:rsid w:val="00B8481C"/>
    <w:rsid w:val="00B87491"/>
    <w:rsid w:val="00B8783D"/>
    <w:rsid w:val="00B90E0D"/>
    <w:rsid w:val="00B95E18"/>
    <w:rsid w:val="00BA0163"/>
    <w:rsid w:val="00BA29E9"/>
    <w:rsid w:val="00BA5BD7"/>
    <w:rsid w:val="00BA7142"/>
    <w:rsid w:val="00BB149D"/>
    <w:rsid w:val="00BB21E6"/>
    <w:rsid w:val="00BB237C"/>
    <w:rsid w:val="00BB41A3"/>
    <w:rsid w:val="00BB6496"/>
    <w:rsid w:val="00BB74CA"/>
    <w:rsid w:val="00BC32DC"/>
    <w:rsid w:val="00BC35B6"/>
    <w:rsid w:val="00BD1B51"/>
    <w:rsid w:val="00BD408E"/>
    <w:rsid w:val="00BD4596"/>
    <w:rsid w:val="00BD4945"/>
    <w:rsid w:val="00BE0501"/>
    <w:rsid w:val="00BE1405"/>
    <w:rsid w:val="00BE1DDD"/>
    <w:rsid w:val="00BE312D"/>
    <w:rsid w:val="00BE6919"/>
    <w:rsid w:val="00BF1C20"/>
    <w:rsid w:val="00BF4B29"/>
    <w:rsid w:val="00C00739"/>
    <w:rsid w:val="00C047D2"/>
    <w:rsid w:val="00C10578"/>
    <w:rsid w:val="00C135BC"/>
    <w:rsid w:val="00C15C95"/>
    <w:rsid w:val="00C23796"/>
    <w:rsid w:val="00C2596A"/>
    <w:rsid w:val="00C27537"/>
    <w:rsid w:val="00C328FE"/>
    <w:rsid w:val="00C33251"/>
    <w:rsid w:val="00C332DC"/>
    <w:rsid w:val="00C33507"/>
    <w:rsid w:val="00C34526"/>
    <w:rsid w:val="00C4040C"/>
    <w:rsid w:val="00C42913"/>
    <w:rsid w:val="00C4409D"/>
    <w:rsid w:val="00C44E72"/>
    <w:rsid w:val="00C45A06"/>
    <w:rsid w:val="00C4742F"/>
    <w:rsid w:val="00C47E5B"/>
    <w:rsid w:val="00C53D00"/>
    <w:rsid w:val="00C55CF7"/>
    <w:rsid w:val="00C614EB"/>
    <w:rsid w:val="00C61E4B"/>
    <w:rsid w:val="00C637F4"/>
    <w:rsid w:val="00C64BFF"/>
    <w:rsid w:val="00C704E9"/>
    <w:rsid w:val="00C712EA"/>
    <w:rsid w:val="00C713F0"/>
    <w:rsid w:val="00C763C9"/>
    <w:rsid w:val="00C772CD"/>
    <w:rsid w:val="00C80057"/>
    <w:rsid w:val="00C82232"/>
    <w:rsid w:val="00C82913"/>
    <w:rsid w:val="00C835DA"/>
    <w:rsid w:val="00C841D6"/>
    <w:rsid w:val="00C8524F"/>
    <w:rsid w:val="00C87666"/>
    <w:rsid w:val="00C87E7D"/>
    <w:rsid w:val="00C907BA"/>
    <w:rsid w:val="00C972B1"/>
    <w:rsid w:val="00CA2CCE"/>
    <w:rsid w:val="00CA40B7"/>
    <w:rsid w:val="00CA42F8"/>
    <w:rsid w:val="00CA43FD"/>
    <w:rsid w:val="00CA5281"/>
    <w:rsid w:val="00CA7274"/>
    <w:rsid w:val="00CA72CA"/>
    <w:rsid w:val="00CA7EF8"/>
    <w:rsid w:val="00CB0B8B"/>
    <w:rsid w:val="00CB2F53"/>
    <w:rsid w:val="00CB5879"/>
    <w:rsid w:val="00CC0163"/>
    <w:rsid w:val="00CC489B"/>
    <w:rsid w:val="00CD2BCD"/>
    <w:rsid w:val="00CD3A4C"/>
    <w:rsid w:val="00CE10E9"/>
    <w:rsid w:val="00CE2910"/>
    <w:rsid w:val="00CE4001"/>
    <w:rsid w:val="00CE5393"/>
    <w:rsid w:val="00CF0708"/>
    <w:rsid w:val="00CF36BE"/>
    <w:rsid w:val="00CF6000"/>
    <w:rsid w:val="00CF72D1"/>
    <w:rsid w:val="00CF7802"/>
    <w:rsid w:val="00D003F3"/>
    <w:rsid w:val="00D02001"/>
    <w:rsid w:val="00D02329"/>
    <w:rsid w:val="00D0364F"/>
    <w:rsid w:val="00D05B85"/>
    <w:rsid w:val="00D06834"/>
    <w:rsid w:val="00D204B6"/>
    <w:rsid w:val="00D21710"/>
    <w:rsid w:val="00D23D62"/>
    <w:rsid w:val="00D24520"/>
    <w:rsid w:val="00D308ED"/>
    <w:rsid w:val="00D33669"/>
    <w:rsid w:val="00D36D86"/>
    <w:rsid w:val="00D4071F"/>
    <w:rsid w:val="00D428AA"/>
    <w:rsid w:val="00D470A0"/>
    <w:rsid w:val="00D50A34"/>
    <w:rsid w:val="00D53EFA"/>
    <w:rsid w:val="00D60FED"/>
    <w:rsid w:val="00D67B5C"/>
    <w:rsid w:val="00D70EFB"/>
    <w:rsid w:val="00D72887"/>
    <w:rsid w:val="00D80B72"/>
    <w:rsid w:val="00D81B19"/>
    <w:rsid w:val="00D864C6"/>
    <w:rsid w:val="00D9026E"/>
    <w:rsid w:val="00D94A7C"/>
    <w:rsid w:val="00D95896"/>
    <w:rsid w:val="00D9598A"/>
    <w:rsid w:val="00DA04F8"/>
    <w:rsid w:val="00DA7D47"/>
    <w:rsid w:val="00DB0C0E"/>
    <w:rsid w:val="00DB1B85"/>
    <w:rsid w:val="00DB2983"/>
    <w:rsid w:val="00DB7416"/>
    <w:rsid w:val="00DB775A"/>
    <w:rsid w:val="00DC1257"/>
    <w:rsid w:val="00DC3DC0"/>
    <w:rsid w:val="00DC5B2B"/>
    <w:rsid w:val="00DC5D4D"/>
    <w:rsid w:val="00DD048A"/>
    <w:rsid w:val="00DD318D"/>
    <w:rsid w:val="00DE0A98"/>
    <w:rsid w:val="00DE6A38"/>
    <w:rsid w:val="00DF0D76"/>
    <w:rsid w:val="00DF1DE3"/>
    <w:rsid w:val="00DF2254"/>
    <w:rsid w:val="00DF2E12"/>
    <w:rsid w:val="00DF514A"/>
    <w:rsid w:val="00DF5420"/>
    <w:rsid w:val="00DF6690"/>
    <w:rsid w:val="00DF6804"/>
    <w:rsid w:val="00E0150F"/>
    <w:rsid w:val="00E031EB"/>
    <w:rsid w:val="00E0358D"/>
    <w:rsid w:val="00E04323"/>
    <w:rsid w:val="00E070A2"/>
    <w:rsid w:val="00E11E09"/>
    <w:rsid w:val="00E125CA"/>
    <w:rsid w:val="00E13019"/>
    <w:rsid w:val="00E1340D"/>
    <w:rsid w:val="00E16116"/>
    <w:rsid w:val="00E21B0F"/>
    <w:rsid w:val="00E25627"/>
    <w:rsid w:val="00E2656A"/>
    <w:rsid w:val="00E31730"/>
    <w:rsid w:val="00E35595"/>
    <w:rsid w:val="00E412D0"/>
    <w:rsid w:val="00E46CFC"/>
    <w:rsid w:val="00E50B54"/>
    <w:rsid w:val="00E52242"/>
    <w:rsid w:val="00E5358F"/>
    <w:rsid w:val="00E56322"/>
    <w:rsid w:val="00E60982"/>
    <w:rsid w:val="00E628B2"/>
    <w:rsid w:val="00E62C62"/>
    <w:rsid w:val="00E654C1"/>
    <w:rsid w:val="00E6578F"/>
    <w:rsid w:val="00E65D97"/>
    <w:rsid w:val="00E701FC"/>
    <w:rsid w:val="00E72A5A"/>
    <w:rsid w:val="00E73354"/>
    <w:rsid w:val="00E7485A"/>
    <w:rsid w:val="00E74FD4"/>
    <w:rsid w:val="00E756DF"/>
    <w:rsid w:val="00E77AE3"/>
    <w:rsid w:val="00E8235D"/>
    <w:rsid w:val="00E916E6"/>
    <w:rsid w:val="00E9242D"/>
    <w:rsid w:val="00E92B6C"/>
    <w:rsid w:val="00E92F85"/>
    <w:rsid w:val="00E946A2"/>
    <w:rsid w:val="00E94B68"/>
    <w:rsid w:val="00E968BD"/>
    <w:rsid w:val="00EB3306"/>
    <w:rsid w:val="00EB5255"/>
    <w:rsid w:val="00EB53BC"/>
    <w:rsid w:val="00EB5C47"/>
    <w:rsid w:val="00EB621A"/>
    <w:rsid w:val="00EB7509"/>
    <w:rsid w:val="00EB758E"/>
    <w:rsid w:val="00EC085D"/>
    <w:rsid w:val="00EC510D"/>
    <w:rsid w:val="00ED0639"/>
    <w:rsid w:val="00ED4202"/>
    <w:rsid w:val="00ED43AB"/>
    <w:rsid w:val="00ED6A9A"/>
    <w:rsid w:val="00EE4E24"/>
    <w:rsid w:val="00EF0446"/>
    <w:rsid w:val="00EF2669"/>
    <w:rsid w:val="00EF4755"/>
    <w:rsid w:val="00EF4A6B"/>
    <w:rsid w:val="00EF5BB3"/>
    <w:rsid w:val="00EF644F"/>
    <w:rsid w:val="00EF7135"/>
    <w:rsid w:val="00F012CC"/>
    <w:rsid w:val="00F027DB"/>
    <w:rsid w:val="00F11B5B"/>
    <w:rsid w:val="00F14A7A"/>
    <w:rsid w:val="00F1557E"/>
    <w:rsid w:val="00F162EC"/>
    <w:rsid w:val="00F17992"/>
    <w:rsid w:val="00F200F6"/>
    <w:rsid w:val="00F206E0"/>
    <w:rsid w:val="00F2247B"/>
    <w:rsid w:val="00F22985"/>
    <w:rsid w:val="00F25B09"/>
    <w:rsid w:val="00F311CF"/>
    <w:rsid w:val="00F3165F"/>
    <w:rsid w:val="00F3383E"/>
    <w:rsid w:val="00F4213E"/>
    <w:rsid w:val="00F43F63"/>
    <w:rsid w:val="00F44B65"/>
    <w:rsid w:val="00F45D45"/>
    <w:rsid w:val="00F465A7"/>
    <w:rsid w:val="00F50B7C"/>
    <w:rsid w:val="00F550E6"/>
    <w:rsid w:val="00F61BBA"/>
    <w:rsid w:val="00F632C2"/>
    <w:rsid w:val="00F66AB9"/>
    <w:rsid w:val="00F7017E"/>
    <w:rsid w:val="00F74345"/>
    <w:rsid w:val="00F7631D"/>
    <w:rsid w:val="00F80A0A"/>
    <w:rsid w:val="00F80CD2"/>
    <w:rsid w:val="00F8103F"/>
    <w:rsid w:val="00F813D9"/>
    <w:rsid w:val="00F82B19"/>
    <w:rsid w:val="00F87646"/>
    <w:rsid w:val="00F91E0A"/>
    <w:rsid w:val="00F9212D"/>
    <w:rsid w:val="00F93049"/>
    <w:rsid w:val="00F965DA"/>
    <w:rsid w:val="00FA22A7"/>
    <w:rsid w:val="00FA2BB8"/>
    <w:rsid w:val="00FA30DB"/>
    <w:rsid w:val="00FA406A"/>
    <w:rsid w:val="00FA7DF7"/>
    <w:rsid w:val="00FB2DB9"/>
    <w:rsid w:val="00FB503A"/>
    <w:rsid w:val="00FB516C"/>
    <w:rsid w:val="00FC1406"/>
    <w:rsid w:val="00FC3B52"/>
    <w:rsid w:val="00FC6760"/>
    <w:rsid w:val="00FD0236"/>
    <w:rsid w:val="00FD1784"/>
    <w:rsid w:val="00FD18F4"/>
    <w:rsid w:val="00FD2B0D"/>
    <w:rsid w:val="00FD4E2B"/>
    <w:rsid w:val="00FD54DB"/>
    <w:rsid w:val="00FD5CDF"/>
    <w:rsid w:val="00FD619F"/>
    <w:rsid w:val="00FE202F"/>
    <w:rsid w:val="00FE63F0"/>
    <w:rsid w:val="00FE66AD"/>
    <w:rsid w:val="00FF0404"/>
    <w:rsid w:val="00FF542B"/>
    <w:rsid w:val="00FF61AC"/>
    <w:rsid w:val="00FF69C8"/>
    <w:rsid w:val="01290F7E"/>
    <w:rsid w:val="015D1E09"/>
    <w:rsid w:val="01B429B4"/>
    <w:rsid w:val="02697903"/>
    <w:rsid w:val="02857308"/>
    <w:rsid w:val="02AD7A48"/>
    <w:rsid w:val="02F96569"/>
    <w:rsid w:val="039555A5"/>
    <w:rsid w:val="03EA7B21"/>
    <w:rsid w:val="04EE2BA1"/>
    <w:rsid w:val="05BC47A8"/>
    <w:rsid w:val="05C778BA"/>
    <w:rsid w:val="05F83EAE"/>
    <w:rsid w:val="063E7D85"/>
    <w:rsid w:val="06F36098"/>
    <w:rsid w:val="07293586"/>
    <w:rsid w:val="07295285"/>
    <w:rsid w:val="07636392"/>
    <w:rsid w:val="07770C56"/>
    <w:rsid w:val="07807C66"/>
    <w:rsid w:val="082C76E3"/>
    <w:rsid w:val="092217DD"/>
    <w:rsid w:val="093A7294"/>
    <w:rsid w:val="0A263993"/>
    <w:rsid w:val="0A2D3AC2"/>
    <w:rsid w:val="0AA755DF"/>
    <w:rsid w:val="0B120D44"/>
    <w:rsid w:val="0BD27BF6"/>
    <w:rsid w:val="0BE55709"/>
    <w:rsid w:val="0C3B3C7D"/>
    <w:rsid w:val="0C812126"/>
    <w:rsid w:val="0CAB2EAE"/>
    <w:rsid w:val="0D410786"/>
    <w:rsid w:val="0D621C7D"/>
    <w:rsid w:val="0D7B734D"/>
    <w:rsid w:val="0E73034D"/>
    <w:rsid w:val="0F13775A"/>
    <w:rsid w:val="0F5F45FE"/>
    <w:rsid w:val="0F9A112B"/>
    <w:rsid w:val="106D2F64"/>
    <w:rsid w:val="10B63710"/>
    <w:rsid w:val="10F10820"/>
    <w:rsid w:val="111C2F7A"/>
    <w:rsid w:val="11665CA1"/>
    <w:rsid w:val="13951726"/>
    <w:rsid w:val="14396509"/>
    <w:rsid w:val="147816BF"/>
    <w:rsid w:val="14DD2C3C"/>
    <w:rsid w:val="16087E1D"/>
    <w:rsid w:val="16190C98"/>
    <w:rsid w:val="171A6B31"/>
    <w:rsid w:val="17701D14"/>
    <w:rsid w:val="17735226"/>
    <w:rsid w:val="17D36352"/>
    <w:rsid w:val="18996A76"/>
    <w:rsid w:val="189F624C"/>
    <w:rsid w:val="19BA5315"/>
    <w:rsid w:val="1A1C66C0"/>
    <w:rsid w:val="1A42393B"/>
    <w:rsid w:val="1A6C4393"/>
    <w:rsid w:val="1AAD45DE"/>
    <w:rsid w:val="1AC91080"/>
    <w:rsid w:val="1B046F80"/>
    <w:rsid w:val="1B3267B5"/>
    <w:rsid w:val="1B3B0813"/>
    <w:rsid w:val="1B40161D"/>
    <w:rsid w:val="1B441859"/>
    <w:rsid w:val="1B6606B1"/>
    <w:rsid w:val="1C5E7925"/>
    <w:rsid w:val="1CFD070F"/>
    <w:rsid w:val="1D5F6196"/>
    <w:rsid w:val="1D6132A5"/>
    <w:rsid w:val="1D8E56D5"/>
    <w:rsid w:val="1D8E7B9E"/>
    <w:rsid w:val="1E603948"/>
    <w:rsid w:val="1E7A43DA"/>
    <w:rsid w:val="1EB715C6"/>
    <w:rsid w:val="1EE352E2"/>
    <w:rsid w:val="1FA569B1"/>
    <w:rsid w:val="1FE7539E"/>
    <w:rsid w:val="20671BE0"/>
    <w:rsid w:val="20963CB8"/>
    <w:rsid w:val="20A81A1B"/>
    <w:rsid w:val="20B07FB6"/>
    <w:rsid w:val="20B646FB"/>
    <w:rsid w:val="213B74B1"/>
    <w:rsid w:val="215A2310"/>
    <w:rsid w:val="21BB7A01"/>
    <w:rsid w:val="21DE318A"/>
    <w:rsid w:val="21EF5B80"/>
    <w:rsid w:val="22576990"/>
    <w:rsid w:val="22801ED6"/>
    <w:rsid w:val="229515F9"/>
    <w:rsid w:val="22F47480"/>
    <w:rsid w:val="23DE1C48"/>
    <w:rsid w:val="240210CD"/>
    <w:rsid w:val="24181450"/>
    <w:rsid w:val="2499366F"/>
    <w:rsid w:val="24BF09F7"/>
    <w:rsid w:val="252D53FE"/>
    <w:rsid w:val="25EC2D81"/>
    <w:rsid w:val="277057A2"/>
    <w:rsid w:val="28031EBD"/>
    <w:rsid w:val="29206EB8"/>
    <w:rsid w:val="29595666"/>
    <w:rsid w:val="29874881"/>
    <w:rsid w:val="29E325E0"/>
    <w:rsid w:val="2A452503"/>
    <w:rsid w:val="2A7B4A70"/>
    <w:rsid w:val="2B752CC6"/>
    <w:rsid w:val="2BA936A8"/>
    <w:rsid w:val="2C315A5A"/>
    <w:rsid w:val="2C4B1C25"/>
    <w:rsid w:val="2D6C6660"/>
    <w:rsid w:val="2D9E56F5"/>
    <w:rsid w:val="2E667F96"/>
    <w:rsid w:val="2E8226AB"/>
    <w:rsid w:val="2FD065E6"/>
    <w:rsid w:val="2FD96870"/>
    <w:rsid w:val="2FE06180"/>
    <w:rsid w:val="30580BC9"/>
    <w:rsid w:val="305E1883"/>
    <w:rsid w:val="30FA0111"/>
    <w:rsid w:val="311E2ED7"/>
    <w:rsid w:val="315619EE"/>
    <w:rsid w:val="315C449C"/>
    <w:rsid w:val="31B82709"/>
    <w:rsid w:val="31D05482"/>
    <w:rsid w:val="32400B34"/>
    <w:rsid w:val="325B70E8"/>
    <w:rsid w:val="329E6876"/>
    <w:rsid w:val="333015F2"/>
    <w:rsid w:val="333972E6"/>
    <w:rsid w:val="334B6320"/>
    <w:rsid w:val="33D934D4"/>
    <w:rsid w:val="33FE2F6A"/>
    <w:rsid w:val="340E07E5"/>
    <w:rsid w:val="34235BF7"/>
    <w:rsid w:val="347B4BED"/>
    <w:rsid w:val="358C5FA8"/>
    <w:rsid w:val="358F177F"/>
    <w:rsid w:val="35C15DF1"/>
    <w:rsid w:val="35D33383"/>
    <w:rsid w:val="36074A7F"/>
    <w:rsid w:val="364751C9"/>
    <w:rsid w:val="36923549"/>
    <w:rsid w:val="36B75FBF"/>
    <w:rsid w:val="36BD0C45"/>
    <w:rsid w:val="371F29B8"/>
    <w:rsid w:val="3768343C"/>
    <w:rsid w:val="378458C9"/>
    <w:rsid w:val="37E00298"/>
    <w:rsid w:val="386E47B6"/>
    <w:rsid w:val="38B302F9"/>
    <w:rsid w:val="38F12CD3"/>
    <w:rsid w:val="38F94775"/>
    <w:rsid w:val="392971ED"/>
    <w:rsid w:val="39325651"/>
    <w:rsid w:val="39482914"/>
    <w:rsid w:val="3A6D3E23"/>
    <w:rsid w:val="3A872856"/>
    <w:rsid w:val="3ADC01ED"/>
    <w:rsid w:val="3B1655CA"/>
    <w:rsid w:val="3B3763D1"/>
    <w:rsid w:val="3B3D43D5"/>
    <w:rsid w:val="3C2F6E1E"/>
    <w:rsid w:val="3C4F64BA"/>
    <w:rsid w:val="3C53756F"/>
    <w:rsid w:val="3CB03348"/>
    <w:rsid w:val="3CDA245A"/>
    <w:rsid w:val="3CDD46A4"/>
    <w:rsid w:val="3D1E06B7"/>
    <w:rsid w:val="3EDA0523"/>
    <w:rsid w:val="407A6407"/>
    <w:rsid w:val="41CA7C2F"/>
    <w:rsid w:val="4200449D"/>
    <w:rsid w:val="423A3BCC"/>
    <w:rsid w:val="424E57D2"/>
    <w:rsid w:val="42B26C49"/>
    <w:rsid w:val="432809B8"/>
    <w:rsid w:val="433A6FE6"/>
    <w:rsid w:val="43480868"/>
    <w:rsid w:val="4350713C"/>
    <w:rsid w:val="436653E0"/>
    <w:rsid w:val="437F3647"/>
    <w:rsid w:val="43C4431A"/>
    <w:rsid w:val="44022F31"/>
    <w:rsid w:val="44B951CC"/>
    <w:rsid w:val="44CD14E0"/>
    <w:rsid w:val="44F20B0B"/>
    <w:rsid w:val="452E5F4C"/>
    <w:rsid w:val="45452286"/>
    <w:rsid w:val="45563072"/>
    <w:rsid w:val="45612018"/>
    <w:rsid w:val="458946E9"/>
    <w:rsid w:val="45A47C0E"/>
    <w:rsid w:val="46577FD6"/>
    <w:rsid w:val="46D955A7"/>
    <w:rsid w:val="47133957"/>
    <w:rsid w:val="47A07E0C"/>
    <w:rsid w:val="47D93181"/>
    <w:rsid w:val="4870272E"/>
    <w:rsid w:val="49D2753A"/>
    <w:rsid w:val="49DC7715"/>
    <w:rsid w:val="4A023139"/>
    <w:rsid w:val="4A7B576F"/>
    <w:rsid w:val="4ADA779E"/>
    <w:rsid w:val="4AF561A9"/>
    <w:rsid w:val="4BD766A9"/>
    <w:rsid w:val="4C156FEF"/>
    <w:rsid w:val="4C4A0649"/>
    <w:rsid w:val="4C7E5ECA"/>
    <w:rsid w:val="4C876AA5"/>
    <w:rsid w:val="4C8F0E0D"/>
    <w:rsid w:val="4CD522EE"/>
    <w:rsid w:val="4D082CB1"/>
    <w:rsid w:val="4D0E00FB"/>
    <w:rsid w:val="4D176606"/>
    <w:rsid w:val="4DEC4FB0"/>
    <w:rsid w:val="4E075D8A"/>
    <w:rsid w:val="4EC00FAD"/>
    <w:rsid w:val="4F4A7D7A"/>
    <w:rsid w:val="4F9843DC"/>
    <w:rsid w:val="4FC62A8C"/>
    <w:rsid w:val="4FE20F0D"/>
    <w:rsid w:val="4FE51552"/>
    <w:rsid w:val="502960F8"/>
    <w:rsid w:val="50504C4B"/>
    <w:rsid w:val="509C6E7C"/>
    <w:rsid w:val="5162104E"/>
    <w:rsid w:val="51F15197"/>
    <w:rsid w:val="53A039CC"/>
    <w:rsid w:val="53A1505A"/>
    <w:rsid w:val="54063E08"/>
    <w:rsid w:val="543437E8"/>
    <w:rsid w:val="54F73313"/>
    <w:rsid w:val="54F80955"/>
    <w:rsid w:val="552D3F6F"/>
    <w:rsid w:val="555170A7"/>
    <w:rsid w:val="5587536D"/>
    <w:rsid w:val="559B174B"/>
    <w:rsid w:val="55CE0CF4"/>
    <w:rsid w:val="56B22A9C"/>
    <w:rsid w:val="573A68BF"/>
    <w:rsid w:val="57640F5C"/>
    <w:rsid w:val="57B72A76"/>
    <w:rsid w:val="57C3426C"/>
    <w:rsid w:val="57CE1F93"/>
    <w:rsid w:val="5847146C"/>
    <w:rsid w:val="588743D1"/>
    <w:rsid w:val="5887701A"/>
    <w:rsid w:val="59982266"/>
    <w:rsid w:val="59C0439F"/>
    <w:rsid w:val="5ABE2233"/>
    <w:rsid w:val="5AF21128"/>
    <w:rsid w:val="5BDF5D95"/>
    <w:rsid w:val="5BFE7528"/>
    <w:rsid w:val="5D7D5740"/>
    <w:rsid w:val="5D8F777F"/>
    <w:rsid w:val="5DBA17D4"/>
    <w:rsid w:val="5DC6559F"/>
    <w:rsid w:val="5E2467F1"/>
    <w:rsid w:val="5E4B2ABD"/>
    <w:rsid w:val="5E5E7664"/>
    <w:rsid w:val="5EC515DA"/>
    <w:rsid w:val="5F1A2B43"/>
    <w:rsid w:val="5FB837BB"/>
    <w:rsid w:val="60CC405A"/>
    <w:rsid w:val="611C2705"/>
    <w:rsid w:val="61E215D8"/>
    <w:rsid w:val="621B3775"/>
    <w:rsid w:val="62364782"/>
    <w:rsid w:val="62413DE3"/>
    <w:rsid w:val="6394356A"/>
    <w:rsid w:val="63C61B2C"/>
    <w:rsid w:val="63D40BE9"/>
    <w:rsid w:val="64102431"/>
    <w:rsid w:val="64631774"/>
    <w:rsid w:val="64A5243A"/>
    <w:rsid w:val="64F531DE"/>
    <w:rsid w:val="65373578"/>
    <w:rsid w:val="6596245C"/>
    <w:rsid w:val="65D00010"/>
    <w:rsid w:val="671F124A"/>
    <w:rsid w:val="676A3EDC"/>
    <w:rsid w:val="677A33C6"/>
    <w:rsid w:val="681F6961"/>
    <w:rsid w:val="68610A2F"/>
    <w:rsid w:val="68805514"/>
    <w:rsid w:val="69000160"/>
    <w:rsid w:val="69316E2F"/>
    <w:rsid w:val="694E2071"/>
    <w:rsid w:val="69766163"/>
    <w:rsid w:val="697A3B33"/>
    <w:rsid w:val="69D44760"/>
    <w:rsid w:val="6A461C19"/>
    <w:rsid w:val="6A520EC7"/>
    <w:rsid w:val="6AF87E20"/>
    <w:rsid w:val="6B2D23FE"/>
    <w:rsid w:val="6B322639"/>
    <w:rsid w:val="6B442F97"/>
    <w:rsid w:val="6C636C38"/>
    <w:rsid w:val="6D095A8A"/>
    <w:rsid w:val="6DB34098"/>
    <w:rsid w:val="6DB545B6"/>
    <w:rsid w:val="6DE02FB4"/>
    <w:rsid w:val="6E3D5F63"/>
    <w:rsid w:val="6E514CED"/>
    <w:rsid w:val="6EB563D5"/>
    <w:rsid w:val="6ED92677"/>
    <w:rsid w:val="6F225983"/>
    <w:rsid w:val="6F35363A"/>
    <w:rsid w:val="6FFC5590"/>
    <w:rsid w:val="706D1DD0"/>
    <w:rsid w:val="70856B87"/>
    <w:rsid w:val="70D527EE"/>
    <w:rsid w:val="715B5300"/>
    <w:rsid w:val="71D27F8A"/>
    <w:rsid w:val="72553024"/>
    <w:rsid w:val="72673071"/>
    <w:rsid w:val="72A226E4"/>
    <w:rsid w:val="73122968"/>
    <w:rsid w:val="731F5D5E"/>
    <w:rsid w:val="73C51AD5"/>
    <w:rsid w:val="741E793C"/>
    <w:rsid w:val="745E3944"/>
    <w:rsid w:val="74757CE8"/>
    <w:rsid w:val="7635099D"/>
    <w:rsid w:val="77407E24"/>
    <w:rsid w:val="77762421"/>
    <w:rsid w:val="77B56B1F"/>
    <w:rsid w:val="780F09F4"/>
    <w:rsid w:val="78A90480"/>
    <w:rsid w:val="7A364017"/>
    <w:rsid w:val="7A8265E1"/>
    <w:rsid w:val="7B686D42"/>
    <w:rsid w:val="7B841746"/>
    <w:rsid w:val="7C6C5AC7"/>
    <w:rsid w:val="7CC6544B"/>
    <w:rsid w:val="7D0239FF"/>
    <w:rsid w:val="7D3962D6"/>
    <w:rsid w:val="7D5553D2"/>
    <w:rsid w:val="7D5E40CD"/>
    <w:rsid w:val="7DCD56F2"/>
    <w:rsid w:val="7E1E3055"/>
    <w:rsid w:val="7F001CE7"/>
    <w:rsid w:val="7FE47E50"/>
    <w:rsid w:val="7FEE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iPriority="0" w:name="heading 6" w:locked="1"/>
    <w:lsdException w:qFormat="1" w:uiPriority="0" w:name="heading 7" w:locked="1"/>
    <w:lsdException w:qFormat="1" w:unhideWhenUsed="0" w:uiPriority="0" w:semiHidden="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qFormat="1" w:uiPriority="99"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qFormat="1"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iPriority="99" w:semiHidden="0" w:name="Body Text First Indent" w:locked="1"/>
    <w:lsdException w:qFormat="1" w:uiPriority="99" w:semiHidden="0" w:name="Body Text First Indent 2" w:locked="1"/>
    <w:lsdException w:unhideWhenUsed="0" w:uiPriority="0" w:semiHidden="0" w:name="Note Heading" w:locked="1"/>
    <w:lsdException w:qFormat="1" w:uiPriority="99" w:semiHidden="0" w:name="Body Text 2" w:locked="1"/>
    <w:lsdException w:unhideWhenUsed="0" w:uiPriority="0" w:semiHidden="0" w:name="Body Text 3" w:locked="1"/>
    <w:lsdException w:qFormat="1" w:unhideWhenUsed="0" w:uiPriority="99"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99"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link w:val="39"/>
    <w:qFormat/>
    <w:locked/>
    <w:uiPriority w:val="99"/>
    <w:pPr>
      <w:keepNext/>
      <w:keepLines/>
      <w:spacing w:line="360" w:lineRule="auto"/>
      <w:outlineLvl w:val="1"/>
    </w:pPr>
    <w:rPr>
      <w:b/>
      <w:bCs/>
      <w:kern w:val="0"/>
      <w:sz w:val="28"/>
      <w:szCs w:val="32"/>
    </w:rPr>
  </w:style>
  <w:style w:type="paragraph" w:styleId="4">
    <w:name w:val="heading 3"/>
    <w:basedOn w:val="1"/>
    <w:next w:val="1"/>
    <w:link w:val="40"/>
    <w:qFormat/>
    <w:locked/>
    <w:uiPriority w:val="0"/>
    <w:pPr>
      <w:keepNext/>
      <w:keepLines/>
      <w:spacing w:line="360" w:lineRule="auto"/>
      <w:ind w:firstLine="720" w:firstLineChars="200"/>
      <w:outlineLvl w:val="2"/>
    </w:pPr>
    <w:rPr>
      <w:b/>
      <w:bCs/>
      <w:kern w:val="0"/>
      <w:sz w:val="24"/>
      <w:szCs w:val="32"/>
    </w:rPr>
  </w:style>
  <w:style w:type="paragraph" w:styleId="5">
    <w:name w:val="heading 4"/>
    <w:basedOn w:val="1"/>
    <w:next w:val="1"/>
    <w:link w:val="41"/>
    <w:qFormat/>
    <w:locked/>
    <w:uiPriority w:val="0"/>
    <w:pPr>
      <w:keepNext/>
      <w:keepLines/>
      <w:spacing w:line="360" w:lineRule="auto"/>
      <w:ind w:firstLine="720" w:firstLineChars="200"/>
      <w:outlineLvl w:val="3"/>
    </w:pPr>
    <w:rPr>
      <w:b/>
      <w:bCs/>
      <w:kern w:val="0"/>
      <w:sz w:val="24"/>
      <w:szCs w:val="20"/>
    </w:rPr>
  </w:style>
  <w:style w:type="paragraph" w:styleId="6">
    <w:name w:val="heading 5"/>
    <w:basedOn w:val="1"/>
    <w:next w:val="1"/>
    <w:qFormat/>
    <w:locked/>
    <w:uiPriority w:val="0"/>
    <w:pPr>
      <w:keepNext/>
      <w:jc w:val="center"/>
      <w:outlineLvl w:val="4"/>
    </w:pPr>
    <w:rPr>
      <w:rFonts w:ascii="Calibri" w:hAnsi="Calibri" w:eastAsia="黑体"/>
      <w:b/>
      <w:color w:val="000000"/>
      <w:szCs w:val="20"/>
    </w:rPr>
  </w:style>
  <w:style w:type="paragraph" w:styleId="7">
    <w:name w:val="heading 8"/>
    <w:basedOn w:val="1"/>
    <w:next w:val="1"/>
    <w:qFormat/>
    <w:locked/>
    <w:uiPriority w:val="0"/>
    <w:pPr>
      <w:keepNext/>
      <w:keepLines/>
      <w:spacing w:before="50" w:beforeLines="50"/>
      <w:jc w:val="center"/>
      <w:outlineLvl w:val="7"/>
    </w:pPr>
    <w:rPr>
      <w:b/>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unhideWhenUsed/>
    <w:qFormat/>
    <w:locked/>
    <w:uiPriority w:val="0"/>
    <w:pPr>
      <w:ind w:firstLine="420"/>
    </w:pPr>
  </w:style>
  <w:style w:type="paragraph" w:styleId="9">
    <w:name w:val="annotation text"/>
    <w:basedOn w:val="1"/>
    <w:link w:val="42"/>
    <w:semiHidden/>
    <w:qFormat/>
    <w:uiPriority w:val="0"/>
    <w:pPr>
      <w:jc w:val="left"/>
    </w:pPr>
    <w:rPr>
      <w:kern w:val="0"/>
      <w:sz w:val="24"/>
      <w:szCs w:val="20"/>
    </w:rPr>
  </w:style>
  <w:style w:type="paragraph" w:styleId="10">
    <w:name w:val="Body Text"/>
    <w:basedOn w:val="1"/>
    <w:next w:val="11"/>
    <w:link w:val="43"/>
    <w:qFormat/>
    <w:uiPriority w:val="0"/>
    <w:pPr>
      <w:widowControl/>
      <w:snapToGrid w:val="0"/>
      <w:spacing w:before="60" w:after="160" w:line="259" w:lineRule="auto"/>
      <w:ind w:right="113"/>
    </w:pPr>
    <w:rPr>
      <w:kern w:val="0"/>
      <w:sz w:val="18"/>
      <w:szCs w:val="20"/>
    </w:rPr>
  </w:style>
  <w:style w:type="paragraph" w:styleId="11">
    <w:name w:val="Body Text 2"/>
    <w:basedOn w:val="1"/>
    <w:unhideWhenUsed/>
    <w:qFormat/>
    <w:locked/>
    <w:uiPriority w:val="99"/>
    <w:pPr>
      <w:spacing w:after="120" w:line="480" w:lineRule="auto"/>
    </w:pPr>
  </w:style>
  <w:style w:type="paragraph" w:styleId="12">
    <w:name w:val="Body Text Indent"/>
    <w:basedOn w:val="1"/>
    <w:next w:val="13"/>
    <w:link w:val="44"/>
    <w:qFormat/>
    <w:uiPriority w:val="0"/>
    <w:pPr>
      <w:spacing w:after="120"/>
      <w:ind w:left="420" w:leftChars="200"/>
    </w:pPr>
    <w:rPr>
      <w:kern w:val="0"/>
      <w:sz w:val="24"/>
      <w:szCs w:val="20"/>
    </w:rPr>
  </w:style>
  <w:style w:type="paragraph" w:styleId="13">
    <w:name w:val="header"/>
    <w:basedOn w:val="1"/>
    <w:next w:val="14"/>
    <w:link w:val="45"/>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4">
    <w:name w:val="样式5"/>
    <w:basedOn w:val="15"/>
    <w:qFormat/>
    <w:uiPriority w:val="0"/>
    <w:pPr>
      <w:spacing w:beforeLines="20" w:afterLines="20" w:line="480" w:lineRule="exact"/>
      <w:ind w:firstLine="523" w:firstLineChars="218"/>
    </w:pPr>
    <w:rPr>
      <w:i/>
      <w:iCs/>
      <w:szCs w:val="20"/>
    </w:rPr>
  </w:style>
  <w:style w:type="paragraph" w:customStyle="1" w:styleId="15">
    <w:name w:val="正文1"/>
    <w:basedOn w:val="8"/>
    <w:next w:val="1"/>
    <w:qFormat/>
    <w:uiPriority w:val="0"/>
    <w:pPr>
      <w:adjustRightInd w:val="0"/>
      <w:snapToGrid w:val="0"/>
      <w:spacing w:line="360" w:lineRule="auto"/>
      <w:ind w:firstLine="480" w:firstLineChars="200"/>
    </w:pPr>
    <w:rPr>
      <w:color w:val="000000"/>
      <w:sz w:val="24"/>
      <w:szCs w:val="21"/>
    </w:rPr>
  </w:style>
  <w:style w:type="paragraph" w:styleId="16">
    <w:name w:val="Block Text"/>
    <w:basedOn w:val="1"/>
    <w:qFormat/>
    <w:locked/>
    <w:uiPriority w:val="0"/>
    <w:pPr>
      <w:snapToGrid w:val="0"/>
      <w:spacing w:line="420" w:lineRule="exact"/>
      <w:ind w:left="101" w:leftChars="48" w:right="149" w:rightChars="71" w:firstLine="426" w:firstLineChars="203"/>
    </w:pPr>
  </w:style>
  <w:style w:type="paragraph" w:styleId="17">
    <w:name w:val="Plain Text"/>
    <w:basedOn w:val="1"/>
    <w:next w:val="18"/>
    <w:qFormat/>
    <w:locked/>
    <w:uiPriority w:val="99"/>
    <w:rPr>
      <w:rFonts w:ascii="宋体" w:hAnsi="Courier New"/>
      <w:szCs w:val="21"/>
    </w:rPr>
  </w:style>
  <w:style w:type="paragraph" w:styleId="18">
    <w:name w:val="List Number 5"/>
    <w:basedOn w:val="1"/>
    <w:qFormat/>
    <w:locked/>
    <w:uiPriority w:val="0"/>
    <w:pPr>
      <w:numPr>
        <w:ilvl w:val="0"/>
        <w:numId w:val="1"/>
      </w:numPr>
    </w:pPr>
  </w:style>
  <w:style w:type="paragraph" w:styleId="19">
    <w:name w:val="Date"/>
    <w:basedOn w:val="1"/>
    <w:next w:val="1"/>
    <w:link w:val="46"/>
    <w:qFormat/>
    <w:uiPriority w:val="0"/>
    <w:pPr>
      <w:ind w:left="100" w:leftChars="2500"/>
    </w:pPr>
    <w:rPr>
      <w:kern w:val="0"/>
      <w:sz w:val="24"/>
      <w:szCs w:val="20"/>
    </w:rPr>
  </w:style>
  <w:style w:type="paragraph" w:styleId="20">
    <w:name w:val="Body Text Indent 2"/>
    <w:basedOn w:val="1"/>
    <w:qFormat/>
    <w:locked/>
    <w:uiPriority w:val="99"/>
    <w:pPr>
      <w:spacing w:line="480" w:lineRule="exact"/>
      <w:ind w:left="-122" w:leftChars="-58" w:firstLine="560" w:firstLineChars="200"/>
    </w:pPr>
    <w:rPr>
      <w:sz w:val="28"/>
    </w:rPr>
  </w:style>
  <w:style w:type="paragraph" w:styleId="21">
    <w:name w:val="Balloon Text"/>
    <w:basedOn w:val="1"/>
    <w:link w:val="47"/>
    <w:semiHidden/>
    <w:qFormat/>
    <w:uiPriority w:val="0"/>
    <w:rPr>
      <w:kern w:val="0"/>
      <w:sz w:val="18"/>
      <w:szCs w:val="20"/>
    </w:rPr>
  </w:style>
  <w:style w:type="paragraph" w:styleId="22">
    <w:name w:val="footer"/>
    <w:basedOn w:val="1"/>
    <w:link w:val="48"/>
    <w:qFormat/>
    <w:uiPriority w:val="99"/>
    <w:pPr>
      <w:tabs>
        <w:tab w:val="center" w:pos="4153"/>
        <w:tab w:val="right" w:pos="8306"/>
      </w:tabs>
      <w:snapToGrid w:val="0"/>
      <w:jc w:val="left"/>
    </w:pPr>
    <w:rPr>
      <w:kern w:val="0"/>
      <w:sz w:val="18"/>
      <w:szCs w:val="20"/>
    </w:rPr>
  </w:style>
  <w:style w:type="paragraph" w:styleId="23">
    <w:name w:val="Subtitle"/>
    <w:basedOn w:val="1"/>
    <w:next w:val="1"/>
    <w:qFormat/>
    <w:locked/>
    <w:uiPriority w:val="0"/>
    <w:pPr>
      <w:adjustRightInd w:val="0"/>
      <w:snapToGrid w:val="0"/>
      <w:jc w:val="center"/>
      <w:outlineLvl w:val="1"/>
    </w:pPr>
    <w:rPr>
      <w:rFonts w:ascii="Cambria" w:hAnsi="Cambria"/>
      <w:b/>
      <w:bCs/>
      <w:kern w:val="28"/>
      <w:szCs w:val="32"/>
    </w:rPr>
  </w:style>
  <w:style w:type="paragraph" w:styleId="24">
    <w:name w:val="List"/>
    <w:basedOn w:val="1"/>
    <w:qFormat/>
    <w:locked/>
    <w:uiPriority w:val="0"/>
    <w:pPr>
      <w:ind w:left="200" w:hanging="200" w:hangingChars="200"/>
    </w:pPr>
  </w:style>
  <w:style w:type="paragraph" w:styleId="25">
    <w:name w:val="table of figures"/>
    <w:basedOn w:val="1"/>
    <w:next w:val="1"/>
    <w:unhideWhenUsed/>
    <w:qFormat/>
    <w:locked/>
    <w:uiPriority w:val="99"/>
    <w:pPr>
      <w:ind w:firstLine="390"/>
      <w:jc w:val="center"/>
    </w:pPr>
    <w:rPr>
      <w:b/>
      <w:bCs/>
      <w:spacing w:val="-8"/>
      <w:kern w:val="0"/>
      <w:szCs w:val="21"/>
    </w:rPr>
  </w:style>
  <w:style w:type="paragraph" w:styleId="26">
    <w:name w:val="Normal (Web)"/>
    <w:basedOn w:val="1"/>
    <w:link w:val="49"/>
    <w:qFormat/>
    <w:uiPriority w:val="0"/>
    <w:pPr>
      <w:widowControl/>
      <w:spacing w:before="100" w:beforeAutospacing="1" w:after="100" w:afterAutospacing="1"/>
      <w:jc w:val="left"/>
    </w:pPr>
    <w:rPr>
      <w:rFonts w:ascii="宋体" w:hAnsi="宋体"/>
      <w:kern w:val="0"/>
      <w:sz w:val="24"/>
      <w:szCs w:val="20"/>
    </w:rPr>
  </w:style>
  <w:style w:type="paragraph" w:styleId="27">
    <w:name w:val="annotation subject"/>
    <w:basedOn w:val="9"/>
    <w:next w:val="9"/>
    <w:link w:val="50"/>
    <w:semiHidden/>
    <w:qFormat/>
    <w:uiPriority w:val="0"/>
    <w:rPr>
      <w:b/>
    </w:rPr>
  </w:style>
  <w:style w:type="paragraph" w:styleId="28">
    <w:name w:val="Body Text First Indent"/>
    <w:basedOn w:val="10"/>
    <w:next w:val="1"/>
    <w:unhideWhenUsed/>
    <w:qFormat/>
    <w:locked/>
    <w:uiPriority w:val="99"/>
    <w:pPr>
      <w:ind w:firstLine="420" w:firstLineChars="100"/>
    </w:pPr>
  </w:style>
  <w:style w:type="paragraph" w:styleId="29">
    <w:name w:val="Body Text First Indent 2"/>
    <w:basedOn w:val="12"/>
    <w:next w:val="1"/>
    <w:unhideWhenUsed/>
    <w:qFormat/>
    <w:locked/>
    <w:uiPriority w:val="99"/>
    <w:pPr>
      <w:ind w:firstLine="420" w:firstLineChars="200"/>
    </w:p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qFormat/>
    <w:locked/>
    <w:uiPriority w:val="0"/>
  </w:style>
  <w:style w:type="character" w:styleId="34">
    <w:name w:val="FollowedHyperlink"/>
    <w:qFormat/>
    <w:locked/>
    <w:uiPriority w:val="0"/>
    <w:rPr>
      <w:color w:val="000000"/>
      <w:u w:val="none"/>
    </w:rPr>
  </w:style>
  <w:style w:type="character" w:styleId="35">
    <w:name w:val="Emphasis"/>
    <w:qFormat/>
    <w:locked/>
    <w:uiPriority w:val="0"/>
  </w:style>
  <w:style w:type="character" w:styleId="36">
    <w:name w:val="Hyperlink"/>
    <w:qFormat/>
    <w:locked/>
    <w:uiPriority w:val="0"/>
    <w:rPr>
      <w:color w:val="2B2B2B"/>
      <w:u w:val="none"/>
    </w:rPr>
  </w:style>
  <w:style w:type="character" w:styleId="37">
    <w:name w:val="annotation reference"/>
    <w:semiHidden/>
    <w:qFormat/>
    <w:uiPriority w:val="0"/>
    <w:rPr>
      <w:sz w:val="21"/>
    </w:rPr>
  </w:style>
  <w:style w:type="character" w:customStyle="1" w:styleId="38">
    <w:name w:val="标题 1 字符"/>
    <w:link w:val="2"/>
    <w:qFormat/>
    <w:uiPriority w:val="99"/>
    <w:rPr>
      <w:rFonts w:eastAsia="黑体"/>
      <w:b/>
      <w:bCs/>
      <w:color w:val="000000"/>
      <w:kern w:val="44"/>
      <w:sz w:val="30"/>
      <w:szCs w:val="30"/>
    </w:rPr>
  </w:style>
  <w:style w:type="character" w:customStyle="1" w:styleId="39">
    <w:name w:val="标题 2 字符"/>
    <w:link w:val="3"/>
    <w:qFormat/>
    <w:uiPriority w:val="99"/>
    <w:rPr>
      <w:rFonts w:ascii="Times New Roman" w:hAnsi="Times New Roman" w:eastAsia="宋体"/>
      <w:b/>
      <w:bCs/>
      <w:kern w:val="0"/>
      <w:sz w:val="28"/>
      <w:szCs w:val="32"/>
    </w:rPr>
  </w:style>
  <w:style w:type="character" w:customStyle="1" w:styleId="40">
    <w:name w:val="标题 3 字符"/>
    <w:link w:val="4"/>
    <w:qFormat/>
    <w:uiPriority w:val="0"/>
    <w:rPr>
      <w:rFonts w:ascii="Times New Roman" w:hAnsi="Times New Roman" w:eastAsia="宋体"/>
      <w:b/>
      <w:bCs/>
      <w:kern w:val="0"/>
      <w:sz w:val="24"/>
      <w:szCs w:val="32"/>
    </w:rPr>
  </w:style>
  <w:style w:type="character" w:customStyle="1" w:styleId="41">
    <w:name w:val="标题 4 字符"/>
    <w:link w:val="5"/>
    <w:qFormat/>
    <w:uiPriority w:val="0"/>
    <w:rPr>
      <w:rFonts w:ascii="Times New Roman" w:hAnsi="Times New Roman" w:eastAsia="宋体"/>
      <w:b/>
      <w:bCs/>
      <w:kern w:val="0"/>
      <w:sz w:val="24"/>
      <w:szCs w:val="20"/>
    </w:rPr>
  </w:style>
  <w:style w:type="character" w:customStyle="1" w:styleId="42">
    <w:name w:val="批注文字 字符"/>
    <w:link w:val="9"/>
    <w:qFormat/>
    <w:locked/>
    <w:uiPriority w:val="0"/>
    <w:rPr>
      <w:rFonts w:ascii="Times New Roman" w:hAnsi="Times New Roman" w:eastAsia="宋体"/>
      <w:sz w:val="24"/>
    </w:rPr>
  </w:style>
  <w:style w:type="character" w:customStyle="1" w:styleId="43">
    <w:name w:val="正文文本 字符"/>
    <w:link w:val="10"/>
    <w:qFormat/>
    <w:locked/>
    <w:uiPriority w:val="0"/>
    <w:rPr>
      <w:sz w:val="18"/>
    </w:rPr>
  </w:style>
  <w:style w:type="character" w:customStyle="1" w:styleId="44">
    <w:name w:val="正文文本缩进 字符"/>
    <w:link w:val="12"/>
    <w:semiHidden/>
    <w:qFormat/>
    <w:locked/>
    <w:uiPriority w:val="0"/>
    <w:rPr>
      <w:rFonts w:ascii="Times New Roman" w:hAnsi="Times New Roman" w:eastAsia="宋体"/>
      <w:sz w:val="24"/>
    </w:rPr>
  </w:style>
  <w:style w:type="character" w:customStyle="1" w:styleId="45">
    <w:name w:val="页眉 字符"/>
    <w:link w:val="13"/>
    <w:qFormat/>
    <w:locked/>
    <w:uiPriority w:val="0"/>
    <w:rPr>
      <w:sz w:val="18"/>
    </w:rPr>
  </w:style>
  <w:style w:type="character" w:customStyle="1" w:styleId="46">
    <w:name w:val="日期 字符1"/>
    <w:link w:val="19"/>
    <w:qFormat/>
    <w:locked/>
    <w:uiPriority w:val="0"/>
    <w:rPr>
      <w:rFonts w:ascii="Times New Roman" w:hAnsi="Times New Roman" w:eastAsia="宋体"/>
      <w:sz w:val="24"/>
    </w:rPr>
  </w:style>
  <w:style w:type="character" w:customStyle="1" w:styleId="47">
    <w:name w:val="批注框文本 字符"/>
    <w:link w:val="21"/>
    <w:semiHidden/>
    <w:qFormat/>
    <w:locked/>
    <w:uiPriority w:val="0"/>
    <w:rPr>
      <w:rFonts w:ascii="Times New Roman" w:hAnsi="Times New Roman" w:eastAsia="宋体"/>
      <w:sz w:val="18"/>
    </w:rPr>
  </w:style>
  <w:style w:type="character" w:customStyle="1" w:styleId="48">
    <w:name w:val="页脚 字符1"/>
    <w:link w:val="22"/>
    <w:qFormat/>
    <w:locked/>
    <w:uiPriority w:val="99"/>
    <w:rPr>
      <w:sz w:val="18"/>
    </w:rPr>
  </w:style>
  <w:style w:type="character" w:customStyle="1" w:styleId="49">
    <w:name w:val="普通(网站) 字符"/>
    <w:link w:val="26"/>
    <w:qFormat/>
    <w:locked/>
    <w:uiPriority w:val="0"/>
    <w:rPr>
      <w:rFonts w:ascii="宋体" w:hAnsi="宋体" w:eastAsia="宋体"/>
      <w:sz w:val="24"/>
    </w:rPr>
  </w:style>
  <w:style w:type="character" w:customStyle="1" w:styleId="50">
    <w:name w:val="批注主题 字符"/>
    <w:link w:val="27"/>
    <w:semiHidden/>
    <w:qFormat/>
    <w:locked/>
    <w:uiPriority w:val="0"/>
    <w:rPr>
      <w:rFonts w:ascii="Times New Roman" w:hAnsi="Times New Roman" w:eastAsia="宋体"/>
      <w:b/>
      <w:kern w:val="2"/>
      <w:sz w:val="24"/>
    </w:rPr>
  </w:style>
  <w:style w:type="paragraph" w:customStyle="1" w:styleId="51">
    <w:name w:val="环评正文"/>
    <w:link w:val="111"/>
    <w:qFormat/>
    <w:uiPriority w:val="0"/>
    <w:rPr>
      <w:rFonts w:ascii="Times New Roman" w:hAnsi="Times New Roman" w:eastAsia="宋体" w:cs="Times New Roman"/>
      <w:sz w:val="24"/>
      <w:lang w:val="en-US" w:eastAsia="zh-CN" w:bidi="ar-SA"/>
    </w:rPr>
  </w:style>
  <w:style w:type="paragraph" w:customStyle="1" w:styleId="52">
    <w:name w:val="Default"/>
    <w:basedOn w:val="53"/>
    <w:next w:val="1"/>
    <w:unhideWhenUsed/>
    <w:qFormat/>
    <w:uiPriority w:val="0"/>
    <w:pPr>
      <w:autoSpaceDE w:val="0"/>
      <w:autoSpaceDN w:val="0"/>
    </w:pPr>
    <w:rPr>
      <w:rFonts w:hint="eastAsia" w:ascii="宋体" w:hAnsi="宋体"/>
      <w:sz w:val="24"/>
    </w:rPr>
  </w:style>
  <w:style w:type="paragraph" w:customStyle="1" w:styleId="53">
    <w:name w:val="1 表头"/>
    <w:basedOn w:val="1"/>
    <w:qFormat/>
    <w:uiPriority w:val="0"/>
    <w:pPr>
      <w:adjustRightInd w:val="0"/>
      <w:snapToGrid w:val="0"/>
      <w:jc w:val="center"/>
    </w:pPr>
    <w:rPr>
      <w:b/>
      <w:color w:val="000000"/>
      <w:szCs w:val="21"/>
    </w:rPr>
  </w:style>
  <w:style w:type="paragraph" w:customStyle="1" w:styleId="54">
    <w:name w:val="表内文字"/>
    <w:qFormat/>
    <w:uiPriority w:val="0"/>
    <w:pPr>
      <w:jc w:val="center"/>
    </w:pPr>
    <w:rPr>
      <w:rFonts w:ascii="宋体" w:hAnsi="宋体" w:eastAsia="宋体" w:cs="Times New Roman"/>
      <w:sz w:val="21"/>
      <w:szCs w:val="21"/>
      <w:lang w:val="en-US" w:eastAsia="zh-CN" w:bidi="ar-SA"/>
    </w:rPr>
  </w:style>
  <w:style w:type="paragraph" w:customStyle="1" w:styleId="55">
    <w:name w:val="报告表正文"/>
    <w:basedOn w:val="56"/>
    <w:link w:val="58"/>
    <w:qFormat/>
    <w:uiPriority w:val="0"/>
    <w:pPr>
      <w:adjustRightInd w:val="0"/>
      <w:ind w:firstLine="482"/>
      <w:textAlignment w:val="baseline"/>
    </w:pPr>
  </w:style>
  <w:style w:type="paragraph" w:customStyle="1" w:styleId="56">
    <w:name w:val="报告正文"/>
    <w:basedOn w:val="57"/>
    <w:qFormat/>
    <w:uiPriority w:val="0"/>
    <w:pPr>
      <w:widowControl w:val="0"/>
      <w:snapToGrid w:val="0"/>
      <w:spacing w:line="360" w:lineRule="auto"/>
      <w:ind w:firstLine="200" w:firstLineChars="200"/>
    </w:pPr>
    <w:rPr>
      <w:rFonts w:ascii="Times New Roman" w:hAnsi="Times New Roman" w:cs="Times New Roman"/>
      <w:snapToGrid w:val="0"/>
      <w:sz w:val="24"/>
      <w:szCs w:val="28"/>
    </w:rPr>
  </w:style>
  <w:style w:type="paragraph" w:customStyle="1" w:styleId="57">
    <w:name w:val="p17"/>
    <w:basedOn w:val="1"/>
    <w:qFormat/>
    <w:uiPriority w:val="0"/>
    <w:pPr>
      <w:widowControl/>
    </w:pPr>
    <w:rPr>
      <w:rFonts w:ascii="宋体" w:hAnsi="宋体" w:cs="宋体"/>
      <w:kern w:val="0"/>
      <w:szCs w:val="21"/>
    </w:rPr>
  </w:style>
  <w:style w:type="character" w:customStyle="1" w:styleId="58">
    <w:name w:val="报告表正文 Char"/>
    <w:link w:val="55"/>
    <w:qFormat/>
    <w:uiPriority w:val="0"/>
    <w:rPr>
      <w:rFonts w:ascii="Times New Roman" w:hAnsi="Times New Roman" w:eastAsia="宋体"/>
      <w:kern w:val="0"/>
    </w:rPr>
  </w:style>
  <w:style w:type="paragraph" w:customStyle="1" w:styleId="59">
    <w:name w:val="表头"/>
    <w:basedOn w:val="8"/>
    <w:next w:val="1"/>
    <w:link w:val="60"/>
    <w:qFormat/>
    <w:uiPriority w:val="0"/>
    <w:pPr>
      <w:overflowPunct w:val="0"/>
      <w:autoSpaceDE w:val="0"/>
      <w:autoSpaceDN w:val="0"/>
      <w:adjustRightInd w:val="0"/>
      <w:ind w:firstLine="0"/>
      <w:jc w:val="center"/>
      <w:textAlignment w:val="baseline"/>
    </w:pPr>
    <w:rPr>
      <w:b/>
    </w:rPr>
  </w:style>
  <w:style w:type="character" w:customStyle="1" w:styleId="60">
    <w:name w:val="表头 Char"/>
    <w:link w:val="59"/>
    <w:qFormat/>
    <w:uiPriority w:val="0"/>
    <w:rPr>
      <w:rFonts w:ascii="Times New Roman" w:hAnsi="Times New Roman" w:eastAsia="宋体"/>
      <w:b/>
      <w:kern w:val="0"/>
      <w:sz w:val="21"/>
    </w:rPr>
  </w:style>
  <w:style w:type="paragraph" w:customStyle="1" w:styleId="61">
    <w:name w:val="报告书正文"/>
    <w:basedOn w:val="17"/>
    <w:link w:val="62"/>
    <w:qFormat/>
    <w:uiPriority w:val="0"/>
    <w:pPr>
      <w:widowControl/>
      <w:spacing w:line="360" w:lineRule="auto"/>
      <w:ind w:firstLine="480" w:firstLineChars="200"/>
    </w:pPr>
    <w:rPr>
      <w:rFonts w:ascii="Times New Roman" w:hAnsi="Times New Roman"/>
      <w:sz w:val="24"/>
    </w:rPr>
  </w:style>
  <w:style w:type="character" w:customStyle="1" w:styleId="62">
    <w:name w:val="报告书正文 Char1"/>
    <w:link w:val="61"/>
    <w:qFormat/>
    <w:uiPriority w:val="0"/>
    <w:rPr>
      <w:rFonts w:ascii="Times New Roman" w:hAnsi="Times New Roman" w:cs="Times New Roman"/>
      <w:sz w:val="24"/>
      <w:szCs w:val="24"/>
    </w:rPr>
  </w:style>
  <w:style w:type="paragraph" w:customStyle="1" w:styleId="63">
    <w:name w:val="样式1"/>
    <w:basedOn w:val="1"/>
    <w:next w:val="25"/>
    <w:qFormat/>
    <w:uiPriority w:val="0"/>
    <w:pPr>
      <w:ind w:firstLine="510"/>
    </w:pPr>
    <w:rPr>
      <w:szCs w:val="20"/>
    </w:rPr>
  </w:style>
  <w:style w:type="paragraph" w:customStyle="1" w:styleId="64">
    <w:name w:val="纯文本1"/>
    <w:basedOn w:val="1"/>
    <w:qFormat/>
    <w:uiPriority w:val="0"/>
    <w:pPr>
      <w:adjustRightInd w:val="0"/>
      <w:textAlignment w:val="baseline"/>
    </w:pPr>
    <w:rPr>
      <w:rFonts w:ascii="宋体" w:hAnsi="Courier New"/>
      <w:szCs w:val="20"/>
    </w:rPr>
  </w:style>
  <w:style w:type="character" w:customStyle="1" w:styleId="65">
    <w:name w:val="font01"/>
    <w:qFormat/>
    <w:uiPriority w:val="0"/>
    <w:rPr>
      <w:rFonts w:hint="default" w:ascii="Times New Roman" w:hAnsi="Times New Roman" w:cs="Times New Roman"/>
      <w:color w:val="FF0000"/>
      <w:sz w:val="21"/>
      <w:szCs w:val="21"/>
      <w:u w:val="none"/>
    </w:rPr>
  </w:style>
  <w:style w:type="character" w:customStyle="1" w:styleId="66">
    <w:name w:val="font31"/>
    <w:qFormat/>
    <w:uiPriority w:val="0"/>
    <w:rPr>
      <w:rFonts w:hint="default" w:ascii="Times New Roman" w:hAnsi="Times New Roman" w:cs="Times New Roman"/>
      <w:color w:val="000000"/>
      <w:sz w:val="21"/>
      <w:szCs w:val="21"/>
      <w:u w:val="none"/>
    </w:rPr>
  </w:style>
  <w:style w:type="character" w:customStyle="1" w:styleId="67">
    <w:name w:val="正文文本 字符1"/>
    <w:semiHidden/>
    <w:qFormat/>
    <w:uiPriority w:val="0"/>
    <w:rPr>
      <w:rFonts w:ascii="Times New Roman" w:hAnsi="Times New Roman" w:eastAsia="宋体"/>
      <w:sz w:val="24"/>
    </w:rPr>
  </w:style>
  <w:style w:type="character" w:customStyle="1" w:styleId="68">
    <w:name w:val="日期 字符"/>
    <w:semiHidden/>
    <w:qFormat/>
    <w:uiPriority w:val="0"/>
    <w:rPr>
      <w:rFonts w:ascii="Times New Roman" w:hAnsi="Times New Roman" w:eastAsia="宋体"/>
      <w:sz w:val="24"/>
    </w:rPr>
  </w:style>
  <w:style w:type="character" w:customStyle="1" w:styleId="69">
    <w:name w:val="页脚 字符"/>
    <w:qFormat/>
    <w:uiPriority w:val="99"/>
  </w:style>
  <w:style w:type="character" w:customStyle="1" w:styleId="70">
    <w:name w:val="报告书正文 Char"/>
    <w:qFormat/>
    <w:uiPriority w:val="0"/>
    <w:rPr>
      <w:rFonts w:ascii="Times New Roman" w:hAnsi="Times New Roman" w:cs="Times New Roman"/>
      <w:sz w:val="24"/>
      <w:szCs w:val="21"/>
    </w:rPr>
  </w:style>
  <w:style w:type="character" w:customStyle="1" w:styleId="71">
    <w:name w:val="表格 Char"/>
    <w:link w:val="72"/>
    <w:qFormat/>
    <w:locked/>
    <w:uiPriority w:val="0"/>
    <w:rPr>
      <w:rFonts w:ascii="宋体"/>
      <w:sz w:val="21"/>
    </w:rPr>
  </w:style>
  <w:style w:type="paragraph" w:customStyle="1" w:styleId="72">
    <w:name w:val="表格"/>
    <w:basedOn w:val="1"/>
    <w:next w:val="1"/>
    <w:link w:val="71"/>
    <w:qFormat/>
    <w:uiPriority w:val="0"/>
    <w:pPr>
      <w:adjustRightInd w:val="0"/>
      <w:snapToGrid w:val="0"/>
      <w:spacing w:beforeLines="10" w:afterLines="10" w:line="259" w:lineRule="auto"/>
      <w:jc w:val="center"/>
    </w:pPr>
    <w:rPr>
      <w:rFonts w:ascii="宋体"/>
      <w:kern w:val="0"/>
      <w:szCs w:val="20"/>
    </w:rPr>
  </w:style>
  <w:style w:type="character" w:customStyle="1" w:styleId="73">
    <w:name w:val="批注文字 字符1"/>
    <w:semiHidden/>
    <w:qFormat/>
    <w:uiPriority w:val="0"/>
    <w:rPr>
      <w:rFonts w:ascii="Times New Roman" w:hAnsi="Times New Roman" w:eastAsia="宋体"/>
      <w:sz w:val="24"/>
    </w:rPr>
  </w:style>
  <w:style w:type="character" w:customStyle="1" w:styleId="74">
    <w:name w:val="font21"/>
    <w:qFormat/>
    <w:uiPriority w:val="0"/>
    <w:rPr>
      <w:rFonts w:hint="default" w:ascii="Times New Roman" w:hAnsi="Times New Roman" w:cs="Times New Roman"/>
      <w:color w:val="000000"/>
      <w:sz w:val="21"/>
      <w:szCs w:val="21"/>
      <w:u w:val="none"/>
      <w:vertAlign w:val="subscript"/>
    </w:rPr>
  </w:style>
  <w:style w:type="character" w:customStyle="1" w:styleId="75">
    <w:name w:val="font11"/>
    <w:qFormat/>
    <w:uiPriority w:val="0"/>
    <w:rPr>
      <w:rFonts w:hint="eastAsia" w:ascii="宋体" w:hAnsi="宋体" w:eastAsia="宋体" w:cs="宋体"/>
      <w:color w:val="000000"/>
      <w:sz w:val="21"/>
      <w:szCs w:val="21"/>
      <w:u w:val="none"/>
    </w:rPr>
  </w:style>
  <w:style w:type="character" w:customStyle="1" w:styleId="76">
    <w:name w:val="font41"/>
    <w:qFormat/>
    <w:uiPriority w:val="0"/>
    <w:rPr>
      <w:rFonts w:hint="default" w:ascii="Times New Roman" w:hAnsi="Times New Roman" w:cs="Times New Roman"/>
      <w:color w:val="FF0000"/>
      <w:sz w:val="21"/>
      <w:szCs w:val="21"/>
      <w:u w:val="none"/>
      <w:vertAlign w:val="superscript"/>
    </w:rPr>
  </w:style>
  <w:style w:type="paragraph" w:customStyle="1" w:styleId="77">
    <w:name w:val="正文A"/>
    <w:basedOn w:val="1"/>
    <w:qFormat/>
    <w:uiPriority w:val="0"/>
    <w:pPr>
      <w:spacing w:line="500" w:lineRule="exact"/>
      <w:ind w:firstLine="480" w:firstLineChars="200"/>
    </w:pPr>
    <w:rPr>
      <w:rFonts w:ascii="华文仿宋" w:hAnsi="华文仿宋" w:eastAsia="华文仿宋" w:cs="华文仿宋"/>
    </w:rPr>
  </w:style>
  <w:style w:type="paragraph" w:customStyle="1" w:styleId="7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容"/>
    <w:basedOn w:val="1"/>
    <w:next w:val="1"/>
    <w:qFormat/>
    <w:uiPriority w:val="0"/>
    <w:pPr>
      <w:jc w:val="center"/>
    </w:pPr>
    <w:rPr>
      <w:rFonts w:ascii="宋体" w:hAnsi="宋体"/>
    </w:rPr>
  </w:style>
  <w:style w:type="paragraph" w:customStyle="1" w:styleId="80">
    <w:name w:val="正文 首行缩进:  2 字符"/>
    <w:basedOn w:val="1"/>
    <w:qFormat/>
    <w:uiPriority w:val="99"/>
    <w:pPr>
      <w:ind w:firstLine="579" w:firstLineChars="200"/>
    </w:pPr>
    <w:rPr>
      <w:rFonts w:cs="宋体"/>
      <w:szCs w:val="20"/>
    </w:rPr>
  </w:style>
  <w:style w:type="paragraph" w:customStyle="1" w:styleId="81">
    <w:name w:val="表格后空行"/>
    <w:basedOn w:val="4"/>
    <w:qFormat/>
    <w:uiPriority w:val="0"/>
    <w:pPr>
      <w:spacing w:line="240" w:lineRule="exact"/>
      <w:textAlignment w:val="baseline"/>
      <w:outlineLvl w:val="9"/>
    </w:pPr>
    <w:rPr>
      <w:rFonts w:ascii="宋体" w:cs="宋体"/>
      <w:b w:val="0"/>
      <w:bCs w:val="0"/>
      <w:color w:val="000000"/>
      <w:sz w:val="18"/>
      <w:szCs w:val="20"/>
    </w:rPr>
  </w:style>
  <w:style w:type="paragraph" w:customStyle="1" w:styleId="82">
    <w:name w:val="样式1-41"/>
    <w:basedOn w:val="83"/>
    <w:qFormat/>
    <w:uiPriority w:val="0"/>
    <w:pPr>
      <w:numPr>
        <w:ilvl w:val="3"/>
      </w:numPr>
      <w:ind w:left="0" w:firstLine="0"/>
      <w:outlineLvl w:val="3"/>
    </w:pPr>
    <w:rPr>
      <w:sz w:val="28"/>
    </w:rPr>
  </w:style>
  <w:style w:type="paragraph" w:customStyle="1" w:styleId="83">
    <w:name w:val="样式1-3"/>
    <w:basedOn w:val="1"/>
    <w:qFormat/>
    <w:uiPriority w:val="0"/>
    <w:pPr>
      <w:keepNext/>
      <w:keepLines/>
      <w:numPr>
        <w:ilvl w:val="2"/>
        <w:numId w:val="2"/>
      </w:numPr>
      <w:spacing w:before="60" w:after="60" w:line="360" w:lineRule="auto"/>
      <w:ind w:left="0" w:firstLine="0"/>
      <w:outlineLvl w:val="2"/>
    </w:pPr>
    <w:rPr>
      <w:b/>
      <w:bCs/>
      <w:color w:val="000000"/>
      <w:sz w:val="32"/>
    </w:rPr>
  </w:style>
  <w:style w:type="paragraph" w:customStyle="1" w:styleId="84">
    <w:name w:val="表格内正文"/>
    <w:basedOn w:val="1"/>
    <w:qFormat/>
    <w:uiPriority w:val="0"/>
    <w:pPr>
      <w:spacing w:line="360" w:lineRule="auto"/>
      <w:ind w:firstLine="493"/>
    </w:pPr>
    <w:rPr>
      <w:rFonts w:ascii="宋体" w:hAnsi="宋体"/>
      <w:spacing w:val="4"/>
      <w:kern w:val="18"/>
      <w:sz w:val="24"/>
    </w:rPr>
  </w:style>
  <w:style w:type="paragraph" w:customStyle="1" w:styleId="85">
    <w:name w:val="表格文字"/>
    <w:basedOn w:val="10"/>
    <w:qFormat/>
    <w:uiPriority w:val="0"/>
    <w:pPr>
      <w:tabs>
        <w:tab w:val="left" w:pos="360"/>
        <w:tab w:val="left" w:pos="1620"/>
      </w:tabs>
      <w:spacing w:after="60" w:line="240" w:lineRule="auto"/>
      <w:jc w:val="center"/>
    </w:pPr>
    <w:rPr>
      <w:szCs w:val="21"/>
    </w:rPr>
  </w:style>
  <w:style w:type="paragraph" w:customStyle="1" w:styleId="86">
    <w:name w:val="段落1"/>
    <w:basedOn w:val="1"/>
    <w:qFormat/>
    <w:uiPriority w:val="0"/>
    <w:pPr>
      <w:spacing w:line="480" w:lineRule="exact"/>
      <w:ind w:firstLine="584" w:firstLineChars="200"/>
    </w:pPr>
    <w:rPr>
      <w:spacing w:val="6"/>
      <w:sz w:val="28"/>
    </w:rPr>
  </w:style>
  <w:style w:type="paragraph" w:customStyle="1" w:styleId="87">
    <w:name w:val="表"/>
    <w:basedOn w:val="1"/>
    <w:qFormat/>
    <w:uiPriority w:val="0"/>
    <w:pPr>
      <w:keepNext/>
      <w:keepLines/>
      <w:autoSpaceDE w:val="0"/>
      <w:autoSpaceDN w:val="0"/>
      <w:jc w:val="center"/>
    </w:pPr>
    <w:rPr>
      <w:kern w:val="21"/>
      <w:szCs w:val="20"/>
    </w:rPr>
  </w:style>
  <w:style w:type="paragraph" w:customStyle="1" w:styleId="88">
    <w:name w:val="aa正文"/>
    <w:basedOn w:val="1"/>
    <w:qFormat/>
    <w:uiPriority w:val="0"/>
    <w:pPr>
      <w:spacing w:line="360" w:lineRule="auto"/>
      <w:ind w:firstLine="200" w:firstLineChars="200"/>
    </w:pPr>
    <w:rPr>
      <w:sz w:val="24"/>
    </w:rPr>
  </w:style>
  <w:style w:type="paragraph" w:customStyle="1" w:styleId="8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90">
    <w:name w:val="表格内容1"/>
    <w:basedOn w:val="1"/>
    <w:qFormat/>
    <w:uiPriority w:val="0"/>
    <w:pPr>
      <w:adjustRightInd w:val="0"/>
      <w:snapToGrid w:val="0"/>
      <w:jc w:val="center"/>
      <w:textAlignment w:val="baseline"/>
    </w:pPr>
    <w:rPr>
      <w:szCs w:val="21"/>
    </w:rPr>
  </w:style>
  <w:style w:type="paragraph" w:customStyle="1" w:styleId="91">
    <w:name w:val="样式 表内容 + 行距: 固定值 28 磅"/>
    <w:basedOn w:val="79"/>
    <w:qFormat/>
    <w:uiPriority w:val="0"/>
    <w:rPr>
      <w:rFonts w:cs="宋体"/>
      <w:szCs w:val="20"/>
    </w:rPr>
  </w:style>
  <w:style w:type="paragraph" w:customStyle="1" w:styleId="92">
    <w:name w:val="Table Paragraph"/>
    <w:basedOn w:val="1"/>
    <w:qFormat/>
    <w:uiPriority w:val="1"/>
    <w:rPr>
      <w:rFonts w:ascii="宋体" w:hAnsi="宋体" w:cs="宋体"/>
      <w:lang w:val="zh-CN" w:bidi="zh-CN"/>
    </w:rPr>
  </w:style>
  <w:style w:type="paragraph" w:styleId="93">
    <w:name w:val="List Paragraph"/>
    <w:basedOn w:val="1"/>
    <w:qFormat/>
    <w:uiPriority w:val="1"/>
    <w:pPr>
      <w:ind w:left="602" w:hanging="602"/>
    </w:pPr>
    <w:rPr>
      <w:rFonts w:ascii="宋体" w:hAnsi="宋体" w:cs="宋体"/>
      <w:lang w:val="zh-CN" w:bidi="zh-CN"/>
    </w:rPr>
  </w:style>
  <w:style w:type="paragraph" w:customStyle="1" w:styleId="94">
    <w:name w:val="表格字体"/>
    <w:basedOn w:val="95"/>
    <w:qFormat/>
    <w:uiPriority w:val="0"/>
    <w:rPr>
      <w:rFonts w:eastAsia="仿宋"/>
    </w:rPr>
  </w:style>
  <w:style w:type="paragraph" w:customStyle="1" w:styleId="95">
    <w:name w:val="正文！"/>
    <w:basedOn w:val="1"/>
    <w:qFormat/>
    <w:uiPriority w:val="0"/>
    <w:pPr>
      <w:spacing w:line="360" w:lineRule="auto"/>
      <w:jc w:val="center"/>
    </w:pPr>
  </w:style>
  <w:style w:type="character" w:customStyle="1" w:styleId="96">
    <w:name w:val="znspantitle"/>
    <w:qFormat/>
    <w:uiPriority w:val="0"/>
    <w:rPr>
      <w:b/>
      <w:bCs/>
      <w:color w:val="333333"/>
    </w:rPr>
  </w:style>
  <w:style w:type="character" w:customStyle="1" w:styleId="97">
    <w:name w:val="disabled"/>
    <w:qFormat/>
    <w:uiPriority w:val="0"/>
    <w:rPr>
      <w:vanish/>
    </w:rPr>
  </w:style>
  <w:style w:type="paragraph" w:customStyle="1" w:styleId="98">
    <w:name w:val="Body text|1"/>
    <w:basedOn w:val="1"/>
    <w:qFormat/>
    <w:uiPriority w:val="0"/>
    <w:rPr>
      <w:rFonts w:ascii="宋体" w:hAnsi="宋体" w:cs="宋体"/>
      <w:sz w:val="20"/>
      <w:szCs w:val="20"/>
      <w:lang w:val="zh-TW" w:eastAsia="zh-TW" w:bidi="zh-TW"/>
    </w:rPr>
  </w:style>
  <w:style w:type="paragraph" w:customStyle="1" w:styleId="99">
    <w:name w:val="Other|1"/>
    <w:basedOn w:val="1"/>
    <w:qFormat/>
    <w:uiPriority w:val="0"/>
    <w:rPr>
      <w:b/>
      <w:bCs/>
      <w:color w:val="A0857B"/>
      <w:sz w:val="8"/>
      <w:szCs w:val="8"/>
      <w:lang w:val="zh-TW" w:eastAsia="zh-TW" w:bidi="zh-TW"/>
    </w:rPr>
  </w:style>
  <w:style w:type="paragraph" w:customStyle="1" w:styleId="100">
    <w:name w:val="Body text|3"/>
    <w:basedOn w:val="1"/>
    <w:qFormat/>
    <w:uiPriority w:val="0"/>
    <w:pPr>
      <w:spacing w:after="140"/>
    </w:pPr>
    <w:rPr>
      <w:b/>
      <w:bCs/>
    </w:rPr>
  </w:style>
  <w:style w:type="paragraph" w:customStyle="1" w:styleId="101">
    <w:name w:val="Heading #3|1"/>
    <w:basedOn w:val="1"/>
    <w:qFormat/>
    <w:uiPriority w:val="0"/>
    <w:pPr>
      <w:spacing w:line="401" w:lineRule="exact"/>
      <w:outlineLvl w:val="2"/>
    </w:pPr>
    <w:rPr>
      <w:rFonts w:ascii="宋体" w:hAnsi="宋体" w:cs="宋体"/>
      <w:sz w:val="20"/>
      <w:szCs w:val="20"/>
      <w:lang w:val="zh-TW" w:eastAsia="zh-TW" w:bidi="zh-TW"/>
    </w:rPr>
  </w:style>
  <w:style w:type="paragraph" w:customStyle="1" w:styleId="102">
    <w:name w:val="Header or footer|1"/>
    <w:basedOn w:val="1"/>
    <w:qFormat/>
    <w:uiPriority w:val="0"/>
    <w:rPr>
      <w:rFonts w:ascii="宋体" w:hAnsi="宋体" w:cs="宋体"/>
      <w:sz w:val="38"/>
      <w:szCs w:val="38"/>
      <w:lang w:val="zh-TW" w:eastAsia="zh-TW" w:bidi="zh-TW"/>
    </w:rPr>
  </w:style>
  <w:style w:type="paragraph" w:customStyle="1" w:styleId="103">
    <w:name w:val="表格字体+0.2缩进"/>
    <w:basedOn w:val="1"/>
    <w:qFormat/>
    <w:uiPriority w:val="0"/>
    <w:pPr>
      <w:ind w:left="-48" w:leftChars="-20" w:right="-48" w:rightChars="-20"/>
      <w:jc w:val="center"/>
    </w:pPr>
  </w:style>
  <w:style w:type="paragraph" w:customStyle="1" w:styleId="104">
    <w:name w:val="表格内"/>
    <w:basedOn w:val="1"/>
    <w:qFormat/>
    <w:uiPriority w:val="0"/>
    <w:pPr>
      <w:spacing w:line="360" w:lineRule="exact"/>
      <w:jc w:val="center"/>
    </w:pPr>
    <w:rPr>
      <w:snapToGrid w:val="0"/>
      <w:szCs w:val="21"/>
    </w:rPr>
  </w:style>
  <w:style w:type="paragraph" w:customStyle="1" w:styleId="105">
    <w:name w:val="表格内容"/>
    <w:basedOn w:val="1"/>
    <w:qFormat/>
    <w:uiPriority w:val="0"/>
    <w:pPr>
      <w:autoSpaceDE w:val="0"/>
      <w:autoSpaceDN w:val="0"/>
      <w:adjustRightInd w:val="0"/>
      <w:jc w:val="center"/>
    </w:pPr>
    <w:rPr>
      <w:kern w:val="0"/>
      <w:szCs w:val="21"/>
    </w:rPr>
  </w:style>
  <w:style w:type="paragraph" w:customStyle="1" w:styleId="106">
    <w:name w:val="报告表标题"/>
    <w:basedOn w:val="1"/>
    <w:qFormat/>
    <w:uiPriority w:val="0"/>
    <w:pPr>
      <w:widowControl/>
      <w:numPr>
        <w:ilvl w:val="0"/>
        <w:numId w:val="3"/>
      </w:numPr>
      <w:jc w:val="left"/>
    </w:pPr>
    <w:rPr>
      <w:rFonts w:ascii="宋体" w:hAnsi="宋体" w:cs="宋体"/>
      <w:b/>
      <w:sz w:val="24"/>
    </w:rPr>
  </w:style>
  <w:style w:type="paragraph" w:customStyle="1" w:styleId="107">
    <w:name w:val="表格正文"/>
    <w:basedOn w:val="108"/>
    <w:link w:val="110"/>
    <w:qFormat/>
    <w:uiPriority w:val="0"/>
    <w:pPr>
      <w:wordWrap w:val="0"/>
      <w:ind w:firstLine="0"/>
    </w:pPr>
    <w:rPr>
      <w:b w:val="0"/>
    </w:rPr>
  </w:style>
  <w:style w:type="paragraph" w:customStyle="1" w:styleId="108">
    <w:name w:val="表格标题"/>
    <w:basedOn w:val="59"/>
    <w:link w:val="109"/>
    <w:qFormat/>
    <w:uiPriority w:val="0"/>
    <w:pPr>
      <w:overflowPunct/>
      <w:autoSpaceDE/>
      <w:autoSpaceDN/>
      <w:adjustRightInd/>
      <w:ind w:firstLine="480"/>
      <w:textAlignment w:val="auto"/>
    </w:pPr>
    <w:rPr>
      <w:bCs/>
      <w:szCs w:val="21"/>
    </w:rPr>
  </w:style>
  <w:style w:type="character" w:customStyle="1" w:styleId="109">
    <w:name w:val="表格标题 字符"/>
    <w:link w:val="108"/>
    <w:qFormat/>
    <w:uiPriority w:val="0"/>
    <w:rPr>
      <w:b/>
      <w:bCs/>
      <w:kern w:val="2"/>
      <w:sz w:val="21"/>
      <w:szCs w:val="21"/>
    </w:rPr>
  </w:style>
  <w:style w:type="character" w:customStyle="1" w:styleId="110">
    <w:name w:val="表格正文 字符"/>
    <w:link w:val="107"/>
    <w:qFormat/>
    <w:uiPriority w:val="0"/>
    <w:rPr>
      <w:bCs/>
      <w:kern w:val="2"/>
      <w:sz w:val="21"/>
      <w:szCs w:val="21"/>
    </w:rPr>
  </w:style>
  <w:style w:type="character" w:customStyle="1" w:styleId="111">
    <w:name w:val="环评正文 字符"/>
    <w:link w:val="51"/>
    <w:qFormat/>
    <w:uiPriority w:val="0"/>
    <w:rPr>
      <w:sz w:val="24"/>
    </w:rPr>
  </w:style>
  <w:style w:type="paragraph" w:customStyle="1" w:styleId="112">
    <w:name w:val="环评标题"/>
    <w:basedOn w:val="51"/>
    <w:link w:val="113"/>
    <w:qFormat/>
    <w:uiPriority w:val="0"/>
    <w:pPr>
      <w:widowControl w:val="0"/>
      <w:autoSpaceDE w:val="0"/>
      <w:autoSpaceDN w:val="0"/>
      <w:adjustRightInd w:val="0"/>
      <w:snapToGrid w:val="0"/>
      <w:spacing w:line="360" w:lineRule="auto"/>
    </w:pPr>
    <w:rPr>
      <w:rFonts w:cs="宋体"/>
      <w:b/>
      <w:sz w:val="28"/>
      <w:szCs w:val="21"/>
    </w:rPr>
  </w:style>
  <w:style w:type="character" w:customStyle="1" w:styleId="113">
    <w:name w:val="环评标题 字符"/>
    <w:link w:val="112"/>
    <w:qFormat/>
    <w:uiPriority w:val="0"/>
    <w:rPr>
      <w:rFonts w:cs="宋体"/>
      <w:b/>
      <w:sz w:val="28"/>
      <w:szCs w:val="21"/>
    </w:rPr>
  </w:style>
  <w:style w:type="paragraph" w:customStyle="1" w:styleId="114">
    <w:name w:val="样式 正文缩进 + 宋体 行距: 固定值 22 磅"/>
    <w:basedOn w:val="8"/>
    <w:qFormat/>
    <w:uiPriority w:val="0"/>
    <w:pPr>
      <w:ind w:firstLine="0"/>
    </w:pPr>
    <w:rPr>
      <w:rFonts w:ascii="Arial Unicode MS" w:hAnsi="Arial Unicode MS" w:cs="宋体"/>
      <w:szCs w:val="20"/>
    </w:rPr>
  </w:style>
  <w:style w:type="table" w:customStyle="1" w:styleId="115">
    <w:name w:val="Table Normal"/>
    <w:basedOn w:val="30"/>
    <w:qFormat/>
    <w:uiPriority w:val="0"/>
    <w:rPr>
      <w:rFonts w:eastAsia="Times New Roman"/>
    </w:rPr>
    <w:tblPr>
      <w:tblCellMar>
        <w:left w:w="0" w:type="dxa"/>
        <w:right w:w="0" w:type="dxa"/>
      </w:tblCellMar>
    </w:tblPr>
  </w:style>
  <w:style w:type="paragraph" w:customStyle="1" w:styleId="116">
    <w:name w:val="德源报告表表格"/>
    <w:qFormat/>
    <w:uiPriority w:val="0"/>
    <w:pPr>
      <w:adjustRightInd w:val="0"/>
      <w:snapToGrid w:val="0"/>
      <w:spacing w:line="360" w:lineRule="exact"/>
      <w:jc w:val="center"/>
    </w:pPr>
    <w:rPr>
      <w:rFonts w:ascii="Times New Roman" w:hAnsi="Times New Roman" w:eastAsia="宋体" w:cs="Times New Roman"/>
      <w:snapToGrid w:val="0"/>
      <w:sz w:val="21"/>
      <w:szCs w:val="21"/>
      <w:lang w:val="en-US" w:eastAsia="zh-CN" w:bidi="ar-SA"/>
    </w:rPr>
  </w:style>
  <w:style w:type="paragraph" w:customStyle="1" w:styleId="117">
    <w:name w:val="3博创正文"/>
    <w:basedOn w:val="1"/>
    <w:link w:val="118"/>
    <w:unhideWhenUsed/>
    <w:qFormat/>
    <w:uiPriority w:val="0"/>
  </w:style>
  <w:style w:type="character" w:customStyle="1" w:styleId="118">
    <w:name w:val="3博创正文 Char"/>
    <w:link w:val="117"/>
    <w:qFormat/>
    <w:uiPriority w:val="0"/>
    <w:rPr>
      <w:kern w:val="2"/>
      <w:sz w:val="21"/>
      <w:szCs w:val="24"/>
    </w:rPr>
  </w:style>
  <w:style w:type="paragraph" w:customStyle="1" w:styleId="119">
    <w:name w:val="@正文缩进"/>
    <w:basedOn w:val="1"/>
    <w:qFormat/>
    <w:uiPriority w:val="0"/>
    <w:pPr>
      <w:pBdr>
        <w:top w:val="none" w:color="auto" w:sz="0" w:space="3"/>
        <w:left w:val="none" w:color="auto" w:sz="0" w:space="4"/>
        <w:bottom w:val="none" w:color="auto" w:sz="0" w:space="1"/>
        <w:right w:val="none" w:color="auto" w:sz="0" w:space="4"/>
      </w:pBdr>
      <w:spacing w:line="360" w:lineRule="auto"/>
      <w:ind w:firstLine="420" w:firstLineChars="200"/>
      <w:textAlignment w:val="baseline"/>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43</Pages>
  <Words>25780</Words>
  <Characters>28708</Characters>
  <Lines>226</Lines>
  <Paragraphs>63</Paragraphs>
  <TotalTime>1350</TotalTime>
  <ScaleCrop>false</ScaleCrop>
  <LinksUpToDate>false</LinksUpToDate>
  <CharactersWithSpaces>28901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2023-12-06T10:45:00Z</dcterms:created>
  <dc:creator>lhj</dc:creator>
  <cp:lastModifiedBy>小麦啾</cp:lastModifiedBy>
  <cp:lastPrinted>2021-06-15T04:16:00Z</cp:lastPrinted>
  <dcterms:modified xsi:type="dcterms:W3CDTF">2024-07-08T08:42:38Z</dcterms:modified>
  <dc:title>附件2</dc:title>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CAED88261B6B48719848CBEEEA6290D5</vt:lpwstr>
  </property>
</Properties>
</file>