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p>
      <w:pPr>
        <w:rPr>
          <w:rFonts w:hint="eastAsia" w:ascii="仿宋_GB2312" w:hAnsi="仿宋_GB2312" w:eastAsia="仿宋_GB2312" w:cs="仿宋_GB2312"/>
          <w:color w:val="000000" w:themeColor="text1"/>
          <w:sz w:val="36"/>
          <w:szCs w:val="36"/>
          <w14:textFill>
            <w14:solidFill>
              <w14:schemeClr w14:val="tx1"/>
            </w14:solidFill>
          </w14:textFill>
        </w:rPr>
      </w:pPr>
    </w:p>
    <w:p>
      <w:pPr>
        <w:adjustRightInd w:val="0"/>
        <w:snapToGrid w:val="0"/>
        <w:spacing w:line="240" w:lineRule="auto"/>
        <w:jc w:val="center"/>
        <w:outlineLvl w:val="0"/>
        <w:rPr>
          <w:rFonts w:hint="eastAsia" w:ascii="方正小标宋_GBK" w:eastAsia="方正小标宋_GBK"/>
          <w:bCs/>
          <w:color w:val="000000" w:themeColor="text1"/>
          <w:sz w:val="72"/>
          <w:szCs w:val="72"/>
          <w14:textFill>
            <w14:solidFill>
              <w14:schemeClr w14:val="tx1"/>
            </w14:solidFill>
          </w14:textFill>
        </w:rPr>
      </w:pPr>
      <w:r>
        <w:rPr>
          <w:rFonts w:hint="eastAsia" w:ascii="方正小标宋_GBK" w:eastAsia="方正小标宋_GBK"/>
          <w:bCs/>
          <w:color w:val="000000" w:themeColor="text1"/>
          <w:sz w:val="72"/>
          <w:szCs w:val="72"/>
          <w14:textFill>
            <w14:solidFill>
              <w14:schemeClr w14:val="tx1"/>
            </w14:solidFill>
          </w14:textFill>
        </w:rPr>
        <w:t>建设项目环境影响报告表</w:t>
      </w:r>
    </w:p>
    <w:p>
      <w:pPr>
        <w:adjustRightInd w:val="0"/>
        <w:snapToGrid w:val="0"/>
        <w:spacing w:before="192" w:beforeLines="80" w:line="240" w:lineRule="auto"/>
        <w:jc w:val="center"/>
        <w:rPr>
          <w:rFonts w:hint="eastAsia" w:ascii="楷体_GB2312" w:eastAsia="楷体_GB2312"/>
          <w:bCs/>
          <w:color w:val="000000" w:themeColor="text1"/>
          <w:sz w:val="48"/>
          <w:szCs w:val="48"/>
          <w14:textFill>
            <w14:solidFill>
              <w14:schemeClr w14:val="tx1"/>
            </w14:solidFill>
          </w14:textFill>
        </w:rPr>
      </w:pPr>
      <w:r>
        <w:rPr>
          <w:rFonts w:hint="eastAsia" w:ascii="楷体_GB2312" w:eastAsia="楷体_GB2312"/>
          <w:bCs/>
          <w:color w:val="000000" w:themeColor="text1"/>
          <w:sz w:val="48"/>
          <w:szCs w:val="48"/>
          <w14:textFill>
            <w14:solidFill>
              <w14:schemeClr w14:val="tx1"/>
            </w14:solidFill>
          </w14:textFill>
        </w:rPr>
        <w:t>（污染影响类）</w:t>
      </w:r>
    </w:p>
    <w:p>
      <w:pPr>
        <w:adjustRightInd w:val="0"/>
        <w:snapToGrid w:val="0"/>
        <w:spacing w:line="240" w:lineRule="auto"/>
        <w:ind w:firstLine="360" w:firstLineChars="100"/>
        <w:jc w:val="center"/>
        <w:rPr>
          <w:rFonts w:hint="eastAsia" w:ascii="仿宋_GB2312" w:eastAsia="仿宋_GB2312"/>
          <w:color w:val="000000" w:themeColor="text1"/>
          <w:sz w:val="36"/>
          <w:szCs w:val="36"/>
          <w:u w:val="none"/>
          <w:lang w:eastAsia="zh-CN"/>
          <w14:textFill>
            <w14:solidFill>
              <w14:schemeClr w14:val="tx1"/>
            </w14:solidFill>
          </w14:textFill>
        </w:rPr>
      </w:pPr>
    </w:p>
    <w:p>
      <w:pPr>
        <w:adjustRightInd w:val="0"/>
        <w:snapToGrid w:val="0"/>
        <w:spacing w:line="240" w:lineRule="auto"/>
        <w:ind w:firstLine="360" w:firstLineChars="100"/>
        <w:jc w:val="center"/>
        <w:rPr>
          <w:rFonts w:hint="eastAsia" w:ascii="仿宋_GB2312" w:eastAsia="仿宋_GB2312"/>
          <w:color w:val="000000" w:themeColor="text1"/>
          <w:sz w:val="36"/>
          <w:szCs w:val="36"/>
          <w:u w:val="none"/>
          <w:lang w:eastAsia="zh-CN"/>
          <w14:textFill>
            <w14:solidFill>
              <w14:schemeClr w14:val="tx1"/>
            </w14:solidFill>
          </w14:textFill>
        </w:rPr>
      </w:pPr>
      <w:r>
        <w:rPr>
          <w:rFonts w:hint="eastAsia" w:ascii="仿宋_GB2312" w:eastAsia="仿宋_GB2312"/>
          <w:color w:val="000000" w:themeColor="text1"/>
          <w:sz w:val="36"/>
          <w:szCs w:val="36"/>
          <w:u w:val="none"/>
          <w:lang w:eastAsia="zh-CN"/>
          <w14:textFill>
            <w14:solidFill>
              <w14:schemeClr w14:val="tx1"/>
            </w14:solidFill>
          </w14:textFill>
        </w:rPr>
        <w:t>（</w:t>
      </w:r>
      <w:r>
        <w:rPr>
          <w:rFonts w:hint="eastAsia" w:ascii="仿宋_GB2312" w:eastAsia="仿宋_GB2312"/>
          <w:color w:val="000000" w:themeColor="text1"/>
          <w:sz w:val="36"/>
          <w:szCs w:val="36"/>
          <w:u w:val="none"/>
          <w:lang w:val="en-US" w:eastAsia="zh-CN"/>
          <w14:textFill>
            <w14:solidFill>
              <w14:schemeClr w14:val="tx1"/>
            </w14:solidFill>
          </w14:textFill>
        </w:rPr>
        <w:t>报批稿</w:t>
      </w:r>
      <w:r>
        <w:rPr>
          <w:rFonts w:hint="eastAsia" w:ascii="仿宋_GB2312" w:eastAsia="仿宋_GB2312"/>
          <w:color w:val="000000" w:themeColor="text1"/>
          <w:sz w:val="36"/>
          <w:szCs w:val="36"/>
          <w:u w:val="none"/>
          <w:lang w:eastAsia="zh-CN"/>
          <w14:textFill>
            <w14:solidFill>
              <w14:schemeClr w14:val="tx1"/>
            </w14:solidFill>
          </w14:textFill>
        </w:rPr>
        <w:t>）</w:t>
      </w:r>
    </w:p>
    <w:p>
      <w:pPr>
        <w:jc w:val="center"/>
        <w:rPr>
          <w:rFonts w:eastAsia="仿宋"/>
          <w:color w:val="000000" w:themeColor="text1"/>
          <w:sz w:val="52"/>
          <w:szCs w:val="52"/>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adjustRightInd w:val="0"/>
        <w:snapToGrid w:val="0"/>
        <w:spacing w:line="288" w:lineRule="auto"/>
        <w:ind w:firstLine="360" w:firstLineChars="100"/>
        <w:jc w:val="both"/>
        <w:rPr>
          <w:rFonts w:hint="eastAsia" w:ascii="仿宋_GB2312" w:eastAsia="仿宋_GB2312"/>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项目名称：</w:t>
      </w:r>
      <w:r>
        <w:rPr>
          <w:rFonts w:hint="eastAsia" w:ascii="仿宋_GB2312" w:eastAsia="仿宋_GB2312"/>
          <w:color w:val="000000" w:themeColor="text1"/>
          <w:sz w:val="36"/>
          <w:szCs w:val="36"/>
          <w:u w:val="single"/>
          <w14:textFill>
            <w14:solidFill>
              <w14:schemeClr w14:val="tx1"/>
            </w14:solidFill>
          </w14:textFill>
        </w:rPr>
        <w:t>新疆双杰新能源高端装备研发制造基地</w:t>
      </w:r>
    </w:p>
    <w:p>
      <w:pPr>
        <w:adjustRightInd w:val="0"/>
        <w:snapToGrid w:val="0"/>
        <w:spacing w:line="288" w:lineRule="auto"/>
        <w:jc w:val="center"/>
        <w:rPr>
          <w:rFonts w:hint="default" w:ascii="仿宋_GB2312" w:eastAsia="仿宋_GB2312"/>
          <w:color w:val="000000" w:themeColor="text1"/>
          <w:sz w:val="36"/>
          <w:szCs w:val="36"/>
          <w:u w:val="single"/>
          <w:lang w:val="en-US" w:eastAsia="zh-CN"/>
          <w14:textFill>
            <w14:solidFill>
              <w14:schemeClr w14:val="tx1"/>
            </w14:solidFill>
          </w14:textFill>
        </w:rPr>
      </w:pPr>
      <w:r>
        <w:rPr>
          <w:rFonts w:hint="eastAsia" w:ascii="仿宋_GB2312" w:eastAsia="仿宋_GB2312"/>
          <w:color w:val="000000" w:themeColor="text1"/>
          <w:sz w:val="36"/>
          <w:szCs w:val="36"/>
          <w:u w:val="single"/>
          <w14:textFill>
            <w14:solidFill>
              <w14:schemeClr w14:val="tx1"/>
            </w14:solidFill>
          </w14:textFill>
        </w:rPr>
        <w:t>项目(一期)</w:t>
      </w:r>
    </w:p>
    <w:p>
      <w:pPr>
        <w:adjustRightInd w:val="0"/>
        <w:snapToGrid w:val="0"/>
        <w:spacing w:line="288" w:lineRule="auto"/>
        <w:ind w:firstLine="360" w:firstLineChars="100"/>
        <w:jc w:val="both"/>
        <w:rPr>
          <w:rFonts w:hint="eastAsia" w:ascii="仿宋_GB2312" w:eastAsia="仿宋_GB2312"/>
          <w:color w:val="000000" w:themeColor="text1"/>
          <w:sz w:val="36"/>
          <w:szCs w:val="36"/>
          <w:u w:val="single"/>
          <w:lang w:val="en-US" w:eastAsia="zh-CN"/>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建设单位（盖章）：</w:t>
      </w:r>
      <w:r>
        <w:rPr>
          <w:rFonts w:hint="eastAsia" w:ascii="仿宋_GB2312" w:eastAsia="仿宋_GB2312"/>
          <w:color w:val="000000" w:themeColor="text1"/>
          <w:sz w:val="36"/>
          <w:szCs w:val="36"/>
          <w:u w:val="single"/>
          <w14:textFill>
            <w14:solidFill>
              <w14:schemeClr w14:val="tx1"/>
            </w14:solidFill>
          </w14:textFill>
        </w:rPr>
        <w:t>新疆双杰新能源有限公司</w:t>
      </w:r>
    </w:p>
    <w:p>
      <w:pPr>
        <w:adjustRightInd w:val="0"/>
        <w:snapToGrid w:val="0"/>
        <w:spacing w:line="288" w:lineRule="auto"/>
        <w:ind w:firstLine="360" w:firstLineChars="100"/>
        <w:jc w:val="both"/>
        <w:rPr>
          <w:rFonts w:hint="default" w:ascii="仿宋_GB2312" w:eastAsia="仿宋_GB2312"/>
          <w:color w:val="000000" w:themeColor="text1"/>
          <w:sz w:val="36"/>
          <w:szCs w:val="36"/>
          <w:u w:val="single"/>
          <w:lang w:val="en-US"/>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编制日期：</w:t>
      </w:r>
      <w:r>
        <w:rPr>
          <w:rFonts w:hint="eastAsia" w:ascii="仿宋_GB2312" w:eastAsia="仿宋_GB2312"/>
          <w:color w:val="000000" w:themeColor="text1"/>
          <w:sz w:val="36"/>
          <w:szCs w:val="36"/>
          <w:u w:val="single"/>
          <w14:textFill>
            <w14:solidFill>
              <w14:schemeClr w14:val="tx1"/>
            </w14:solidFill>
          </w14:textFill>
        </w:rPr>
        <w:t xml:space="preserve"> </w:t>
      </w:r>
      <w:r>
        <w:rPr>
          <w:rFonts w:ascii="仿宋_GB2312" w:eastAsia="仿宋_GB2312"/>
          <w:color w:val="000000" w:themeColor="text1"/>
          <w:sz w:val="36"/>
          <w:szCs w:val="36"/>
          <w:u w:val="single"/>
          <w14:textFill>
            <w14:solidFill>
              <w14:schemeClr w14:val="tx1"/>
            </w14:solidFill>
          </w14:textFill>
        </w:rPr>
        <w:t xml:space="preserve">  </w:t>
      </w:r>
      <w:r>
        <w:rPr>
          <w:rFonts w:hint="eastAsia" w:ascii="仿宋_GB2312" w:eastAsia="仿宋_GB2312"/>
          <w:color w:val="000000" w:themeColor="text1"/>
          <w:sz w:val="36"/>
          <w:szCs w:val="36"/>
          <w:u w:val="single"/>
          <w:lang w:val="en-US" w:eastAsia="zh-CN"/>
          <w14:textFill>
            <w14:solidFill>
              <w14:schemeClr w14:val="tx1"/>
            </w14:solidFill>
          </w14:textFill>
        </w:rPr>
        <w:t xml:space="preserve">     二〇二四年七月        </w:t>
      </w:r>
    </w:p>
    <w:p>
      <w:pPr>
        <w:adjustRightInd w:val="0"/>
        <w:snapToGrid w:val="0"/>
        <w:spacing w:line="288" w:lineRule="auto"/>
        <w:ind w:firstLine="1040"/>
        <w:rPr>
          <w:rFonts w:ascii="仿宋_GB2312" w:eastAsia="仿宋_GB2312"/>
          <w:color w:val="000000" w:themeColor="text1"/>
          <w:sz w:val="36"/>
          <w:szCs w:val="36"/>
          <w:u w:val="single"/>
          <w14:textFill>
            <w14:solidFill>
              <w14:schemeClr w14:val="tx1"/>
            </w14:solidFill>
          </w14:textFill>
        </w:rPr>
      </w:pPr>
      <w:bookmarkStart w:id="0" w:name="_Hlk57884087"/>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hint="eastAsia"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hint="eastAsia" w:ascii="仿宋_GB2312" w:eastAsia="仿宋_GB2312"/>
          <w:color w:val="000000" w:themeColor="text1"/>
          <w:sz w:val="36"/>
          <w:szCs w:val="36"/>
          <w14:textFill>
            <w14:solidFill>
              <w14:schemeClr w14:val="tx1"/>
            </w14:solidFill>
          </w14:textFill>
        </w:rPr>
      </w:pPr>
    </w:p>
    <w:bookmarkEnd w:id="0"/>
    <w:p>
      <w:pPr>
        <w:adjustRightInd w:val="0"/>
        <w:snapToGrid w:val="0"/>
        <w:spacing w:line="288" w:lineRule="auto"/>
        <w:jc w:val="center"/>
        <w:rPr>
          <w:rFonts w:hint="eastAsia" w:ascii="楷体_GB2312" w:eastAsia="楷体_GB2312"/>
          <w:color w:val="000000" w:themeColor="text1"/>
          <w:sz w:val="36"/>
          <w:szCs w:val="36"/>
          <w14:textFill>
            <w14:solidFill>
              <w14:schemeClr w14:val="tx1"/>
            </w14:solidFill>
          </w14:textFill>
        </w:rPr>
        <w:sectPr>
          <w:footerReference r:id="rId3" w:type="default"/>
          <w:footerReference r:id="rId4" w:type="even"/>
          <w:pgSz w:w="11906" w:h="16838"/>
          <w:pgMar w:top="1440" w:right="1803" w:bottom="1440" w:left="1803" w:header="851" w:footer="1077" w:gutter="0"/>
          <w:pgNumType w:start="3"/>
          <w:cols w:space="720" w:num="1"/>
          <w:docGrid w:linePitch="312" w:charSpace="0"/>
        </w:sectPr>
      </w:pPr>
      <w:r>
        <w:rPr>
          <w:rFonts w:hint="eastAsia" w:ascii="楷体_GB2312" w:eastAsia="楷体_GB2312"/>
          <w:color w:val="000000" w:themeColor="text1"/>
          <w:sz w:val="36"/>
          <w:szCs w:val="36"/>
          <w14:textFill>
            <w14:solidFill>
              <w14:schemeClr w14:val="tx1"/>
            </w14:solidFill>
          </w14:textFill>
        </w:rPr>
        <w:t>中华人民共和国生态环境部制</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4"/>
        <w:gridCol w:w="4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4" w:hRule="atLeast"/>
        </w:trPr>
        <w:tc>
          <w:tcPr>
            <w:tcW w:w="4455" w:type="dxa"/>
          </w:tcPr>
          <w:p>
            <w:pPr>
              <w:pStyle w:val="20"/>
              <w:spacing w:line="240" w:lineRule="auto"/>
              <w:jc w:val="center"/>
              <w:outlineLvl w:val="0"/>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drawing>
                <wp:inline distT="0" distB="0" distL="114300" distR="114300">
                  <wp:extent cx="2701290" cy="2339975"/>
                  <wp:effectExtent l="0" t="0" r="3810" b="3175"/>
                  <wp:docPr id="46" name="图片 46" descr="eb432be7e7439ce4bad16e8a5227f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b432be7e7439ce4bad16e8a5227f46"/>
                          <pic:cNvPicPr>
                            <a:picLocks noChangeAspect="1"/>
                          </pic:cNvPicPr>
                        </pic:nvPicPr>
                        <pic:blipFill>
                          <a:blip r:embed="rId9"/>
                          <a:stretch>
                            <a:fillRect/>
                          </a:stretch>
                        </pic:blipFill>
                        <pic:spPr>
                          <a:xfrm>
                            <a:off x="0" y="0"/>
                            <a:ext cx="2701290" cy="2339975"/>
                          </a:xfrm>
                          <a:prstGeom prst="rect">
                            <a:avLst/>
                          </a:prstGeom>
                        </pic:spPr>
                      </pic:pic>
                    </a:graphicData>
                  </a:graphic>
                </wp:inline>
              </w:drawing>
            </w:r>
          </w:p>
        </w:tc>
        <w:tc>
          <w:tcPr>
            <w:tcW w:w="4484" w:type="dxa"/>
          </w:tcPr>
          <w:p>
            <w:pPr>
              <w:pStyle w:val="20"/>
              <w:spacing w:line="240" w:lineRule="auto"/>
              <w:jc w:val="center"/>
              <w:outlineLvl w:val="0"/>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drawing>
                <wp:inline distT="0" distB="0" distL="114300" distR="114300">
                  <wp:extent cx="2692400" cy="2339975"/>
                  <wp:effectExtent l="0" t="0" r="12700" b="3175"/>
                  <wp:docPr id="47" name="图片 47" descr="21ebbf33813dc251999084392fbdf20"/>
                  <wp:cNvGraphicFramePr/>
                  <a:graphic xmlns:a="http://schemas.openxmlformats.org/drawingml/2006/main">
                    <a:graphicData uri="http://schemas.openxmlformats.org/drawingml/2006/picture">
                      <pic:pic xmlns:pic="http://schemas.openxmlformats.org/drawingml/2006/picture">
                        <pic:nvPicPr>
                          <pic:cNvPr id="47" name="图片 47" descr="21ebbf33813dc251999084392fbdf20"/>
                          <pic:cNvPicPr/>
                        </pic:nvPicPr>
                        <pic:blipFill>
                          <a:blip r:embed="rId10"/>
                          <a:stretch>
                            <a:fillRect/>
                          </a:stretch>
                        </pic:blipFill>
                        <pic:spPr>
                          <a:xfrm>
                            <a:off x="0" y="0"/>
                            <a:ext cx="2692400" cy="23399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455" w:type="dxa"/>
          </w:tcPr>
          <w:p>
            <w:pPr>
              <w:pStyle w:val="20"/>
              <w:spacing w:line="240" w:lineRule="auto"/>
              <w:jc w:val="center"/>
              <w:outlineLvl w:val="0"/>
              <w:rPr>
                <w:rFonts w:hint="default"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项目区南侧</w:t>
            </w:r>
          </w:p>
        </w:tc>
        <w:tc>
          <w:tcPr>
            <w:tcW w:w="4484" w:type="dxa"/>
          </w:tcPr>
          <w:p>
            <w:pPr>
              <w:pStyle w:val="20"/>
              <w:spacing w:line="240" w:lineRule="auto"/>
              <w:jc w:val="center"/>
              <w:outlineLvl w:val="0"/>
              <w:rPr>
                <w:rFonts w:hint="default"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项目区西侧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4" w:hRule="atLeast"/>
        </w:trPr>
        <w:tc>
          <w:tcPr>
            <w:tcW w:w="4455" w:type="dxa"/>
          </w:tcPr>
          <w:p>
            <w:pPr>
              <w:pStyle w:val="20"/>
              <w:spacing w:line="240" w:lineRule="auto"/>
              <w:jc w:val="center"/>
              <w:outlineLvl w:val="0"/>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drawing>
                <wp:inline distT="0" distB="0" distL="114300" distR="114300">
                  <wp:extent cx="2729865" cy="2339975"/>
                  <wp:effectExtent l="0" t="0" r="13335" b="3175"/>
                  <wp:docPr id="48" name="图片 48" descr="ea556e1a05141bbc9092a2512791256"/>
                  <wp:cNvGraphicFramePr/>
                  <a:graphic xmlns:a="http://schemas.openxmlformats.org/drawingml/2006/main">
                    <a:graphicData uri="http://schemas.openxmlformats.org/drawingml/2006/picture">
                      <pic:pic xmlns:pic="http://schemas.openxmlformats.org/drawingml/2006/picture">
                        <pic:nvPicPr>
                          <pic:cNvPr id="48" name="图片 48" descr="ea556e1a05141bbc9092a2512791256"/>
                          <pic:cNvPicPr/>
                        </pic:nvPicPr>
                        <pic:blipFill>
                          <a:blip r:embed="rId11"/>
                          <a:stretch>
                            <a:fillRect/>
                          </a:stretch>
                        </pic:blipFill>
                        <pic:spPr>
                          <a:xfrm>
                            <a:off x="0" y="0"/>
                            <a:ext cx="2729865" cy="2339975"/>
                          </a:xfrm>
                          <a:prstGeom prst="rect">
                            <a:avLst/>
                          </a:prstGeom>
                        </pic:spPr>
                      </pic:pic>
                    </a:graphicData>
                  </a:graphic>
                </wp:inline>
              </w:drawing>
            </w:r>
          </w:p>
        </w:tc>
        <w:tc>
          <w:tcPr>
            <w:tcW w:w="4484" w:type="dxa"/>
          </w:tcPr>
          <w:p>
            <w:pPr>
              <w:pStyle w:val="20"/>
              <w:spacing w:line="240" w:lineRule="auto"/>
              <w:jc w:val="center"/>
              <w:outlineLvl w:val="0"/>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drawing>
                <wp:inline distT="0" distB="0" distL="114300" distR="114300">
                  <wp:extent cx="2749550" cy="2339975"/>
                  <wp:effectExtent l="0" t="0" r="12700" b="3175"/>
                  <wp:docPr id="49" name="图片 49" descr="51f44065087a066e09c1b5552b51bb8"/>
                  <wp:cNvGraphicFramePr/>
                  <a:graphic xmlns:a="http://schemas.openxmlformats.org/drawingml/2006/main">
                    <a:graphicData uri="http://schemas.openxmlformats.org/drawingml/2006/picture">
                      <pic:pic xmlns:pic="http://schemas.openxmlformats.org/drawingml/2006/picture">
                        <pic:nvPicPr>
                          <pic:cNvPr id="49" name="图片 49" descr="51f44065087a066e09c1b5552b51bb8"/>
                          <pic:cNvPicPr/>
                        </pic:nvPicPr>
                        <pic:blipFill>
                          <a:blip r:embed="rId12"/>
                          <a:stretch>
                            <a:fillRect/>
                          </a:stretch>
                        </pic:blipFill>
                        <pic:spPr>
                          <a:xfrm>
                            <a:off x="0" y="0"/>
                            <a:ext cx="2749550" cy="23399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455" w:type="dxa"/>
          </w:tcPr>
          <w:p>
            <w:pPr>
              <w:pStyle w:val="20"/>
              <w:spacing w:line="240" w:lineRule="auto"/>
              <w:jc w:val="center"/>
              <w:outlineLvl w:val="0"/>
              <w:rPr>
                <w:rFonts w:hint="default"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项目区北侧</w:t>
            </w:r>
          </w:p>
        </w:tc>
        <w:tc>
          <w:tcPr>
            <w:tcW w:w="4484" w:type="dxa"/>
          </w:tcPr>
          <w:p>
            <w:pPr>
              <w:pStyle w:val="20"/>
              <w:spacing w:line="240" w:lineRule="auto"/>
              <w:jc w:val="center"/>
              <w:outlineLvl w:val="0"/>
              <w:rPr>
                <w:rFonts w:hint="default"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项目区东侧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4" w:hRule="atLeast"/>
        </w:trPr>
        <w:tc>
          <w:tcPr>
            <w:tcW w:w="4455" w:type="dxa"/>
            <w:vAlign w:val="top"/>
          </w:tcPr>
          <w:p>
            <w:pPr>
              <w:pStyle w:val="20"/>
              <w:spacing w:line="240" w:lineRule="auto"/>
              <w:jc w:val="center"/>
              <w:outlineLvl w:val="0"/>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drawing>
                <wp:inline distT="0" distB="0" distL="114300" distR="114300">
                  <wp:extent cx="2709545" cy="2339975"/>
                  <wp:effectExtent l="0" t="0" r="14605" b="3175"/>
                  <wp:docPr id="52" name="图片 52" descr="8f18dc5c765e2b31b74ae26975ee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8f18dc5c765e2b31b74ae26975ee5f4"/>
                          <pic:cNvPicPr>
                            <a:picLocks noChangeAspect="1"/>
                          </pic:cNvPicPr>
                        </pic:nvPicPr>
                        <pic:blipFill>
                          <a:blip r:embed="rId13"/>
                          <a:stretch>
                            <a:fillRect/>
                          </a:stretch>
                        </pic:blipFill>
                        <pic:spPr>
                          <a:xfrm>
                            <a:off x="0" y="0"/>
                            <a:ext cx="2709545" cy="2339975"/>
                          </a:xfrm>
                          <a:prstGeom prst="rect">
                            <a:avLst/>
                          </a:prstGeom>
                        </pic:spPr>
                      </pic:pic>
                    </a:graphicData>
                  </a:graphic>
                </wp:inline>
              </w:drawing>
            </w:r>
          </w:p>
        </w:tc>
        <w:tc>
          <w:tcPr>
            <w:tcW w:w="4484" w:type="dxa"/>
          </w:tcPr>
          <w:p>
            <w:pPr>
              <w:pStyle w:val="20"/>
              <w:spacing w:line="240" w:lineRule="auto"/>
              <w:jc w:val="center"/>
              <w:outlineLvl w:val="0"/>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drawing>
                <wp:inline distT="0" distB="0" distL="114300" distR="114300">
                  <wp:extent cx="2729865" cy="2339975"/>
                  <wp:effectExtent l="0" t="0" r="13335" b="3175"/>
                  <wp:docPr id="53" name="图片 53" descr="2b627c1b646889a090213065eadd9e7"/>
                  <wp:cNvGraphicFramePr/>
                  <a:graphic xmlns:a="http://schemas.openxmlformats.org/drawingml/2006/main">
                    <a:graphicData uri="http://schemas.openxmlformats.org/drawingml/2006/picture">
                      <pic:pic xmlns:pic="http://schemas.openxmlformats.org/drawingml/2006/picture">
                        <pic:nvPicPr>
                          <pic:cNvPr id="53" name="图片 53" descr="2b627c1b646889a090213065eadd9e7"/>
                          <pic:cNvPicPr/>
                        </pic:nvPicPr>
                        <pic:blipFill>
                          <a:blip r:embed="rId14"/>
                          <a:stretch>
                            <a:fillRect/>
                          </a:stretch>
                        </pic:blipFill>
                        <pic:spPr>
                          <a:xfrm>
                            <a:off x="0" y="0"/>
                            <a:ext cx="2729865" cy="23399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4455" w:type="dxa"/>
            <w:vAlign w:val="top"/>
          </w:tcPr>
          <w:p>
            <w:pPr>
              <w:pStyle w:val="20"/>
              <w:spacing w:line="240" w:lineRule="auto"/>
              <w:jc w:val="center"/>
              <w:outlineLvl w:val="0"/>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项目区东侧</w:t>
            </w:r>
          </w:p>
        </w:tc>
        <w:tc>
          <w:tcPr>
            <w:tcW w:w="4484" w:type="dxa"/>
          </w:tcPr>
          <w:p>
            <w:pPr>
              <w:pStyle w:val="20"/>
              <w:spacing w:line="240" w:lineRule="auto"/>
              <w:jc w:val="center"/>
              <w:outlineLvl w:val="0"/>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项目区</w:t>
            </w:r>
          </w:p>
        </w:tc>
      </w:tr>
    </w:tbl>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sectPr>
          <w:footerReference r:id="rId5" w:type="default"/>
          <w:pgSz w:w="11906" w:h="16838"/>
          <w:pgMar w:top="1440" w:right="1803" w:bottom="1440" w:left="1803" w:header="851" w:footer="1077" w:gutter="0"/>
          <w:pgNumType w:start="1"/>
          <w:cols w:space="720" w:num="1"/>
          <w:docGrid w:linePitch="312" w:charSpace="0"/>
        </w:sect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现场踏勘图</w:t>
      </w:r>
    </w:p>
    <w:p>
      <w:pPr>
        <w:pStyle w:val="20"/>
        <w:jc w:val="center"/>
        <w:outlineLvl w:val="0"/>
        <w:rPr>
          <w:rFonts w:hint="eastAsia"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一、建设项目基本情况</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82"/>
        <w:gridCol w:w="2196"/>
        <w:gridCol w:w="1653"/>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建设项目名称</w:t>
            </w:r>
          </w:p>
        </w:tc>
        <w:tc>
          <w:tcPr>
            <w:tcW w:w="6488" w:type="dxa"/>
            <w:gridSpan w:val="3"/>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新疆双杰新能源高端装备研发制造基地项目(一期)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项目代码</w:t>
            </w:r>
          </w:p>
        </w:tc>
        <w:tc>
          <w:tcPr>
            <w:tcW w:w="6488" w:type="dxa"/>
            <w:gridSpan w:val="3"/>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2303-652328-04-01-977784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建设单位联系人</w:t>
            </w:r>
          </w:p>
        </w:tc>
        <w:tc>
          <w:tcPr>
            <w:tcW w:w="2196" w:type="dxa"/>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XX</w:t>
            </w:r>
          </w:p>
        </w:tc>
        <w:tc>
          <w:tcPr>
            <w:tcW w:w="1653" w:type="dxa"/>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联系方式</w:t>
            </w:r>
          </w:p>
        </w:tc>
        <w:tc>
          <w:tcPr>
            <w:tcW w:w="2639" w:type="dxa"/>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XXXXXX</w:t>
            </w:r>
            <w:bookmarkStart w:id="14" w:name="_GoBack"/>
            <w:bookmarkEnd w:id="14"/>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建设地点</w:t>
            </w:r>
          </w:p>
        </w:tc>
        <w:tc>
          <w:tcPr>
            <w:tcW w:w="6488" w:type="dxa"/>
            <w:gridSpan w:val="3"/>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u w:val="none"/>
                <w:lang w:val="en-US" w:eastAsia="zh-CN"/>
                <w14:textFill>
                  <w14:solidFill>
                    <w14:schemeClr w14:val="tx1"/>
                  </w14:solidFill>
                </w14:textFill>
              </w:rPr>
              <w:t>新疆维吾尔自治区昌吉回族自治州木垒哈萨克自治县民生工业园区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地理坐标</w:t>
            </w:r>
          </w:p>
        </w:tc>
        <w:tc>
          <w:tcPr>
            <w:tcW w:w="6488" w:type="dxa"/>
            <w:gridSpan w:val="3"/>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u w:val="single"/>
                <w:lang w:val="en-US" w:eastAsia="zh-CN"/>
                <w14:textFill>
                  <w14:solidFill>
                    <w14:schemeClr w14:val="tx1"/>
                  </w14:solidFill>
                </w14:textFill>
              </w:rPr>
              <w:t>90</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度</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u w:val="single"/>
                <w:lang w:val="en-US" w:eastAsia="zh-CN"/>
                <w14:textFill>
                  <w14:solidFill>
                    <w14:schemeClr w14:val="tx1"/>
                  </w14:solidFill>
                </w14:textFill>
              </w:rPr>
              <w:t>21</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分</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u w:val="single"/>
                <w:lang w:val="en-US" w:eastAsia="zh-CN"/>
                <w14:textFill>
                  <w14:solidFill>
                    <w14:schemeClr w14:val="tx1"/>
                  </w14:solidFill>
                </w14:textFill>
              </w:rPr>
              <w:t>27.285</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秒，</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u w:val="single"/>
                <w:lang w:val="en-US" w:eastAsia="zh-CN"/>
                <w14:textFill>
                  <w14:solidFill>
                    <w14:schemeClr w14:val="tx1"/>
                  </w14:solidFill>
                </w14:textFill>
              </w:rPr>
              <w:t>43</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度</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u w:val="single"/>
                <w:lang w:val="en-US" w:eastAsia="zh-CN"/>
                <w14:textFill>
                  <w14:solidFill>
                    <w14:schemeClr w14:val="tx1"/>
                  </w14:solidFill>
                </w14:textFill>
              </w:rPr>
              <w:t>57</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分</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u w:val="single"/>
                <w:lang w:val="en-US" w:eastAsia="zh-CN"/>
                <w14:textFill>
                  <w14:solidFill>
                    <w14:schemeClr w14:val="tx1"/>
                  </w14:solidFill>
                </w14:textFill>
              </w:rPr>
              <w:t>13.839</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tcMar>
              <w:top w:w="16" w:type="dxa"/>
              <w:left w:w="16" w:type="dxa"/>
              <w:right w:w="16" w:type="dxa"/>
            </w:tcMar>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国民经济</w:t>
            </w:r>
          </w:p>
          <w:p>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行业类别</w:t>
            </w:r>
          </w:p>
        </w:tc>
        <w:tc>
          <w:tcPr>
            <w:tcW w:w="2196" w:type="dxa"/>
            <w:vAlign w:val="center"/>
          </w:tcPr>
          <w:p>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C制造业</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38电气机械和器材制造业  382输配电及控制设备制造  3825光伏设备及元器件制造  </w:t>
            </w:r>
          </w:p>
        </w:tc>
        <w:tc>
          <w:tcPr>
            <w:tcW w:w="1653" w:type="dxa"/>
            <w:vAlign w:val="center"/>
          </w:tcPr>
          <w:p>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bookmarkStart w:id="1" w:name="_Hlk49843745"/>
            <w:r>
              <w:rPr>
                <w:rFonts w:hint="default" w:ascii="Times New Roman" w:hAnsi="Times New Roman" w:cs="Times New Roman"/>
                <w:color w:val="000000" w:themeColor="text1"/>
                <w:szCs w:val="21"/>
                <w:highlight w:val="none"/>
                <w14:textFill>
                  <w14:solidFill>
                    <w14:schemeClr w14:val="tx1"/>
                  </w14:solidFill>
                </w14:textFill>
              </w:rPr>
              <w:t>建设项目</w:t>
            </w:r>
          </w:p>
          <w:p>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行业类别</w:t>
            </w:r>
            <w:bookmarkEnd w:id="1"/>
          </w:p>
        </w:tc>
        <w:tc>
          <w:tcPr>
            <w:tcW w:w="2639" w:type="dxa"/>
            <w:vAlign w:val="center"/>
          </w:tcPr>
          <w:p>
            <w:pPr>
              <w:adjustRightInd w:val="0"/>
              <w:snapToGrid w:val="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三十五、电气机械和器材制造业38  输配电及控制设备制造382  其他(仅分割、焊接、组装的除外；年用非溶剂型低</w:t>
            </w:r>
            <w:r>
              <w:rPr>
                <w:rFonts w:hint="eastAsia" w:cs="Times New Roman"/>
                <w:color w:val="000000" w:themeColor="text1"/>
                <w:szCs w:val="21"/>
                <w:highlight w:val="none"/>
                <w:lang w:val="en-US" w:eastAsia="zh-CN"/>
                <w14:textFill>
                  <w14:solidFill>
                    <w14:schemeClr w14:val="tx1"/>
                  </w14:solidFill>
                </w14:textFill>
              </w:rPr>
              <w:t>VOCs</w:t>
            </w:r>
            <w:r>
              <w:rPr>
                <w:rFonts w:hint="default" w:ascii="Times New Roman" w:hAnsi="Times New Roman" w:cs="Times New Roman"/>
                <w:color w:val="000000" w:themeColor="text1"/>
                <w:szCs w:val="21"/>
                <w:highlight w:val="none"/>
                <w:lang w:val="en-US" w:eastAsia="zh-CN"/>
                <w14:textFill>
                  <w14:solidFill>
                    <w14:schemeClr w14:val="tx1"/>
                  </w14:solidFill>
                </w14:textFill>
              </w:rPr>
              <w:t>含量涂料10吨以下的除外)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tcMar>
              <w:top w:w="16" w:type="dxa"/>
              <w:left w:w="16" w:type="dxa"/>
              <w:right w:w="16" w:type="dxa"/>
            </w:tcMar>
            <w:vAlign w:val="center"/>
          </w:tcPr>
          <w:p>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建设性质</w:t>
            </w:r>
          </w:p>
        </w:tc>
        <w:tc>
          <w:tcPr>
            <w:tcW w:w="2196" w:type="dxa"/>
            <w:vAlign w:val="center"/>
          </w:tcPr>
          <w:p>
            <w:pPr>
              <w:jc w:val="left"/>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新建（迁建）</w:t>
            </w:r>
          </w:p>
          <w:p>
            <w:pPr>
              <w:jc w:val="left"/>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改建</w:t>
            </w:r>
          </w:p>
          <w:p>
            <w:pPr>
              <w:jc w:val="left"/>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扩建</w:t>
            </w:r>
          </w:p>
          <w:p>
            <w:pPr>
              <w:jc w:val="left"/>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技术改造</w:t>
            </w:r>
          </w:p>
        </w:tc>
        <w:tc>
          <w:tcPr>
            <w:tcW w:w="1653" w:type="dxa"/>
            <w:vAlign w:val="center"/>
          </w:tcPr>
          <w:p>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建设项目</w:t>
            </w:r>
          </w:p>
          <w:p>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申报情形</w:t>
            </w:r>
          </w:p>
        </w:tc>
        <w:tc>
          <w:tcPr>
            <w:tcW w:w="2639" w:type="dxa"/>
            <w:vAlign w:val="center"/>
          </w:tcPr>
          <w:p>
            <w:pPr>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52"/>
            </w:r>
            <w:r>
              <w:rPr>
                <w:rFonts w:hint="default" w:ascii="Times New Roman" w:hAnsi="Times New Roman" w:cs="Times New Roman"/>
                <w:color w:val="000000" w:themeColor="text1"/>
                <w:szCs w:val="21"/>
                <w:highlight w:val="none"/>
                <w14:textFill>
                  <w14:solidFill>
                    <w14:schemeClr w14:val="tx1"/>
                  </w14:solidFill>
                </w14:textFill>
              </w:rPr>
              <w:t xml:space="preserve">首次申报项目             </w:t>
            </w:r>
          </w:p>
          <w:p>
            <w:pPr>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□不予批准后再次申报项目</w:t>
            </w:r>
          </w:p>
          <w:p>
            <w:pPr>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A3"/>
            </w:r>
            <w:r>
              <w:rPr>
                <w:rFonts w:hint="default" w:ascii="Times New Roman" w:hAnsi="Times New Roman" w:cs="Times New Roman"/>
                <w:color w:val="000000" w:themeColor="text1"/>
                <w:szCs w:val="21"/>
                <w:highlight w:val="none"/>
                <w14:textFill>
                  <w14:solidFill>
                    <w14:schemeClr w14:val="tx1"/>
                  </w14:solidFill>
                </w14:textFill>
              </w:rPr>
              <w:t xml:space="preserve">超五年重新审核项目     </w:t>
            </w:r>
          </w:p>
          <w:p>
            <w:pPr>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tcMar>
              <w:top w:w="16" w:type="dxa"/>
              <w:left w:w="16" w:type="dxa"/>
              <w:right w:w="16" w:type="dxa"/>
            </w:tcMar>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项目审批（核准</w:t>
            </w:r>
            <w:r>
              <w:rPr>
                <w:rFonts w:ascii="宋体" w:hAnsi="宋体" w:cs="宋体"/>
                <w:color w:val="000000" w:themeColor="text1"/>
                <w:szCs w:val="21"/>
                <w:highlight w:val="none"/>
                <w14:textFill>
                  <w14:solidFill>
                    <w14:schemeClr w14:val="tx1"/>
                  </w14:solidFill>
                </w14:textFill>
              </w:rPr>
              <w:t>/</w:t>
            </w:r>
          </w:p>
          <w:p>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备案）部门（选填）</w:t>
            </w:r>
          </w:p>
        </w:tc>
        <w:tc>
          <w:tcPr>
            <w:tcW w:w="2196" w:type="dxa"/>
            <w:vAlign w:val="center"/>
          </w:tcPr>
          <w:p>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木垒县发展和改革委员会</w:t>
            </w:r>
          </w:p>
        </w:tc>
        <w:tc>
          <w:tcPr>
            <w:tcW w:w="1653" w:type="dxa"/>
            <w:vAlign w:val="center"/>
          </w:tcPr>
          <w:p>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项目审批（核准/</w:t>
            </w:r>
          </w:p>
          <w:p>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备案）文号（选填）</w:t>
            </w:r>
          </w:p>
        </w:tc>
        <w:tc>
          <w:tcPr>
            <w:tcW w:w="2639" w:type="dxa"/>
            <w:vAlign w:val="center"/>
          </w:tcPr>
          <w:p>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木发改备案</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2023</w:t>
            </w:r>
            <w:r>
              <w:rPr>
                <w:rFonts w:hint="eastAsia" w:ascii="宋体" w:hAnsi="宋体" w:eastAsia="宋体" w:cs="宋体"/>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总投资（万元）</w:t>
            </w:r>
          </w:p>
        </w:tc>
        <w:tc>
          <w:tcPr>
            <w:tcW w:w="2196" w:type="dxa"/>
            <w:vAlign w:val="center"/>
          </w:tcPr>
          <w:p>
            <w:pPr>
              <w:adjustRightInd w:val="0"/>
              <w:snapToGrid w:val="0"/>
              <w:jc w:val="center"/>
              <w:rPr>
                <w:rFonts w:hint="default" w:ascii="Times New Roman" w:hAnsi="Times New Roman" w:eastAsia="宋体" w:cs="Times New Roman"/>
                <w:color w:val="000000" w:themeColor="text1"/>
                <w:spacing w:val="-6"/>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Cs w:val="21"/>
                <w:highlight w:val="none"/>
                <w:lang w:val="en-US" w:eastAsia="zh-CN"/>
                <w14:textFill>
                  <w14:solidFill>
                    <w14:schemeClr w14:val="tx1"/>
                  </w14:solidFill>
                </w14:textFill>
              </w:rPr>
              <w:t>40000</w:t>
            </w:r>
          </w:p>
        </w:tc>
        <w:tc>
          <w:tcPr>
            <w:tcW w:w="1653"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pacing w:val="-6"/>
                <w:szCs w:val="21"/>
                <w:highlight w:val="none"/>
                <w14:textFill>
                  <w14:solidFill>
                    <w14:schemeClr w14:val="tx1"/>
                  </w14:solidFill>
                </w14:textFill>
              </w:rPr>
            </w:pPr>
            <w:r>
              <w:rPr>
                <w:rFonts w:hint="default" w:ascii="Times New Roman" w:hAnsi="Times New Roman" w:eastAsia="宋体" w:cs="Times New Roman"/>
                <w:color w:val="000000" w:themeColor="text1"/>
                <w:spacing w:val="-6"/>
                <w:szCs w:val="21"/>
                <w:highlight w:val="none"/>
                <w14:textFill>
                  <w14:solidFill>
                    <w14:schemeClr w14:val="tx1"/>
                  </w14:solidFill>
                </w14:textFill>
              </w:rPr>
              <w:t>环保投资（万元）</w:t>
            </w:r>
          </w:p>
        </w:tc>
        <w:tc>
          <w:tcPr>
            <w:tcW w:w="2639" w:type="dxa"/>
            <w:vAlign w:val="center"/>
          </w:tcPr>
          <w:p>
            <w:pPr>
              <w:adjustRightInd w:val="0"/>
              <w:snapToGrid w:val="0"/>
              <w:jc w:val="center"/>
              <w:rPr>
                <w:rFonts w:hint="default" w:ascii="Times New Roman" w:hAnsi="Times New Roman" w:eastAsia="宋体" w:cs="Times New Roman"/>
                <w:color w:val="000000" w:themeColor="text1"/>
                <w:spacing w:val="-6"/>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6"/>
                <w:szCs w:val="21"/>
                <w:highlight w:val="none"/>
                <w:lang w:val="en-US" w:eastAsia="zh-CN"/>
                <w14:textFill>
                  <w14:solidFill>
                    <w14:schemeClr w14:val="tx1"/>
                  </w14:solidFill>
                </w14:textFill>
              </w:rPr>
              <w:t>350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环保投资占比（</w:t>
            </w:r>
            <w:r>
              <w:rPr>
                <w:rFonts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w:t>
            </w:r>
          </w:p>
        </w:tc>
        <w:tc>
          <w:tcPr>
            <w:tcW w:w="2196" w:type="dxa"/>
            <w:vAlign w:val="center"/>
          </w:tcPr>
          <w:p>
            <w:pPr>
              <w:adjustRightInd w:val="0"/>
              <w:snapToGrid w:val="0"/>
              <w:jc w:val="center"/>
              <w:rPr>
                <w:rFonts w:hint="default" w:ascii="Times New Roman" w:hAnsi="Times New Roman" w:eastAsia="宋体" w:cs="Times New Roman"/>
                <w:color w:val="000000" w:themeColor="text1"/>
                <w:spacing w:val="-6"/>
                <w:szCs w:val="21"/>
                <w:highlight w:val="none"/>
                <w14:textFill>
                  <w14:solidFill>
                    <w14:schemeClr w14:val="tx1"/>
                  </w14:solidFill>
                </w14:textFill>
              </w:rPr>
            </w:pPr>
            <w:r>
              <w:rPr>
                <w:rFonts w:hint="eastAsia" w:ascii="Times New Roman" w:hAnsi="Times New Roman" w:eastAsia="宋体" w:cs="Times New Roman"/>
                <w:color w:val="000000" w:themeColor="text1"/>
                <w:spacing w:val="-6"/>
                <w:szCs w:val="21"/>
                <w:highlight w:val="none"/>
                <w:lang w:val="en-US" w:eastAsia="zh-CN"/>
                <w14:textFill>
                  <w14:solidFill>
                    <w14:schemeClr w14:val="tx1"/>
                  </w14:solidFill>
                </w14:textFill>
              </w:rPr>
              <w:t>0.875</w:t>
            </w:r>
            <w:r>
              <w:rPr>
                <w:rFonts w:hint="default" w:ascii="Times New Roman" w:hAnsi="Times New Roman" w:eastAsia="宋体" w:cs="Times New Roman"/>
                <w:color w:val="000000" w:themeColor="text1"/>
                <w:spacing w:val="-6"/>
                <w:szCs w:val="21"/>
                <w:highlight w:val="none"/>
                <w:lang w:val="en-US" w:eastAsia="zh-CN"/>
                <w14:textFill>
                  <w14:solidFill>
                    <w14:schemeClr w14:val="tx1"/>
                  </w14:solidFill>
                </w14:textFill>
              </w:rPr>
              <w:t>%</w:t>
            </w:r>
          </w:p>
        </w:tc>
        <w:tc>
          <w:tcPr>
            <w:tcW w:w="1653"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pacing w:val="-6"/>
                <w:szCs w:val="21"/>
                <w:highlight w:val="none"/>
                <w14:textFill>
                  <w14:solidFill>
                    <w14:schemeClr w14:val="tx1"/>
                  </w14:solidFill>
                </w14:textFill>
              </w:rPr>
            </w:pPr>
            <w:r>
              <w:rPr>
                <w:rFonts w:hint="default" w:ascii="Times New Roman" w:hAnsi="Times New Roman" w:eastAsia="宋体" w:cs="Times New Roman"/>
                <w:color w:val="000000" w:themeColor="text1"/>
                <w:spacing w:val="-6"/>
                <w:szCs w:val="21"/>
                <w:highlight w:val="none"/>
                <w14:textFill>
                  <w14:solidFill>
                    <w14:schemeClr w14:val="tx1"/>
                  </w14:solidFill>
                </w14:textFill>
              </w:rPr>
              <w:t>施工工期</w:t>
            </w:r>
          </w:p>
        </w:tc>
        <w:tc>
          <w:tcPr>
            <w:tcW w:w="2639" w:type="dxa"/>
            <w:vAlign w:val="center"/>
          </w:tcPr>
          <w:p>
            <w:pPr>
              <w:adjustRightInd w:val="0"/>
              <w:snapToGrid w:val="0"/>
              <w:jc w:val="center"/>
              <w:rPr>
                <w:rFonts w:hint="default" w:ascii="Times New Roman" w:hAnsi="Times New Roman" w:eastAsia="宋体" w:cs="Times New Roman"/>
                <w:color w:val="000000" w:themeColor="text1"/>
                <w:spacing w:val="-6"/>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6"/>
                <w:szCs w:val="21"/>
                <w:highlight w:val="none"/>
                <w:lang w:val="en-US" w:eastAsia="zh-CN"/>
                <w14:textFill>
                  <w14:solidFill>
                    <w14:schemeClr w14:val="tx1"/>
                  </w14:solidFill>
                </w14:textFill>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9" w:hRule="atLeast"/>
          <w:jc w:val="center"/>
        </w:trPr>
        <w:tc>
          <w:tcPr>
            <w:tcW w:w="2382" w:type="dxa"/>
            <w:tcMar>
              <w:top w:w="16" w:type="dxa"/>
              <w:left w:w="16" w:type="dxa"/>
              <w:right w:w="16" w:type="dxa"/>
            </w:tcMar>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是否开工建设</w:t>
            </w:r>
          </w:p>
        </w:tc>
        <w:tc>
          <w:tcPr>
            <w:tcW w:w="2196" w:type="dxa"/>
            <w:vAlign w:val="center"/>
          </w:tcPr>
          <w:p>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A3"/>
            </w:r>
            <w:r>
              <w:rPr>
                <w:rFonts w:hint="default" w:ascii="Times New Roman" w:hAnsi="Times New Roman" w:cs="Times New Roman"/>
                <w:color w:val="000000" w:themeColor="text1"/>
                <w:szCs w:val="21"/>
                <w:highlight w:val="none"/>
                <w14:textFill>
                  <w14:solidFill>
                    <w14:schemeClr w14:val="tx1"/>
                  </w14:solidFill>
                </w14:textFill>
              </w:rPr>
              <w:t>否</w:t>
            </w:r>
          </w:p>
          <w:p>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52"/>
            </w:r>
            <w:r>
              <w:rPr>
                <w:rFonts w:hint="default" w:ascii="Times New Roman" w:hAnsi="Times New Roman" w:cs="Times New Roman"/>
                <w:color w:val="000000" w:themeColor="text1"/>
                <w:szCs w:val="21"/>
                <w:highlight w:val="none"/>
                <w14:textFill>
                  <w14:solidFill>
                    <w14:schemeClr w14:val="tx1"/>
                  </w14:solidFill>
                </w14:textFill>
              </w:rPr>
              <w:t>是：</w:t>
            </w:r>
            <w:r>
              <w:rPr>
                <w:rFonts w:hint="eastAsia" w:ascii="Times New Roman" w:hAnsi="Times New Roman" w:eastAsia="宋体" w:cs="Times New Roman"/>
                <w:color w:val="000000" w:themeColor="text1"/>
                <w:spacing w:val="-6"/>
                <w:szCs w:val="21"/>
                <w:highlight w:val="none"/>
                <w:u w:val="single"/>
                <w:lang w:val="en-US" w:eastAsia="zh-CN"/>
                <w14:textFill>
                  <w14:solidFill>
                    <w14:schemeClr w14:val="tx1"/>
                  </w14:solidFill>
                </w14:textFill>
              </w:rPr>
              <w:t>2023年3月15日，新疆双杰新能源有限公司完成了“新疆双杰新能源高端装备研发制造基地项目(一期)”项目网上备案登记。2023年3月24日，该项目环境影响登记表已经完成备案，备案号：202365232800000016。</w:t>
            </w:r>
            <w:r>
              <w:rPr>
                <w:rFonts w:hint="eastAsia" w:cs="Times New Roman"/>
                <w:color w:val="000000" w:themeColor="text1"/>
                <w:spacing w:val="-6"/>
                <w:szCs w:val="21"/>
                <w:highlight w:val="none"/>
                <w:u w:val="single"/>
                <w:lang w:val="en-US" w:eastAsia="zh-CN"/>
                <w14:textFill>
                  <w14:solidFill>
                    <w14:schemeClr w14:val="tx1"/>
                  </w14:solidFill>
                </w14:textFill>
              </w:rPr>
              <w:t>目前项目厂区已完成场地平整，已建成厂房、生产车间钢架结构安装、综合楼，已建内容均属原备案表内容。</w:t>
            </w:r>
            <w:r>
              <w:rPr>
                <w:rFonts w:hint="eastAsia" w:ascii="Times New Roman" w:hAnsi="Times New Roman" w:eastAsia="宋体" w:cs="Times New Roman"/>
                <w:color w:val="000000" w:themeColor="text1"/>
                <w:spacing w:val="-6"/>
                <w:szCs w:val="21"/>
                <w:highlight w:val="none"/>
                <w:u w:val="single"/>
                <w:lang w:val="en-US" w:eastAsia="zh-CN"/>
                <w14:textFill>
                  <w14:solidFill>
                    <w14:schemeClr w14:val="tx1"/>
                  </w14:solidFill>
                </w14:textFill>
              </w:rPr>
              <w:t>考虑市场的需要，建设单位在建设过程中，增加了喷漆与喷砂工序，且年使用低</w:t>
            </w:r>
            <w:r>
              <w:rPr>
                <w:rFonts w:hint="eastAsia" w:cs="Times New Roman"/>
                <w:color w:val="000000" w:themeColor="text1"/>
                <w:spacing w:val="-6"/>
                <w:szCs w:val="21"/>
                <w:highlight w:val="none"/>
                <w:u w:val="single"/>
                <w:lang w:val="en-US" w:eastAsia="zh-CN"/>
                <w14:textFill>
                  <w14:solidFill>
                    <w14:schemeClr w14:val="tx1"/>
                  </w14:solidFill>
                </w14:textFill>
              </w:rPr>
              <w:t>VOCs</w:t>
            </w:r>
            <w:r>
              <w:rPr>
                <w:rFonts w:hint="eastAsia" w:ascii="Times New Roman" w:hAnsi="Times New Roman" w:eastAsia="宋体" w:cs="Times New Roman"/>
                <w:color w:val="000000" w:themeColor="text1"/>
                <w:spacing w:val="-6"/>
                <w:szCs w:val="21"/>
                <w:highlight w:val="none"/>
                <w:u w:val="single"/>
                <w:lang w:val="en-US" w:eastAsia="zh-CN"/>
                <w14:textFill>
                  <w14:solidFill>
                    <w14:schemeClr w14:val="tx1"/>
                  </w14:solidFill>
                </w14:textFill>
              </w:rPr>
              <w:t>的</w:t>
            </w:r>
            <w:r>
              <w:rPr>
                <w:rFonts w:hint="eastAsia" w:cs="Times New Roman"/>
                <w:color w:val="000000" w:themeColor="text1"/>
                <w:spacing w:val="-6"/>
                <w:szCs w:val="21"/>
                <w:highlight w:val="none"/>
                <w:u w:val="single"/>
                <w:lang w:val="en-US" w:eastAsia="zh-CN"/>
                <w14:textFill>
                  <w14:solidFill>
                    <w14:schemeClr w14:val="tx1"/>
                  </w14:solidFill>
                </w14:textFill>
              </w:rPr>
              <w:t>水性漆及水性漆固化剂20吨，油性漆、油性漆稀释剂及油性漆固化剂6吨</w:t>
            </w:r>
            <w:r>
              <w:rPr>
                <w:rFonts w:hint="eastAsia" w:ascii="Times New Roman" w:hAnsi="Times New Roman" w:eastAsia="宋体" w:cs="Times New Roman"/>
                <w:color w:val="000000" w:themeColor="text1"/>
                <w:spacing w:val="-6"/>
                <w:szCs w:val="21"/>
                <w:highlight w:val="none"/>
                <w:u w:val="single"/>
                <w:lang w:val="en-US" w:eastAsia="zh-CN"/>
                <w14:textFill>
                  <w14:solidFill>
                    <w14:schemeClr w14:val="tx1"/>
                  </w14:solidFill>
                </w14:textFill>
              </w:rPr>
              <w:t>，</w:t>
            </w:r>
            <w:r>
              <w:rPr>
                <w:rFonts w:hint="default" w:ascii="Times New Roman" w:hAnsi="Times New Roman" w:eastAsia="宋体" w:cs="Times New Roman"/>
                <w:color w:val="000000" w:themeColor="text1"/>
                <w:spacing w:val="-6"/>
                <w:szCs w:val="21"/>
                <w:highlight w:val="none"/>
                <w:u w:val="single"/>
                <w:lang w:val="en-US" w:eastAsia="zh-CN"/>
                <w14:textFill>
                  <w14:solidFill>
                    <w14:schemeClr w14:val="tx1"/>
                  </w14:solidFill>
                </w14:textFill>
              </w:rPr>
              <w:t>根据</w:t>
            </w:r>
            <w:r>
              <w:rPr>
                <w:rFonts w:hint="eastAsia" w:ascii="Times New Roman" w:hAnsi="Times New Roman" w:eastAsia="宋体" w:cs="Times New Roman"/>
                <w:color w:val="000000" w:themeColor="text1"/>
                <w:spacing w:val="-6"/>
                <w:szCs w:val="21"/>
                <w:highlight w:val="none"/>
                <w:u w:val="single"/>
                <w:lang w:val="en-US" w:eastAsia="zh-CN"/>
                <w14:textFill>
                  <w14:solidFill>
                    <w14:schemeClr w14:val="tx1"/>
                  </w14:solidFill>
                </w14:textFill>
              </w:rPr>
              <w:t>《建设项目环境影响评价分类管理名录（2021年版）》，更改后的项目涉及</w:t>
            </w:r>
            <w:r>
              <w:rPr>
                <w:rFonts w:hint="default" w:ascii="Times New Roman" w:hAnsi="Times New Roman" w:eastAsia="宋体" w:cs="Times New Roman"/>
                <w:color w:val="000000" w:themeColor="text1"/>
                <w:spacing w:val="-6"/>
                <w:szCs w:val="21"/>
                <w:highlight w:val="none"/>
                <w:u w:val="single"/>
                <w:lang w:val="en-US" w:eastAsia="zh-CN"/>
                <w14:textFill>
                  <w14:solidFill>
                    <w14:schemeClr w14:val="tx1"/>
                  </w14:solidFill>
                </w14:textFill>
              </w:rPr>
              <w:t>三十五、电气机械和器材制造业38  输配电及控制设备制造382  其他(仅分割、焊接、组装的除外；年用非溶剂型低</w:t>
            </w:r>
            <w:r>
              <w:rPr>
                <w:rFonts w:hint="eastAsia" w:cs="Times New Roman"/>
                <w:color w:val="000000" w:themeColor="text1"/>
                <w:spacing w:val="-6"/>
                <w:szCs w:val="21"/>
                <w:highlight w:val="none"/>
                <w:u w:val="single"/>
                <w:lang w:val="en-US" w:eastAsia="zh-CN"/>
                <w14:textFill>
                  <w14:solidFill>
                    <w14:schemeClr w14:val="tx1"/>
                  </w14:solidFill>
                </w14:textFill>
              </w:rPr>
              <w:t>VOCs</w:t>
            </w:r>
            <w:r>
              <w:rPr>
                <w:rFonts w:hint="default" w:ascii="Times New Roman" w:hAnsi="Times New Roman" w:eastAsia="宋体" w:cs="Times New Roman"/>
                <w:color w:val="000000" w:themeColor="text1"/>
                <w:spacing w:val="-6"/>
                <w:szCs w:val="21"/>
                <w:highlight w:val="none"/>
                <w:u w:val="single"/>
                <w:lang w:val="en-US" w:eastAsia="zh-CN"/>
                <w14:textFill>
                  <w14:solidFill>
                    <w14:schemeClr w14:val="tx1"/>
                  </w14:solidFill>
                </w14:textFill>
              </w:rPr>
              <w:t>含量涂料10吨以下的除外)</w:t>
            </w:r>
            <w:r>
              <w:rPr>
                <w:rFonts w:hint="eastAsia" w:ascii="Times New Roman" w:hAnsi="Times New Roman" w:eastAsia="宋体" w:cs="Times New Roman"/>
                <w:color w:val="000000" w:themeColor="text1"/>
                <w:spacing w:val="-6"/>
                <w:szCs w:val="21"/>
                <w:highlight w:val="none"/>
                <w:u w:val="single"/>
                <w:lang w:val="en-US" w:eastAsia="zh-CN"/>
                <w14:textFill>
                  <w14:solidFill>
                    <w14:schemeClr w14:val="tx1"/>
                  </w14:solidFill>
                </w14:textFill>
              </w:rPr>
              <w:t>，应该编制环境影响报告表</w:t>
            </w:r>
            <w:r>
              <w:rPr>
                <w:rFonts w:hint="eastAsia" w:cs="Times New Roman"/>
                <w:color w:val="000000" w:themeColor="text1"/>
                <w:spacing w:val="-6"/>
                <w:szCs w:val="21"/>
                <w:highlight w:val="none"/>
                <w:u w:val="single"/>
                <w:lang w:val="en-US" w:eastAsia="zh-CN"/>
                <w14:textFill>
                  <w14:solidFill>
                    <w14:schemeClr w14:val="tx1"/>
                  </w14:solidFill>
                </w14:textFill>
              </w:rPr>
              <w:t>。</w:t>
            </w:r>
            <w:r>
              <w:rPr>
                <w:rFonts w:hint="eastAsia" w:ascii="Times New Roman" w:hAnsi="Times New Roman" w:eastAsia="宋体" w:cs="Times New Roman"/>
                <w:color w:val="000000" w:themeColor="text1"/>
                <w:spacing w:val="-6"/>
                <w:szCs w:val="21"/>
                <w:highlight w:val="none"/>
                <w:u w:val="single"/>
                <w:lang w:val="en-US" w:eastAsia="zh-CN"/>
                <w14:textFill>
                  <w14:solidFill>
                    <w14:schemeClr w14:val="tx1"/>
                  </w14:solidFill>
                </w14:textFill>
              </w:rPr>
              <w:t>该项目目前正处于</w:t>
            </w:r>
            <w:r>
              <w:rPr>
                <w:rFonts w:hint="eastAsia" w:cs="Times New Roman"/>
                <w:color w:val="000000" w:themeColor="text1"/>
                <w:spacing w:val="-6"/>
                <w:szCs w:val="21"/>
                <w:highlight w:val="none"/>
                <w:u w:val="single"/>
                <w:lang w:val="en-US" w:eastAsia="zh-CN"/>
                <w14:textFill>
                  <w14:solidFill>
                    <w14:schemeClr w14:val="tx1"/>
                  </w14:solidFill>
                </w14:textFill>
              </w:rPr>
              <w:t>停</w:t>
            </w:r>
            <w:r>
              <w:rPr>
                <w:rFonts w:hint="eastAsia" w:ascii="Times New Roman" w:hAnsi="Times New Roman" w:eastAsia="宋体" w:cs="Times New Roman"/>
                <w:color w:val="000000" w:themeColor="text1"/>
                <w:spacing w:val="-6"/>
                <w:szCs w:val="21"/>
                <w:highlight w:val="none"/>
                <w:u w:val="single"/>
                <w:lang w:val="en-US" w:eastAsia="zh-CN"/>
                <w14:textFill>
                  <w14:solidFill>
                    <w14:schemeClr w14:val="tx1"/>
                  </w14:solidFill>
                </w14:textFill>
              </w:rPr>
              <w:t>工状态，</w:t>
            </w:r>
            <w:r>
              <w:rPr>
                <w:rFonts w:hint="eastAsia" w:cs="Times New Roman"/>
                <w:color w:val="000000" w:themeColor="text1"/>
                <w:spacing w:val="-6"/>
                <w:szCs w:val="21"/>
                <w:highlight w:val="none"/>
                <w:u w:val="single"/>
                <w:lang w:val="en-US" w:eastAsia="zh-CN"/>
                <w14:textFill>
                  <w14:solidFill>
                    <w14:schemeClr w14:val="tx1"/>
                  </w14:solidFill>
                </w14:textFill>
              </w:rPr>
              <w:t>待本项目环评批复拿到后再开工。</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p>
        </w:tc>
        <w:tc>
          <w:tcPr>
            <w:tcW w:w="1653"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pacing w:val="-6"/>
                <w:szCs w:val="21"/>
                <w:highlight w:val="none"/>
                <w14:textFill>
                  <w14:solidFill>
                    <w14:schemeClr w14:val="tx1"/>
                  </w14:solidFill>
                </w14:textFill>
              </w:rPr>
            </w:pPr>
            <w:r>
              <w:rPr>
                <w:rFonts w:hint="default" w:ascii="Times New Roman" w:hAnsi="Times New Roman" w:eastAsia="宋体" w:cs="Times New Roman"/>
                <w:color w:val="000000" w:themeColor="text1"/>
                <w:spacing w:val="-6"/>
                <w:szCs w:val="21"/>
                <w:highlight w:val="none"/>
                <w14:textFill>
                  <w14:solidFill>
                    <w14:schemeClr w14:val="tx1"/>
                  </w14:solidFill>
                </w14:textFill>
              </w:rPr>
              <w:t>用地（用海）</w:t>
            </w:r>
          </w:p>
          <w:p>
            <w:pPr>
              <w:adjustRightInd w:val="0"/>
              <w:snapToGrid w:val="0"/>
              <w:jc w:val="center"/>
              <w:rPr>
                <w:rFonts w:hint="default" w:ascii="Times New Roman" w:hAnsi="Times New Roman" w:eastAsia="宋体" w:cs="Times New Roman"/>
                <w:color w:val="000000" w:themeColor="text1"/>
                <w:spacing w:val="-6"/>
                <w:szCs w:val="21"/>
                <w:highlight w:val="none"/>
                <w14:textFill>
                  <w14:solidFill>
                    <w14:schemeClr w14:val="tx1"/>
                  </w14:solidFill>
                </w14:textFill>
              </w:rPr>
            </w:pPr>
            <w:r>
              <w:rPr>
                <w:rFonts w:hint="default" w:ascii="Times New Roman" w:hAnsi="Times New Roman" w:eastAsia="宋体" w:cs="Times New Roman"/>
                <w:color w:val="000000" w:themeColor="text1"/>
                <w:spacing w:val="-6"/>
                <w:szCs w:val="21"/>
                <w:highlight w:val="none"/>
                <w14:textFill>
                  <w14:solidFill>
                    <w14:schemeClr w14:val="tx1"/>
                  </w14:solidFill>
                </w14:textFill>
              </w:rPr>
              <w:t>面积（m</w:t>
            </w:r>
            <w:r>
              <w:rPr>
                <w:rFonts w:hint="default" w:ascii="Times New Roman" w:hAnsi="Times New Roman" w:eastAsia="宋体" w:cs="Times New Roman"/>
                <w:color w:val="000000" w:themeColor="text1"/>
                <w:spacing w:val="-6"/>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pacing w:val="-6"/>
                <w:szCs w:val="21"/>
                <w:highlight w:val="none"/>
                <w14:textFill>
                  <w14:solidFill>
                    <w14:schemeClr w14:val="tx1"/>
                  </w14:solidFill>
                </w14:textFill>
              </w:rPr>
              <w:t>）</w:t>
            </w:r>
          </w:p>
        </w:tc>
        <w:tc>
          <w:tcPr>
            <w:tcW w:w="2639" w:type="dxa"/>
            <w:vAlign w:val="center"/>
          </w:tcPr>
          <w:p>
            <w:pPr>
              <w:adjustRightInd w:val="0"/>
              <w:snapToGrid w:val="0"/>
              <w:jc w:val="center"/>
              <w:rPr>
                <w:rFonts w:hint="default" w:ascii="Times New Roman" w:hAnsi="Times New Roman" w:eastAsia="宋体" w:cs="Times New Roman"/>
                <w:color w:val="000000" w:themeColor="text1"/>
                <w:spacing w:val="-6"/>
                <w:szCs w:val="21"/>
                <w:highlight w:val="none"/>
                <w14:textFill>
                  <w14:solidFill>
                    <w14:schemeClr w14:val="tx1"/>
                  </w14:solidFill>
                </w14:textFill>
              </w:rPr>
            </w:pPr>
            <w:r>
              <w:rPr>
                <w:rFonts w:hint="eastAsia" w:ascii="Times New Roman" w:hAnsi="Times New Roman" w:eastAsia="宋体" w:cs="Times New Roman"/>
                <w:color w:val="000000" w:themeColor="text1"/>
                <w:spacing w:val="-6"/>
                <w:szCs w:val="21"/>
                <w:highlight w:val="none"/>
                <w:lang w:val="en-US" w:eastAsia="zh-CN"/>
                <w14:textFill>
                  <w14:solidFill>
                    <w14:schemeClr w14:val="tx1"/>
                  </w14:solidFill>
                </w14:textFill>
              </w:rPr>
              <w:t>109285.44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专项评价设置情况</w:t>
            </w:r>
          </w:p>
        </w:tc>
        <w:tc>
          <w:tcPr>
            <w:tcW w:w="6488" w:type="dxa"/>
            <w:gridSpan w:val="3"/>
            <w:vAlign w:val="center"/>
          </w:tcPr>
          <w:p>
            <w:pPr>
              <w:autoSpaceDE w:val="0"/>
              <w:autoSpaceDN w:val="0"/>
              <w:adjustRightInd w:val="0"/>
              <w:snapToGrid w:val="0"/>
              <w:jc w:val="center"/>
              <w:rPr>
                <w:rFonts w:hint="eastAsia"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规划情况</w:t>
            </w:r>
          </w:p>
        </w:tc>
        <w:tc>
          <w:tcPr>
            <w:tcW w:w="6488"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eastAsia="宋体" w:cs="Times New Roman"/>
                <w:color w:val="000000" w:themeColor="text1"/>
                <w:kern w:val="0"/>
                <w:sz w:val="24"/>
                <w:highlight w:val="none"/>
                <w:lang w:val="en-US"/>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14:textFill>
                  <w14:solidFill>
                    <w14:schemeClr w14:val="tx1"/>
                  </w14:solidFill>
                </w14:textFill>
              </w:rPr>
              <w:t>规划文件：</w:t>
            </w:r>
            <w:r>
              <w:rPr>
                <w:rFonts w:hint="default" w:ascii="Times New Roman" w:hAnsi="Times New Roman" w:eastAsia="宋体" w:cs="Times New Roman"/>
                <w:color w:val="000000" w:themeColor="text1"/>
                <w:kern w:val="0"/>
                <w:sz w:val="24"/>
                <w:highlight w:val="none"/>
                <w:lang w:val="en-US"/>
                <w14:textFill>
                  <w14:solidFill>
                    <w14:schemeClr w14:val="tx1"/>
                  </w14:solidFill>
                </w14:textFill>
              </w:rPr>
              <w:t>《木垒县民生工业园区总体规划(2014-2030年)》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eastAsia="宋体" w:cs="Times New Roman"/>
                <w:color w:val="000000" w:themeColor="text1"/>
                <w:kern w:val="0"/>
                <w:sz w:val="24"/>
                <w:highlight w:val="none"/>
                <w:lang w:val="en-US"/>
                <w14:textFill>
                  <w14:solidFill>
                    <w14:schemeClr w14:val="tx1"/>
                  </w14:solidFill>
                </w14:textFill>
              </w:rPr>
            </w:pPr>
            <w:r>
              <w:rPr>
                <w:rFonts w:hint="default" w:ascii="Times New Roman" w:hAnsi="Times New Roman" w:cs="Times New Roman"/>
                <w:b/>
                <w:bCs/>
                <w:color w:val="000000" w:themeColor="text1"/>
                <w:kern w:val="0"/>
                <w:sz w:val="24"/>
                <w:highlight w:val="none"/>
                <w:lang w:val="en-US"/>
                <w14:textFill>
                  <w14:solidFill>
                    <w14:schemeClr w14:val="tx1"/>
                  </w14:solidFill>
                </w14:textFill>
              </w:rPr>
              <w:t>规划审批情况及审批单位：</w:t>
            </w:r>
            <w:r>
              <w:rPr>
                <w:rFonts w:hint="default" w:ascii="Times New Roman" w:hAnsi="Times New Roman" w:eastAsia="宋体" w:cs="Times New Roman"/>
                <w:color w:val="000000" w:themeColor="text1"/>
                <w:kern w:val="0"/>
                <w:sz w:val="24"/>
                <w:highlight w:val="none"/>
                <w:lang w:val="en-US"/>
                <w14:textFill>
                  <w14:solidFill>
                    <w14:schemeClr w14:val="tx1"/>
                  </w14:solidFill>
                </w14:textFill>
              </w:rPr>
              <w:t>昌吉回族自治州城乡规划委员会办公室</w:t>
            </w:r>
          </w:p>
          <w:p>
            <w:pPr>
              <w:keepNext w:val="0"/>
              <w:keepLines w:val="0"/>
              <w:pageBreakBefore w:val="0"/>
              <w:widowControl w:val="0"/>
              <w:kinsoku/>
              <w:wordWrap/>
              <w:overflowPunct/>
              <w:topLinePunct w:val="0"/>
              <w:autoSpaceDE w:val="0"/>
              <w:autoSpaceDN w:val="0"/>
              <w:bidi w:val="0"/>
              <w:adjustRightInd/>
              <w:snapToGrid/>
              <w:spacing w:line="360" w:lineRule="auto"/>
              <w:ind w:firstLine="458" w:firstLineChars="200"/>
              <w:jc w:val="left"/>
              <w:textAlignment w:val="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0"/>
                <w:sz w:val="24"/>
                <w:highlight w:val="none"/>
                <w:lang w:val="en-US"/>
                <w14:textFill>
                  <w14:solidFill>
                    <w14:schemeClr w14:val="tx1"/>
                  </w14:solidFill>
                </w14:textFill>
              </w:rPr>
              <w:t>审查文件名称及文号：</w:t>
            </w:r>
            <w:r>
              <w:rPr>
                <w:rFonts w:hint="default" w:ascii="Times New Roman" w:hAnsi="Times New Roman" w:eastAsia="宋体" w:cs="Times New Roman"/>
                <w:color w:val="000000" w:themeColor="text1"/>
                <w:spacing w:val="-6"/>
                <w:kern w:val="0"/>
                <w:sz w:val="24"/>
                <w:highlight w:val="none"/>
                <w:lang w:val="en-US"/>
                <w14:textFill>
                  <w14:solidFill>
                    <w14:schemeClr w14:val="tx1"/>
                  </w14:solidFill>
                </w14:textFill>
              </w:rPr>
              <w:t>《昌吉回族自治州城乡规划委员会2015年第八次会议纪要》（昌州规</w:t>
            </w:r>
            <w:r>
              <w:rPr>
                <w:rFonts w:hint="default" w:ascii="Times New Roman" w:hAnsi="Times New Roman" w:eastAsia="宋体" w:cs="Times New Roman"/>
                <w:color w:val="000000" w:themeColor="text1"/>
                <w:kern w:val="0"/>
                <w:sz w:val="24"/>
                <w:highlight w:val="none"/>
                <w:lang w:val="en-US"/>
                <w14:textFill>
                  <w14:solidFill>
                    <w14:schemeClr w14:val="tx1"/>
                  </w14:solidFill>
                </w14:textFill>
              </w:rPr>
              <w:t>委</w:t>
            </w:r>
            <w:r>
              <w:rPr>
                <w:rFonts w:hint="eastAsia" w:ascii="Times New Roman" w:hAnsi="Times New Roman" w:eastAsia="宋体" w:cs="Times New Roman"/>
                <w:color w:val="000000" w:themeColor="text1"/>
                <w:kern w:val="0"/>
                <w:sz w:val="24"/>
                <w:highlight w:val="none"/>
                <w:lang w:val="en-US"/>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14:textFill>
                  <w14:solidFill>
                    <w14:schemeClr w14:val="tx1"/>
                  </w14:solidFill>
                </w14:textFill>
              </w:rPr>
              <w:t>2015</w:t>
            </w:r>
            <w:r>
              <w:rPr>
                <w:rFonts w:hint="eastAsia" w:ascii="Times New Roman" w:hAnsi="Times New Roman" w:eastAsia="宋体" w:cs="Times New Roman"/>
                <w:color w:val="000000" w:themeColor="text1"/>
                <w:kern w:val="0"/>
                <w:sz w:val="24"/>
                <w:highlight w:val="none"/>
                <w:lang w:val="en-US"/>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14:textFill>
                  <w14:solidFill>
                    <w14:schemeClr w14:val="tx1"/>
                  </w14:solidFill>
                </w14:textFill>
              </w:rPr>
              <w:t>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规划环境影响</w:t>
            </w:r>
          </w:p>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评价情况</w:t>
            </w:r>
          </w:p>
        </w:tc>
        <w:tc>
          <w:tcPr>
            <w:tcW w:w="6488"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14:textFill>
                  <w14:solidFill>
                    <w14:schemeClr w14:val="tx1"/>
                  </w14:solidFill>
                </w14:textFill>
              </w:rPr>
              <w:t>规划环境影响评价名称：</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highlight w:val="none"/>
                <w:lang w:val="en-US"/>
                <w14:textFill>
                  <w14:solidFill>
                    <w14:schemeClr w14:val="tx1"/>
                  </w14:solidFill>
                </w14:textFill>
              </w:rPr>
              <w:t>新疆木垒民生工业</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园</w:t>
            </w:r>
            <w:r>
              <w:rPr>
                <w:rFonts w:hint="default" w:ascii="Times New Roman" w:hAnsi="Times New Roman" w:cs="Times New Roman"/>
                <w:color w:val="000000" w:themeColor="text1"/>
                <w:kern w:val="0"/>
                <w:sz w:val="24"/>
                <w:highlight w:val="none"/>
                <w:lang w:val="en-US"/>
                <w14:textFill>
                  <w14:solidFill>
                    <w14:schemeClr w14:val="tx1"/>
                  </w14:solidFill>
                </w14:textFill>
              </w:rPr>
              <w:t>区总体规</w:t>
            </w:r>
            <w:r>
              <w:rPr>
                <w:rFonts w:hint="default" w:ascii="Times New Roman" w:hAnsi="Times New Roman" w:cs="Times New Roman"/>
                <w:b w:val="0"/>
                <w:bCs w:val="0"/>
                <w:color w:val="000000" w:themeColor="text1"/>
                <w:kern w:val="0"/>
                <w:sz w:val="24"/>
                <w:highlight w:val="none"/>
                <w:lang w:val="en-US"/>
                <w14:textFill>
                  <w14:solidFill>
                    <w14:schemeClr w14:val="tx1"/>
                  </w14:solidFill>
                </w14:textFill>
              </w:rPr>
              <w:t>划(2014-2030年)</w:t>
            </w:r>
            <w:r>
              <w:rPr>
                <w:rFonts w:hint="default" w:ascii="Times New Roman" w:hAnsi="Times New Roman" w:eastAsia="宋体" w:cs="Times New Roman"/>
                <w:b w:val="0"/>
                <w:bCs w:val="0"/>
                <w:color w:val="000000" w:themeColor="text1"/>
                <w:kern w:val="0"/>
                <w:sz w:val="24"/>
                <w:highlight w:val="none"/>
                <w:lang w:val="en-US"/>
                <w14:textFill>
                  <w14:solidFill>
                    <w14:schemeClr w14:val="tx1"/>
                  </w14:solidFill>
                </w14:textFill>
              </w:rPr>
              <w:t>环境影响</w:t>
            </w:r>
            <w:r>
              <w:rPr>
                <w:rFonts w:hint="eastAsia"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报告书</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default" w:ascii="Times New Roman" w:hAnsi="Times New Roman" w:cs="Times New Roman"/>
                <w:color w:val="000000" w:themeColor="text1"/>
                <w:kern w:val="0"/>
                <w:sz w:val="24"/>
                <w:highlight w:val="none"/>
                <w:lang w:val="en-US"/>
                <w14:textFill>
                  <w14:solidFill>
                    <w14:schemeClr w14:val="tx1"/>
                  </w14:solidFill>
                </w14:textFill>
              </w:rPr>
            </w:pPr>
            <w:r>
              <w:rPr>
                <w:rFonts w:hint="default" w:ascii="Times New Roman" w:hAnsi="Times New Roman" w:cs="Times New Roman"/>
                <w:b/>
                <w:bCs/>
                <w:color w:val="000000" w:themeColor="text1"/>
                <w:kern w:val="0"/>
                <w:sz w:val="24"/>
                <w:highlight w:val="none"/>
                <w:lang w:val="en-US"/>
                <w14:textFill>
                  <w14:solidFill>
                    <w14:schemeClr w14:val="tx1"/>
                  </w14:solidFill>
                </w14:textFill>
              </w:rPr>
              <w:t>规划</w:t>
            </w:r>
            <w:r>
              <w:rPr>
                <w:rFonts w:hint="default" w:ascii="Times New Roman" w:hAnsi="Times New Roman" w:eastAsia="宋体" w:cs="Times New Roman"/>
                <w:b/>
                <w:bCs/>
                <w:color w:val="000000" w:themeColor="text1"/>
                <w:kern w:val="0"/>
                <w:sz w:val="24"/>
                <w:highlight w:val="none"/>
                <w:lang w:val="en-US"/>
                <w14:textFill>
                  <w14:solidFill>
                    <w14:schemeClr w14:val="tx1"/>
                  </w14:solidFill>
                </w14:textFill>
              </w:rPr>
              <w:t>环评</w:t>
            </w:r>
            <w:r>
              <w:rPr>
                <w:rFonts w:hint="default" w:ascii="Times New Roman" w:hAnsi="Times New Roman" w:cs="Times New Roman"/>
                <w:b/>
                <w:bCs/>
                <w:color w:val="000000" w:themeColor="text1"/>
                <w:kern w:val="0"/>
                <w:sz w:val="24"/>
                <w:highlight w:val="none"/>
                <w:lang w:val="en-US"/>
                <w14:textFill>
                  <w14:solidFill>
                    <w14:schemeClr w14:val="tx1"/>
                  </w14:solidFill>
                </w14:textFill>
              </w:rPr>
              <w:t>审批情况及审批单位：</w:t>
            </w:r>
            <w:r>
              <w:rPr>
                <w:rFonts w:hint="default" w:ascii="Times New Roman" w:hAnsi="Times New Roman" w:cs="Times New Roman"/>
                <w:color w:val="000000" w:themeColor="text1"/>
                <w:kern w:val="0"/>
                <w:sz w:val="24"/>
                <w:highlight w:val="none"/>
                <w:lang w:val="en-US"/>
                <w14:textFill>
                  <w14:solidFill>
                    <w14:schemeClr w14:val="tx1"/>
                  </w14:solidFill>
                </w14:textFill>
              </w:rPr>
              <w:t>新疆维吾尔自治区</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环境保护厅</w:t>
            </w:r>
            <w:r>
              <w:rPr>
                <w:rFonts w:hint="default" w:ascii="Times New Roman" w:hAnsi="Times New Roman" w:cs="Times New Roman"/>
                <w:color w:val="000000" w:themeColor="text1"/>
                <w:kern w:val="0"/>
                <w:sz w:val="24"/>
                <w:highlight w:val="none"/>
                <w:lang w:val="en-US"/>
                <w14:textFill>
                  <w14:solidFill>
                    <w14:schemeClr w14:val="tx1"/>
                  </w14:solidFill>
                </w14:textFill>
              </w:rPr>
              <w:t>于</w:t>
            </w:r>
            <w:r>
              <w:rPr>
                <w:rFonts w:hint="default" w:ascii="Times New Roman" w:hAnsi="Times New Roman" w:cs="Times New Roman"/>
                <w:color w:val="000000" w:themeColor="text1"/>
                <w:spacing w:val="-11"/>
                <w:kern w:val="0"/>
                <w:sz w:val="24"/>
                <w:highlight w:val="none"/>
                <w:lang w:val="en-US"/>
                <w14:textFill>
                  <w14:solidFill>
                    <w14:schemeClr w14:val="tx1"/>
                  </w14:solidFill>
                </w14:textFill>
              </w:rPr>
              <w:t>201</w:t>
            </w:r>
            <w:r>
              <w:rPr>
                <w:rFonts w:hint="eastAsia" w:ascii="Times New Roman" w:hAnsi="Times New Roman" w:cs="Times New Roman"/>
                <w:color w:val="000000" w:themeColor="text1"/>
                <w:spacing w:val="-11"/>
                <w:kern w:val="0"/>
                <w:sz w:val="24"/>
                <w:highlight w:val="none"/>
                <w:lang w:val="en-US" w:eastAsia="zh-CN"/>
                <w14:textFill>
                  <w14:solidFill>
                    <w14:schemeClr w14:val="tx1"/>
                  </w14:solidFill>
                </w14:textFill>
              </w:rPr>
              <w:t>7</w:t>
            </w:r>
            <w:r>
              <w:rPr>
                <w:rFonts w:hint="default" w:ascii="Times New Roman" w:hAnsi="Times New Roman" w:cs="Times New Roman"/>
                <w:color w:val="000000" w:themeColor="text1"/>
                <w:spacing w:val="-11"/>
                <w:kern w:val="0"/>
                <w:sz w:val="24"/>
                <w:highlight w:val="none"/>
                <w:lang w:val="en-US"/>
                <w14:textFill>
                  <w14:solidFill>
                    <w14:schemeClr w14:val="tx1"/>
                  </w14:solidFill>
                </w14:textFill>
              </w:rPr>
              <w:t>年7月批准了</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highlight w:val="none"/>
                <w:lang w:val="en-US"/>
                <w14:textFill>
                  <w14:solidFill>
                    <w14:schemeClr w14:val="tx1"/>
                  </w14:solidFill>
                </w14:textFill>
              </w:rPr>
              <w:t>新疆木垒民生工业</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园</w:t>
            </w:r>
            <w:r>
              <w:rPr>
                <w:rFonts w:hint="default" w:ascii="Times New Roman" w:hAnsi="Times New Roman" w:cs="Times New Roman"/>
                <w:color w:val="000000" w:themeColor="text1"/>
                <w:kern w:val="0"/>
                <w:sz w:val="24"/>
                <w:highlight w:val="none"/>
                <w:lang w:val="en-US"/>
                <w14:textFill>
                  <w14:solidFill>
                    <w14:schemeClr w14:val="tx1"/>
                  </w14:solidFill>
                </w14:textFill>
              </w:rPr>
              <w:t>区总体规</w:t>
            </w:r>
            <w:r>
              <w:rPr>
                <w:rFonts w:hint="default" w:ascii="Times New Roman" w:hAnsi="Times New Roman" w:cs="Times New Roman"/>
                <w:b w:val="0"/>
                <w:bCs w:val="0"/>
                <w:color w:val="000000" w:themeColor="text1"/>
                <w:kern w:val="0"/>
                <w:sz w:val="24"/>
                <w:highlight w:val="none"/>
                <w:lang w:val="en-US"/>
                <w14:textFill>
                  <w14:solidFill>
                    <w14:schemeClr w14:val="tx1"/>
                  </w14:solidFill>
                </w14:textFill>
              </w:rPr>
              <w:t>划(2014-2030年)</w:t>
            </w:r>
            <w:r>
              <w:rPr>
                <w:rFonts w:hint="default" w:ascii="Times New Roman" w:hAnsi="Times New Roman" w:eastAsia="宋体" w:cs="Times New Roman"/>
                <w:b w:val="0"/>
                <w:bCs w:val="0"/>
                <w:color w:val="000000" w:themeColor="text1"/>
                <w:kern w:val="0"/>
                <w:sz w:val="24"/>
                <w:highlight w:val="none"/>
                <w:lang w:val="en-US"/>
                <w14:textFill>
                  <w14:solidFill>
                    <w14:schemeClr w14:val="tx1"/>
                  </w14:solidFill>
                </w14:textFill>
              </w:rPr>
              <w:t>环境影响</w:t>
            </w:r>
            <w:r>
              <w:rPr>
                <w:rFonts w:hint="eastAsia"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报告书</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8" w:firstLineChars="200"/>
              <w:textAlignment w:val="auto"/>
              <w:rPr>
                <w:rFonts w:ascii="宋体" w:hAnsi="宋体" w:cs="宋体"/>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0"/>
                <w:sz w:val="24"/>
                <w:highlight w:val="none"/>
                <w:lang w:val="en-US"/>
                <w14:textFill>
                  <w14:solidFill>
                    <w14:schemeClr w14:val="tx1"/>
                  </w14:solidFill>
                </w14:textFill>
              </w:rPr>
              <w:t>审查文件名称及文号：</w:t>
            </w:r>
            <w:r>
              <w:rPr>
                <w:rFonts w:hint="default" w:ascii="Times New Roman" w:hAnsi="Times New Roman" w:cs="Times New Roman"/>
                <w:color w:val="000000" w:themeColor="text1"/>
                <w:kern w:val="0"/>
                <w:sz w:val="24"/>
                <w:highlight w:val="none"/>
                <w:lang w:val="en-US"/>
                <w14:textFill>
                  <w14:solidFill>
                    <w14:schemeClr w14:val="tx1"/>
                  </w14:solidFill>
                </w14:textFill>
              </w:rPr>
              <w:t>关于新疆木垒民生工业</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园</w:t>
            </w:r>
            <w:r>
              <w:rPr>
                <w:rFonts w:hint="default" w:ascii="Times New Roman" w:hAnsi="Times New Roman" w:cs="Times New Roman"/>
                <w:color w:val="000000" w:themeColor="text1"/>
                <w:kern w:val="0"/>
                <w:sz w:val="24"/>
                <w:highlight w:val="none"/>
                <w:lang w:val="en-US"/>
                <w14:textFill>
                  <w14:solidFill>
                    <w14:schemeClr w14:val="tx1"/>
                  </w14:solidFill>
                </w14:textFill>
              </w:rPr>
              <w:t>区总体规划(2014-2030年)环境影响报告书的审查意见</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（新环函</w:t>
            </w:r>
            <w:r>
              <w:rPr>
                <w:rFonts w:hint="eastAsia" w:ascii="Times New Roman" w:hAnsi="Times New Roman" w:eastAsia="宋体" w:cs="Times New Roman"/>
                <w:color w:val="000000" w:themeColor="text1"/>
                <w:kern w:val="0"/>
                <w:sz w:val="24"/>
                <w:highlight w:val="none"/>
                <w:lang w:val="en-US"/>
                <w14:textFill>
                  <w14:solidFill>
                    <w14:schemeClr w14:val="tx1"/>
                  </w14:solidFill>
                </w14:textFill>
              </w:rPr>
              <w:t>[</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2017</w:t>
            </w:r>
            <w:r>
              <w:rPr>
                <w:rFonts w:hint="eastAsia" w:ascii="Times New Roman" w:hAnsi="Times New Roman" w:eastAsia="宋体" w:cs="Times New Roman"/>
                <w:color w:val="000000" w:themeColor="text1"/>
                <w:kern w:val="0"/>
                <w:sz w:val="24"/>
                <w:highlight w:val="none"/>
                <w:lang w:val="en-US"/>
                <w14:textFill>
                  <w14:solidFill>
                    <w14:schemeClr w14:val="tx1"/>
                  </w14:solidFill>
                </w14:textFill>
              </w:rPr>
              <w:t>]</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1169号）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82" w:type="dxa"/>
            <w:vAlign w:val="center"/>
          </w:tcPr>
          <w:p>
            <w:pPr>
              <w:autoSpaceDE w:val="0"/>
              <w:autoSpaceDN w:val="0"/>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规划及规划环境</w:t>
            </w:r>
          </w:p>
          <w:p>
            <w:pPr>
              <w:autoSpaceDE w:val="0"/>
              <w:autoSpaceDN w:val="0"/>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影响评价符合性分析</w:t>
            </w:r>
          </w:p>
        </w:tc>
        <w:tc>
          <w:tcPr>
            <w:tcW w:w="6488" w:type="dxa"/>
            <w:gridSpan w:val="3"/>
            <w:vAlign w:val="center"/>
          </w:tcPr>
          <w:p>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0" w:firstLineChars="0"/>
              <w:jc w:val="both"/>
              <w:textAlignment w:val="auto"/>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1、与</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《木垒县民生工业园区总体规划(2014-2030年)》及审查意见</w:t>
            </w: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的</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符合性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（1）规划的符合性分析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《木垒县民生工业园区总体规划(2014-2030年)》</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，木垒民生工业园区(四区)新能源装备制造区位于县城北侧，南邻奇木高速，X192两侧。规划建设用地面积约为458.40公顷，规划控制用地范围472.64公顷。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四区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规</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划</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结构与功</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能</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布局规划</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四区结合现状地形与项目用地分布</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情</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况，合理利用资源，将四区确定为</w:t>
            </w:r>
            <w:r>
              <w:rPr>
                <w:rFonts w:hint="eastAsia" w:ascii="宋体" w:hAnsi="宋体" w:eastAsia="宋体" w:cs="宋体"/>
                <w:color w:val="000000" w:themeColor="text1"/>
                <w:kern w:val="0"/>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一轴</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一心</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一组团</w:t>
            </w:r>
            <w:r>
              <w:rPr>
                <w:rFonts w:hint="eastAsia" w:ascii="宋体" w:hAnsi="宋体" w:eastAsia="宋体" w:cs="宋体"/>
                <w:color w:val="000000" w:themeColor="text1"/>
                <w:kern w:val="0"/>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一轴为主要空间联系轴。X192作为园区的主要对外道</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路</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。产业用地沿道</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路</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两侧展开布</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置</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一心</w:t>
            </w:r>
            <w:r>
              <w:rPr>
                <w:rFonts w:hint="eastAsia" w:ascii="宋体" w:hAnsi="宋体" w:eastAsia="宋体" w:cs="宋体"/>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为公共服务配套中心。规划在</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X</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192西侧布</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置，</w:t>
            </w:r>
            <w:r>
              <w:rPr>
                <w:rFonts w:hint="eastAsia" w:ascii="宋体" w:hAnsi="宋体" w:eastAsia="宋体" w:cs="宋体"/>
                <w:color w:val="000000" w:themeColor="text1"/>
                <w:kern w:val="0"/>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一</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组团</w:t>
            </w:r>
            <w:r>
              <w:rPr>
                <w:rFonts w:hint="eastAsia" w:ascii="宋体" w:hAnsi="宋体" w:eastAsia="宋体" w:cs="宋体"/>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为专用设备制造、机械制造产业组团。</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主要以风电、光伏等特种设备制造、机械产品加工制造为主。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本项目厂址位于木垒民生工业园区(四区)</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新型产业及轻工业区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，属于</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光伏等特种设备制造、机械产品加工制造</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，厂址位于发展备用地；不违背</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木垒县民生工业园区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布局规划。</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本项目厂址用地性质属于</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位于木垒县民生工业园区规划的二类工业用地，符合木垒县民生工业园区的用地规划。项目在园区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用地</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规划中的位置见附图</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项目在园区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功能分区</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规划中的位置</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见</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附图</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（2）规划</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审查意见</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kern w:val="0"/>
                <w:sz w:val="24"/>
                <w:highlight w:val="none"/>
                <w:lang w:val="en-US"/>
                <w14:textFill>
                  <w14:solidFill>
                    <w14:schemeClr w14:val="tx1"/>
                  </w14:solidFill>
                </w14:textFill>
              </w:rPr>
              <w:t>《昌吉回族自治州城乡规划委员会2015年第八次会议纪要》</w:t>
            </w:r>
            <w:r>
              <w:rPr>
                <w:rFonts w:hint="eastAsia" w:ascii="Times New Roman" w:hAnsi="Times New Roman" w:eastAsia="宋体" w:cs="Times New Roman"/>
                <w:color w:val="000000" w:themeColor="text1"/>
                <w:spacing w:val="-6"/>
                <w:kern w:val="0"/>
                <w:sz w:val="24"/>
                <w:highlight w:val="none"/>
                <w:lang w:val="en-US" w:eastAsia="zh-CN"/>
                <w14:textFill>
                  <w14:solidFill>
                    <w14:schemeClr w14:val="tx1"/>
                  </w14:solidFill>
                </w14:textFill>
              </w:rPr>
              <w:t>要求，</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木垒县民生工业园区总体规划(2014-2030年)</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应结合资源优势，谋划工业园区建设，切实发挥改善民生作用</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园区布局尽可能集中紧凑，减少基础设施投入和运营成本</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园区规划二区应深入考虑产业节水</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p>
          <w:p>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both"/>
              <w:textAlignment w:val="auto"/>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本项目厂址位于木垒民生工业园区(四区)</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新型产业及轻工业区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，供暖、供水、供电由园区供应，污水排入园区污水处理站处理，充分使用了园区的</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基础设施</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，与规划</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审查意见</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相符。</w:t>
            </w:r>
          </w:p>
          <w:p>
            <w:pPr>
              <w:pStyle w:val="9"/>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2、与</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《新疆木垒民生工业</w:t>
            </w: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园</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区总体规划(2014-2030年)环境影响</w:t>
            </w: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报告书</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》及审查意见</w:t>
            </w: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的</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符合性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（1）规划环评的符合性分析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新疆木垒民生工业园区位于新疆木垒县，共分为四个区，分别为农副产品加工及民族特色旅游产业区、农畜产品及食品加工区、矿产资源综合利用加工及物流园区、新型产业及轻工业区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型产业及轻工业区属于县城边缘型工业园，以风光电清洁能源制造业及轻工业制造为主导，具有一定污染性。空间模式为纯产业区模式，在用地结构上考虑产业用地比例为主。生活服务用地为辅，并且可共享城镇的公共服务设施和基础设施，与主城区的空间交易成本较低。</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新型产业及轻工业区可以利用木垒及周边地区的光伏、风电项目，建设开发装备制造</w:t>
            </w:r>
            <w:r>
              <w:rPr>
                <w:rFonts w:hint="eastAsia" w:cs="Times New Roman"/>
                <w:color w:val="000000" w:themeColor="text1"/>
                <w:kern w:val="0"/>
                <w:sz w:val="24"/>
                <w:highlight w:val="none"/>
                <w:lang w:val="en-US" w:eastAsia="zh-CN"/>
                <w14:textFill>
                  <w14:solidFill>
                    <w14:schemeClr w14:val="tx1"/>
                  </w14:solidFill>
                </w14:textFill>
              </w:rPr>
              <w:t>加工</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业及轻工业产品加工制造。</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本项目厂址位于木垒民生工业园区(四区)</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新型产业及轻工业区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，属于</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光伏等特种设备制造、机械产品加工制造</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，符合园区定位，与规划环评相符。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（2）规划环评</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审查意见</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修编后的《新疆木垒民生工业园区总体规划(2014-2030年)》(以下简称《园区总规》)规划区建设用地总面积调整为9.6144平方公里。园区包括四个区，分别为农副产品加工及民族特色旅游产业区、农畜产品及食品加工区、矿产资源综合利用加工及物流园区、新型产业及轻工业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cs="Times New Roman"/>
                <w:color w:val="000000" w:themeColor="text1"/>
                <w:kern w:val="0"/>
                <w:sz w:val="24"/>
                <w:highlight w:val="none"/>
                <w:lang w:val="en-US" w:eastAsia="zh-CN"/>
                <w14:textFill>
                  <w14:solidFill>
                    <w14:schemeClr w14:val="tx1"/>
                  </w14:solidFill>
                </w14:textFill>
              </w:rPr>
              <w:t>（一）</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新型产业及轻工业区，位于木垒县城北侧约10公里处，南邻奇木高速、县道X192线两侧区域，规划建设用地面积为3.5171平方公里，主要发展装备制造和轻工业。</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本项目厂址位于木垒民生工业园区(四区)</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新型产业及轻工业区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，属于</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光伏等特种设备制造、机械产品加工制造</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，符合园区定位。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二)严守生态保护红线，优化园区产业结构、空间布局，促进园区产业集约与绿色发展。结合区域发展方向、人口分布及环境保护等要求，按照《报告书》提出的空间管控距离控制园区和木垒县城规划边界，农副产品加工及民族特色旅游产业区西侧边界与木垒县城规划边界已基本相接，须根据居民点等环境保护目标分布情况合理控制企业布局，农副产品加工及民族特色旅游产业区内不宜布局环境空气污染严重或与其产业定位不符的企业，以减少园区内企业大气污染对县城区域环境空气的影响。合理确定坎儿井、古城遗迹、细石器遗址、沙河子驿站遗址、大浪沙河、白杨河、公路、输油(气)管道、输水管道及光缆通讯电力设施防护廊道禁止建设区域范围。加强《园区总规》与木垒县城总体规划、土地利用总体规划的协调和衔接</w:t>
            </w:r>
            <w:r>
              <w:rPr>
                <w:rFonts w:hint="eastAsia"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《园区总规》建设用地范围、布局和结构应根据城市总体规划、土地利用总体规划等进行优化调整。制定并落实园区内现有不符合园区规划功能布局的企业搬迁、关停计划。</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本项目厂址位于木垒民生工业园区(四区)</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新型产业及轻工业区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，不涉及生态红线，根据附件1木垒哈萨克自治县自然资源局的规划条件通知书，用地使用性质为工业用地，符合</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木垒县城总体规划</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，符合园区定位。</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（三）</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坚守环境质量底线，严格污染物总量管控。根据规划区域及周边环境质量现状和目标，确定区域污染物排放总量上限。落实园区煤炭及其他颗粒状物料储运全封闭防尘措施，采取有效措施减少二氧化硫、氮氧化物、挥发性有机物、臭气、颗粒物、化学需氧量、氨氮等污染物的排放量，确保实现区域环境质量改善目标，各类大气污染物排放须满足国家和自治区现行污染物排放标准要求</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本项目污水排入园区污水处理站处理，切割、焊接颗粒物经</w:t>
            </w:r>
            <w:r>
              <w:rPr>
                <w:rFonts w:hint="eastAsia" w:cs="Times New Roman"/>
                <w:color w:val="000000" w:themeColor="text1"/>
                <w:kern w:val="0"/>
                <w:sz w:val="24"/>
                <w:highlight w:val="none"/>
                <w:lang w:val="en-US" w:eastAsia="zh-CN"/>
                <w14:textFill>
                  <w14:solidFill>
                    <w14:schemeClr w14:val="tx1"/>
                  </w14:solidFill>
                </w14:textFill>
              </w:rPr>
              <w:t>移动式焊接烟尘净化器</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处理后</w:t>
            </w:r>
            <w:r>
              <w:rPr>
                <w:rFonts w:hint="eastAsia"/>
                <w:color w:val="000000" w:themeColor="text1"/>
                <w:sz w:val="24"/>
                <w:szCs w:val="24"/>
                <w:highlight w:val="none"/>
                <w:lang w:val="en-US" w:eastAsia="zh-CN"/>
                <w14:textFill>
                  <w14:solidFill>
                    <w14:schemeClr w14:val="tx1"/>
                  </w14:solidFill>
                </w14:textFill>
              </w:rPr>
              <w:t>由排气扇排至厂房外无组织排放</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，抛丸除锈粉尘经封闭负压状态收集后经引风机引至沉降除尘器+滤筒除尘器处理，处理后废气经20m高排气(DA00</w:t>
            </w:r>
            <w:r>
              <w:rPr>
                <w:rFonts w:hint="eastAsia" w:cs="Times New Roman"/>
                <w:color w:val="000000" w:themeColor="text1"/>
                <w:kern w:val="0"/>
                <w:sz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）排放。</w:t>
            </w:r>
            <w:r>
              <w:rPr>
                <w:rFonts w:hint="eastAsia" w:cs="Times New Roman"/>
                <w:color w:val="000000" w:themeColor="text1"/>
                <w:kern w:val="0"/>
                <w:sz w:val="24"/>
                <w:highlight w:val="none"/>
                <w:lang w:val="en-US" w:eastAsia="zh-CN"/>
                <w14:textFill>
                  <w14:solidFill>
                    <w14:schemeClr w14:val="tx1"/>
                  </w14:solidFill>
                </w14:textFill>
              </w:rPr>
              <w:t>喷漆、烘干产生的废气</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经封闭负压状态收集后使用80K型活性炭吸附+脱附+催化燃烧处理设备（在线）处理，处理效率为90%以上，处理后废气经20m高排气(DA00</w:t>
            </w:r>
            <w:r>
              <w:rPr>
                <w:rFonts w:hint="eastAsia" w:cs="Times New Roman"/>
                <w:color w:val="000000" w:themeColor="text1"/>
                <w:kern w:val="0"/>
                <w:sz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）排放，</w:t>
            </w:r>
            <w:r>
              <w:rPr>
                <w:rFonts w:hint="eastAsia" w:cs="Times New Roman"/>
                <w:color w:val="000000" w:themeColor="text1"/>
                <w:kern w:val="0"/>
                <w:sz w:val="24"/>
                <w:highlight w:val="none"/>
                <w:lang w:val="en-US" w:eastAsia="zh-CN"/>
                <w14:textFill>
                  <w14:solidFill>
                    <w14:schemeClr w14:val="tx1"/>
                  </w14:solidFill>
                </w14:textFill>
              </w:rPr>
              <w:t>漆雾经封闭负压状态收集后使用DPA纸箱过滤器过滤后经20m高排气(DA002）</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排放。食堂油烟废气经过油烟机净化处理后通过烟道经</w:t>
            </w:r>
            <w:r>
              <w:rPr>
                <w:rFonts w:hint="eastAsia" w:cs="Times New Roman"/>
                <w:color w:val="000000" w:themeColor="text1"/>
                <w:kern w:val="0"/>
                <w:sz w:val="24"/>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m</w:t>
            </w:r>
            <w:r>
              <w:rPr>
                <w:rFonts w:hint="eastAsia" w:cs="Times New Roman"/>
                <w:color w:val="000000" w:themeColor="text1"/>
                <w:kern w:val="0"/>
                <w:sz w:val="24"/>
                <w:highlight w:val="none"/>
                <w:lang w:val="en-US" w:eastAsia="zh-CN"/>
                <w14:textFill>
                  <w14:solidFill>
                    <w14:schemeClr w14:val="tx1"/>
                  </w14:solidFill>
                </w14:textFill>
              </w:rPr>
              <w:t>高</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排气筒(DA00</w:t>
            </w:r>
            <w:r>
              <w:rPr>
                <w:rFonts w:hint="eastAsia" w:cs="Times New Roman"/>
                <w:color w:val="000000" w:themeColor="text1"/>
                <w:kern w:val="0"/>
                <w:sz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)排放，</w:t>
            </w:r>
            <w:r>
              <w:rPr>
                <w:rFonts w:hint="eastAsia" w:cs="Times New Roman"/>
                <w:color w:val="000000" w:themeColor="text1"/>
                <w:kern w:val="0"/>
                <w:sz w:val="24"/>
                <w:highlight w:val="none"/>
                <w:lang w:val="en-US" w:eastAsia="zh-CN"/>
                <w14:textFill>
                  <w14:solidFill>
                    <w14:schemeClr w14:val="tx1"/>
                  </w14:solidFill>
                </w14:textFill>
              </w:rPr>
              <w:t>丝印废气</w:t>
            </w:r>
            <w:r>
              <w:rPr>
                <w:rFonts w:hint="eastAsia"/>
                <w:color w:val="000000" w:themeColor="text1"/>
                <w:sz w:val="24"/>
                <w:szCs w:val="24"/>
                <w:highlight w:val="none"/>
                <w:lang w:val="en-US" w:eastAsia="zh-CN"/>
                <w14:textFill>
                  <w14:solidFill>
                    <w14:schemeClr w14:val="tx1"/>
                  </w14:solidFill>
                </w14:textFill>
              </w:rPr>
              <w:t>由排气扇排至厂房外无组织排放，</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满足国家和自治区现行污染物排放标准要求</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四)结合区域资源消耗上线，落实环境准入负面清单管理要求。结合区域发展定位、开发布局、生态环境保护目标，以及供给侧结构性改革“去产能、去库存、去杠杆、降成本、补短板”等相关要求，制定规划园区鼓励发展的产业准入清单和禁止或限制准入清单(包括重要的生产工序和产品)，并在园区规划实施中推进落实。坚持实行入园企业环保准入审核制度，不符合产业政策、行业准入条件、自治区环境准入条件的项目以及与园区产业功能定位不符的“三高”项目一律不得入驻园区。对于入园的建设项目必须开展环境影响评价，严格执行建设项目“三同时”环境管理制度。严格控制用水总量、提高用水效率、合理控制排污</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严守水资源“三条红线”，依据水资源论证报告结论，以水定产、以水定量，优化调整园区的产业结构和规模。</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本项目厂址位于木垒民生工业园区(四区)</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新型产业及轻工业区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，属于</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光伏等特种设备制造、机械产品加工制造</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，符合园区定位，</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符合产业政策、行业准入条件</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自治区环境准入条件</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，本项目用水仅为生活用水，污水排入园区污水处理站，对水资源的影响不大。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(五)完善园区污水处理、固废集中处置(理)、集中供热等环境基础设施。按照“雨污分流</w:t>
            </w:r>
            <w:r>
              <w:rPr>
                <w:rFonts w:hint="eastAsia"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清污分流</w:t>
            </w:r>
            <w:r>
              <w:rPr>
                <w:rFonts w:hint="eastAsia"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污污分治”原则规划、设计和建设园区排水系统、废(污)水处理系统和中水回用系统，逐步建成完整的排水和中水回用系统。加快集中供热设施建设，依法淘汰取缔不符合环保准入条件的小型燃煤锅炉制定切实可行的一般固体废弃物综合利用方案，配套建设工业固废处置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严格按照国家有关规定进行危险废物贮存、处置和处理。园区污水处理、固废集中处置(理)、集中供热站等环境基础设施须在企业入园前建设完成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bCs/>
                <w:i w:val="0"/>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本项目污水排入园区污水处理站，供暖、供水、供电由园区供应，园区建设有完善的排水系统。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其他符合性分析</w:t>
            </w:r>
          </w:p>
        </w:tc>
        <w:tc>
          <w:tcPr>
            <w:tcW w:w="6488" w:type="dxa"/>
            <w:gridSpan w:val="3"/>
            <w:vAlign w:val="center"/>
          </w:tcPr>
          <w:p>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textAlignment w:val="auto"/>
              <w:outlineLvl w:val="0"/>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产业政策相符性分析</w:t>
            </w:r>
          </w:p>
          <w:p>
            <w:pPr>
              <w:pStyle w:val="41"/>
              <w:keepNext w:val="0"/>
              <w:keepLines w:val="0"/>
              <w:pageBreakBefore w:val="0"/>
              <w:kinsoku/>
              <w:wordWrap w:val="0"/>
              <w:overflowPunct/>
              <w:topLinePunct w:val="0"/>
              <w:autoSpaceDE/>
              <w:autoSpaceDN/>
              <w:bidi w:val="0"/>
              <w:adjustRightInd/>
              <w:snapToGrid/>
              <w:spacing w:line="360" w:lineRule="auto"/>
              <w:ind w:firstLine="456" w:firstLineChars="200"/>
              <w:jc w:val="both"/>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根据《产业结构调整指导目录(20</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24</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年本)》</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本项目属于</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第一类 鼓励类</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二十八、信息产业</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 xml:space="preserve">  7、</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电子元器件生产专用设备：半导体照明设备，太阳能光伏设备，片式元器件设备，新型动力电池设备，表面贴装设备（含钢网印刷机、自动贴片机、无铅回流焊、光电自动检查仪）等</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ascii="Times New Roman" w:eastAsia="宋体"/>
                <w:b w:val="0"/>
                <w:bCs w:val="0"/>
                <w:color w:val="000000" w:themeColor="text1"/>
                <w:szCs w:val="24"/>
                <w:highlight w:val="none"/>
                <w14:textFill>
                  <w14:solidFill>
                    <w14:schemeClr w14:val="tx1"/>
                  </w14:solidFill>
                </w14:textFill>
              </w:rPr>
              <w:t>符合国家当前的产业政策要求</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p>
          <w:p>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选址合理性分析</w:t>
            </w:r>
          </w:p>
          <w:p>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510"/>
              <w:jc w:val="both"/>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本项目位于新疆昌吉州</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木垒民生工业园区(四区)新能源装备制造区</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属于新建项目。项目所在地目前环境质量基本满足功能区划要求，厂址周围无自然保护区、名胜古迹、生活饮用水源地、生态脆弱敏感区和其他需要特殊保护的敏感目标。项目厂址外环境关系较为简单，无特殊环境敏感点。周边具备供水及供电接入条件。即项目区域基础设施较完善，供水、供电、通信等均能满足项目生产及员工生活要求。同时，项目不位于生态保护红线内；不占用林地和基本农田，项目选址符合“三线一单”空间布局约束要求，项目在采取本报告提出的污染防治措施后，污染物均能达标排放，对周围环境污染影响小，符合区域环境功能要求。本项目所在地不在《新疆维吾尔自治区主体功能区规划》中划定的重点开发区域、限制开发区域和禁止开发区域内，从环境保护角度分析，项目选址合理可行。</w:t>
            </w:r>
          </w:p>
          <w:p>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与《新疆维吾尔自治区“三线一单”生态环境分区管控方案》新政发[2021]18号的符合性分析</w:t>
            </w:r>
          </w:p>
          <w:p>
            <w:pPr>
              <w:keepNext w:val="0"/>
              <w:keepLines w:val="0"/>
              <w:pageBreakBefore w:val="0"/>
              <w:kinsoku/>
              <w:wordWrap w:val="0"/>
              <w:overflowPunct/>
              <w:topLinePunct w:val="0"/>
              <w:bidi w:val="0"/>
              <w:spacing w:line="360" w:lineRule="auto"/>
              <w:ind w:firstLine="456" w:firstLineChars="200"/>
              <w:jc w:val="left"/>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为贯彻落实《中共中央国务院关于全面加强生态环境保护坚决打好污染防治攻坚战的意见》和《自治区党委自治区人民政府关于全面加强生态环境保护坚决打好污染防治攻坚战实施方案》，按照生态环境部统一部署，自治区组织编制了“生态保护红线、环境质量底线、资源利用上线和生态环境准入清单”(以下简称“三线一单”)，现就实施“三线一单”生态环境分区管控。根据新疆维吾尔自治区人民政府办公厅新</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政发[2021]18号《关于印发《新疆维吾尔自</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治区“三线一单”生</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态环境分区管控方案》的通知》要求，项目与新政发[2021]18号文符合性分析见表</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1-1</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widowControl/>
              <w:kinsoku/>
              <w:overflowPunct/>
              <w:topLinePunct w:val="0"/>
              <w:bidi w:val="0"/>
              <w:spacing w:line="360" w:lineRule="auto"/>
              <w:jc w:val="center"/>
              <w:textAlignment w:val="auto"/>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表1-1</w:t>
            </w: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 xml:space="preserve"> 项目与新疆维吾尔自治区“三线一单”生态环境分区管控方案符合性分析一览表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1"/>
              <w:gridCol w:w="2019"/>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670" w:type="pct"/>
                  <w:vAlign w:val="center"/>
                </w:tcPr>
                <w:p>
                  <w:pPr>
                    <w:keepNext w:val="0"/>
                    <w:keepLines w:val="0"/>
                    <w:pageBreakBefore w:val="0"/>
                    <w:kinsoku/>
                    <w:wordWrap w:val="0"/>
                    <w:overflowPunct/>
                    <w:topLinePunct w:val="0"/>
                    <w:bidi w:val="0"/>
                    <w:spacing w:line="360" w:lineRule="auto"/>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“三线一单”要求</w:t>
                  </w:r>
                </w:p>
              </w:tc>
              <w:tc>
                <w:tcPr>
                  <w:tcW w:w="1613" w:type="pct"/>
                  <w:vAlign w:val="center"/>
                </w:tcPr>
                <w:p>
                  <w:pPr>
                    <w:keepNext w:val="0"/>
                    <w:keepLines w:val="0"/>
                    <w:pageBreakBefore w:val="0"/>
                    <w:kinsoku/>
                    <w:wordWrap w:val="0"/>
                    <w:overflowPunct/>
                    <w:topLinePunct w:val="0"/>
                    <w:bidi w:val="0"/>
                    <w:spacing w:line="360" w:lineRule="auto"/>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项目情况</w:t>
                  </w:r>
                </w:p>
              </w:tc>
              <w:tc>
                <w:tcPr>
                  <w:tcW w:w="716" w:type="pct"/>
                  <w:vAlign w:val="center"/>
                </w:tcPr>
                <w:p>
                  <w:pPr>
                    <w:keepNext w:val="0"/>
                    <w:keepLines w:val="0"/>
                    <w:pageBreakBefore w:val="0"/>
                    <w:kinsoku/>
                    <w:wordWrap w:val="0"/>
                    <w:overflowPunct/>
                    <w:topLinePunct w:val="0"/>
                    <w:bidi w:val="0"/>
                    <w:spacing w:line="360" w:lineRule="auto"/>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atLeast"/>
                <w:jc w:val="center"/>
              </w:trPr>
              <w:tc>
                <w:tcPr>
                  <w:tcW w:w="2670" w:type="pct"/>
                  <w:vAlign w:val="center"/>
                </w:tcPr>
                <w:p>
                  <w:pPr>
                    <w:keepNext w:val="0"/>
                    <w:keepLines w:val="0"/>
                    <w:pageBreakBefore w:val="0"/>
                    <w:kinsoku/>
                    <w:wordWrap w:val="0"/>
                    <w:overflowPunct/>
                    <w:topLinePunct w:val="0"/>
                    <w:bidi w:val="0"/>
                    <w:spacing w:line="360" w:lineRule="auto"/>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生态保护红线：按照“生态功能不降低、面积不减少、性质不改变”的基本要求，对划定的生态保护红线实施严格管控，保障和维护国家生态安全的底线和生命线。</w:t>
                  </w:r>
                </w:p>
              </w:tc>
              <w:tc>
                <w:tcPr>
                  <w:tcW w:w="1613" w:type="pct"/>
                  <w:vAlign w:val="center"/>
                </w:tcPr>
                <w:p>
                  <w:pPr>
                    <w:keepNext w:val="0"/>
                    <w:keepLines w:val="0"/>
                    <w:pageBreakBefore w:val="0"/>
                    <w:widowControl/>
                    <w:kinsoku/>
                    <w:overflowPunct/>
                    <w:topLinePunct w:val="0"/>
                    <w:bidi w:val="0"/>
                    <w:spacing w:line="360" w:lineRule="auto"/>
                    <w:jc w:val="left"/>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本项目不涉及自然保护区、饮用水源地保护区等生态保护目标，符合生态保护红线要求。</w:t>
                  </w:r>
                </w:p>
              </w:tc>
              <w:tc>
                <w:tcPr>
                  <w:tcW w:w="716" w:type="pct"/>
                  <w:vAlign w:val="center"/>
                </w:tcPr>
                <w:p>
                  <w:pPr>
                    <w:keepNext w:val="0"/>
                    <w:keepLines w:val="0"/>
                    <w:pageBreakBefore w:val="0"/>
                    <w:kinsoku/>
                    <w:wordWrap w:val="0"/>
                    <w:overflowPunct/>
                    <w:topLinePunct w:val="0"/>
                    <w:bidi w:val="0"/>
                    <w:spacing w:line="36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670" w:type="pct"/>
                  <w:vAlign w:val="center"/>
                </w:tcPr>
                <w:p>
                  <w:pPr>
                    <w:keepNext w:val="0"/>
                    <w:keepLines w:val="0"/>
                    <w:pageBreakBefore w:val="0"/>
                    <w:kinsoku/>
                    <w:wordWrap w:val="0"/>
                    <w:overflowPunct/>
                    <w:topLinePunct w:val="0"/>
                    <w:bidi w:val="0"/>
                    <w:spacing w:line="360" w:lineRule="auto"/>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环境质量底线：全区水环境质量持续改善，受污染地表水体得到有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tc>
              <w:tc>
                <w:tcPr>
                  <w:tcW w:w="1613" w:type="pct"/>
                  <w:vAlign w:val="center"/>
                </w:tcPr>
                <w:p>
                  <w:pPr>
                    <w:keepNext w:val="0"/>
                    <w:keepLines w:val="0"/>
                    <w:pageBreakBefore w:val="0"/>
                    <w:widowControl/>
                    <w:kinsoku/>
                    <w:overflowPunct/>
                    <w:topLinePunct w:val="0"/>
                    <w:bidi w:val="0"/>
                    <w:spacing w:line="360" w:lineRule="auto"/>
                    <w:jc w:val="left"/>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项目所在区域环境空气质量属于二类功能区，声环境属于3</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类功能区</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。本项目运营期产生的废气、废水均可达标排放；固废可得到妥善处理，本项目满足环境质量底线要求。</w:t>
                  </w:r>
                </w:p>
              </w:tc>
              <w:tc>
                <w:tcPr>
                  <w:tcW w:w="716" w:type="pct"/>
                  <w:vAlign w:val="center"/>
                </w:tcPr>
                <w:p>
                  <w:pPr>
                    <w:keepNext w:val="0"/>
                    <w:keepLines w:val="0"/>
                    <w:pageBreakBefore w:val="0"/>
                    <w:kinsoku/>
                    <w:wordWrap w:val="0"/>
                    <w:overflowPunct/>
                    <w:topLinePunct w:val="0"/>
                    <w:bidi w:val="0"/>
                    <w:spacing w:line="360" w:lineRule="auto"/>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6" w:hRule="atLeast"/>
                <w:jc w:val="center"/>
              </w:trPr>
              <w:tc>
                <w:tcPr>
                  <w:tcW w:w="2670" w:type="pct"/>
                  <w:vAlign w:val="center"/>
                </w:tcPr>
                <w:p>
                  <w:pPr>
                    <w:keepNext w:val="0"/>
                    <w:keepLines w:val="0"/>
                    <w:pageBreakBefore w:val="0"/>
                    <w:kinsoku/>
                    <w:wordWrap w:val="0"/>
                    <w:overflowPunct/>
                    <w:topLinePunct w:val="0"/>
                    <w:bidi w:val="0"/>
                    <w:spacing w:line="360" w:lineRule="auto"/>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资源利用上线：强化节约集约利用，持续提升资源能源利用效率，水资源、土地资源、能源消耗等达到国家、自治区下达的总量和强度控制目标。加快区域低碳发展，积极推动乌鲁木齐市、昌吉市、伊宁市、和田市等</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4</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个国家级低碳试点城市发挥低碳试点示范和引领作用</w:t>
                  </w:r>
                </w:p>
              </w:tc>
              <w:tc>
                <w:tcPr>
                  <w:tcW w:w="1613" w:type="pct"/>
                  <w:vAlign w:val="center"/>
                </w:tcPr>
                <w:p>
                  <w:pPr>
                    <w:keepNext w:val="0"/>
                    <w:keepLines w:val="0"/>
                    <w:pageBreakBefore w:val="0"/>
                    <w:kinsoku/>
                    <w:wordWrap w:val="0"/>
                    <w:overflowPunct/>
                    <w:topLinePunct w:val="0"/>
                    <w:bidi w:val="0"/>
                    <w:spacing w:line="360" w:lineRule="auto"/>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本项目水、电均依托</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园区</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现有基础设施，资源消耗量相对区域资源利用总量较小，符合资源利用上线要求。</w:t>
                  </w:r>
                </w:p>
              </w:tc>
              <w:tc>
                <w:tcPr>
                  <w:tcW w:w="716" w:type="pct"/>
                  <w:vAlign w:val="center"/>
                </w:tcPr>
                <w:p>
                  <w:pPr>
                    <w:keepNext w:val="0"/>
                    <w:keepLines w:val="0"/>
                    <w:pageBreakBefore w:val="0"/>
                    <w:kinsoku/>
                    <w:wordWrap w:val="0"/>
                    <w:overflowPunct/>
                    <w:topLinePunct w:val="0"/>
                    <w:bidi w:val="0"/>
                    <w:spacing w:line="360" w:lineRule="auto"/>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670" w:type="pct"/>
                  <w:vAlign w:val="center"/>
                </w:tcPr>
                <w:p>
                  <w:pPr>
                    <w:keepNext w:val="0"/>
                    <w:keepLines w:val="0"/>
                    <w:pageBreakBefore w:val="0"/>
                    <w:kinsoku/>
                    <w:wordWrap w:val="0"/>
                    <w:overflowPunct/>
                    <w:topLinePunct w:val="0"/>
                    <w:bidi w:val="0"/>
                    <w:spacing w:line="360" w:lineRule="auto"/>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生态环境准入清单：指基于环境管控单元，统筹考虑生态保护红线、环境质量底线、资源利用上线的管控要求，提出的空间布局、污染物排放、环境风险、资源开发利用等方面禁止和限制的环境准入要求。</w:t>
                  </w:r>
                </w:p>
              </w:tc>
              <w:tc>
                <w:tcPr>
                  <w:tcW w:w="1613" w:type="pct"/>
                  <w:vAlign w:val="center"/>
                </w:tcPr>
                <w:p>
                  <w:pPr>
                    <w:keepNext w:val="0"/>
                    <w:keepLines w:val="0"/>
                    <w:pageBreakBefore w:val="0"/>
                    <w:kinsoku/>
                    <w:wordWrap w:val="0"/>
                    <w:overflowPunct/>
                    <w:topLinePunct w:val="0"/>
                    <w:bidi w:val="0"/>
                    <w:spacing w:line="360" w:lineRule="auto"/>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本项目未列入《新疆重点生态功能区产业准入负面清单》中限制类和禁止类。</w:t>
                  </w:r>
                </w:p>
              </w:tc>
              <w:tc>
                <w:tcPr>
                  <w:tcW w:w="716" w:type="pct"/>
                  <w:vAlign w:val="center"/>
                </w:tcPr>
                <w:p>
                  <w:pPr>
                    <w:keepNext w:val="0"/>
                    <w:keepLines w:val="0"/>
                    <w:pageBreakBefore w:val="0"/>
                    <w:kinsoku/>
                    <w:wordWrap w:val="0"/>
                    <w:overflowPunct/>
                    <w:topLinePunct w:val="0"/>
                    <w:bidi w:val="0"/>
                    <w:spacing w:line="360" w:lineRule="auto"/>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bl>
          <w:p>
            <w:pPr>
              <w:pStyle w:val="9"/>
              <w:keepNext w:val="0"/>
              <w:keepLines w:val="0"/>
              <w:pageBreakBefore w:val="0"/>
              <w:kinsoku/>
              <w:wordWrap/>
              <w:overflowPunct/>
              <w:topLinePunct w:val="0"/>
              <w:bidi w:val="0"/>
              <w:snapToGrid/>
              <w:spacing w:before="0" w:after="0" w:line="360" w:lineRule="auto"/>
              <w:ind w:right="0"/>
              <w:jc w:val="both"/>
              <w:textAlignment w:val="auto"/>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与昌吉回族自治州“三线一单”生态环境分区管控方案及生态环境准入清单符合性分析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根据《关于</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昌吉回族自治州“三线一单”生态环境分区管控方案及生态环境准入清单</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的公告》（昌州政办发[2021]41号）文件，其主要目标如下：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——到2025年，全州生态环境质量总体改善，环境风险得到有效管控。建立较为完善的生态环境分区管控体系与数据信息应用机制和共享系统，生态环境治理体系和治理能力现代化取得显著进展。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生态保护红线。按照“生态功能不降低、面积不减少、性质不改变”的基本要求，生态空间得到优化和保护，生态保护红线得到严格管控。生态功能保持稳定，生物多样性水平稳步提升，生态空间保护体系基本建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环境质量底线。全州环境空气质量有所提升，重污染天数持续减少，已达标城市环境空气质量保持稳定，未达标城市环境空气质量持续改善；全州河流、湖库及城镇集中式饮用水水源地水质稳中向好。地下水质量考核点位水质级别保持稳定，地下水污染风险得到有效控制，地下水超采得到严格控制；全州土壤环境质量保持稳定，污染地块安全利用水平稳中有升，土壤环境风险得到进一步管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资源利用上线。强化节约集约利用，持续提升资源能源利用效率，水资源、土地资源、能源消耗等达到自治区、自治州下达的总量和强度控制目标。加快区域低碳发展，积极推动昌吉市国家级低碳试点城市发挥低碳试点示范和引领作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到2035年，全州生态环境质量实现根本好转，节约资源和保护生态环境的空间格局、产业结构、生产方式、生活方式总体形成，生态系统健康和人群健康得到充分保障，环境经济实现良性循环。</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根据《昌吉回族自治州“三线一单”生态环境分区管控方案》，本项目属于重点管控单元</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color w:val="000000" w:themeColor="text1"/>
                <w:spacing w:val="-6"/>
                <w:sz w:val="24"/>
                <w:szCs w:val="24"/>
                <w:highlight w:val="none"/>
                <w14:textFill>
                  <w14:solidFill>
                    <w14:schemeClr w14:val="tx1"/>
                  </w14:solidFill>
                </w14:textFill>
              </w:rPr>
              <w:t>ZH65232820002</w:t>
            </w:r>
            <w:r>
              <w:rPr>
                <w:color w:val="000000" w:themeColor="text1"/>
                <w:spacing w:val="-4"/>
                <w:sz w:val="24"/>
                <w:szCs w:val="24"/>
                <w:highlight w:val="none"/>
                <w14:textFill>
                  <w14:solidFill>
                    <w14:schemeClr w14:val="tx1"/>
                  </w14:solidFill>
                </w14:textFill>
              </w:rPr>
              <w:t>木垒县民生工业园区</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。本项目与《昌吉回族自治州“三线一单”生态环境分区管控方案》相符性分析</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见表1-2。项目在昌吉回族自治州环境管控单元中的位置</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见附图</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表1-2  本项目与“昌吉回族自治州“三线一单”生态环境分区管控方案及生态环境准入清单”符合性分析一览表</w:t>
            </w:r>
          </w:p>
          <w:tbl>
            <w:tblPr>
              <w:tblStyle w:val="24"/>
              <w:tblW w:w="63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4"/>
              <w:gridCol w:w="512"/>
              <w:gridCol w:w="2542"/>
              <w:gridCol w:w="2269"/>
              <w:gridCol w:w="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管控单元名称</w:t>
                  </w:r>
                </w:p>
              </w:tc>
              <w:tc>
                <w:tcPr>
                  <w:tcW w:w="2418"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管控要求</w:t>
                  </w:r>
                </w:p>
              </w:tc>
              <w:tc>
                <w:tcPr>
                  <w:tcW w:w="1796"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项目情况</w:t>
                  </w:r>
                </w:p>
              </w:tc>
              <w:tc>
                <w:tcPr>
                  <w:tcW w:w="35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0" w:type="pct"/>
                  <w:vMerge w:val="restart"/>
                  <w:tcBorders>
                    <w:tl2br w:val="nil"/>
                    <w:tr2bl w:val="nil"/>
                  </w:tcBorders>
                  <w:vAlign w:val="center"/>
                </w:tcPr>
                <w:p>
                  <w:pPr>
                    <w:keepNext w:val="0"/>
                    <w:keepLines w:val="0"/>
                    <w:pageBreakBefore w:val="0"/>
                    <w:kinsoku/>
                    <w:wordWrap/>
                    <w:overflowPunct/>
                    <w:topLinePunct w:val="0"/>
                    <w:autoSpaceDE/>
                    <w:autoSpaceDN/>
                    <w:bidi w:val="0"/>
                    <w:spacing w:line="360" w:lineRule="auto"/>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木垒县民生工业园区</w:t>
                  </w:r>
                </w:p>
                <w:p>
                  <w:pPr>
                    <w:keepNext w:val="0"/>
                    <w:keepLines w:val="0"/>
                    <w:pageBreakBefore w:val="0"/>
                    <w:kinsoku/>
                    <w:wordWrap/>
                    <w:overflowPunct/>
                    <w:topLinePunct w:val="0"/>
                    <w:autoSpaceDE/>
                    <w:autoSpaceDN/>
                    <w:bidi w:val="0"/>
                    <w:spacing w:line="360" w:lineRule="auto"/>
                    <w:jc w:val="both"/>
                    <w:textAlignment w:val="auto"/>
                    <w:rPr>
                      <w:rFonts w:hint="default"/>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ZH65232820002</w:t>
                  </w:r>
                </w:p>
              </w:tc>
              <w:tc>
                <w:tcPr>
                  <w:tcW w:w="4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空间布局约束</w:t>
                  </w:r>
                </w:p>
              </w:tc>
              <w:tc>
                <w:tcPr>
                  <w:tcW w:w="20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1、执行自治区总体准入要求中关于重点管控单元空间布 局约束的准入要求(表2-3A6</w:t>
                  </w:r>
                  <w:r>
                    <w:rPr>
                      <w:rFonts w:hint="eastAsia" w:cs="Times New Roman"/>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1)。</w:t>
                  </w:r>
                </w:p>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2、入园企业需符合园区产业发展定位。农副产品加工及</w:t>
                  </w:r>
                </w:p>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民族特色旅游产业区发展的主要产业为：农副产品精</w:t>
                  </w:r>
                </w:p>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深加工、民族刺绣文化、民族工艺品、旅游文化产品等农畜产品及食品加工区主要发展农畜产品和食品加工业；矿产资源综合利用加工及物流园区主要发展石材、石灰石加工产业、仓储物流业；新型产业及轻工业区主要发展装备制造产业和轻工业。</w:t>
                  </w:r>
                </w:p>
              </w:tc>
              <w:tc>
                <w:tcPr>
                  <w:tcW w:w="17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1、本项目不属于表2-3 A6.1中重点管控单元空间布局约束的内容之列。</w:t>
                  </w:r>
                </w:p>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本项目厂址位于木垒民生工业园区(四区)</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新型产业及轻工业区</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6"/>
                      <w:kern w:val="0"/>
                      <w:sz w:val="21"/>
                      <w:szCs w:val="21"/>
                      <w:highlight w:val="none"/>
                      <w:shd w:val="clear"/>
                      <w:lang w:val="en-US" w:eastAsia="zh-CN" w:bidi="ar-SA"/>
                      <w14:textFill>
                        <w14:solidFill>
                          <w14:schemeClr w14:val="tx1"/>
                        </w14:solidFill>
                      </w14:textFill>
                    </w:rPr>
                    <w:t>属于</w:t>
                  </w:r>
                  <w:r>
                    <w:rPr>
                      <w:rFonts w:hint="default" w:ascii="Times New Roman" w:hAnsi="Times New Roman" w:eastAsia="宋体" w:cs="Times New Roman"/>
                      <w:color w:val="000000" w:themeColor="text1"/>
                      <w:spacing w:val="-6"/>
                      <w:kern w:val="0"/>
                      <w:sz w:val="21"/>
                      <w:szCs w:val="21"/>
                      <w:highlight w:val="none"/>
                      <w:shd w:val="clear"/>
                      <w:lang w:val="en-US" w:eastAsia="zh-CN" w:bidi="ar-SA"/>
                      <w14:textFill>
                        <w14:solidFill>
                          <w14:schemeClr w14:val="tx1"/>
                        </w14:solidFill>
                      </w14:textFill>
                    </w:rPr>
                    <w:t>特种设备制造、机械产品加工制造</w:t>
                  </w:r>
                  <w:r>
                    <w:rPr>
                      <w:rFonts w:hint="eastAsia" w:ascii="Times New Roman" w:hAnsi="Times New Roman" w:eastAsia="宋体" w:cs="Times New Roman"/>
                      <w:color w:val="000000" w:themeColor="text1"/>
                      <w:spacing w:val="-6"/>
                      <w:kern w:val="0"/>
                      <w:sz w:val="21"/>
                      <w:szCs w:val="21"/>
                      <w:highlight w:val="none"/>
                      <w:shd w:val="clear"/>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符合园区发展定位。</w:t>
                  </w:r>
                </w:p>
              </w:tc>
              <w:tc>
                <w:tcPr>
                  <w:tcW w:w="35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0"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4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污染物排放管控</w:t>
                  </w:r>
                </w:p>
              </w:tc>
              <w:tc>
                <w:tcPr>
                  <w:tcW w:w="20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1、执行自治区总体准入要求中关于重点管控单元污染物 排放管控的准入要求(表2-3 A6.2)。</w:t>
                  </w:r>
                </w:p>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2、对开发区、工业园区、高新区等进行集中整治，限期 进行达标改造，减少工业集聚区污染。</w:t>
                  </w:r>
                </w:p>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3、完善园区集中供热设施，积极推广集中供热。</w:t>
                  </w:r>
                </w:p>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4、PM</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2.5</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年平均不达标县市(园区)</w:t>
                  </w:r>
                  <w:r>
                    <w:rPr>
                      <w:rFonts w:hint="eastAsia" w:cs="Times New Roman"/>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禁止新(改、扩)建未落实SO₂、NO₂、烟粉尘、挥发性有机物(</w:t>
                  </w:r>
                  <w:r>
                    <w:rPr>
                      <w:rFonts w:hint="eastAsia" w:cs="Times New Roman"/>
                      <w:color w:val="000000" w:themeColor="text1"/>
                      <w:spacing w:val="-6"/>
                      <w:kern w:val="0"/>
                      <w:sz w:val="21"/>
                      <w:szCs w:val="21"/>
                      <w:highlight w:val="none"/>
                      <w:lang w:val="en-US" w:eastAsia="zh-CN" w:bidi="ar-SA"/>
                      <w14:textFill>
                        <w14:solidFill>
                          <w14:schemeClr w14:val="tx1"/>
                        </w14:solidFill>
                      </w14:textFill>
                    </w:rPr>
                    <w:t>VOCs</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)等四项大气污染物总量指标昌吉州区域内倍量替代的项目。</w:t>
                  </w:r>
                </w:p>
              </w:tc>
              <w:tc>
                <w:tcPr>
                  <w:tcW w:w="17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本项目用水仅为生活用水，污水排入园区污水处理站，供暖、供水、供电由园区供应，园区建设有完善的排水系统。</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厂区内非甲烷总烃无组织排放执行</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《挥发性有机物无组织排放控制标准》（GB37822-2019）中附录A表A.1排放限值（1h平均浓度以非甲烷总烃计&lt;</w:t>
                  </w:r>
                  <w:r>
                    <w:rPr>
                      <w:rFonts w:hint="eastAsia" w:cs="Times New Roman"/>
                      <w:color w:val="000000" w:themeColor="text1"/>
                      <w:spacing w:val="-6"/>
                      <w:kern w:val="0"/>
                      <w:sz w:val="21"/>
                      <w:szCs w:val="21"/>
                      <w:highlight w:val="none"/>
                      <w:lang w:val="en-US" w:eastAsia="zh-CN" w:bidi="ar-SA"/>
                      <w14:textFill>
                        <w14:solidFill>
                          <w14:schemeClr w14:val="tx1"/>
                        </w14:solidFill>
                      </w14:textFill>
                    </w:rPr>
                    <w:t>10</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mg/m</w:t>
                  </w:r>
                  <w:r>
                    <w:rPr>
                      <w:rFonts w:hint="eastAsia" w:ascii="Times New Roman" w:hAnsi="Times New Roman" w:eastAsia="宋体" w:cs="Times New Roman"/>
                      <w:color w:val="000000" w:themeColor="text1"/>
                      <w:spacing w:val="-6"/>
                      <w:kern w:val="0"/>
                      <w:sz w:val="21"/>
                      <w:szCs w:val="21"/>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；任意一次浓度以非甲烷总烃计&lt;</w:t>
                  </w:r>
                  <w:r>
                    <w:rPr>
                      <w:rFonts w:hint="eastAsia" w:cs="Times New Roman"/>
                      <w:color w:val="000000" w:themeColor="text1"/>
                      <w:spacing w:val="-6"/>
                      <w:kern w:val="0"/>
                      <w:sz w:val="21"/>
                      <w:szCs w:val="21"/>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0mg/m</w:t>
                  </w:r>
                  <w:r>
                    <w:rPr>
                      <w:rFonts w:hint="eastAsia" w:ascii="Times New Roman" w:hAnsi="Times New Roman" w:eastAsia="宋体" w:cs="Times New Roman"/>
                      <w:color w:val="000000" w:themeColor="text1"/>
                      <w:spacing w:val="-6"/>
                      <w:kern w:val="0"/>
                      <w:sz w:val="21"/>
                      <w:szCs w:val="21"/>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p>
              </w:tc>
              <w:tc>
                <w:tcPr>
                  <w:tcW w:w="35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0"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4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环境风险防控</w:t>
                  </w:r>
                </w:p>
              </w:tc>
              <w:tc>
                <w:tcPr>
                  <w:tcW w:w="20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1、执行自治区总体准入要求中关于重点管控单元环境风险防控的准入要求(表2-3 A6.3)。</w:t>
                  </w:r>
                </w:p>
              </w:tc>
              <w:tc>
                <w:tcPr>
                  <w:tcW w:w="17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1、</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待本项目建成后</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要</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完成环境风险应急预案编制，成立应急组织机构，配备必要的应急设施和应急物资，定期</w:t>
                  </w:r>
                  <w:r>
                    <w:rPr>
                      <w:rFonts w:hint="default"/>
                      <w:color w:val="000000" w:themeColor="text1"/>
                      <w:sz w:val="21"/>
                      <w:szCs w:val="21"/>
                      <w:highlight w:val="none"/>
                      <w:lang w:val="en-US" w:eastAsia="zh-CN"/>
                      <w14:textFill>
                        <w14:solidFill>
                          <w14:schemeClr w14:val="tx1"/>
                        </w14:solidFill>
                      </w14:textFill>
                    </w:rPr>
                    <w:t>开展环境风险应急演练</w:t>
                  </w:r>
                  <w:r>
                    <w:rPr>
                      <w:rFonts w:hint="eastAsia"/>
                      <w:color w:val="000000" w:themeColor="text1"/>
                      <w:sz w:val="21"/>
                      <w:szCs w:val="21"/>
                      <w:highlight w:val="none"/>
                      <w:lang w:val="en-US" w:eastAsia="zh-CN"/>
                      <w14:textFill>
                        <w14:solidFill>
                          <w14:schemeClr w14:val="tx1"/>
                        </w14:solidFill>
                      </w14:textFill>
                    </w:rPr>
                    <w:t>。</w:t>
                  </w:r>
                </w:p>
              </w:tc>
              <w:tc>
                <w:tcPr>
                  <w:tcW w:w="35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0"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4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资源利用效率</w:t>
                  </w:r>
                </w:p>
              </w:tc>
              <w:tc>
                <w:tcPr>
                  <w:tcW w:w="20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1、执行自治区总体准入要求中关于重点管控单元资源利 用效率的准入要求(表2-3 A6.4)。</w:t>
                  </w:r>
                </w:p>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2、入园企业单位工业增加值综合能耗≤0.5t标煤/万元，单位工业增加值新鲜水耗≤8m³/万元，工业用水重复利用率≥75%。</w:t>
                  </w:r>
                </w:p>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3、采用清洁能源，实施建筑节能和推广采暖供热系统节能措施，鼓励入园单位采用节能工艺，增加可利用资源的回收量，降低消耗。</w:t>
                  </w:r>
                </w:p>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4、园区水资源开发总量、土地投资强度、能耗消费增量</w:t>
                  </w:r>
                </w:p>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等指标应达到水利、国土、能源等部门相应要求。</w:t>
                  </w:r>
                </w:p>
              </w:tc>
              <w:tc>
                <w:tcPr>
                  <w:tcW w:w="17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本项目用水仅为生活用水，污水排入园区污水处理站，供暖、供水、供电由园区供应，园区建设有完善的排水系统。</w:t>
                  </w:r>
                </w:p>
              </w:tc>
              <w:tc>
                <w:tcPr>
                  <w:tcW w:w="35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bl>
          <w:p>
            <w:pPr>
              <w:pStyle w:val="9"/>
              <w:keepNext w:val="0"/>
              <w:keepLines w:val="0"/>
              <w:pageBreakBefore w:val="0"/>
              <w:kinsoku/>
              <w:wordWrap/>
              <w:overflowPunct/>
              <w:topLinePunct w:val="0"/>
              <w:bidi w:val="0"/>
              <w:snapToGrid/>
              <w:spacing w:before="0" w:after="0" w:line="360" w:lineRule="auto"/>
              <w:ind w:right="0"/>
              <w:jc w:val="both"/>
              <w:textAlignment w:val="auto"/>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与《新疆维吾尔自治区大气污染防治条例》的符合性分析</w:t>
            </w:r>
          </w:p>
          <w:p>
            <w:pPr>
              <w:keepNext w:val="0"/>
              <w:keepLines w:val="0"/>
              <w:pageBreakBefore w:val="0"/>
              <w:kinsoku/>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本项目与《新疆维吾尔自治区大气污染防治条例》的符合性分析，见表1-3。</w:t>
            </w:r>
          </w:p>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表1-3  本项目与《新疆维吾尔自治区大气污染防治条例》符合性分析</w:t>
            </w:r>
          </w:p>
          <w:tbl>
            <w:tblPr>
              <w:tblStyle w:val="25"/>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3"/>
              <w:gridCol w:w="1650"/>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条例要求</w:t>
                  </w:r>
                </w:p>
              </w:tc>
              <w:tc>
                <w:tcPr>
                  <w:tcW w:w="13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本项目实际</w:t>
                  </w:r>
                </w:p>
              </w:tc>
              <w:tc>
                <w:tcPr>
                  <w:tcW w:w="5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自治区对大气污染物实行排污许可管理制度</w:t>
                  </w:r>
                </w:p>
              </w:tc>
              <w:tc>
                <w:tcPr>
                  <w:tcW w:w="13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要求企业环评手续完成后，按规定填报排污登记表</w:t>
                  </w:r>
                </w:p>
              </w:tc>
              <w:tc>
                <w:tcPr>
                  <w:tcW w:w="5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向大气排放污染物的企业事业单位和其他生产经营者，应当按照国家有关规定和监测规范，自行或者委托有资质的监测机构监测大气污染物排放情况，并保存原始监测数据记录</w:t>
                  </w:r>
                </w:p>
              </w:tc>
              <w:tc>
                <w:tcPr>
                  <w:tcW w:w="13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要求企业按规定进行废气监测</w:t>
                  </w:r>
                </w:p>
              </w:tc>
              <w:tc>
                <w:tcPr>
                  <w:tcW w:w="5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实行煤炭消费总量控制制度，采取有利于煤炭消费总量削减的经济、技术政策和措施，鼓励和支持</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instrText xml:space="preserve"> HYPERLINK "http://www.chndaqi.com/news/field?fid=34" \t "_blank" \o "清洁能源" </w:instrTex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清洁能源</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的开发利用，引导企业开展清洁能源替代，减少煤炭生产、使用、转化过程中的大气污染物排放</w:t>
                  </w:r>
                </w:p>
              </w:tc>
              <w:tc>
                <w:tcPr>
                  <w:tcW w:w="13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企业不涉及燃煤工艺</w:t>
                  </w:r>
                </w:p>
              </w:tc>
              <w:tc>
                <w:tcPr>
                  <w:tcW w:w="5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推进城市建成区、工业园区实行集中供热，使用清洁燃料</w:t>
                  </w:r>
                </w:p>
              </w:tc>
              <w:tc>
                <w:tcPr>
                  <w:tcW w:w="13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本项目集中供热</w:t>
                  </w:r>
                </w:p>
              </w:tc>
              <w:tc>
                <w:tcPr>
                  <w:tcW w:w="5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在禁燃区内，禁止销售、燃用高污染燃料</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禁止新建、扩建燃用高污染燃料的设施。已建成的，应当在规定期限内改用清洁能源</w:t>
                  </w:r>
                </w:p>
              </w:tc>
              <w:tc>
                <w:tcPr>
                  <w:tcW w:w="13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不</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使用燃料</w:t>
                  </w:r>
                </w:p>
              </w:tc>
              <w:tc>
                <w:tcPr>
                  <w:tcW w:w="5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禁止在自治区行政区域内引进能(水)耗不符合相关国家标准中准入值要求且污染物排放和环境风险防控不符合国家(地方)标准及有关产业准入条件的高污染(排放)、高能(水)耗、高环境风险的工业项目</w:t>
                  </w:r>
                </w:p>
              </w:tc>
              <w:tc>
                <w:tcPr>
                  <w:tcW w:w="13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本项目不属于高污染(排放)、高能(水)耗、高环境风险的工业项目</w:t>
                  </w:r>
                </w:p>
              </w:tc>
              <w:tc>
                <w:tcPr>
                  <w:tcW w:w="5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31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禁止新建、</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改造</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、扩建列入淘汰类目录的高污染工业项目。禁止使用列入淘汰类目录的工艺、设备、产品</w:t>
                  </w:r>
                </w:p>
              </w:tc>
              <w:tc>
                <w:tcPr>
                  <w:tcW w:w="13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本项目不属于高污染工业项目，不使用列入淘汰类目录的工艺、设备、产品</w:t>
                  </w:r>
                </w:p>
              </w:tc>
              <w:tc>
                <w:tcPr>
                  <w:tcW w:w="5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鼓励产业集聚发展，按照主体功能区划合理规划工业园区的布局，引导工业企业入驻工业园区</w:t>
                  </w:r>
                </w:p>
              </w:tc>
              <w:tc>
                <w:tcPr>
                  <w:tcW w:w="13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本项目位于昌吉州木垒哈萨克自治县民生工业园区新型产业及轻工</w:t>
                  </w:r>
                  <w:r>
                    <w:rPr>
                      <w:rFonts w:hint="eastAsia" w:cs="Times New Roman"/>
                      <w:color w:val="000000" w:themeColor="text1"/>
                      <w:spacing w:val="-6"/>
                      <w:kern w:val="0"/>
                      <w:sz w:val="21"/>
                      <w:szCs w:val="21"/>
                      <w:highlight w:val="none"/>
                      <w:lang w:val="en-US" w:eastAsia="zh-CN" w:bidi="ar-SA"/>
                      <w14:textFill>
                        <w14:solidFill>
                          <w14:schemeClr w14:val="tx1"/>
                        </w14:solidFill>
                      </w14:textFill>
                    </w:rPr>
                    <w:t>业园</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区，位于园区工业范围内</w:t>
                  </w:r>
                </w:p>
              </w:tc>
              <w:tc>
                <w:tcPr>
                  <w:tcW w:w="5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产生含挥发性有机物废气的生产和服务活动，应当按照国家规定在密闭空间或者设备中进行，并安装、使用污染防治设施</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无法密闭的，应当采取措施减少废气排放</w:t>
                  </w:r>
                </w:p>
              </w:tc>
              <w:tc>
                <w:tcPr>
                  <w:tcW w:w="13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喷漆、烘干过程中产生的</w:t>
                  </w:r>
                  <w:r>
                    <w:rPr>
                      <w:rFonts w:hint="eastAsia" w:cs="Times New Roman"/>
                      <w:color w:val="000000" w:themeColor="text1"/>
                      <w:spacing w:val="-6"/>
                      <w:kern w:val="0"/>
                      <w:sz w:val="21"/>
                      <w:szCs w:val="21"/>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经</w:t>
                  </w:r>
                  <w:r>
                    <w:rPr>
                      <w:rFonts w:hint="eastAsia" w:cs="Times New Roman"/>
                      <w:color w:val="000000" w:themeColor="text1"/>
                      <w:spacing w:val="-6"/>
                      <w:kern w:val="0"/>
                      <w:sz w:val="21"/>
                      <w:szCs w:val="21"/>
                      <w:highlight w:val="none"/>
                      <w:lang w:val="en-US" w:eastAsia="zh-CN" w:bidi="ar-SA"/>
                      <w14:textFill>
                        <w14:solidFill>
                          <w14:schemeClr w14:val="tx1"/>
                        </w14:solidFill>
                      </w14:textFill>
                    </w:rPr>
                    <w:t>80K型活性炭吸附+脱附+催化燃烧处理设备（在线）</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处理后排放</w:t>
                  </w:r>
                </w:p>
              </w:tc>
              <w:tc>
                <w:tcPr>
                  <w:tcW w:w="5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新建储油库、储气库、加油加气站以及新登记油罐车、气罐车，应当按照国家有关规定安装油气回收装置并正常使用</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已建储油库、储气库、加油加气站以及在用油罐车、气罐车，不符合国家有关规定的，应当限期完成回收治理</w:t>
                  </w:r>
                </w:p>
              </w:tc>
              <w:tc>
                <w:tcPr>
                  <w:tcW w:w="13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本项目不建设</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储油库、储气库</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等</w:t>
                  </w:r>
                </w:p>
              </w:tc>
              <w:tc>
                <w:tcPr>
                  <w:tcW w:w="5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向大气排放恶臭气体的排污单位、垃圾处置场、</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instrText xml:space="preserve"> HYPERLINK "http://www.h2o-china.com/news/search?stype=title&amp;schv=%E6%B1%A1%E6%B0%B4%E5%A4%84%E7%90%86" \t "_blank" \o "污水处理" </w:instrTex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污水处理</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厂，应当设置合理的防护距离，安装净化装置或者采取其他措施，防止恶臭气体排放</w:t>
                  </w:r>
                </w:p>
              </w:tc>
              <w:tc>
                <w:tcPr>
                  <w:tcW w:w="13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项目不产生臭气</w:t>
                  </w:r>
                </w:p>
              </w:tc>
              <w:tc>
                <w:tcPr>
                  <w:tcW w:w="5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贮存易产生扬尘的煤炭、煤矸石、煤渣、煤灰、水泥、石灰、石膏、砂土等物料的堆场应当密闭</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露天装卸物料应当采取密闭或者喷淋等抑尘措施</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输送的物料应当在装料、卸料处配备吸尘、喷淋等防尘设施</w:t>
                  </w:r>
                </w:p>
              </w:tc>
              <w:tc>
                <w:tcPr>
                  <w:tcW w:w="13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项目不属于上述工艺</w:t>
                  </w:r>
                </w:p>
              </w:tc>
              <w:tc>
                <w:tcPr>
                  <w:tcW w:w="5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6、与《挥发性有机物无组织排放控制标准》的符合性分析</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《挥发性有机物无组织排放控制标准》中</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物料储存无组织排放基本要求为：</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（1）</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物料应储存于密闭的容器、包装袋、储罐、储库、料仓中。</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（2）盛装</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物料的容器或包装袋应存放于室内，或存放于设置有雨棚、遮阳和防渗设施的专用场地。盛装</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物料的容器或包装袋在非取用状态时应加盖、封口，保持密闭。</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无组织排放废气收集处理系统基本要求：</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废气收集处理系统应与生产工艺设备同步运行。</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废气收集处理系统发生故障或检修时，对应的生产工艺设备应停止运行，待检修完毕后同步投入使用；生产工艺设备不能停止运行或不能及时停止运行的，应设置废气应急处理设施或采取其他替代措施。</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物料储存于密闭的容器，仓库位于室内，喷漆、烘干过程中产生的</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经</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80K型活性炭吸附+脱附+催化燃烧处理设备（在线）</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处理后排放，若装置发生故障或检修时，喷漆、烘干设备会停止运行，待检修完毕后同步投入使用</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符合《挥发性有机物无组织排放控制标准》相关要求</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宋体" w:hAnsi="宋体" w:cs="宋体"/>
                <w:b/>
                <w:bCs/>
                <w:color w:val="000000"/>
                <w:sz w:val="24"/>
                <w:szCs w:val="24"/>
                <w:lang w:val="en-US" w:eastAsia="zh-CN"/>
              </w:rPr>
              <w:t>7、与</w:t>
            </w:r>
            <w:r>
              <w:rPr>
                <w:rFonts w:hint="eastAsia" w:ascii="宋体" w:hAnsi="宋体" w:eastAsia="宋体" w:cs="宋体"/>
                <w:b/>
                <w:bCs/>
                <w:color w:val="000000"/>
                <w:sz w:val="24"/>
                <w:szCs w:val="24"/>
                <w:lang w:val="zh-CN"/>
              </w:rPr>
              <w:t>《重点行业挥发性有机物综合治理方案》</w:t>
            </w: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的符合性分析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spacing w:val="-6"/>
                <w:kern w:val="0"/>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sz w:val="24"/>
                <w:szCs w:val="24"/>
                <w:lang w:val="zh-CN"/>
              </w:rPr>
              <w:t>《重点行业挥发性有机物综合治理方案》</w:t>
            </w:r>
            <w:r>
              <w:rPr>
                <w:rFonts w:hint="eastAsia" w:ascii="宋体" w:hAnsi="宋体" w:cs="宋体"/>
                <w:b w:val="0"/>
                <w:bCs w:val="0"/>
                <w:color w:val="000000"/>
                <w:sz w:val="24"/>
                <w:szCs w:val="24"/>
                <w:lang w:val="en-US" w:eastAsia="zh-CN"/>
              </w:rPr>
              <w:t>中提出：</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一）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（二）化工行业VOCs综合治理。</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实施废气分类收集处理。优先选用冷凝、吸附再生等回收技术；难以回收的，宜选用燃烧、吸附浓缩+燃烧等高效治理技术。水溶性、酸碱VOCs废气宜选用多级化学吸收等处理技术。恶臭类废气还应进一步加强除臭处理。</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推进建设适宜高效的治污设施。喷涂废气应设置高效漆雾处理装置。喷涂、晾（风）干废气宜采用吸附浓缩+燃烧处理方式，小风量的可采用一次性活性炭吸附等工艺。调配、流平等废气可与喷涂、晾（风）干废气一并处理。使用溶剂型涂料的生产线，烘干废气宜采用燃烧方式单独处理，具备条件的可采用回收式热力燃烧装置。</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年使用低VOCs的水性漆及水性漆固化剂20吨，油性漆、油性漆稀释剂及油性漆固化剂6吨，涂料、稀释剂、固化剂等原辅材料密闭存储，漆料调配在喷漆房内进行，漆雾经封闭负压状态收集后使用DPA纸箱过滤器过滤后经20m高排气(DA002）排放。喷漆、烘干产生的废气经封闭负压状态收集后使用80K型活性炭吸附+脱附+催化燃烧处理设备（在线）处理，处理后废气经20m高排气(DA002）排放。丝印废气使用集气罩收集后接入80K型活性炭吸附+脱附+催化燃烧处理设备处理，处理后废气经20m高排气(DA002）排放。</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符合</w:t>
            </w:r>
            <w:r>
              <w:rPr>
                <w:rFonts w:hint="eastAsia" w:ascii="宋体" w:hAnsi="宋体" w:eastAsia="宋体" w:cs="宋体"/>
                <w:b w:val="0"/>
                <w:bCs w:val="0"/>
                <w:color w:val="000000"/>
                <w:sz w:val="24"/>
                <w:szCs w:val="24"/>
                <w:lang w:val="zh-CN"/>
              </w:rPr>
              <w:t>《重点行业挥发性有机物综合治理方案》</w:t>
            </w:r>
            <w:r>
              <w:rPr>
                <w:rFonts w:hint="eastAsia" w:ascii="宋体" w:hAnsi="宋体" w:cs="宋体"/>
                <w:b w:val="0"/>
                <w:bCs w:val="0"/>
                <w:color w:val="000000"/>
                <w:sz w:val="24"/>
                <w:szCs w:val="24"/>
                <w:lang w:val="en-US" w:eastAsia="zh-CN"/>
              </w:rPr>
              <w:t>的要求。</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宋体" w:hAnsi="宋体" w:cs="宋体"/>
                <w:b/>
                <w:bCs/>
                <w:color w:val="000000"/>
                <w:sz w:val="24"/>
                <w:szCs w:val="24"/>
                <w:lang w:val="en-US" w:eastAsia="zh-CN"/>
              </w:rPr>
              <w:t>8、</w:t>
            </w:r>
            <w:r>
              <w:rPr>
                <w:rFonts w:hint="eastAsia" w:ascii="宋体" w:hAnsi="宋体" w:eastAsia="宋体" w:cs="宋体"/>
                <w:b/>
                <w:bCs/>
                <w:color w:val="000000"/>
                <w:sz w:val="24"/>
                <w:szCs w:val="24"/>
                <w:lang w:val="en-US" w:eastAsia="zh-CN"/>
              </w:rPr>
              <w:t>与《新疆维吾尔自治区七大片区“三线一单”生态环境 分区管控要求（2021 年版）》的符合性分析</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bookmarkStart w:id="2" w:name="_Toc73537088"/>
            <w:bookmarkStart w:id="3" w:name="_Toc73607979"/>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《新疆维吾尔自治区七大片区“三线一单”生态环境 分区管控要求（2021 年版）》乌昌石片区管控要求</w:t>
            </w:r>
            <w:bookmarkEnd w:id="2"/>
            <w:bookmarkEnd w:id="3"/>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乌昌石片区包括乌鲁木齐市、昌吉回族自治州和沙湾市。</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除国家规划项目外，乌鲁木齐市七区一县、昌吉市、阜康市、玛纳斯县、呼图壁县、沙湾市建成区及周边敏感区域内不再布局建设煤化工、电解铝、燃煤纯发电机组、金属硅、碳化硅、聚氯乙烯（电石法）、焦炭（含半焦）等新增产能项目，具备风光电清洁供暖建设条件的区域原则上不新批热电联产项目。坚持属地负责与区域大气污染联防联控相结合，以明显降低细颗粒物浓度为重点，协同推进“乌-昌-石”区域大气环境治理，强化与生产建设兵团第六师、第八师、第十一师、第十二师的同防同治，确保区域环境空气质量持续改善。所有新建、改建、扩建工业项目执行最严格的大气污染物排放标准。强化氮氧化物深度治理。强化挥发性有机物污染防治措施。推广使用低挥发性有机物原辅料，推动有条件的园区（工业集聚区）建设集中喷涂工程中心，配备高效治污设施，替代企业独立喷涂工序。</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强化企业清洁生产改造，推进节水型企业、节水型工业园区建设，提高资源集约节约利用水平。积极推进地下水超采治理，逐步压减地下水超采量，实现地下水采补平衡。</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强化油（气）资源开发区土壤环境污染综合整治。加强涉重金属行业污染防控与工业废物处理处置。</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煤炭、石油、天然气开发单位应当制定生态保护和恢复治理方案，并予以实施。生态保护和恢复治理方案内容应当向社会公布，接受社会监督。</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cs="Times New Roman"/>
                <w:color w:val="000000" w:themeColor="text1"/>
                <w:spacing w:val="-6"/>
                <w:kern w:val="0"/>
                <w:sz w:val="24"/>
                <w:szCs w:val="24"/>
                <w:highlight w:val="none"/>
                <w:lang w:val="en-US" w:eastAsia="zh-CN" w:bidi="ar-SA"/>
                <w14:textFill>
                  <w14:solidFill>
                    <w14:schemeClr w14:val="tx1"/>
                  </w14:solidFill>
                </w14:textFill>
              </w:rPr>
              <w:t>本项目位于木垒县，</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年使用低VOCs的水性漆及水性漆固化剂20吨，油性漆、油性漆稀释剂及油性漆固化剂6吨，涂料、稀释剂、固化剂等原辅材料密闭存储，漆料调配在喷漆房内进行，漆雾经封闭负压状态收集后使用DPA纸箱过滤器过滤后经20m高排气(DA002）排放。喷漆、烘干产生的废气经封闭负压状态收集后使用80K型活性炭吸附+脱附+催化燃烧处理设备（在线）处理，处理后废气经20m高排气(DA002）排放。丝印废气使用集气罩收集后接入80K型活性炭吸附+脱附+催化燃烧处理设备处理，处理后废气经20m高排气(DA002）排放。</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符合</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《新疆维吾尔自治区七大片区“三线一单”生态环境 分区管控要求（2021 年版）》乌昌石片区管控要求</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default" w:ascii="宋体" w:hAnsi="宋体" w:eastAsia="宋体" w:cs="宋体"/>
                <w:b/>
                <w:bCs/>
                <w:color w:val="000000"/>
                <w:sz w:val="24"/>
                <w:szCs w:val="24"/>
                <w:lang w:val="en-US" w:eastAsia="zh-CN"/>
              </w:rPr>
            </w:pPr>
            <w:r>
              <w:rPr>
                <w:rFonts w:hint="eastAsia" w:ascii="宋体" w:hAnsi="宋体" w:cs="宋体"/>
                <w:b/>
                <w:bCs/>
                <w:color w:val="000000"/>
                <w:sz w:val="24"/>
                <w:szCs w:val="24"/>
                <w:lang w:val="en-US" w:eastAsia="zh-CN"/>
              </w:rPr>
              <w:t>9、与</w:t>
            </w:r>
            <w:r>
              <w:rPr>
                <w:rFonts w:hint="eastAsia" w:ascii="宋体" w:hAnsi="宋体" w:eastAsia="宋体" w:cs="宋体"/>
                <w:b/>
                <w:bCs/>
                <w:color w:val="000000"/>
                <w:sz w:val="24"/>
                <w:szCs w:val="24"/>
                <w:lang w:val="en-US" w:eastAsia="zh-CN"/>
              </w:rPr>
              <w:t>《新疆维吾尔自治区环境保护条例》</w:t>
            </w:r>
            <w:r>
              <w:rPr>
                <w:rFonts w:hint="eastAsia" w:ascii="宋体" w:hAnsi="宋体" w:cs="宋体"/>
                <w:b/>
                <w:bCs/>
                <w:color w:val="000000"/>
                <w:sz w:val="24"/>
                <w:szCs w:val="24"/>
                <w:lang w:val="en-US" w:eastAsia="zh-CN"/>
              </w:rPr>
              <w:t>的符合性分析</w:t>
            </w:r>
          </w:p>
          <w:p>
            <w:pPr>
              <w:pStyle w:val="83"/>
              <w:keepNext w:val="0"/>
              <w:keepLines w:val="0"/>
              <w:pageBreakBefore w:val="0"/>
              <w:widowControl w:val="0"/>
              <w:kinsoku/>
              <w:wordWrap/>
              <w:overflowPunct/>
              <w:topLinePunct w:val="0"/>
              <w:autoSpaceDE/>
              <w:autoSpaceDN/>
              <w:bidi w:val="0"/>
              <w:adjustRightInd w:val="0"/>
              <w:snapToGrid w:val="0"/>
              <w:spacing w:before="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新疆维吾尔自治区环境保护条例》中提出：第二十一条建设对环境有影响的项目，应当依法进行环境影响评价。建设单位应当在开工建设前向有审批权的环境保护主管部门报批建设项目环境影响评价报告书、报告表。未依法进行环境影响评价的建设项目，不得开工建设。</w:t>
            </w:r>
          </w:p>
          <w:p>
            <w:pPr>
              <w:pStyle w:val="83"/>
              <w:keepNext w:val="0"/>
              <w:keepLines w:val="0"/>
              <w:pageBreakBefore w:val="0"/>
              <w:widowControl w:val="0"/>
              <w:kinsoku/>
              <w:wordWrap/>
              <w:overflowPunct/>
              <w:topLinePunct w:val="0"/>
              <w:bidi w:val="0"/>
              <w:adjustRightInd w:val="0"/>
              <w:snapToGrid w:val="0"/>
              <w:spacing w:before="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第二十六条各级人民政府应当采取措施，调整能源结构，淘汰落后产能，加强煤炭清洁高效利用，实施燃煤电厂超低排放和节能改造，鼓励开发利用低污染、无污染的清洁能源。</w:t>
            </w:r>
          </w:p>
          <w:p>
            <w:pPr>
              <w:pStyle w:val="83"/>
              <w:keepNext w:val="0"/>
              <w:keepLines w:val="0"/>
              <w:pageBreakBefore w:val="0"/>
              <w:widowControl w:val="0"/>
              <w:kinsoku/>
              <w:wordWrap/>
              <w:overflowPunct/>
              <w:topLinePunct w:val="0"/>
              <w:bidi w:val="0"/>
              <w:adjustRightInd w:val="0"/>
              <w:snapToGrid w:val="0"/>
              <w:spacing w:before="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县级以上人民政府可以根据环境质量的需要，划定并公布高污染燃料禁燃区。在禁燃区内，禁止销售、燃用原煤、粉煤、各种可燃废物等高污染燃料；禁止新建、扩建燃用高污染燃料的设施，已建设成的，应当在规定的期限内改用清洁能源。</w:t>
            </w:r>
          </w:p>
          <w:p>
            <w:pPr>
              <w:pStyle w:val="83"/>
              <w:keepNext w:val="0"/>
              <w:keepLines w:val="0"/>
              <w:pageBreakBefore w:val="0"/>
              <w:widowControl w:val="0"/>
              <w:kinsoku/>
              <w:wordWrap/>
              <w:overflowPunct/>
              <w:topLinePunct w:val="0"/>
              <w:bidi w:val="0"/>
              <w:adjustRightInd w:val="0"/>
              <w:snapToGrid w:val="0"/>
              <w:spacing w:before="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第五十三条企业事业单位应当依法制定突发环境事件应急预案，报环境保护主管部门和其他相关部门备案，并定期进行演练。发生突发环境事件的，应当立即启动应急预案，采取应急措施，及时通报可能受到危害的单位和居民，并向所在地县级人民政府及其环境保护、安全生产监督等有关部门报告。</w:t>
            </w:r>
          </w:p>
          <w:p>
            <w:pPr>
              <w:pStyle w:val="83"/>
              <w:keepNext w:val="0"/>
              <w:keepLines w:val="0"/>
              <w:pageBreakBefore w:val="0"/>
              <w:widowControl w:val="0"/>
              <w:kinsoku/>
              <w:wordWrap/>
              <w:overflowPunct/>
              <w:topLinePunct w:val="0"/>
              <w:bidi w:val="0"/>
              <w:adjustRightInd w:val="0"/>
              <w:snapToGrid w:val="0"/>
              <w:spacing w:before="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本项目已委托我单位开展项目环境影响评价工作，编制完成后向</w:t>
            </w:r>
            <w:r>
              <w:rPr>
                <w:rFonts w:hint="eastAsia" w:ascii="Times New Roman" w:cs="Times New Roman"/>
                <w:color w:val="auto"/>
                <w:sz w:val="24"/>
                <w:szCs w:val="24"/>
                <w:highlight w:val="none"/>
                <w:lang w:val="en-US" w:eastAsia="zh-CN"/>
              </w:rPr>
              <w:t>昌吉州</w:t>
            </w:r>
            <w:r>
              <w:rPr>
                <w:rFonts w:hint="eastAsia" w:ascii="Times New Roman" w:hAnsi="Times New Roman" w:eastAsia="宋体" w:cs="Times New Roman"/>
                <w:color w:val="auto"/>
                <w:sz w:val="24"/>
                <w:szCs w:val="24"/>
                <w:highlight w:val="none"/>
                <w:lang w:val="en-US" w:eastAsia="zh-CN"/>
              </w:rPr>
              <w:t>生态环境局进行报批。环评文件未经审批同意，绝不开工建设。</w:t>
            </w:r>
            <w:r>
              <w:rPr>
                <w:rFonts w:hint="eastAsia" w:ascii="Times New Roman" w:hAnsi="Times New Roman" w:eastAsia="宋体" w:cs="Times New Roman"/>
                <w:bCs/>
                <w:color w:val="auto"/>
                <w:sz w:val="24"/>
                <w:szCs w:val="24"/>
                <w:lang w:eastAsia="zh-CN"/>
              </w:rPr>
              <w:t>本项目不在禁燃区，不属于列入淘汰目录的高污染工业项目，未使用列入淘汰目录的工艺、设备、产品。本项目运营期制定环境风险应急预案，</w:t>
            </w:r>
            <w:r>
              <w:rPr>
                <w:rFonts w:hint="eastAsia" w:ascii="Times New Roman" w:hAnsi="Times New Roman" w:eastAsia="宋体" w:cs="Times New Roman"/>
                <w:color w:val="auto"/>
                <w:sz w:val="24"/>
                <w:szCs w:val="24"/>
                <w:highlight w:val="none"/>
                <w:lang w:val="en-US" w:eastAsia="zh-CN"/>
              </w:rPr>
              <w:t>报环境保护主管部门和其他相关部门备案，</w:t>
            </w:r>
            <w:r>
              <w:rPr>
                <w:rFonts w:hint="eastAsia" w:ascii="Times New Roman" w:hAnsi="Times New Roman" w:eastAsia="宋体" w:cs="Times New Roman"/>
                <w:bCs/>
                <w:color w:val="auto"/>
                <w:sz w:val="24"/>
                <w:szCs w:val="24"/>
                <w:lang w:eastAsia="zh-CN"/>
              </w:rPr>
              <w:t>并定期进行应急演练。</w:t>
            </w:r>
            <w:r>
              <w:rPr>
                <w:rFonts w:hint="eastAsia" w:ascii="Times New Roman" w:hAnsi="Times New Roman" w:eastAsia="宋体" w:cs="Times New Roman"/>
                <w:bCs/>
                <w:color w:val="auto"/>
                <w:sz w:val="24"/>
                <w:szCs w:val="24"/>
                <w:lang w:val="en-US" w:eastAsia="zh-CN"/>
              </w:rPr>
              <w:t>本项目与</w:t>
            </w:r>
            <w:r>
              <w:rPr>
                <w:rFonts w:hint="eastAsia" w:ascii="Times New Roman" w:hAnsi="Times New Roman" w:eastAsia="宋体" w:cs="Times New Roman"/>
                <w:color w:val="auto"/>
                <w:sz w:val="24"/>
                <w:szCs w:val="24"/>
                <w:highlight w:val="none"/>
                <w:lang w:val="en-US" w:eastAsia="zh-CN"/>
              </w:rPr>
              <w:t>《新疆维吾尔自治区环境保护条例》是相符的。</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10、</w:t>
            </w:r>
            <w:r>
              <w:rPr>
                <w:rFonts w:hint="eastAsia" w:cs="Times New Roman"/>
                <w:b/>
                <w:bCs/>
                <w:color w:val="000000" w:themeColor="text1"/>
                <w:spacing w:val="-6"/>
                <w:kern w:val="0"/>
                <w:sz w:val="24"/>
                <w:szCs w:val="24"/>
                <w:highlight w:val="none"/>
                <w:lang w:val="en-US" w:eastAsia="zh-CN" w:bidi="ar-SA"/>
                <w14:textFill>
                  <w14:solidFill>
                    <w14:schemeClr w14:val="tx1"/>
                  </w14:solidFill>
                </w14:textFill>
              </w:rPr>
              <w:t>与</w:t>
            </w: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《新疆生态环境保护“十四五”规划》</w:t>
            </w:r>
            <w:r>
              <w:rPr>
                <w:rFonts w:hint="eastAsia" w:cs="Times New Roman"/>
                <w:b/>
                <w:bCs/>
                <w:color w:val="000000" w:themeColor="text1"/>
                <w:spacing w:val="-6"/>
                <w:kern w:val="0"/>
                <w:sz w:val="24"/>
                <w:szCs w:val="24"/>
                <w:highlight w:val="none"/>
                <w:lang w:val="en-US" w:eastAsia="zh-CN" w:bidi="ar-SA"/>
                <w14:textFill>
                  <w14:solidFill>
                    <w14:schemeClr w14:val="tx1"/>
                  </w14:solidFill>
                </w14:textFill>
              </w:rPr>
              <w:t>符合性分析</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《新疆生态环境保护</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十四五</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规划》提出</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本项目位于</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木垒</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县</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，不属于</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两高</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项目以及不符合产业准入标准和政策的落后项目，符合《</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昌吉回族自治州“三线一单”生态环境分区管控方案及生态环境准入清单</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》要求。因此，本项目符合《新疆生态环境保护</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十四五</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规划》要求。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textAlignment w:val="auto"/>
              <w:rPr>
                <w:rFonts w:hint="default" w:ascii="宋体" w:hAnsi="宋体" w:eastAsia="宋体" w:cs="宋体"/>
                <w:b/>
                <w:bCs/>
                <w:color w:val="000000"/>
                <w:sz w:val="24"/>
                <w:szCs w:val="24"/>
                <w:lang w:val="en-US" w:eastAsia="zh-CN"/>
              </w:rPr>
            </w:pPr>
            <w:r>
              <w:rPr>
                <w:rFonts w:hint="eastAsia" w:ascii="宋体" w:hAnsi="宋体" w:cs="宋体"/>
                <w:b/>
                <w:bCs/>
                <w:color w:val="000000"/>
                <w:sz w:val="24"/>
                <w:szCs w:val="24"/>
                <w:lang w:val="en-US" w:eastAsia="zh-CN"/>
              </w:rPr>
              <w:t>11、与</w:t>
            </w:r>
            <w:r>
              <w:rPr>
                <w:rFonts w:hint="eastAsia" w:ascii="宋体" w:hAnsi="宋体" w:eastAsia="宋体" w:cs="宋体"/>
                <w:b/>
                <w:bCs/>
                <w:color w:val="000000"/>
                <w:sz w:val="24"/>
                <w:szCs w:val="24"/>
                <w:lang w:val="en-US" w:eastAsia="zh-CN"/>
              </w:rPr>
              <w:t>《昌吉回族自治州生态环境保护与建设“十四五”规划》</w:t>
            </w:r>
            <w:r>
              <w:rPr>
                <w:rFonts w:hint="eastAsia" w:ascii="宋体" w:hAnsi="宋体" w:cs="宋体"/>
                <w:b/>
                <w:bCs/>
                <w:color w:val="000000"/>
                <w:sz w:val="24"/>
                <w:szCs w:val="24"/>
                <w:lang w:val="en-US" w:eastAsia="zh-CN"/>
              </w:rPr>
              <w:t>符合性分析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《昌吉回族自治州生态环境保护与建设“十四五”规划》</w:t>
            </w:r>
            <w:r>
              <w:rPr>
                <w:rFonts w:hint="eastAsia" w:ascii="宋体" w:hAnsi="宋体" w:cs="宋体"/>
                <w:color w:val="000000"/>
                <w:sz w:val="24"/>
                <w:szCs w:val="24"/>
                <w:lang w:val="en-US" w:eastAsia="zh-CN"/>
              </w:rPr>
              <w:t>提出：</w:t>
            </w:r>
            <w:r>
              <w:rPr>
                <w:rFonts w:hint="eastAsia" w:ascii="宋体" w:hAnsi="宋体" w:eastAsia="宋体" w:cs="宋体"/>
                <w:color w:val="000000"/>
                <w:sz w:val="24"/>
                <w:szCs w:val="24"/>
                <w:lang w:val="en-US" w:eastAsia="zh-CN"/>
              </w:rPr>
              <w:t>加强协同控制、改善大气环境</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一是完善区域大气污染综合治理体系：健全污染防治区域联动机制，完善污染天气应对体系。二是分区施策改善区域大气环境：分区推进大气质量改善行动，深入推进重点区域大气污染治理。三是持续推进涉气污染源治理：实施重点行业氮氧化物等污染物深度治理，加强重点行业挥发性有机物治理，协同开展细颗粒物和臭氧污染防治，强化车油路联合管控，推进扬尘精细化管控，加大其它涉气污染源的治理力度。四是创造宁静生活环境：加强规划区划引导，强化源头防控；加强重点区域声环境质量管控。</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eastAsia" w:ascii="宋体" w:hAnsi="宋体" w:eastAsia="宋体" w:cs="宋体"/>
                <w:color w:val="000000"/>
                <w:sz w:val="24"/>
                <w:szCs w:val="24"/>
                <w:lang w:val="en-US" w:eastAsia="zh-CN"/>
              </w:rPr>
            </w:pPr>
            <w:r>
              <w:rPr>
                <w:rFonts w:hint="eastAsia" w:cs="Times New Roman"/>
                <w:color w:val="000000" w:themeColor="text1"/>
                <w:spacing w:val="-6"/>
                <w:kern w:val="0"/>
                <w:sz w:val="24"/>
                <w:szCs w:val="24"/>
                <w:highlight w:val="none"/>
                <w:lang w:val="en-US" w:eastAsia="zh-CN" w:bidi="ar-SA"/>
                <w14:textFill>
                  <w14:solidFill>
                    <w14:schemeClr w14:val="tx1"/>
                  </w14:solidFill>
                </w14:textFill>
              </w:rPr>
              <w:t>本项目位于木垒县，</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年使用低VOCs的水性漆及水性漆固化剂20吨，油性漆、油性漆稀释剂及油性漆固化剂6吨，涂料、稀释剂、固化剂等原辅材料密闭存储，漆料调配在喷漆房内进行，漆雾经封闭负压状态收集后使用DPA纸箱过滤器过滤后经20m高排气(DA002）排放。喷漆、烘干产生的废气经封闭负压状态收集后使用80K型活性炭吸附+脱附+催化燃烧处理设备（在线）处理，处理后废气经20m高排气(DA002）排放。丝印废气使用集气罩收集后接入80K型活性炭吸附+脱附+催化燃烧处理设备处理，处理后废气经20m高排气(DA002）排放。</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符合</w:t>
            </w:r>
            <w:r>
              <w:rPr>
                <w:rFonts w:hint="eastAsia" w:ascii="宋体" w:hAnsi="宋体" w:eastAsia="宋体" w:cs="宋体"/>
                <w:color w:val="000000"/>
                <w:sz w:val="24"/>
                <w:szCs w:val="24"/>
                <w:lang w:val="en-US" w:eastAsia="zh-CN"/>
              </w:rPr>
              <w:t>《昌吉回族自治州生态环境保护与建设“十四五”规划》</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要求</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textAlignment w:val="auto"/>
              <w:rPr>
                <w:rFonts w:hint="default" w:ascii="宋体" w:hAnsi="宋体" w:eastAsia="宋体" w:cs="宋体"/>
                <w:color w:val="000000"/>
                <w:sz w:val="24"/>
                <w:szCs w:val="24"/>
                <w:lang w:val="en-US" w:eastAsia="zh-CN"/>
              </w:rPr>
            </w:pPr>
            <w:r>
              <w:rPr>
                <w:rFonts w:hint="eastAsia" w:ascii="宋体" w:hAnsi="宋体" w:cs="宋体"/>
                <w:b/>
                <w:bCs/>
                <w:color w:val="000000"/>
                <w:sz w:val="24"/>
                <w:szCs w:val="24"/>
                <w:lang w:val="en-US" w:eastAsia="zh-CN"/>
              </w:rPr>
              <w:t>12、与《关于深入打好污染防治攻坚战的实施方案》的符合性分析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《关于深入打好污染防治攻坚战的实施方案》提出：</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十二）着力打好臭氧污染防治攻坚战。积极遏制臭氧浓度增长趋势，推进挥发性有机物和氮氧化物协同减排。以石化、化工、涂装、医药、包装印刷、油品储运销等行业领域为重点，安全高效推进挥发性有机物综合治理，实施原辅材料和产品源头替代工程。2024年底前全面完成钢铁行业超低排放改造，有序推进水泥、焦化（含半焦）行业全流程超低排放改造，八一钢铁、昆仑钢铁等企业率先完成全流程超低排放改造。鼓励使用清洁能源或电厂热力、工业余热等替代锅炉、炉窑燃料用煤。开展涉气产业集群排查及分类治理，推进企业升级改造和区域环境综合整治。</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eastAsia" w:ascii="宋体" w:hAnsi="宋体" w:eastAsia="宋体" w:cs="宋体"/>
                <w:color w:val="000000"/>
                <w:sz w:val="24"/>
                <w:szCs w:val="24"/>
                <w:lang w:val="en-US" w:eastAsia="zh-CN"/>
              </w:rPr>
            </w:pPr>
            <w:r>
              <w:rPr>
                <w:rFonts w:hint="eastAsia" w:cs="Times New Roman"/>
                <w:color w:val="000000" w:themeColor="text1"/>
                <w:spacing w:val="-6"/>
                <w:kern w:val="0"/>
                <w:sz w:val="24"/>
                <w:szCs w:val="24"/>
                <w:highlight w:val="none"/>
                <w:lang w:val="en-US" w:eastAsia="zh-CN" w:bidi="ar-SA"/>
                <w14:textFill>
                  <w14:solidFill>
                    <w14:schemeClr w14:val="tx1"/>
                  </w14:solidFill>
                </w14:textFill>
              </w:rPr>
              <w:t>本项目位于木垒县，</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年使用低VOCs的水性漆及水性漆固化剂20吨，油性漆、油性漆稀释剂及油性漆固化剂6吨，涂料、稀释剂、固化剂等原辅材料密闭存储，漆料调配在喷漆房内进行，漆雾经封闭负压状态收集后使用DPA纸箱过滤器过滤后经20m高排气(DA002）排放。喷漆、烘干产生的废气经封闭负压状态收集后使用80K型活性炭吸附+脱附+催化燃烧处理设备（在线）处理，处理后废气经20m高排气(DA002）排放。丝印废气使用集气罩收集后接入80K型活性炭吸附+脱附+催化燃烧处理设备处理，处理后废气经20m高排气(DA002）排放。</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符合</w:t>
            </w:r>
            <w:r>
              <w:rPr>
                <w:rFonts w:hint="eastAsia" w:ascii="宋体" w:hAnsi="宋体" w:cs="宋体"/>
                <w:b w:val="0"/>
                <w:bCs w:val="0"/>
                <w:color w:val="000000"/>
                <w:sz w:val="24"/>
                <w:szCs w:val="24"/>
                <w:lang w:val="en-US" w:eastAsia="zh-CN"/>
              </w:rPr>
              <w:t>《关于深入打好污染防治攻坚战的实施方案》</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要求</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13</w:t>
            </w:r>
            <w:r>
              <w:rPr>
                <w:rFonts w:hint="eastAsia" w:ascii="宋体" w:hAnsi="宋体" w:cs="宋体"/>
                <w:b/>
                <w:bCs/>
                <w:color w:val="000000"/>
                <w:sz w:val="24"/>
                <w:szCs w:val="24"/>
                <w:lang w:val="en-US" w:eastAsia="zh-CN"/>
              </w:rPr>
              <w:t>、与</w:t>
            </w:r>
            <w:r>
              <w:rPr>
                <w:rFonts w:hint="eastAsia" w:ascii="宋体" w:hAnsi="宋体" w:eastAsia="宋体" w:cs="宋体"/>
                <w:b/>
                <w:bCs/>
                <w:color w:val="000000"/>
                <w:sz w:val="24"/>
                <w:szCs w:val="24"/>
                <w:lang w:val="en-US" w:eastAsia="zh-CN"/>
              </w:rPr>
              <w:t>国务院关于印发《空气质量持续改善行动计划》的通知国发〔2023〕24号</w:t>
            </w:r>
            <w:r>
              <w:rPr>
                <w:rFonts w:hint="eastAsia" w:ascii="宋体" w:hAnsi="宋体" w:cs="宋体"/>
                <w:b/>
                <w:bCs/>
                <w:color w:val="000000"/>
                <w:sz w:val="24"/>
                <w:szCs w:val="24"/>
                <w:lang w:val="en-US" w:eastAsia="zh-CN"/>
              </w:rPr>
              <w:t>的符合性分析</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《空气质量持续改善行动计划》提出：</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七）优化含VOCs原辅材料和产品结构。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本项目位于木垒县，年使用低VOCs的水性漆及水性漆固化剂20吨，油性漆、油性漆稀释剂及油性漆固化剂6吨，符合《空气质量持续改善行动计划》要求。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14</w:t>
            </w:r>
            <w:r>
              <w:rPr>
                <w:rFonts w:hint="eastAsia" w:ascii="宋体" w:hAnsi="宋体" w:cs="宋体"/>
                <w:b/>
                <w:bCs/>
                <w:color w:val="000000"/>
                <w:sz w:val="24"/>
                <w:szCs w:val="24"/>
                <w:lang w:val="en-US" w:eastAsia="zh-CN"/>
              </w:rPr>
              <w:t>、与</w:t>
            </w:r>
            <w:r>
              <w:rPr>
                <w:rFonts w:hint="eastAsia" w:ascii="宋体" w:hAnsi="宋体" w:eastAsia="宋体" w:cs="宋体"/>
                <w:b/>
                <w:bCs/>
                <w:color w:val="000000"/>
                <w:sz w:val="24"/>
                <w:szCs w:val="24"/>
                <w:lang w:val="en-US" w:eastAsia="zh-CN"/>
              </w:rPr>
              <w:t xml:space="preserve">《关于加快解决当前挥发性有机物治理突出问题的通知》(环大气[2021] 65 号) </w:t>
            </w:r>
            <w:r>
              <w:rPr>
                <w:rFonts w:hint="eastAsia" w:ascii="宋体" w:hAnsi="宋体" w:cs="宋体"/>
                <w:b/>
                <w:bCs/>
                <w:color w:val="000000"/>
                <w:sz w:val="24"/>
                <w:szCs w:val="24"/>
                <w:lang w:val="en-US" w:eastAsia="zh-CN"/>
              </w:rPr>
              <w:t>的符合性分析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《关于加快解决当前挥发性有机物治理突出问题的通知》</w:t>
            </w:r>
            <w:r>
              <w:rPr>
                <w:rFonts w:hint="eastAsia" w:ascii="宋体" w:hAnsi="宋体" w:cs="宋体"/>
                <w:b w:val="0"/>
                <w:bCs w:val="0"/>
                <w:color w:val="000000"/>
                <w:sz w:val="24"/>
                <w:szCs w:val="24"/>
                <w:lang w:val="en-US" w:eastAsia="zh-CN"/>
              </w:rPr>
              <w:t>提出：</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有机废气治理设施存在的突出问题。治理设施设计不规范、与生产系统不匹配；光催化、光氧化、低温等离子等低效技术使用占比大、治理效果差；治理设施建设质量良莠不齐，应付治理、无效治理等现象突出；治理设施运行不规范，定期维护不到位。排查检查重点。对治理设施建设情况、工艺类型、处理能力、运行时间、运行参数、耗材或药剂更换情况、能源消耗情况和废过滤棉、废催化剂、废吸附剂、废吸收剂、废有机溶剂等二次污染物规范化处置情况进行检查，建立VOCs治理设施清单；检查检测企业VOCs 排放浓度、排放速率和治理设施去除效率。</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治理要求。新建治理设施或对现有治理设施实施改造，应依据排放废气特征、VOCs 组分及浓度、生产工况等，合理选择治理技术；对治理难度大、单一治理工艺难以稳定达标的，宜采用多种技术的组合工艺；除恶臭异味治理外，一般不使用低温等离子、光催化、光氧化等技术。加强运行维护管理，做到治理设施较生产设备“先启后停”，在治理设施达到正常运行条件后方可启动生产设备，在生产设备停止、残留VOCs废气收集处理完毕后，方可停运治理设施；及时清理、更换吸附剂、吸收剂、催化剂、蓄热体、过滤棉、灯管、电器元件等治理设施耗材，确保设施能够稳定高效运行；做好生产设备和治理设施启停机时间、检维修情况、治理设施耗材维护更换、处置情况等台账记录；对于 VOCs 治理设施产生的废过滤棉、废催化剂、废吸附剂、废吸收剂、废有机溶剂等，应及时清运，属于危险废物的应交有资质的单位处理处置。采用活性炭吸附工艺的企业，应根据废气排放特征，按照相关工程技术规范设计净化工艺和设备，使废气在吸附装置中有足够的停留时间，选择符合相关产品质量标准的活性炭，并足额充填、及时更换。</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cs="Times New Roman"/>
                <w:color w:val="000000" w:themeColor="text1"/>
                <w:spacing w:val="-6"/>
                <w:kern w:val="0"/>
                <w:sz w:val="24"/>
                <w:szCs w:val="24"/>
                <w:highlight w:val="none"/>
                <w:lang w:val="en-US" w:eastAsia="zh-CN" w:bidi="ar-SA"/>
                <w14:textFill>
                  <w14:solidFill>
                    <w14:schemeClr w14:val="tx1"/>
                  </w14:solidFill>
                </w14:textFill>
              </w:rPr>
              <w:t>本项目位于木垒县，</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年使用低VOCs的水性漆及水性漆固化剂20吨，油性漆、油性漆稀释剂及油性漆固化剂6吨，涂料、稀释剂、固化剂等原辅材料密闭存储，漆料调配在喷漆房内进行，漆雾经封闭负压状态收集后使用DPA纸箱过滤器过滤后经20m高排气(DA002）排放。喷漆、烘干产生的废气经封闭负压状态收集后使用80K型活性炭吸附+脱附+催化燃烧处理设备（在线）处理，处理后废气经20m高排气(DA002）排放。丝印废气使用集气罩收集后接入80K型活性炭吸附+脱附+催化燃烧处理设备处理，处理后废气经20m高排气(DA002）排放。喷漆、丝印过程产生的废漆、废漆桶、废油墨桶、废DPA纸箱、废空压机油、废机油、废活性炭和废油墨经收集后暂存于危险废物暂存间，最终交由具有相应资质类别的危险废物处置单位处置，废催化剂厂家回收处置。符合</w:t>
            </w:r>
            <w:r>
              <w:rPr>
                <w:rFonts w:hint="eastAsia" w:ascii="宋体" w:hAnsi="宋体" w:eastAsia="宋体" w:cs="宋体"/>
                <w:b w:val="0"/>
                <w:bCs w:val="0"/>
                <w:color w:val="000000"/>
                <w:sz w:val="24"/>
                <w:szCs w:val="24"/>
                <w:lang w:val="en-US" w:eastAsia="zh-CN"/>
              </w:rPr>
              <w:t>《关于加快解决当前挥发性有机物治理突出问题的通知》</w:t>
            </w:r>
            <w:r>
              <w:rPr>
                <w:rFonts w:hint="eastAsia" w:ascii="Times New Roman" w:hAnsi="Times New Roman" w:eastAsia="宋体" w:cs="Times New Roman"/>
                <w:b w:val="0"/>
                <w:bCs w:val="0"/>
                <w:color w:val="000000" w:themeColor="text1"/>
                <w:spacing w:val="-6"/>
                <w:kern w:val="0"/>
                <w:sz w:val="24"/>
                <w:szCs w:val="24"/>
                <w:highlight w:val="none"/>
                <w:lang w:val="en-US" w:eastAsia="zh-CN" w:bidi="ar-SA"/>
                <w14:textFill>
                  <w14:solidFill>
                    <w14:schemeClr w14:val="tx1"/>
                  </w14:solidFill>
                </w14:textFill>
              </w:rPr>
              <w:t>要求</w:t>
            </w:r>
            <w:r>
              <w:rPr>
                <w:rFonts w:hint="eastAsia" w:cs="Times New Roman"/>
                <w:b w:val="0"/>
                <w:bCs w:val="0"/>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15</w:t>
            </w:r>
            <w:r>
              <w:rPr>
                <w:rFonts w:hint="eastAsia" w:ascii="宋体" w:hAnsi="宋体" w:cs="宋体"/>
                <w:b/>
                <w:bCs/>
                <w:color w:val="000000"/>
                <w:sz w:val="24"/>
                <w:szCs w:val="24"/>
                <w:lang w:val="en-US" w:eastAsia="zh-CN"/>
              </w:rPr>
              <w:t>、与</w:t>
            </w:r>
            <w:r>
              <w:rPr>
                <w:rFonts w:hint="eastAsia" w:ascii="宋体" w:hAnsi="宋体" w:eastAsia="宋体" w:cs="宋体"/>
                <w:b/>
                <w:bCs/>
                <w:color w:val="000000"/>
                <w:sz w:val="24"/>
                <w:szCs w:val="24"/>
                <w:lang w:val="en-US" w:eastAsia="zh-CN"/>
              </w:rPr>
              <w:t>《挥发性有机物污染防治技术政策》符合性分析</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《挥发性有机物污染防治技术政策》</w:t>
            </w:r>
            <w:r>
              <w:rPr>
                <w:rFonts w:hint="eastAsia" w:ascii="宋体" w:hAnsi="宋体" w:cs="宋体"/>
                <w:b w:val="0"/>
                <w:bCs w:val="0"/>
                <w:color w:val="000000"/>
                <w:sz w:val="24"/>
                <w:szCs w:val="24"/>
                <w:lang w:val="en-US" w:eastAsia="zh-CN"/>
              </w:rPr>
              <w:t>提出：</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（九）涂料、油墨、胶粘剂、农药等以VOCs为原料的生产行业的VOCs污染防治技术措施包括：</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1.鼓励符合环境标志产品技术要求的水基型、无有机溶剂型、低有机溶剂型的涂料、油墨和胶粘剂等的生产和销售；</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2.鼓励采用密闭一体化生产技术，并对生产过程中产生的废气分类收集后处理。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（十）在涂装、印刷、粘合、工业清洗等含VOCs产品的使用过程中的VOCs污染防治技术措施包括：</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1.鼓励使用通过环境标志产品认证的环保型涂料、油墨、胶粘剂和清洗剂；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根据涂装工艺的不同，鼓励使用水性涂料、高固份涂料、粉末涂料、紫外光固化（UV）涂料等环保型涂料；推广采用静电喷涂、淋涂、辊涂、浸涂等效率较高的涂装工艺；应尽量避免无VOCs净化、回收措施的露天喷涂作业；</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3.在印刷工艺中推广使用水性油墨，印铁制罐行业鼓励使用紫外光固化（UV）油墨，书刊印刷行业鼓励使用预涂膜技术；</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4.鼓励在人造板、制鞋、皮革制品、包装材料等粘合过程中使用水基型、热熔型等环保型胶粘剂，在复合膜的生产中推广无溶剂复合及共挤出复合技术；</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5.淘汰以三氟三氯乙烷、甲基氯仿和四氯化碳为清洗剂或溶剂的生产工艺。清洗过程中产生的废溶剂宜密闭收集，有回收价值的废溶剂经处理后回用，其他废溶剂应妥善处置；</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6.含VOCs产品的使用过程中，应采取废气收集措施，提高废气收集效率，减少废气的无组织排放与逸散，并对收集后的废气进行回收或处理后达标排放。</w:t>
            </w:r>
          </w:p>
          <w:p>
            <w:pPr>
              <w:keepNext w:val="0"/>
              <w:keepLines w:val="0"/>
              <w:pageBreakBefore w:val="0"/>
              <w:widowControl/>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cs="Times New Roman"/>
                <w:color w:val="000000" w:themeColor="text1"/>
                <w:spacing w:val="-6"/>
                <w:kern w:val="0"/>
                <w:sz w:val="24"/>
                <w:szCs w:val="24"/>
                <w:highlight w:val="none"/>
                <w:lang w:val="en-US" w:eastAsia="zh-CN" w:bidi="ar-SA"/>
                <w14:textFill>
                  <w14:solidFill>
                    <w14:schemeClr w14:val="tx1"/>
                  </w14:solidFill>
                </w14:textFill>
              </w:rPr>
              <w:t>本项目位于木垒县，</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年使用低VOCs的水性漆及水性漆固化剂20吨，油性漆、油性漆稀释剂及油性漆固化剂6吨，涂料、稀释剂、固化剂等原辅材料密闭存储，漆料调配在喷漆房内进行，漆雾经封闭负压状态收集后使用DPA纸箱过滤器过滤后经20m高排气(DA002）排放。喷漆、烘干产生的废气经封闭负压状态收集后使用80K型活性炭吸附+脱附+催化燃烧处理设备（在线）处理，处理后废气经20m高排气(DA002）排放。丝印废气使用集气罩收集后接入80K型活性炭吸附+脱附+催化燃烧处理设备处理，处理后废气经20m高排气(DA002）排放。</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符合</w:t>
            </w:r>
            <w:r>
              <w:rPr>
                <w:rFonts w:hint="eastAsia" w:ascii="宋体" w:hAnsi="宋体" w:eastAsia="宋体" w:cs="宋体"/>
                <w:b w:val="0"/>
                <w:bCs w:val="0"/>
                <w:color w:val="000000"/>
                <w:sz w:val="24"/>
                <w:szCs w:val="24"/>
                <w:lang w:val="en-US" w:eastAsia="zh-CN"/>
              </w:rPr>
              <w:t>《挥发性有机物污染防治技术政策》</w:t>
            </w:r>
            <w:r>
              <w:rPr>
                <w:rFonts w:hint="eastAsia" w:ascii="Times New Roman" w:hAnsi="Times New Roman" w:eastAsia="宋体" w:cs="Times New Roman"/>
                <w:b w:val="0"/>
                <w:bCs w:val="0"/>
                <w:color w:val="000000" w:themeColor="text1"/>
                <w:spacing w:val="-6"/>
                <w:kern w:val="0"/>
                <w:sz w:val="24"/>
                <w:szCs w:val="24"/>
                <w:highlight w:val="none"/>
                <w:lang w:val="en-US" w:eastAsia="zh-CN" w:bidi="ar-SA"/>
                <w14:textFill>
                  <w14:solidFill>
                    <w14:schemeClr w14:val="tx1"/>
                  </w14:solidFill>
                </w14:textFill>
              </w:rPr>
              <w:t>要求</w:t>
            </w:r>
            <w:r>
              <w:rPr>
                <w:rFonts w:hint="eastAsia" w:cs="Times New Roman"/>
                <w:b w:val="0"/>
                <w:bCs w:val="0"/>
                <w:color w:val="000000" w:themeColor="text1"/>
                <w:spacing w:val="-6"/>
                <w:kern w:val="0"/>
                <w:sz w:val="24"/>
                <w:szCs w:val="24"/>
                <w:highlight w:val="none"/>
                <w:lang w:val="en-US" w:eastAsia="zh-CN" w:bidi="ar-SA"/>
                <w14:textFill>
                  <w14:solidFill>
                    <w14:schemeClr w14:val="tx1"/>
                  </w14:solidFill>
                </w14:textFill>
              </w:rPr>
              <w:t>。</w:t>
            </w:r>
          </w:p>
        </w:tc>
      </w:tr>
    </w:tbl>
    <w:p>
      <w:pPr>
        <w:spacing w:line="360" w:lineRule="auto"/>
        <w:outlineLvl w:val="0"/>
        <w:rPr>
          <w:rFonts w:eastAsia="黑体"/>
          <w:color w:val="000000" w:themeColor="text1"/>
          <w:sz w:val="30"/>
          <w:highlight w:val="none"/>
          <w14:textFill>
            <w14:solidFill>
              <w14:schemeClr w14:val="tx1"/>
            </w14:solidFill>
          </w14:textFill>
        </w:rPr>
        <w:sectPr>
          <w:footerReference r:id="rId6" w:type="default"/>
          <w:pgSz w:w="11906" w:h="16838"/>
          <w:pgMar w:top="1440" w:right="1803" w:bottom="1440" w:left="1803" w:header="851" w:footer="1077" w:gutter="0"/>
          <w:pgNumType w:fmt="decimal" w:start="1"/>
          <w:cols w:space="720" w:num="1"/>
          <w:docGrid w:linePitch="312" w:charSpace="0"/>
        </w:sectPr>
      </w:pPr>
    </w:p>
    <w:p>
      <w:pPr>
        <w:pStyle w:val="20"/>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二、建设项目工程分析</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13" w:hRule="atLeast"/>
          <w:jc w:val="center"/>
        </w:trPr>
        <w:tc>
          <w:tcPr>
            <w:tcW w:w="823" w:type="dxa"/>
            <w:vAlign w:val="center"/>
          </w:tcPr>
          <w:p>
            <w:pPr>
              <w:pStyle w:val="20"/>
              <w:adjustRightInd w:val="0"/>
              <w:snapToGrid w:val="0"/>
              <w:spacing w:before="0" w:beforeAutospacing="0" w:after="0" w:afterAutospacing="0"/>
              <w:jc w:val="center"/>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建设内容</w:t>
            </w:r>
          </w:p>
        </w:tc>
        <w:tc>
          <w:tcPr>
            <w:tcW w:w="8161" w:type="dxa"/>
          </w:tcPr>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1、项目背景</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我国已经全面确立了2030年前碳达峰、2060年前碳中和的“双碳”目标。落实“双碳”目标，电力行业任务重、责任大，发展以新能源为主的新型电力系统已成为电力行业的时代使命。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以新能源为主体的新型电力系统将是未来能源系统的核心组成部分，当前世界经济和社会发展遇到的核心问题是能源紧张、环境污染严重，这两方面都与能源直接相关，21世纪初开始的第四次工业革命中能源革命是核心。坚强智慧能源电网的一个重要使命，就是最大限度的消纳新能源、分布式能源，保证能源的可持续供应，推动低碳经济发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本项目生产的智能逆变</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升压</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 xml:space="preserve">一体机、汇流箱、光伏箱变、逆变器、储能设备等智慧能源电力设备，是未来智慧能源电网建设必备设备，对于我国智慧能源电网的建设有积极推动作用，有利于智慧能源电网的发展。 </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2023年3月15日，新疆双杰新能源有限公司完成了“新疆双杰新能源高端装备研发制造基地项目(一期)”项目网上备案登记。建设内容及规模如下</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总建筑面积6.39万平方米，包括厂房、综合楼、仓库、宿舍等，场地硬化、围墙、管网等配套附属工程，购置检测自动生产线、生产组装流水线等设备，总投资40000万元。</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2023年3月24日，该项目环境影响登记表已经完成备案，备案号：202365232800000016。</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目前项目厂区已完成场地平整，已建成厂房、生产车间钢架结构安装、综合楼，已建内容均属原备案表内容。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考虑市场的需要，建设单位在建设过程中，增加了喷漆与喷砂工序，且年使用低</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的</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水性漆及水性漆固化剂20吨，油性漆、油性漆稀释剂及油性漆固化剂6吨</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根据</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《建设项目环境影响评价分类管理名录（2021年版）》，更改后的项目涉及</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三十五、电气机械和器材制造业38  输配电及控制设备制造382  其他(仅分割、焊接、组装的除外；年用非溶剂型低</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含量涂料10吨以下的除外)</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，应该编制环境影响报告表。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根据《中华人民共和国环境影响评价法》和《建设项目环境保护管理条例》有关规定，建设单位委托</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乌鲁木齐市清泽蓝天</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环保科技有限公司承担该项目的环境影响评价工作。接受委托后，</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乌鲁木齐市清泽蓝天</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环保科技有限公司认真的研究了项目的有关资料，对项目所在地进行了现场踏勘，结合建设单位提供的资料，针对建设项目特点及周围环境功能等情况进行了深入分析，按照相关法律法规及导则要求编制了本项目环境影响报告</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表</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2、建设地点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项目建设拟地点位于新疆木垒哈萨克自治县，项目区中心坐标点为：90°21′27.285″</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43°57′13.839″。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项目区西侧210m为大南沟乌兹别克乡大南沟村，南侧为新疆东方风电新能源有限公司，东侧为木垒县嘉晟能源科技有限公司和空地，北侧为新疆双杰新能源高端装备研发制造基地项目二期预留用地。</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项目地理位置图见附图</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4</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3、建设内容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本项目主要作为双杰新能智慧能源高端装备研发制造基地使用，组建从智慧能源高端装备研发、生产及产业链上下游融合发展的总部基地，引领拟投建木垒哈萨克自治县乃至新疆智慧能源设备装配产业发展。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6"/>
                <w:kern w:val="0"/>
                <w:sz w:val="24"/>
                <w:szCs w:val="24"/>
                <w:highlight w:val="none"/>
                <w:lang w:val="en-US" w:eastAsia="zh-CN" w:bidi="ar-SA"/>
                <w14:textFill>
                  <w14:solidFill>
                    <w14:schemeClr w14:val="tx1"/>
                  </w14:solidFill>
                </w14:textFill>
              </w:rPr>
              <w:t>项目</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总建筑面积6.39万平方米，包括厂房、综合楼、仓库、宿舍等，场地硬化、围墙、管网等配套附属工程，购置检测自动生产线、生产组装流水线等。</w:t>
            </w:r>
          </w:p>
          <w:p>
            <w:pPr>
              <w:pStyle w:val="9"/>
              <w:keepNext w:val="0"/>
              <w:keepLines w:val="0"/>
              <w:pageBreakBefore w:val="0"/>
              <w:kinsoku/>
              <w:wordWrap/>
              <w:overflowPunct/>
              <w:topLinePunct w:val="0"/>
              <w:autoSpaceDE/>
              <w:autoSpaceDN/>
              <w:bidi w:val="0"/>
              <w:adjustRightInd/>
              <w:spacing w:before="0" w:after="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
                <w:sz w:val="21"/>
                <w:szCs w:val="21"/>
                <w:highlight w:val="none"/>
                <w14:textFill>
                  <w14:solidFill>
                    <w14:schemeClr w14:val="tx1"/>
                  </w14:solidFill>
                </w14:textFill>
              </w:rPr>
              <w:t>表</w:t>
            </w:r>
            <w:r>
              <w:rPr>
                <w:rFonts w:hint="default" w:ascii="Times New Roman" w:hAnsi="Times New Roman" w:eastAsia="宋体" w:cs="Times New Roman"/>
                <w:b/>
                <w:bCs/>
                <w:color w:val="000000" w:themeColor="text1"/>
                <w:spacing w:val="-1"/>
                <w:sz w:val="21"/>
                <w:szCs w:val="21"/>
                <w:highlight w:val="none"/>
                <w:lang w:val="en-US" w:eastAsia="zh-CN"/>
                <w14:textFill>
                  <w14:solidFill>
                    <w14:schemeClr w14:val="tx1"/>
                  </w14:solidFill>
                </w14:textFill>
              </w:rPr>
              <w:t>2-1</w:t>
            </w:r>
            <w:r>
              <w:rPr>
                <w:rFonts w:hint="default" w:ascii="Times New Roman" w:hAnsi="Times New Roman" w:eastAsia="宋体" w:cs="Times New Roman"/>
                <w:b/>
                <w:bCs/>
                <w:color w:val="000000" w:themeColor="text1"/>
                <w:spacing w:val="-1"/>
                <w:sz w:val="21"/>
                <w:szCs w:val="21"/>
                <w:highlight w:val="none"/>
                <w14:textFill>
                  <w14:solidFill>
                    <w14:schemeClr w14:val="tx1"/>
                  </w14:solidFill>
                </w14:textFill>
              </w:rPr>
              <w:t xml:space="preserve">  主要建设内容一览表</w:t>
            </w:r>
          </w:p>
          <w:tbl>
            <w:tblPr>
              <w:tblStyle w:val="69"/>
              <w:tblW w:w="78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1446"/>
              <w:gridCol w:w="4919"/>
              <w:gridCol w:w="7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项目组成</w:t>
                  </w:r>
                </w:p>
              </w:tc>
              <w:tc>
                <w:tcPr>
                  <w:tcW w:w="1446"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项目名称</w:t>
                  </w:r>
                </w:p>
              </w:tc>
              <w:tc>
                <w:tcPr>
                  <w:tcW w:w="4919"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项目情况</w:t>
                  </w:r>
                </w:p>
              </w:tc>
              <w:tc>
                <w:tcPr>
                  <w:tcW w:w="72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Merge w:val="restart"/>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主体工程</w:t>
                  </w:r>
                </w:p>
              </w:tc>
              <w:tc>
                <w:tcPr>
                  <w:tcW w:w="1446"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厂房</w:t>
                  </w:r>
                </w:p>
              </w:tc>
              <w:tc>
                <w:tcPr>
                  <w:tcW w:w="4919"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1#厂房，1层，建筑面积13000平方米</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2#厂房，1层，建筑面积13000平方米</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3#厂房，1层，建筑面积13000平方米</w:t>
                  </w:r>
                </w:p>
              </w:tc>
              <w:tc>
                <w:tcPr>
                  <w:tcW w:w="72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t>已</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Merge w:val="continue"/>
                  <w:tcBorders>
                    <w:bottom w:val="nil"/>
                  </w:tcBorders>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1446"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生产线</w:t>
                  </w:r>
                </w:p>
              </w:tc>
              <w:tc>
                <w:tcPr>
                  <w:tcW w:w="4919"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购置检测自动生产线、生产组装流水线等</w:t>
                  </w:r>
                </w:p>
              </w:tc>
              <w:tc>
                <w:tcPr>
                  <w:tcW w:w="72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Merge w:val="restart"/>
                  <w:tcBorders>
                    <w:bottom w:val="nil"/>
                  </w:tcBorders>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辅助工程</w:t>
                  </w:r>
                </w:p>
              </w:tc>
              <w:tc>
                <w:tcPr>
                  <w:tcW w:w="1446"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综合楼</w:t>
                  </w:r>
                </w:p>
              </w:tc>
              <w:tc>
                <w:tcPr>
                  <w:tcW w:w="4919"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5层，建筑面积13200平方米</w:t>
                  </w:r>
                </w:p>
              </w:tc>
              <w:tc>
                <w:tcPr>
                  <w:tcW w:w="72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t>已</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Merge w:val="continue"/>
                  <w:tcBorders>
                    <w:top w:val="nil"/>
                    <w:bottom w:val="nil"/>
                  </w:tcBorders>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1446"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消防水池</w:t>
                  </w:r>
                </w:p>
              </w:tc>
              <w:tc>
                <w:tcPr>
                  <w:tcW w:w="4919"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消防水池</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200m</w:t>
                  </w:r>
                  <w:r>
                    <w:rPr>
                      <w:rFonts w:hint="eastAsia" w:ascii="Times New Roman" w:hAnsi="Times New Roman" w:eastAsia="宋体" w:cs="Times New Roman"/>
                      <w:color w:val="000000" w:themeColor="text1"/>
                      <w:spacing w:val="-6"/>
                      <w:kern w:val="0"/>
                      <w:sz w:val="21"/>
                      <w:szCs w:val="21"/>
                      <w:highlight w:val="none"/>
                      <w:vertAlign w:val="superscript"/>
                      <w:lang w:val="en-US" w:eastAsia="zh-CN" w:bidi="ar-SA"/>
                      <w14:textFill>
                        <w14:solidFill>
                          <w14:schemeClr w14:val="tx1"/>
                        </w14:solidFill>
                      </w14:textFill>
                    </w:rPr>
                    <w:t>3</w:t>
                  </w:r>
                </w:p>
              </w:tc>
              <w:tc>
                <w:tcPr>
                  <w:tcW w:w="72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Merge w:val="restart"/>
                  <w:tcBorders>
                    <w:bottom w:val="nil"/>
                  </w:tcBorders>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公用工程</w:t>
                  </w:r>
                </w:p>
              </w:tc>
              <w:tc>
                <w:tcPr>
                  <w:tcW w:w="1446"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供电</w:t>
                  </w:r>
                </w:p>
              </w:tc>
              <w:tc>
                <w:tcPr>
                  <w:tcW w:w="4919"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园区供电管网</w:t>
                  </w:r>
                </w:p>
              </w:tc>
              <w:tc>
                <w:tcPr>
                  <w:tcW w:w="72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Merge w:val="continue"/>
                  <w:tcBorders>
                    <w:top w:val="nil"/>
                    <w:bottom w:val="nil"/>
                  </w:tcBorders>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1446"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供水</w:t>
                  </w:r>
                </w:p>
              </w:tc>
              <w:tc>
                <w:tcPr>
                  <w:tcW w:w="4919"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园区供水管网</w:t>
                  </w:r>
                </w:p>
              </w:tc>
              <w:tc>
                <w:tcPr>
                  <w:tcW w:w="72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Merge w:val="continue"/>
                  <w:tcBorders>
                    <w:top w:val="nil"/>
                    <w:bottom w:val="nil"/>
                  </w:tcBorders>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1446"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排水</w:t>
                  </w:r>
                </w:p>
              </w:tc>
              <w:tc>
                <w:tcPr>
                  <w:tcW w:w="4919"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园区下水管网</w:t>
                  </w:r>
                </w:p>
              </w:tc>
              <w:tc>
                <w:tcPr>
                  <w:tcW w:w="72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Merge w:val="continue"/>
                  <w:tcBorders>
                    <w:top w:val="nil"/>
                  </w:tcBorders>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1446"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供热</w:t>
                  </w:r>
                </w:p>
              </w:tc>
              <w:tc>
                <w:tcPr>
                  <w:tcW w:w="4919"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园区综合供暖</w:t>
                  </w:r>
                </w:p>
              </w:tc>
              <w:tc>
                <w:tcPr>
                  <w:tcW w:w="72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Merge w:val="restart"/>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环保</w:t>
                  </w:r>
                </w:p>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工程</w:t>
                  </w:r>
                </w:p>
              </w:tc>
              <w:tc>
                <w:tcPr>
                  <w:tcW w:w="1446"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废气治理</w:t>
                  </w:r>
                </w:p>
              </w:tc>
              <w:tc>
                <w:tcPr>
                  <w:tcW w:w="4919"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废气治理</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使用以下设备：</w:t>
                  </w:r>
                </w:p>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t>移动式焊接烟尘净化器和排气扇，</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封闭负压</w:t>
                  </w:r>
                  <w:r>
                    <w:rPr>
                      <w:rFonts w:hint="eastAsia"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t>装置，</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引风机</w:t>
                  </w:r>
                  <w:r>
                    <w:rPr>
                      <w:rFonts w:hint="eastAsia"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沉降除尘器+滤筒除尘器，20m高排气</w:t>
                  </w:r>
                  <w:r>
                    <w:rPr>
                      <w:rFonts w:hint="eastAsia"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t>筒</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(DA001）</w:t>
                  </w:r>
                  <w:r>
                    <w:rPr>
                      <w:rFonts w:hint="eastAsia"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t>（DA002），DPA纸箱过滤器，</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80K型活性炭吸附+脱附+催化燃烧处理设备（在线）</w:t>
                  </w:r>
                  <w:r>
                    <w:rPr>
                      <w:rFonts w:hint="eastAsia"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集气罩</w:t>
                  </w:r>
                  <w:r>
                    <w:rPr>
                      <w:rFonts w:hint="eastAsia"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油烟机</w:t>
                  </w:r>
                  <w:r>
                    <w:rPr>
                      <w:rFonts w:hint="eastAsia"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8m高排气筒(DA003)</w:t>
                  </w:r>
                </w:p>
              </w:tc>
              <w:tc>
                <w:tcPr>
                  <w:tcW w:w="72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Merge w:val="continue"/>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1446"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废水治理</w:t>
                  </w:r>
                </w:p>
              </w:tc>
              <w:tc>
                <w:tcPr>
                  <w:tcW w:w="4919"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食堂废水经隔油池处理后和生活污水一并进入排入园区污水处理厂处理</w:t>
                  </w:r>
                </w:p>
              </w:tc>
              <w:tc>
                <w:tcPr>
                  <w:tcW w:w="72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Merge w:val="continue"/>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1446"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噪声治理</w:t>
                  </w:r>
                </w:p>
              </w:tc>
              <w:tc>
                <w:tcPr>
                  <w:tcW w:w="4919"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设备消声、减振，主体建筑门窗封闭：高噪声设备置于单独的设备间内。</w:t>
                  </w:r>
                </w:p>
              </w:tc>
              <w:tc>
                <w:tcPr>
                  <w:tcW w:w="72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Merge w:val="continue"/>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1446"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固废治理</w:t>
                  </w:r>
                </w:p>
              </w:tc>
              <w:tc>
                <w:tcPr>
                  <w:tcW w:w="4919"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生活垃圾统一交由环卫部门处置。</w:t>
                  </w:r>
                  <w:r>
                    <w:rPr>
                      <w:rFonts w:hint="eastAsia"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t>除尘器收集粉尘、包装废料、移动式焊接烟尘净化器产生的废滤芯和滤筒除尘器产生的废滤筒分类回收后综合利用或交由环卫部门处置</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。边角废料、废钢丸、废焊料焊渣回收后外售综合利用。喷漆、丝印过程产生的废漆、废漆桶、废油墨桶、废DPA纸箱、</w:t>
                  </w:r>
                  <w:r>
                    <w:rPr>
                      <w:rFonts w:hint="eastAsia"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t>废空压机油、废机油</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、废活性炭和</w:t>
                  </w:r>
                  <w:r>
                    <w:rPr>
                      <w:rFonts w:hint="eastAsia"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t>废油墨</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经收集后暂存于危险废物暂存间，最终交由具有相应资质类别的危险废物处置单位处置</w:t>
                  </w:r>
                  <w:r>
                    <w:rPr>
                      <w:rFonts w:hint="eastAsia"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废催化剂</w:t>
                  </w:r>
                  <w:r>
                    <w:rPr>
                      <w:rFonts w:hint="eastAsia"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t>厂家回收处置</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p>
              </w:tc>
              <w:tc>
                <w:tcPr>
                  <w:tcW w:w="72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p>
              </w:tc>
            </w:tr>
          </w:tbl>
          <w:p>
            <w:pPr>
              <w:autoSpaceDE w:val="0"/>
              <w:autoSpaceDN w:val="0"/>
              <w:adjustRightInd w:val="0"/>
              <w:snapToGrid w:val="0"/>
              <w:spacing w:line="360" w:lineRule="auto"/>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4、产品方案</w:t>
            </w:r>
          </w:p>
          <w:p>
            <w:pPr>
              <w:autoSpaceDE w:val="0"/>
              <w:autoSpaceDN w:val="0"/>
              <w:adjustRightInd w:val="0"/>
              <w:snapToGrid w:val="0"/>
              <w:spacing w:line="360" w:lineRule="auto"/>
              <w:ind w:firstLine="456" w:firstLineChars="200"/>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本项目建成投产后，主要从事智慧能源电网高端装备研发、制造及销售，项目产品方案如下：</w:t>
            </w:r>
          </w:p>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表2-2  项目产品一览表</w:t>
            </w:r>
          </w:p>
          <w:tbl>
            <w:tblPr>
              <w:tblStyle w:val="69"/>
              <w:tblW w:w="78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1"/>
              <w:gridCol w:w="681"/>
              <w:gridCol w:w="2411"/>
              <w:gridCol w:w="1689"/>
              <w:gridCol w:w="1313"/>
              <w:gridCol w:w="13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71" w:type="dxa"/>
                  <w:vMerge w:val="restart"/>
                  <w:tcBorders>
                    <w:bottom w:val="nil"/>
                  </w:tcBorders>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生产厂房</w:t>
                  </w:r>
                </w:p>
              </w:tc>
              <w:tc>
                <w:tcPr>
                  <w:tcW w:w="68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序号</w:t>
                  </w:r>
                </w:p>
              </w:tc>
              <w:tc>
                <w:tcPr>
                  <w:tcW w:w="241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产品名称</w:t>
                  </w:r>
                </w:p>
              </w:tc>
              <w:tc>
                <w:tcPr>
                  <w:tcW w:w="1689"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型号/规格</w:t>
                  </w:r>
                </w:p>
              </w:tc>
              <w:tc>
                <w:tcPr>
                  <w:tcW w:w="1313"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年产量</w:t>
                  </w:r>
                </w:p>
              </w:tc>
              <w:tc>
                <w:tcPr>
                  <w:tcW w:w="1313"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71" w:type="dxa"/>
                  <w:vMerge w:val="continue"/>
                  <w:tcBorders>
                    <w:top w:val="nil"/>
                    <w:bottom w:val="nil"/>
                  </w:tcBorders>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68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1</w:t>
                  </w:r>
                </w:p>
              </w:tc>
              <w:tc>
                <w:tcPr>
                  <w:tcW w:w="241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光伏汇流箱</w:t>
                  </w:r>
                </w:p>
              </w:tc>
              <w:tc>
                <w:tcPr>
                  <w:tcW w:w="1689"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小件，定制</w:t>
                  </w:r>
                </w:p>
              </w:tc>
              <w:tc>
                <w:tcPr>
                  <w:tcW w:w="1313"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20000</w:t>
                  </w:r>
                </w:p>
              </w:tc>
              <w:tc>
                <w:tcPr>
                  <w:tcW w:w="1313"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71" w:type="dxa"/>
                  <w:vMerge w:val="continue"/>
                  <w:tcBorders>
                    <w:top w:val="nil"/>
                    <w:bottom w:val="nil"/>
                  </w:tcBorders>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68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2</w:t>
                  </w:r>
                </w:p>
              </w:tc>
              <w:tc>
                <w:tcPr>
                  <w:tcW w:w="241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光伏逆变升压一体机</w:t>
                  </w:r>
                </w:p>
              </w:tc>
              <w:tc>
                <w:tcPr>
                  <w:tcW w:w="1689"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小件，定制</w:t>
                  </w:r>
                </w:p>
              </w:tc>
              <w:tc>
                <w:tcPr>
                  <w:tcW w:w="1313"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200</w:t>
                  </w:r>
                </w:p>
              </w:tc>
              <w:tc>
                <w:tcPr>
                  <w:tcW w:w="1313"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71" w:type="dxa"/>
                  <w:vMerge w:val="continue"/>
                  <w:tcBorders>
                    <w:top w:val="nil"/>
                    <w:bottom w:val="nil"/>
                  </w:tcBorders>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68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3</w:t>
                  </w:r>
                </w:p>
              </w:tc>
              <w:tc>
                <w:tcPr>
                  <w:tcW w:w="241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新能源光伏/风电箱变</w:t>
                  </w:r>
                </w:p>
              </w:tc>
              <w:tc>
                <w:tcPr>
                  <w:tcW w:w="1689"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小件，定制</w:t>
                  </w:r>
                </w:p>
              </w:tc>
              <w:tc>
                <w:tcPr>
                  <w:tcW w:w="1313"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400</w:t>
                  </w:r>
                </w:p>
              </w:tc>
              <w:tc>
                <w:tcPr>
                  <w:tcW w:w="1313"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71" w:type="dxa"/>
                  <w:vMerge w:val="continue"/>
                  <w:tcBorders>
                    <w:top w:val="nil"/>
                    <w:bottom w:val="nil"/>
                  </w:tcBorders>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68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4</w:t>
                  </w:r>
                </w:p>
              </w:tc>
              <w:tc>
                <w:tcPr>
                  <w:tcW w:w="241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电动汽车充换电站</w:t>
                  </w:r>
                </w:p>
              </w:tc>
              <w:tc>
                <w:tcPr>
                  <w:tcW w:w="1689"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小件，定制</w:t>
                  </w:r>
                </w:p>
              </w:tc>
              <w:tc>
                <w:tcPr>
                  <w:tcW w:w="1313"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200</w:t>
                  </w:r>
                </w:p>
              </w:tc>
              <w:tc>
                <w:tcPr>
                  <w:tcW w:w="1313"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71" w:type="dxa"/>
                  <w:vMerge w:val="continue"/>
                  <w:tcBorders>
                    <w:top w:val="nil"/>
                    <w:bottom w:val="nil"/>
                  </w:tcBorders>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68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5</w:t>
                  </w:r>
                </w:p>
              </w:tc>
              <w:tc>
                <w:tcPr>
                  <w:tcW w:w="241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储能变流升压一体机</w:t>
                  </w:r>
                </w:p>
              </w:tc>
              <w:tc>
                <w:tcPr>
                  <w:tcW w:w="1689"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小件，定制</w:t>
                  </w:r>
                </w:p>
              </w:tc>
              <w:tc>
                <w:tcPr>
                  <w:tcW w:w="1313"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400</w:t>
                  </w:r>
                </w:p>
              </w:tc>
              <w:tc>
                <w:tcPr>
                  <w:tcW w:w="1313"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71" w:type="dxa"/>
                  <w:vMerge w:val="continue"/>
                  <w:tcBorders>
                    <w:top w:val="nil"/>
                  </w:tcBorders>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68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6</w:t>
                  </w:r>
                </w:p>
              </w:tc>
              <w:tc>
                <w:tcPr>
                  <w:tcW w:w="2411"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储能集装箱系统</w:t>
                  </w:r>
                </w:p>
              </w:tc>
              <w:tc>
                <w:tcPr>
                  <w:tcW w:w="1689"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小件，定制</w:t>
                  </w:r>
                </w:p>
              </w:tc>
              <w:tc>
                <w:tcPr>
                  <w:tcW w:w="1313"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400</w:t>
                  </w:r>
                </w:p>
              </w:tc>
              <w:tc>
                <w:tcPr>
                  <w:tcW w:w="1313" w:type="dxa"/>
                  <w:vAlign w:val="center"/>
                </w:tcPr>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套</w:t>
                  </w:r>
                </w:p>
              </w:tc>
            </w:tr>
          </w:tbl>
          <w:p>
            <w:pPr>
              <w:autoSpaceDE w:val="0"/>
              <w:autoSpaceDN w:val="0"/>
              <w:adjustRightInd w:val="0"/>
              <w:snapToGrid w:val="0"/>
              <w:spacing w:line="360" w:lineRule="auto"/>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5、原辅料供应情况</w:t>
            </w:r>
          </w:p>
          <w:p>
            <w:pPr>
              <w:autoSpaceDE w:val="0"/>
              <w:autoSpaceDN w:val="0"/>
              <w:adjustRightInd w:val="0"/>
              <w:snapToGrid w:val="0"/>
              <w:spacing w:line="360" w:lineRule="auto"/>
              <w:ind w:firstLine="456" w:firstLineChars="200"/>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本项目所需辅料消耗情况见表2-3。</w:t>
            </w:r>
          </w:p>
          <w:p>
            <w:pPr>
              <w:pStyle w:val="68"/>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表2-3  原辅材料用量</w:t>
            </w:r>
          </w:p>
          <w:tbl>
            <w:tblPr>
              <w:tblStyle w:val="24"/>
              <w:tblW w:w="7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05"/>
              <w:gridCol w:w="1254"/>
              <w:gridCol w:w="996"/>
              <w:gridCol w:w="1732"/>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序号</w:t>
                  </w:r>
                </w:p>
              </w:tc>
              <w:tc>
                <w:tcPr>
                  <w:tcW w:w="1405"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名称</w:t>
                  </w:r>
                </w:p>
              </w:tc>
              <w:tc>
                <w:tcPr>
                  <w:tcW w:w="125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单位</w:t>
                  </w:r>
                </w:p>
              </w:tc>
              <w:tc>
                <w:tcPr>
                  <w:tcW w:w="996"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年耗量</w:t>
                  </w:r>
                </w:p>
              </w:tc>
              <w:tc>
                <w:tcPr>
                  <w:tcW w:w="1732"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最大暂存量</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b w:val="0"/>
                      <w:bCs/>
                      <w:color w:val="000000" w:themeColor="text1"/>
                      <w:sz w:val="21"/>
                      <w:szCs w:val="21"/>
                      <w:highlight w:val="none"/>
                      <w:vertAlign w:val="baseline"/>
                      <w:lang w:val="en-US" w:eastAsia="zh-CN"/>
                      <w14:textFill>
                        <w14:solidFill>
                          <w14:schemeClr w14:val="tx1"/>
                        </w14:solidFill>
                      </w14:textFill>
                    </w:rPr>
                    <w:t>1</w:t>
                  </w:r>
                </w:p>
              </w:tc>
              <w:tc>
                <w:tcPr>
                  <w:tcW w:w="1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钢材</w:t>
                  </w:r>
                </w:p>
              </w:tc>
              <w:tc>
                <w:tcPr>
                  <w:tcW w:w="125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吨</w:t>
                  </w:r>
                </w:p>
              </w:tc>
              <w:tc>
                <w:tcPr>
                  <w:tcW w:w="9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20000</w:t>
                  </w:r>
                </w:p>
              </w:tc>
              <w:tc>
                <w:tcPr>
                  <w:tcW w:w="1732"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2000</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b w:val="0"/>
                      <w:bCs/>
                      <w:color w:val="000000" w:themeColor="text1"/>
                      <w:sz w:val="21"/>
                      <w:szCs w:val="21"/>
                      <w:highlight w:val="none"/>
                      <w:vertAlign w:val="baseline"/>
                      <w:lang w:val="en-US" w:eastAsia="zh-CN"/>
                      <w14:textFill>
                        <w14:solidFill>
                          <w14:schemeClr w14:val="tx1"/>
                        </w14:solidFill>
                      </w14:textFill>
                    </w:rPr>
                    <w:t>2</w:t>
                  </w:r>
                </w:p>
              </w:tc>
              <w:tc>
                <w:tcPr>
                  <w:tcW w:w="1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电池PICK</w:t>
                  </w:r>
                </w:p>
              </w:tc>
              <w:tc>
                <w:tcPr>
                  <w:tcW w:w="125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个</w:t>
                  </w:r>
                </w:p>
              </w:tc>
              <w:tc>
                <w:tcPr>
                  <w:tcW w:w="9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100000</w:t>
                  </w:r>
                </w:p>
              </w:tc>
              <w:tc>
                <w:tcPr>
                  <w:tcW w:w="1732"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1000</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b w:val="0"/>
                      <w:bCs/>
                      <w:color w:val="000000" w:themeColor="text1"/>
                      <w:sz w:val="21"/>
                      <w:szCs w:val="21"/>
                      <w:highlight w:val="none"/>
                      <w:vertAlign w:val="baseline"/>
                      <w:lang w:val="en-US" w:eastAsia="zh-CN"/>
                      <w14:textFill>
                        <w14:solidFill>
                          <w14:schemeClr w14:val="tx1"/>
                        </w14:solidFill>
                      </w14:textFill>
                    </w:rPr>
                    <w:t>3</w:t>
                  </w:r>
                </w:p>
              </w:tc>
              <w:tc>
                <w:tcPr>
                  <w:tcW w:w="1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油性漆、油性漆固化剂、油性漆稀释剂</w:t>
                  </w:r>
                </w:p>
              </w:tc>
              <w:tc>
                <w:tcPr>
                  <w:tcW w:w="125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吨</w:t>
                  </w:r>
                </w:p>
              </w:tc>
              <w:tc>
                <w:tcPr>
                  <w:tcW w:w="9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1732"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b w:val="0"/>
                      <w:bCs/>
                      <w:color w:val="000000" w:themeColor="text1"/>
                      <w:sz w:val="21"/>
                      <w:szCs w:val="21"/>
                      <w:highlight w:val="none"/>
                      <w:vertAlign w:val="baseline"/>
                      <w:lang w:val="en-US" w:eastAsia="zh-CN"/>
                      <w14:textFill>
                        <w14:solidFill>
                          <w14:schemeClr w14:val="tx1"/>
                        </w14:solidFill>
                      </w14:textFill>
                    </w:rPr>
                    <w:t>4</w:t>
                  </w:r>
                </w:p>
              </w:tc>
              <w:tc>
                <w:tcPr>
                  <w:tcW w:w="1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水性漆、水性漆固化剂</w:t>
                  </w:r>
                </w:p>
              </w:tc>
              <w:tc>
                <w:tcPr>
                  <w:tcW w:w="125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吨</w:t>
                  </w:r>
                </w:p>
              </w:tc>
              <w:tc>
                <w:tcPr>
                  <w:tcW w:w="9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w:t>
                  </w:r>
                </w:p>
              </w:tc>
              <w:tc>
                <w:tcPr>
                  <w:tcW w:w="1732"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低VOCs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val="0"/>
                      <w:bCs/>
                      <w:color w:val="000000" w:themeColor="text1"/>
                      <w:sz w:val="21"/>
                      <w:szCs w:val="21"/>
                      <w:highlight w:val="none"/>
                      <w:vertAlign w:val="baseline"/>
                      <w:lang w:val="en-US" w:eastAsia="zh-CN"/>
                      <w14:textFill>
                        <w14:solidFill>
                          <w14:schemeClr w14:val="tx1"/>
                        </w14:solidFill>
                      </w14:textFill>
                    </w:rPr>
                  </w:pPr>
                  <w:r>
                    <w:rPr>
                      <w:rFonts w:hint="eastAsia"/>
                      <w:b w:val="0"/>
                      <w:bCs/>
                      <w:color w:val="000000" w:themeColor="text1"/>
                      <w:sz w:val="21"/>
                      <w:szCs w:val="21"/>
                      <w:highlight w:val="none"/>
                      <w:vertAlign w:val="baseline"/>
                      <w:lang w:val="en-US" w:eastAsia="zh-CN"/>
                      <w14:textFill>
                        <w14:solidFill>
                          <w14:schemeClr w14:val="tx1"/>
                        </w14:solidFill>
                      </w14:textFill>
                    </w:rPr>
                    <w:t>5</w:t>
                  </w:r>
                </w:p>
              </w:tc>
              <w:tc>
                <w:tcPr>
                  <w:tcW w:w="1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油性油墨</w:t>
                  </w:r>
                </w:p>
              </w:tc>
              <w:tc>
                <w:tcPr>
                  <w:tcW w:w="125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吨</w:t>
                  </w:r>
                </w:p>
              </w:tc>
              <w:tc>
                <w:tcPr>
                  <w:tcW w:w="9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0.4</w:t>
                  </w:r>
                </w:p>
              </w:tc>
              <w:tc>
                <w:tcPr>
                  <w:tcW w:w="1732"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0.2</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val="0"/>
                      <w:bCs/>
                      <w:color w:val="000000" w:themeColor="text1"/>
                      <w:sz w:val="21"/>
                      <w:szCs w:val="21"/>
                      <w:highlight w:val="none"/>
                      <w:vertAlign w:val="baseline"/>
                      <w:lang w:val="en-US" w:eastAsia="zh-CN"/>
                      <w14:textFill>
                        <w14:solidFill>
                          <w14:schemeClr w14:val="tx1"/>
                        </w14:solidFill>
                      </w14:textFill>
                    </w:rPr>
                  </w:pPr>
                  <w:r>
                    <w:rPr>
                      <w:rFonts w:hint="eastAsia"/>
                      <w:b w:val="0"/>
                      <w:bCs/>
                      <w:color w:val="000000" w:themeColor="text1"/>
                      <w:sz w:val="21"/>
                      <w:szCs w:val="21"/>
                      <w:highlight w:val="none"/>
                      <w:vertAlign w:val="baseline"/>
                      <w:lang w:val="en-US" w:eastAsia="zh-CN"/>
                      <w14:textFill>
                        <w14:solidFill>
                          <w14:schemeClr w14:val="tx1"/>
                        </w14:solidFill>
                      </w14:textFill>
                    </w:rPr>
                    <w:t>6</w:t>
                  </w:r>
                </w:p>
              </w:tc>
              <w:tc>
                <w:tcPr>
                  <w:tcW w:w="1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水性油墨</w:t>
                  </w:r>
                </w:p>
              </w:tc>
              <w:tc>
                <w:tcPr>
                  <w:tcW w:w="125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吨</w:t>
                  </w:r>
                </w:p>
              </w:tc>
              <w:tc>
                <w:tcPr>
                  <w:tcW w:w="9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0.4</w:t>
                  </w:r>
                </w:p>
              </w:tc>
              <w:tc>
                <w:tcPr>
                  <w:tcW w:w="1732"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0.2</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低VOCs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val="0"/>
                      <w:bCs/>
                      <w:color w:val="000000" w:themeColor="text1"/>
                      <w:sz w:val="21"/>
                      <w:szCs w:val="21"/>
                      <w:highlight w:val="none"/>
                      <w:vertAlign w:val="baseline"/>
                      <w:lang w:val="en-US" w:eastAsia="zh-CN"/>
                      <w14:textFill>
                        <w14:solidFill>
                          <w14:schemeClr w14:val="tx1"/>
                        </w14:solidFill>
                      </w14:textFill>
                    </w:rPr>
                  </w:pPr>
                  <w:r>
                    <w:rPr>
                      <w:rFonts w:hint="eastAsia"/>
                      <w:b w:val="0"/>
                      <w:bCs/>
                      <w:color w:val="000000" w:themeColor="text1"/>
                      <w:sz w:val="21"/>
                      <w:szCs w:val="21"/>
                      <w:highlight w:val="none"/>
                      <w:vertAlign w:val="baseline"/>
                      <w:lang w:val="en-US" w:eastAsia="zh-CN"/>
                      <w14:textFill>
                        <w14:solidFill>
                          <w14:schemeClr w14:val="tx1"/>
                        </w14:solidFill>
                      </w14:textFill>
                    </w:rPr>
                    <w:t>7</w:t>
                  </w:r>
                </w:p>
              </w:tc>
              <w:tc>
                <w:tcPr>
                  <w:tcW w:w="1405"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电子元器件</w:t>
                  </w:r>
                </w:p>
              </w:tc>
              <w:tc>
                <w:tcPr>
                  <w:tcW w:w="125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批</w:t>
                  </w:r>
                </w:p>
              </w:tc>
              <w:tc>
                <w:tcPr>
                  <w:tcW w:w="996" w:type="dxa"/>
                  <w:vAlign w:val="center"/>
                </w:tcPr>
                <w:p>
                  <w:pPr>
                    <w:pStyle w:val="6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40</w:t>
                  </w:r>
                </w:p>
              </w:tc>
              <w:tc>
                <w:tcPr>
                  <w:tcW w:w="1732" w:type="dxa"/>
                  <w:vAlign w:val="center"/>
                </w:tcPr>
                <w:p>
                  <w:pPr>
                    <w:pStyle w:val="6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1526" w:type="dxa"/>
                  <w:vAlign w:val="center"/>
                </w:tcPr>
                <w:p>
                  <w:pPr>
                    <w:pStyle w:val="6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s="Times New Roman"/>
                      <w:color w:val="000000" w:themeColor="text1"/>
                      <w:spacing w:val="4"/>
                      <w:sz w:val="21"/>
                      <w:szCs w:val="21"/>
                      <w:highlight w:val="none"/>
                      <w:lang w:val="en-US" w:eastAsia="zh-CN"/>
                      <w14:textFill>
                        <w14:solidFill>
                          <w14:schemeClr w14:val="tx1"/>
                        </w14:solidFill>
                      </w14:textFill>
                    </w:rPr>
                  </w:pPr>
                  <w:r>
                    <w:rPr>
                      <w:rFonts w:hint="eastAsia" w:cs="Times New Roman"/>
                      <w:color w:val="000000" w:themeColor="text1"/>
                      <w:spacing w:val="4"/>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val="0"/>
                      <w:bCs/>
                      <w:color w:val="000000" w:themeColor="text1"/>
                      <w:sz w:val="21"/>
                      <w:szCs w:val="21"/>
                      <w:highlight w:val="none"/>
                      <w:vertAlign w:val="baseline"/>
                      <w:lang w:val="en-US" w:eastAsia="zh-CN"/>
                      <w14:textFill>
                        <w14:solidFill>
                          <w14:schemeClr w14:val="tx1"/>
                        </w14:solidFill>
                      </w14:textFill>
                    </w:rPr>
                  </w:pPr>
                  <w:r>
                    <w:rPr>
                      <w:rFonts w:hint="eastAsia"/>
                      <w:b w:val="0"/>
                      <w:bCs/>
                      <w:color w:val="000000" w:themeColor="text1"/>
                      <w:sz w:val="21"/>
                      <w:szCs w:val="21"/>
                      <w:highlight w:val="none"/>
                      <w:vertAlign w:val="baseline"/>
                      <w:lang w:val="en-US" w:eastAsia="zh-CN"/>
                      <w14:textFill>
                        <w14:solidFill>
                          <w14:schemeClr w14:val="tx1"/>
                        </w14:solidFill>
                      </w14:textFill>
                    </w:rPr>
                    <w:t>8</w:t>
                  </w:r>
                </w:p>
              </w:tc>
              <w:tc>
                <w:tcPr>
                  <w:tcW w:w="1405" w:type="dxa"/>
                  <w:vAlign w:val="center"/>
                </w:tcPr>
                <w:p>
                  <w:pPr>
                    <w:pStyle w:val="6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变压器</w:t>
                  </w:r>
                </w:p>
              </w:tc>
              <w:tc>
                <w:tcPr>
                  <w:tcW w:w="125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台</w:t>
                  </w:r>
                </w:p>
              </w:tc>
              <w:tc>
                <w:tcPr>
                  <w:tcW w:w="996" w:type="dxa"/>
                  <w:vAlign w:val="center"/>
                </w:tcPr>
                <w:p>
                  <w:pPr>
                    <w:pStyle w:val="6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1000</w:t>
                  </w:r>
                </w:p>
              </w:tc>
              <w:tc>
                <w:tcPr>
                  <w:tcW w:w="1732" w:type="dxa"/>
                  <w:vAlign w:val="center"/>
                </w:tcPr>
                <w:p>
                  <w:pPr>
                    <w:pStyle w:val="6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w:t>
                  </w:r>
                </w:p>
              </w:tc>
              <w:tc>
                <w:tcPr>
                  <w:tcW w:w="1526" w:type="dxa"/>
                  <w:vAlign w:val="center"/>
                </w:tcPr>
                <w:p>
                  <w:pPr>
                    <w:pStyle w:val="6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eastAsia" w:eastAsia="宋体" w:cs="Times New Roman"/>
                      <w:color w:val="000000" w:themeColor="text1"/>
                      <w:spacing w:val="4"/>
                      <w:sz w:val="21"/>
                      <w:szCs w:val="21"/>
                      <w:highlight w:val="none"/>
                      <w:lang w:val="en-US" w:eastAsia="zh-CN"/>
                      <w14:textFill>
                        <w14:solidFill>
                          <w14:schemeClr w14:val="tx1"/>
                        </w14:solidFill>
                      </w14:textFill>
                    </w:rPr>
                  </w:pPr>
                  <w:r>
                    <w:rPr>
                      <w:rFonts w:hint="eastAsia" w:cs="Times New Roman"/>
                      <w:color w:val="000000" w:themeColor="text1"/>
                      <w:spacing w:val="4"/>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9</w:t>
                  </w:r>
                </w:p>
              </w:tc>
              <w:tc>
                <w:tcPr>
                  <w:tcW w:w="1405" w:type="dxa"/>
                  <w:vAlign w:val="center"/>
                </w:tcPr>
                <w:p>
                  <w:pPr>
                    <w:spacing w:line="240" w:lineRule="auto"/>
                    <w:ind w:left="0" w:leftChars="0"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水</w:t>
                  </w:r>
                </w:p>
              </w:tc>
              <w:tc>
                <w:tcPr>
                  <w:tcW w:w="1254" w:type="dxa"/>
                  <w:vAlign w:val="center"/>
                </w:tcPr>
                <w:p>
                  <w:pPr>
                    <w:pStyle w:val="70"/>
                    <w:snapToGrid w:val="0"/>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t/</w:t>
                  </w: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a</w:t>
                  </w:r>
                </w:p>
              </w:tc>
              <w:tc>
                <w:tcPr>
                  <w:tcW w:w="996" w:type="dxa"/>
                  <w:vAlign w:val="center"/>
                </w:tcPr>
                <w:p>
                  <w:pPr>
                    <w:pStyle w:val="6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15744.3</w:t>
                  </w:r>
                </w:p>
              </w:tc>
              <w:tc>
                <w:tcPr>
                  <w:tcW w:w="1732" w:type="dxa"/>
                  <w:vAlign w:val="center"/>
                </w:tcPr>
                <w:p>
                  <w:pPr>
                    <w:pStyle w:val="6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526" w:type="dxa"/>
                  <w:vAlign w:val="center"/>
                </w:tcPr>
                <w:p>
                  <w:pPr>
                    <w:pStyle w:val="70"/>
                    <w:snapToGrid w:val="0"/>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生活用水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val="0"/>
                      <w:bCs/>
                      <w:color w:val="000000" w:themeColor="text1"/>
                      <w:sz w:val="21"/>
                      <w:szCs w:val="21"/>
                      <w:highlight w:val="none"/>
                      <w:vertAlign w:val="baseline"/>
                      <w:lang w:val="en-US" w:eastAsia="zh-CN"/>
                      <w14:textFill>
                        <w14:solidFill>
                          <w14:schemeClr w14:val="tx1"/>
                        </w14:solidFill>
                      </w14:textFill>
                    </w:rPr>
                  </w:pPr>
                  <w:r>
                    <w:rPr>
                      <w:rFonts w:hint="eastAsia"/>
                      <w:b w:val="0"/>
                      <w:bCs/>
                      <w:color w:val="000000" w:themeColor="text1"/>
                      <w:sz w:val="21"/>
                      <w:szCs w:val="21"/>
                      <w:highlight w:val="none"/>
                      <w:vertAlign w:val="baseline"/>
                      <w:lang w:val="en-US" w:eastAsia="zh-CN"/>
                      <w14:textFill>
                        <w14:solidFill>
                          <w14:schemeClr w14:val="tx1"/>
                        </w14:solidFill>
                      </w14:textFill>
                    </w:rPr>
                    <w:t>10</w:t>
                  </w:r>
                </w:p>
              </w:tc>
              <w:tc>
                <w:tcPr>
                  <w:tcW w:w="1405" w:type="dxa"/>
                  <w:vAlign w:val="center"/>
                </w:tcPr>
                <w:p>
                  <w:pPr>
                    <w:spacing w:line="240" w:lineRule="auto"/>
                    <w:ind w:left="0" w:leftChars="0" w:firstLine="0" w:firstLineChars="0"/>
                    <w:jc w:val="center"/>
                    <w:rPr>
                      <w:rFonts w:hint="eastAsia" w:cs="Times New Roman"/>
                      <w:color w:val="000000" w:themeColor="text1"/>
                      <w:sz w:val="2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电</w:t>
                  </w:r>
                </w:p>
              </w:tc>
              <w:tc>
                <w:tcPr>
                  <w:tcW w:w="1254" w:type="dxa"/>
                  <w:vAlign w:val="center"/>
                </w:tcPr>
                <w:p>
                  <w:pPr>
                    <w:pStyle w:val="70"/>
                    <w:snapToGrid w:val="0"/>
                    <w:spacing w:line="240" w:lineRule="auto"/>
                    <w:ind w:firstLine="0" w:firstLineChars="0"/>
                    <w:jc w:val="center"/>
                    <w:rPr>
                      <w:rFonts w:hint="eastAsia" w:cs="Times New Roman"/>
                      <w:color w:val="000000" w:themeColor="text1"/>
                      <w:spacing w:val="4"/>
                      <w:sz w:val="21"/>
                      <w:szCs w:val="21"/>
                      <w:highlight w:val="none"/>
                      <w14:textFill>
                        <w14:solidFill>
                          <w14:schemeClr w14:val="tx1"/>
                        </w14:solidFill>
                      </w14:textFill>
                    </w:rPr>
                  </w:pPr>
                  <w:r>
                    <w:rPr>
                      <w:rFonts w:ascii="Times New Roman" w:hAnsi="宋体"/>
                      <w:bCs/>
                      <w:color w:val="000000" w:themeColor="text1"/>
                      <w:kern w:val="2"/>
                      <w:sz w:val="21"/>
                      <w:szCs w:val="21"/>
                      <w:highlight w:val="none"/>
                      <w14:textFill>
                        <w14:solidFill>
                          <w14:schemeClr w14:val="tx1"/>
                        </w14:solidFill>
                      </w14:textFill>
                    </w:rPr>
                    <w:t>万度</w:t>
                  </w:r>
                  <w:r>
                    <w:rPr>
                      <w:rFonts w:ascii="Times New Roman"/>
                      <w:bCs/>
                      <w:color w:val="000000" w:themeColor="text1"/>
                      <w:kern w:val="2"/>
                      <w:sz w:val="21"/>
                      <w:szCs w:val="21"/>
                      <w:highlight w:val="none"/>
                      <w14:textFill>
                        <w14:solidFill>
                          <w14:schemeClr w14:val="tx1"/>
                        </w14:solidFill>
                      </w14:textFill>
                    </w:rPr>
                    <w:t>/</w:t>
                  </w:r>
                  <w:r>
                    <w:rPr>
                      <w:rFonts w:ascii="Times New Roman" w:hAnsi="宋体"/>
                      <w:bCs/>
                      <w:color w:val="000000" w:themeColor="text1"/>
                      <w:kern w:val="2"/>
                      <w:sz w:val="21"/>
                      <w:szCs w:val="21"/>
                      <w:highlight w:val="none"/>
                      <w14:textFill>
                        <w14:solidFill>
                          <w14:schemeClr w14:val="tx1"/>
                        </w14:solidFill>
                      </w14:textFill>
                    </w:rPr>
                    <w:t>年</w:t>
                  </w:r>
                </w:p>
              </w:tc>
              <w:tc>
                <w:tcPr>
                  <w:tcW w:w="996" w:type="dxa"/>
                  <w:vAlign w:val="center"/>
                </w:tcPr>
                <w:p>
                  <w:pPr>
                    <w:pStyle w:val="6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eastAsia="宋体" w:cs="Times New Roman"/>
                      <w:color w:val="000000" w:themeColor="text1"/>
                      <w:spacing w:val="4"/>
                      <w:sz w:val="21"/>
                      <w:szCs w:val="21"/>
                      <w:highlight w:val="none"/>
                      <w:lang w:val="en-US" w:eastAsia="zh-CN"/>
                      <w14:textFill>
                        <w14:solidFill>
                          <w14:schemeClr w14:val="tx1"/>
                        </w14:solidFill>
                      </w14:textFill>
                    </w:rPr>
                  </w:pPr>
                  <w:r>
                    <w:rPr>
                      <w:rFonts w:hint="eastAsia" w:ascii="Times New Roman"/>
                      <w:bCs/>
                      <w:color w:val="000000" w:themeColor="text1"/>
                      <w:kern w:val="2"/>
                      <w:sz w:val="21"/>
                      <w:szCs w:val="21"/>
                      <w:highlight w:val="none"/>
                      <w:lang w:val="en-US" w:eastAsia="zh-CN"/>
                      <w14:textFill>
                        <w14:solidFill>
                          <w14:schemeClr w14:val="tx1"/>
                        </w14:solidFill>
                      </w14:textFill>
                    </w:rPr>
                    <w:t>800</w:t>
                  </w:r>
                </w:p>
              </w:tc>
              <w:tc>
                <w:tcPr>
                  <w:tcW w:w="1732" w:type="dxa"/>
                  <w:vAlign w:val="center"/>
                </w:tcPr>
                <w:p>
                  <w:pPr>
                    <w:pStyle w:val="6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s="Times New Roman"/>
                      <w:color w:val="000000" w:themeColor="text1"/>
                      <w:spacing w:val="4"/>
                      <w:sz w:val="21"/>
                      <w:szCs w:val="21"/>
                      <w:highlight w:val="none"/>
                      <w:lang w:val="en-US" w:eastAsia="zh-CN"/>
                      <w14:textFill>
                        <w14:solidFill>
                          <w14:schemeClr w14:val="tx1"/>
                        </w14:solidFill>
                      </w14:textFill>
                    </w:rPr>
                  </w:pPr>
                  <w:r>
                    <w:rPr>
                      <w:rFonts w:hint="eastAsia" w:cs="Times New Roman"/>
                      <w:color w:val="000000" w:themeColor="text1"/>
                      <w:spacing w:val="4"/>
                      <w:sz w:val="21"/>
                      <w:szCs w:val="21"/>
                      <w:highlight w:val="none"/>
                      <w:lang w:val="en-US" w:eastAsia="zh-CN"/>
                      <w14:textFill>
                        <w14:solidFill>
                          <w14:schemeClr w14:val="tx1"/>
                        </w14:solidFill>
                      </w14:textFill>
                    </w:rPr>
                    <w:t>/</w:t>
                  </w:r>
                </w:p>
              </w:tc>
              <w:tc>
                <w:tcPr>
                  <w:tcW w:w="1526" w:type="dxa"/>
                  <w:vAlign w:val="center"/>
                </w:tcPr>
                <w:p>
                  <w:pPr>
                    <w:pStyle w:val="70"/>
                    <w:snapToGrid w:val="0"/>
                    <w:spacing w:line="240" w:lineRule="auto"/>
                    <w:ind w:firstLine="0" w:firstLineChars="0"/>
                    <w:jc w:val="center"/>
                    <w:rPr>
                      <w:rFonts w:hint="eastAsia" w:cs="Times New Roman"/>
                      <w:color w:val="000000" w:themeColor="text1"/>
                      <w:spacing w:val="4"/>
                      <w:sz w:val="21"/>
                      <w:szCs w:val="21"/>
                      <w:highlight w:val="none"/>
                      <w14:textFill>
                        <w14:solidFill>
                          <w14:schemeClr w14:val="tx1"/>
                        </w14:solidFill>
                      </w14:textFill>
                    </w:rPr>
                  </w:pPr>
                  <w:r>
                    <w:rPr>
                      <w:rFonts w:ascii="Times New Roman"/>
                      <w:bCs/>
                      <w:color w:val="000000" w:themeColor="text1"/>
                      <w:kern w:val="2"/>
                      <w:sz w:val="21"/>
                      <w:szCs w:val="21"/>
                      <w:highlight w:val="none"/>
                      <w14:textFill>
                        <w14:solidFill>
                          <w14:schemeClr w14:val="tx1"/>
                        </w14:solidFill>
                      </w14:textFill>
                    </w:rPr>
                    <w:t>380/220V</w:t>
                  </w:r>
                </w:p>
              </w:tc>
            </w:tr>
          </w:tbl>
          <w:p>
            <w:pPr>
              <w:pStyle w:val="70"/>
              <w:spacing w:line="360" w:lineRule="auto"/>
              <w:ind w:left="0" w:leftChars="0" w:firstLine="480" w:firstLineChars="200"/>
              <w:jc w:val="both"/>
              <w:rPr>
                <w:rFonts w:hint="default"/>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根据建设单位提供，</w:t>
            </w:r>
            <w:r>
              <w:rPr>
                <w:rFonts w:hint="default"/>
                <w:color w:val="000000" w:themeColor="text1"/>
                <w:sz w:val="24"/>
                <w:szCs w:val="24"/>
                <w:lang w:eastAsia="zh-CN"/>
                <w14:textFill>
                  <w14:solidFill>
                    <w14:schemeClr w14:val="tx1"/>
                  </w14:solidFill>
                </w14:textFill>
              </w:rPr>
              <w:t>本项目</w:t>
            </w:r>
            <w:r>
              <w:rPr>
                <w:rFonts w:hint="eastAsia"/>
                <w:color w:val="000000" w:themeColor="text1"/>
                <w:sz w:val="24"/>
                <w:szCs w:val="24"/>
                <w:lang w:val="en-US" w:eastAsia="zh-CN"/>
                <w14:textFill>
                  <w14:solidFill>
                    <w14:schemeClr w14:val="tx1"/>
                  </w14:solidFill>
                </w14:textFill>
              </w:rPr>
              <w:t>水性漆、油性漆、稀释剂、固化剂成分及用量见下表</w:t>
            </w:r>
            <w:r>
              <w:rPr>
                <w:rFonts w:hint="default"/>
                <w:color w:val="000000" w:themeColor="text1"/>
                <w:sz w:val="24"/>
                <w:szCs w:val="24"/>
                <w:lang w:eastAsia="zh-CN"/>
                <w14:textFill>
                  <w14:solidFill>
                    <w14:schemeClr w14:val="tx1"/>
                  </w14:solidFill>
                </w14:textFill>
              </w:rPr>
              <w:t>。</w:t>
            </w:r>
          </w:p>
          <w:p>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4"/>
                <w:szCs w:val="24"/>
                <w:lang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表2-4   水性漆、油性漆、稀释剂、固化剂成分及用量一览表</w:t>
            </w:r>
          </w:p>
          <w:tbl>
            <w:tblPr>
              <w:tblStyle w:val="25"/>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102"/>
              <w:gridCol w:w="1845"/>
              <w:gridCol w:w="1140"/>
              <w:gridCol w:w="1140"/>
              <w:gridCol w:w="1110"/>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11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名称</w:t>
                  </w: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成分</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比例</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含量</w:t>
                  </w:r>
                </w:p>
              </w:tc>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备注</w:t>
                  </w:r>
                </w:p>
              </w:tc>
              <w:tc>
                <w:tcPr>
                  <w:tcW w:w="9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10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水性环氧防腐底漆</w:t>
                  </w: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水性环氧乳液</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45%-55%</w:t>
                  </w:r>
                </w:p>
              </w:tc>
              <w:tc>
                <w:tcPr>
                  <w:tcW w:w="11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固体份：</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74.5%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挥发份：</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8.0%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17.5%</w:t>
                  </w:r>
                </w:p>
              </w:tc>
              <w:tc>
                <w:tcPr>
                  <w:tcW w:w="111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1.0~1.4 g/cm³</w:t>
                  </w:r>
                </w:p>
              </w:tc>
              <w:tc>
                <w:tcPr>
                  <w:tcW w:w="94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5.92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粉料</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20%-30%</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助剂</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5%-8%</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去离子水</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15%-20%</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10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水性环氧固化剂（通用）</w:t>
                  </w: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水性环氧固化剂</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55%-65%</w:t>
                  </w:r>
                </w:p>
              </w:tc>
              <w:tc>
                <w:tcPr>
                  <w:tcW w:w="11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固体份：</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57%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挥发分：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8.0%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111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1.4g/cm³</w:t>
                  </w:r>
                </w:p>
              </w:tc>
              <w:tc>
                <w:tcPr>
                  <w:tcW w:w="94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0.74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助剂</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5%-8%</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去离子水</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30%-40%</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10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水性环氧云铁中间漆</w:t>
                  </w: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水性环氧树脂</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16%-22%</w:t>
                  </w:r>
                </w:p>
              </w:tc>
              <w:tc>
                <w:tcPr>
                  <w:tcW w:w="11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固体份：</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84%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挥发分：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8.0%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c>
                <w:tcPr>
                  <w:tcW w:w="111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1.0-1.4 g/cm³</w:t>
                  </w:r>
                </w:p>
              </w:tc>
              <w:tc>
                <w:tcPr>
                  <w:tcW w:w="94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6.67</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粉料</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60%-70%</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助剂</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5%-8%</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去离子水</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6%-10%</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10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水性双组份聚氨酯面漆</w:t>
                  </w: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水性羟基丙烯酸乳液</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11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固体份：</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82%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挥发分：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7.0%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w:t>
                  </w:r>
                </w:p>
              </w:tc>
              <w:tc>
                <w:tcPr>
                  <w:tcW w:w="111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1.29±0.05g/cm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94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5.56</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粉料</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助剂</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去离子水</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110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水性双组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份聚氨酯面漆固化剂</w:t>
                  </w: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聚异氮酸</w:t>
                  </w:r>
                  <w:r>
                    <w:rPr>
                      <w:rFonts w:hint="eastAsia" w:cs="Times New Roman"/>
                      <w:color w:val="000000" w:themeColor="text1"/>
                      <w:sz w:val="21"/>
                      <w:szCs w:val="21"/>
                      <w:highlight w:val="none"/>
                      <w:lang w:val="en-US" w:eastAsia="zh-CN"/>
                      <w14:textFill>
                        <w14:solidFill>
                          <w14:schemeClr w14:val="tx1"/>
                        </w14:solidFill>
                      </w14:textFill>
                    </w:rPr>
                    <w:t>酯</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固化剂</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70%</w:t>
                  </w:r>
                </w:p>
              </w:tc>
              <w:tc>
                <w:tcPr>
                  <w:tcW w:w="11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固体份：</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60%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挥发分：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c>
                <w:tcPr>
                  <w:tcW w:w="111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1.4g/cm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94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1.11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助剂</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110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环氧富锌底漆</w:t>
                  </w: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锌</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11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固体份：</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93%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挥发分：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7.0%</w:t>
                  </w:r>
                </w:p>
              </w:tc>
              <w:tc>
                <w:tcPr>
                  <w:tcW w:w="111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2.595g/cm³</w:t>
                  </w:r>
                </w:p>
              </w:tc>
              <w:tc>
                <w:tcPr>
                  <w:tcW w:w="94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0.92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环氧树脂</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23%</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C18-</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不饱和二聚脂肪酸与聚乙烯胺的反应产物</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轻芳烃溶剂石脑油</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膨润土</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正丁醇</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110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环氧固化剂（通用）</w:t>
                  </w: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聚酰胺树脂</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c>
                <w:tcPr>
                  <w:tcW w:w="11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固体份：</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70%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挥发分：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111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0.97±0.1g/cm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二甲苯：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94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0.16</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二甲苯</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110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环氧稀释剂（通用）</w:t>
                  </w: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轻芳烃溶剂石脑油</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11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挥发分：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w:t>
                  </w:r>
                </w:p>
              </w:tc>
              <w:tc>
                <w:tcPr>
                  <w:tcW w:w="111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2.0g/cm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二甲苯：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94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0.92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正丁醇</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二甲苯</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三甲苯</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110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环氧云铁中间漆</w:t>
                  </w: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环氧树脂</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11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固体份：</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82%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挥发分：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c>
                <w:tcPr>
                  <w:tcW w:w="111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1.6g/cm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94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三氧化二铁</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磷酸二氢钠</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C18-</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不饱和二聚脂肪酸与聚乙烯胺的反应产物</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轻芳烃溶剂石脑油</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正丁醇</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膨润土</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110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丙烯酸聚氨酯磁漆</w:t>
                  </w: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聚丙烯酸</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c>
                <w:tcPr>
                  <w:tcW w:w="11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固体份：</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84%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挥发分：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16%</w:t>
                  </w:r>
                </w:p>
              </w:tc>
              <w:tc>
                <w:tcPr>
                  <w:tcW w:w="111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1.2g/cm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94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0.91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二氧化钛</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1.6-</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二异氰酸根合己烷的均聚物</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轻芳烃溶剂石脑油</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醋酸正</w:t>
                  </w:r>
                  <w:r>
                    <w:rPr>
                      <w:rFonts w:hint="eastAsia" w:cs="Times New Roman"/>
                      <w:color w:val="000000" w:themeColor="text1"/>
                      <w:sz w:val="21"/>
                      <w:szCs w:val="21"/>
                      <w:highlight w:val="none"/>
                      <w:lang w:val="en-US" w:eastAsia="zh-CN"/>
                      <w14:textFill>
                        <w14:solidFill>
                          <w14:schemeClr w14:val="tx1"/>
                        </w14:solidFill>
                      </w14:textFill>
                    </w:rPr>
                    <w:t>丁酯</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乙酸</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甲氧基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丙基酯</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膨润土</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w:t>
                  </w:r>
                </w:p>
              </w:tc>
              <w:tc>
                <w:tcPr>
                  <w:tcW w:w="110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聚氨酯稀释剂</w:t>
                  </w: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二甲苯</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70%</w:t>
                  </w:r>
                </w:p>
              </w:tc>
              <w:tc>
                <w:tcPr>
                  <w:tcW w:w="11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挥发分：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w:t>
                  </w:r>
                </w:p>
              </w:tc>
              <w:tc>
                <w:tcPr>
                  <w:tcW w:w="111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1.5g/cm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二甲苯：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94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0.91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醋酸正</w:t>
                  </w:r>
                  <w:r>
                    <w:rPr>
                      <w:rFonts w:hint="eastAsia" w:cs="Times New Roman"/>
                      <w:color w:val="000000" w:themeColor="text1"/>
                      <w:sz w:val="21"/>
                      <w:szCs w:val="21"/>
                      <w:highlight w:val="none"/>
                      <w:lang w:val="en-US" w:eastAsia="zh-CN"/>
                      <w14:textFill>
                        <w14:solidFill>
                          <w14:schemeClr w14:val="tx1"/>
                        </w14:solidFill>
                      </w14:textFill>
                    </w:rPr>
                    <w:t>丁酯</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110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聚氨酯固化剂</w:t>
                  </w: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六亚甲基二异氰酸酯</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85%-95%</w:t>
                  </w:r>
                </w:p>
              </w:tc>
              <w:tc>
                <w:tcPr>
                  <w:tcW w:w="11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固体份：</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85% </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挥发分：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11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1.5g/cm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94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0.18</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0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8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聚丙烯酸</w:t>
                  </w:r>
                </w:p>
              </w:tc>
              <w:tc>
                <w:tcPr>
                  <w:tcW w:w="11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c>
                <w:tcPr>
                  <w:tcW w:w="11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94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调配比例：水性底漆与固化剂比例为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:1，水性面漆与固化剂比例为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油性底、面漆与稀释剂比例为1:1，底漆与固化剂比例为6:1，面漆与固化剂比例为5:1</w:t>
            </w:r>
            <w:r>
              <w:rPr>
                <w:rFonts w:hint="eastAsia" w:cs="Times New Roman"/>
                <w:color w:val="000000" w:themeColor="text1"/>
                <w:sz w:val="24"/>
                <w:szCs w:val="24"/>
                <w:highlight w:val="none"/>
                <w:lang w:val="en-US" w:eastAsia="zh-CN"/>
                <w14:textFill>
                  <w14:solidFill>
                    <w14:schemeClr w14:val="tx1"/>
                  </w14:solidFill>
                </w14:textFill>
              </w:rPr>
              <w:t>。</w:t>
            </w:r>
          </w:p>
          <w:p>
            <w:pPr>
              <w:autoSpaceDE w:val="0"/>
              <w:autoSpaceDN w:val="0"/>
              <w:adjustRightInd w:val="0"/>
              <w:snapToGrid w:val="0"/>
              <w:spacing w:line="360" w:lineRule="auto"/>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主要设备使用情况</w:t>
            </w:r>
          </w:p>
          <w:p>
            <w:pPr>
              <w:pStyle w:val="7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表</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2-</w:t>
            </w:r>
            <w:r>
              <w:rPr>
                <w:rFonts w:hint="eastAsia" w:ascii="Times New Roman" w:cs="Times New Roman"/>
                <w:b/>
                <w:bCs/>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设备清单</w:t>
            </w:r>
          </w:p>
          <w:tbl>
            <w:tblPr>
              <w:tblStyle w:val="24"/>
              <w:tblW w:w="7878" w:type="dxa"/>
              <w:tblInd w:w="-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0"/>
              <w:gridCol w:w="2620"/>
              <w:gridCol w:w="2296"/>
              <w:gridCol w:w="1108"/>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26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设备</w:t>
                  </w:r>
                </w:p>
              </w:tc>
              <w:tc>
                <w:tcPr>
                  <w:tcW w:w="229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型号</w:t>
                  </w:r>
                </w:p>
              </w:tc>
              <w:tc>
                <w:tcPr>
                  <w:tcW w:w="110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数量</w:t>
                  </w:r>
                </w:p>
              </w:tc>
              <w:tc>
                <w:tcPr>
                  <w:tcW w:w="96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26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10kv开关柜生产系统</w:t>
                  </w:r>
                </w:p>
              </w:tc>
              <w:tc>
                <w:tcPr>
                  <w:tcW w:w="229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定制</w:t>
                  </w:r>
                </w:p>
              </w:tc>
              <w:tc>
                <w:tcPr>
                  <w:tcW w:w="110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母线加工机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DGWMX-303E-3-S</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母线加工机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303E-3-S</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电脑切管机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DW-160</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粗线型电脑剥线机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DW-880A</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电脑剥线机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DW-880</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全自动电脑剥线折弯机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DW-880Z</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六方免换模伺服端子压接机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DW-六方</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气动压接机（小型）</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DW-10</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机械手+自动上料装置</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6米*2米*2米高</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自动冲剪机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MX602K-7C</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数控母线倒角机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DGWMX-303E-3-S</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13</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折弯机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NC-40Z-1200</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14</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自动冲剪机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Q35YL-90T</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数控母线倒角机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型号待确认</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折弯机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HM1003（北京天田机床模具有限公司）</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17</w:t>
                  </w:r>
                </w:p>
              </w:tc>
              <w:tc>
                <w:tcPr>
                  <w:tcW w:w="26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型材成形线</w:t>
                  </w:r>
                </w:p>
              </w:tc>
              <w:tc>
                <w:tcPr>
                  <w:tcW w:w="229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0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开卷机线体</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19</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普冲</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JH21-100</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数控剪板机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CH0632-E21S</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数控折弯机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AMADA HM1003</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数控折弯机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金方圆</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23</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激光切割机床</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AMADA LCG3015AJ</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24</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AMADA上下料</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AMADA上下料系统</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25</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数控转塔冲床</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AMADA EM2612</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26</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加工中心</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V650L</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27</w:t>
                  </w:r>
                </w:p>
              </w:tc>
              <w:tc>
                <w:tcPr>
                  <w:tcW w:w="26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立式镗铣加工中心</w:t>
                  </w:r>
                </w:p>
              </w:tc>
              <w:tc>
                <w:tcPr>
                  <w:tcW w:w="229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VF-2</w:t>
                  </w:r>
                </w:p>
              </w:tc>
              <w:tc>
                <w:tcPr>
                  <w:tcW w:w="110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28</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立式镗铣加工中心</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VF-2-V</w:t>
                  </w:r>
                </w:p>
              </w:tc>
              <w:tc>
                <w:tcPr>
                  <w:tcW w:w="110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29</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立式镗铣加工中心</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MINIMILL</w:t>
                  </w:r>
                </w:p>
              </w:tc>
              <w:tc>
                <w:tcPr>
                  <w:tcW w:w="110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立式加工中心</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LCA0855L</w:t>
                  </w:r>
                </w:p>
              </w:tc>
              <w:tc>
                <w:tcPr>
                  <w:tcW w:w="110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31</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数控车床</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GL20E</w:t>
                  </w:r>
                </w:p>
              </w:tc>
              <w:tc>
                <w:tcPr>
                  <w:tcW w:w="110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32</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操作机械手</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机器人</w:t>
                  </w:r>
                </w:p>
              </w:tc>
              <w:tc>
                <w:tcPr>
                  <w:tcW w:w="110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数控车床</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HL6130F</w:t>
                  </w:r>
                </w:p>
              </w:tc>
              <w:tc>
                <w:tcPr>
                  <w:tcW w:w="110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34</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普通车床</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CA6140F</w:t>
                  </w:r>
                </w:p>
              </w:tc>
              <w:tc>
                <w:tcPr>
                  <w:tcW w:w="110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立式铣床</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XA5032</w:t>
                  </w:r>
                </w:p>
              </w:tc>
              <w:tc>
                <w:tcPr>
                  <w:tcW w:w="110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36</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数控车床</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HL6130F</w:t>
                  </w:r>
                </w:p>
              </w:tc>
              <w:tc>
                <w:tcPr>
                  <w:tcW w:w="110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37</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垂直立体货柜</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立体货柜</w:t>
                  </w:r>
                </w:p>
              </w:tc>
              <w:tc>
                <w:tcPr>
                  <w:tcW w:w="110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auto" w:sz="4"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38</w:t>
                  </w:r>
                </w:p>
              </w:tc>
              <w:tc>
                <w:tcPr>
                  <w:tcW w:w="2620" w:type="dxa"/>
                  <w:tcBorders>
                    <w:top w:val="nil"/>
                    <w:left w:val="single" w:color="000000" w:sz="8" w:space="0"/>
                    <w:bottom w:val="single" w:color="auto" w:sz="4"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攻丝机</w:t>
                  </w:r>
                </w:p>
              </w:tc>
              <w:tc>
                <w:tcPr>
                  <w:tcW w:w="2296" w:type="dxa"/>
                  <w:tcBorders>
                    <w:top w:val="nil"/>
                    <w:left w:val="nil"/>
                    <w:bottom w:val="single" w:color="auto" w:sz="4"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电动攻丝机</w:t>
                  </w:r>
                </w:p>
              </w:tc>
              <w:tc>
                <w:tcPr>
                  <w:tcW w:w="1108" w:type="dxa"/>
                  <w:tcBorders>
                    <w:top w:val="nil"/>
                    <w:left w:val="nil"/>
                    <w:bottom w:val="single" w:color="auto" w:sz="4"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964" w:type="dxa"/>
                  <w:tcBorders>
                    <w:top w:val="nil"/>
                    <w:left w:val="single" w:color="000000" w:sz="8" w:space="0"/>
                    <w:bottom w:val="single" w:color="auto" w:sz="4"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39</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操作机构生产线</w:t>
                  </w:r>
                </w:p>
              </w:tc>
              <w:tc>
                <w:tcPr>
                  <w:tcW w:w="22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装配线</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光纤激光切管机</w:t>
                  </w:r>
                </w:p>
              </w:tc>
              <w:tc>
                <w:tcPr>
                  <w:tcW w:w="22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T6022DPRO-H6000</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套</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41</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光纤激光切割机</w:t>
                  </w:r>
                </w:p>
              </w:tc>
              <w:tc>
                <w:tcPr>
                  <w:tcW w:w="22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G4020-K-H600</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套</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42</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光伏支架全自动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生产线（先冲孔后成型）</w:t>
                  </w:r>
                </w:p>
              </w:tc>
              <w:tc>
                <w:tcPr>
                  <w:tcW w:w="22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JB-ZXC006</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套</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43</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光伏支架半自动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生产线</w:t>
                  </w:r>
                </w:p>
              </w:tc>
              <w:tc>
                <w:tcPr>
                  <w:tcW w:w="22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JB-CXC</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套</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44</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OTC焊机</w:t>
                  </w:r>
                </w:p>
              </w:tc>
              <w:tc>
                <w:tcPr>
                  <w:tcW w:w="22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CPVF-400</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OTC焊机</w:t>
                  </w:r>
                </w:p>
              </w:tc>
              <w:tc>
                <w:tcPr>
                  <w:tcW w:w="22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CPVF-400</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46</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散件焊接线</w:t>
                  </w:r>
                </w:p>
              </w:tc>
              <w:tc>
                <w:tcPr>
                  <w:tcW w:w="22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套</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47</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侧/顶板线</w:t>
                  </w:r>
                </w:p>
              </w:tc>
              <w:tc>
                <w:tcPr>
                  <w:tcW w:w="22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套</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48</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侧墙线</w:t>
                  </w:r>
                </w:p>
              </w:tc>
              <w:tc>
                <w:tcPr>
                  <w:tcW w:w="22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套</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49</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门板线</w:t>
                  </w:r>
                </w:p>
              </w:tc>
              <w:tc>
                <w:tcPr>
                  <w:tcW w:w="22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套</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50</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端框线</w:t>
                  </w:r>
                </w:p>
              </w:tc>
              <w:tc>
                <w:tcPr>
                  <w:tcW w:w="22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套</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51</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底架线</w:t>
                  </w:r>
                </w:p>
              </w:tc>
              <w:tc>
                <w:tcPr>
                  <w:tcW w:w="22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套</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52</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总装线</w:t>
                  </w:r>
                </w:p>
              </w:tc>
              <w:tc>
                <w:tcPr>
                  <w:tcW w:w="22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套</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53</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数控母冲剪机</w:t>
                  </w:r>
                </w:p>
              </w:tc>
              <w:tc>
                <w:tcPr>
                  <w:tcW w:w="22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GJCNC-BP-50-9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-2.0/SC-X</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台 </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54</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数控母线伺服</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折弯机</w:t>
                  </w:r>
                </w:p>
              </w:tc>
              <w:tc>
                <w:tcPr>
                  <w:tcW w:w="22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GJCNCN-BB-S</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多功能母线加工机</w:t>
                  </w:r>
                </w:p>
              </w:tc>
              <w:tc>
                <w:tcPr>
                  <w:tcW w:w="22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BM303-S-3-8PII</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56</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高温型冷冻式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干燥机</w:t>
                  </w:r>
                </w:p>
              </w:tc>
              <w:tc>
                <w:tcPr>
                  <w:tcW w:w="22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KX-RD-15HTF</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57</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管道过滤器</w:t>
                  </w:r>
                </w:p>
              </w:tc>
              <w:tc>
                <w:tcPr>
                  <w:tcW w:w="22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KX-15HY/A</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支</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58</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储气罐</w:t>
                  </w:r>
                </w:p>
              </w:tc>
              <w:tc>
                <w:tcPr>
                  <w:tcW w:w="22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3M3/10bar</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59</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储气罐</w:t>
                  </w:r>
                </w:p>
              </w:tc>
              <w:tc>
                <w:tcPr>
                  <w:tcW w:w="22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5M3/10bar</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数控板料折弯机</w:t>
                  </w:r>
                </w:p>
              </w:tc>
              <w:tc>
                <w:tcPr>
                  <w:tcW w:w="22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PBA-220/3100-6V</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(电气柜专用）</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台 </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61</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数控板料折弯机</w:t>
                  </w:r>
                </w:p>
              </w:tc>
              <w:tc>
                <w:tcPr>
                  <w:tcW w:w="22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PBA-110/3100-6V</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62</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储能集装箱</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涂装线</w:t>
                  </w:r>
                </w:p>
              </w:tc>
              <w:tc>
                <w:tcPr>
                  <w:tcW w:w="22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非标</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条</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63</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新型双梁起重机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(欧式双梁）</w:t>
                  </w:r>
                </w:p>
              </w:tc>
              <w:tc>
                <w:tcPr>
                  <w:tcW w:w="22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20吨-22.5m</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台 </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64</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欧式单梁起重机</w:t>
                  </w:r>
                </w:p>
              </w:tc>
              <w:tc>
                <w:tcPr>
                  <w:tcW w:w="22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10吨-22.5m</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欧式单梁起重机</w:t>
                  </w:r>
                </w:p>
              </w:tc>
              <w:tc>
                <w:tcPr>
                  <w:tcW w:w="22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05吨-22.5m</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7</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、主要产能及劳动定员</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本项目劳动定员200人，年工作300天，每天8小时工作时间。施工期为2024年5月-2025年4月。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jc w:val="both"/>
              <w:textAlignment w:val="auto"/>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val="0"/>
                <w:color w:val="000000" w:themeColor="text1"/>
                <w:sz w:val="24"/>
                <w:szCs w:val="24"/>
                <w:highlight w:val="none"/>
                <w:lang w:val="en-US" w:eastAsia="zh-CN"/>
                <w14:textFill>
                  <w14:solidFill>
                    <w14:schemeClr w14:val="tx1"/>
                  </w14:solidFill>
                </w14:textFill>
              </w:rPr>
              <w:t>8、</w:t>
            </w: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公用工程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（1）供电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本项目生产、生活电源</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依托园区</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电网。</w:t>
            </w:r>
          </w:p>
          <w:p>
            <w:pPr>
              <w:pStyle w:val="40"/>
              <w:keepNext w:val="0"/>
              <w:keepLines w:val="0"/>
              <w:pageBreakBefore w:val="0"/>
              <w:numPr>
                <w:ilvl w:val="0"/>
                <w:numId w:val="0"/>
              </w:numPr>
              <w:kinsoku/>
              <w:wordWrap/>
              <w:overflowPunct/>
              <w:topLinePunct w:val="0"/>
              <w:autoSpaceDE/>
              <w:autoSpaceDN/>
              <w:bidi w:val="0"/>
              <w:snapToGrid w:val="0"/>
              <w:spacing w:before="0" w:after="0" w:line="360" w:lineRule="auto"/>
              <w:ind w:right="0" w:rightChars="0" w:firstLine="480" w:firstLineChars="200"/>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（2）用水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本项目用水依托</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园区供水管网，用于厂区内生活用水</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及</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绿化用水</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无地面冲洗、设备冲洗用水</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年用水量为</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15744.3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①生活用水：运营期劳动定员</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200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人，按照《新疆维吾尔自治区生活用水定额》，员工生活用水以100L/人•天计，用水量约为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20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6000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②</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绿化用水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根据《建筑给水排水设计标准》（GB 50015-2019）项目区绿化用水约为2L/m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d（绿化时间按180d计算），厂区规划绿化面积为27067.49m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，则用水量为</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54.135</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9744.3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/a）。</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（3）排水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本项目产生的废水主要为生活污水。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生活污水以生活用水量的80%计算，则生活污水排放量</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16</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4800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/a）。生活污水的主要污染物为CODcr、BOD5、氨氮、SS</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项目食堂废水经隔油池处理后和生活污水一并进入园区下水管网，废水执行《污水综合排放标准》(GB8978-1996)表4中三级标准</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（4）供暖</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昌吉回族自治州生态环境局于2021年3月31日出具《昌吉州木垒县集中供热工程环境影响报告书的批复》（昌州环评〔2021〕28号）批准建设木垒县集中供热工程。园区集中供热项目位于木垒县新户镇头畦村，锅炉房中心地理坐标：E90°18'28.0"，N43°51'33.0"，隔压换热站位于锅炉房西侧约1km处，中心地理坐标：E90°17'51.8"，N43°51'51.2"。锅炉房所在厂址区现状为已办理完征购手续的空置房屋，厂址周边为农田，属木垒县管辖。主要建设内容包括新建锅炉房一座，配3x130t/h燃煤锅炉，同步建设石灰石/石膏湿式烟气脱硫工艺、低氮燃烧+SCR脱硝、布袋除尘等环保工程，配套建设储运、公用工程；新建隔压换热站一座，监控中心一座以及办公区。本项目使用此供热站供热。</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jc w:val="both"/>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9、</w:t>
            </w:r>
            <w:r>
              <w:rPr>
                <w:rFonts w:hint="eastAsia" w:ascii="宋体" w:hAnsi="宋体" w:eastAsia="宋体" w:cs="宋体"/>
                <w:b/>
                <w:bCs/>
                <w:color w:val="000000" w:themeColor="text1"/>
                <w:sz w:val="24"/>
                <w:szCs w:val="24"/>
                <w:lang w:val="en-US" w:eastAsia="zh-CN"/>
                <w14:textFill>
                  <w14:solidFill>
                    <w14:schemeClr w14:val="tx1"/>
                  </w14:solidFill>
                </w14:textFill>
              </w:rPr>
              <w:t>漆料</w:t>
            </w:r>
            <w:r>
              <w:rPr>
                <w:rFonts w:hint="eastAsia" w:ascii="宋体" w:hAnsi="宋体" w:cs="宋体"/>
                <w:b/>
                <w:bCs/>
                <w:color w:val="000000" w:themeColor="text1"/>
                <w:sz w:val="24"/>
                <w:szCs w:val="24"/>
                <w:lang w:val="en-US" w:eastAsia="zh-CN"/>
                <w14:textFill>
                  <w14:solidFill>
                    <w14:schemeClr w14:val="tx1"/>
                  </w14:solidFill>
                </w14:textFill>
              </w:rPr>
              <w:t>及</w:t>
            </w:r>
            <w:r>
              <w:rPr>
                <w:rFonts w:hint="eastAsia" w:cs="Times New Roman"/>
                <w:b/>
                <w:bCs/>
                <w:color w:val="000000" w:themeColor="text1"/>
                <w:sz w:val="24"/>
                <w:szCs w:val="24"/>
                <w:highlight w:val="none"/>
                <w:lang w:val="en-US" w:eastAsia="zh-CN"/>
                <w14:textFill>
                  <w14:solidFill>
                    <w14:schemeClr w14:val="tx1"/>
                  </w14:solidFill>
                </w14:textFill>
              </w:rPr>
              <w:t>物料</w:t>
            </w:r>
            <w:r>
              <w:rPr>
                <w:rFonts w:hint="eastAsia" w:ascii="宋体" w:hAnsi="宋体" w:eastAsia="宋体" w:cs="宋体"/>
                <w:b/>
                <w:bCs/>
                <w:color w:val="000000" w:themeColor="text1"/>
                <w:sz w:val="24"/>
                <w:szCs w:val="24"/>
                <w:lang w:val="en-US" w:eastAsia="zh-CN"/>
                <w14:textFill>
                  <w14:solidFill>
                    <w14:schemeClr w14:val="tx1"/>
                  </w14:solidFill>
                </w14:textFill>
              </w:rPr>
              <w:t>平衡</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本项目漆料及物料平衡见下表：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表2-</w:t>
            </w:r>
            <w:r>
              <w:rPr>
                <w:rFonts w:hint="eastAsia"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6  项目漆料及物料平衡表</w:t>
            </w:r>
          </w:p>
          <w:tbl>
            <w:tblPr>
              <w:tblStyle w:val="25"/>
              <w:tblW w:w="76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2070"/>
              <w:gridCol w:w="2213"/>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70" w:type="dxa"/>
                  <w:gridSpan w:val="2"/>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物料投入</w:t>
                  </w:r>
                </w:p>
              </w:tc>
              <w:tc>
                <w:tcPr>
                  <w:tcW w:w="3723" w:type="dxa"/>
                  <w:gridSpan w:val="2"/>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物料产出及排放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名称</w:t>
                  </w:r>
                </w:p>
              </w:tc>
              <w:tc>
                <w:tcPr>
                  <w:tcW w:w="207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数量（t/a）</w:t>
                  </w:r>
                </w:p>
              </w:tc>
              <w:tc>
                <w:tcPr>
                  <w:tcW w:w="2213"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名称</w:t>
                  </w:r>
                </w:p>
              </w:tc>
              <w:tc>
                <w:tcPr>
                  <w:tcW w:w="151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数量（t/a）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水性环氧防腐底漆</w:t>
                  </w:r>
                </w:p>
              </w:tc>
              <w:tc>
                <w:tcPr>
                  <w:tcW w:w="2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5.92</w:t>
                  </w:r>
                </w:p>
              </w:tc>
              <w:tc>
                <w:tcPr>
                  <w:tcW w:w="2213"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附着在产品上的漆料固份</w:t>
                  </w:r>
                </w:p>
              </w:tc>
              <w:tc>
                <w:tcPr>
                  <w:tcW w:w="151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13.43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水性环氧固化剂（通用）</w:t>
                  </w:r>
                </w:p>
              </w:tc>
              <w:tc>
                <w:tcPr>
                  <w:tcW w:w="2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0.74</w:t>
                  </w:r>
                </w:p>
              </w:tc>
              <w:tc>
                <w:tcPr>
                  <w:tcW w:w="2213"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漆料水分</w:t>
                  </w:r>
                </w:p>
              </w:tc>
              <w:tc>
                <w:tcPr>
                  <w:tcW w:w="151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水性环氧云铁中间漆</w:t>
                  </w:r>
                </w:p>
              </w:tc>
              <w:tc>
                <w:tcPr>
                  <w:tcW w:w="2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6.67</w:t>
                  </w:r>
                </w:p>
              </w:tc>
              <w:tc>
                <w:tcPr>
                  <w:tcW w:w="2213"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DPA纸箱过滤器</w:t>
                  </w:r>
                  <w:r>
                    <w:rPr>
                      <w:rFonts w:hint="eastAsia" w:cs="Times New Roman"/>
                      <w:color w:val="000000" w:themeColor="text1"/>
                      <w:sz w:val="21"/>
                      <w:szCs w:val="21"/>
                      <w:highlight w:val="none"/>
                      <w:lang w:val="en-US" w:eastAsia="zh-CN"/>
                      <w14:textFill>
                        <w14:solidFill>
                          <w14:schemeClr w14:val="tx1"/>
                        </w14:solidFill>
                      </w14:textFill>
                    </w:rPr>
                    <w:t>附着漆雾（</w:t>
                  </w:r>
                  <w:r>
                    <w:rPr>
                      <w:rFonts w:hint="eastAsia"/>
                      <w:color w:val="000000" w:themeColor="text1"/>
                      <w:sz w:val="21"/>
                      <w:szCs w:val="21"/>
                      <w:highlight w:val="none"/>
                      <w:lang w:val="en-US" w:eastAsia="zh-CN"/>
                      <w14:textFill>
                        <w14:solidFill>
                          <w14:schemeClr w14:val="tx1"/>
                        </w14:solidFill>
                      </w14:textFill>
                    </w:rPr>
                    <w:t>颗粒物</w:t>
                  </w:r>
                  <w:r>
                    <w:rPr>
                      <w:rFonts w:hint="eastAsia" w:cs="Times New Roman"/>
                      <w:color w:val="000000" w:themeColor="text1"/>
                      <w:sz w:val="21"/>
                      <w:szCs w:val="21"/>
                      <w:highlight w:val="none"/>
                      <w:lang w:val="en-US" w:eastAsia="zh-CN"/>
                      <w14:textFill>
                        <w14:solidFill>
                          <w14:schemeClr w14:val="tx1"/>
                        </w14:solidFill>
                      </w14:textFill>
                    </w:rPr>
                    <w:t>）</w:t>
                  </w:r>
                </w:p>
              </w:tc>
              <w:tc>
                <w:tcPr>
                  <w:tcW w:w="151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水性双组份聚氨酯面漆</w:t>
                  </w:r>
                </w:p>
              </w:tc>
              <w:tc>
                <w:tcPr>
                  <w:tcW w:w="2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5.56</w:t>
                  </w:r>
                </w:p>
              </w:tc>
              <w:tc>
                <w:tcPr>
                  <w:tcW w:w="2213"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漆雾（</w:t>
                  </w:r>
                  <w:r>
                    <w:rPr>
                      <w:rFonts w:hint="eastAsia"/>
                      <w:color w:val="000000" w:themeColor="text1"/>
                      <w:sz w:val="21"/>
                      <w:szCs w:val="21"/>
                      <w:highlight w:val="none"/>
                      <w:lang w:val="en-US" w:eastAsia="zh-CN"/>
                      <w14:textFill>
                        <w14:solidFill>
                          <w14:schemeClr w14:val="tx1"/>
                        </w14:solidFill>
                      </w14:textFill>
                    </w:rPr>
                    <w:t>颗粒物</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有组织排放</w:t>
                  </w:r>
                </w:p>
              </w:tc>
              <w:tc>
                <w:tcPr>
                  <w:tcW w:w="151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水性双组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份聚氨酯面漆固化剂</w:t>
                  </w:r>
                </w:p>
              </w:tc>
              <w:tc>
                <w:tcPr>
                  <w:tcW w:w="2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1.11</w:t>
                  </w:r>
                </w:p>
              </w:tc>
              <w:tc>
                <w:tcPr>
                  <w:tcW w:w="2213"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漆雾（</w:t>
                  </w:r>
                  <w:r>
                    <w:rPr>
                      <w:rFonts w:hint="eastAsia"/>
                      <w:color w:val="000000" w:themeColor="text1"/>
                      <w:sz w:val="21"/>
                      <w:szCs w:val="21"/>
                      <w:highlight w:val="none"/>
                      <w:lang w:val="en-US" w:eastAsia="zh-CN"/>
                      <w14:textFill>
                        <w14:solidFill>
                          <w14:schemeClr w14:val="tx1"/>
                        </w14:solidFill>
                      </w14:textFill>
                    </w:rPr>
                    <w:t>颗粒物</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无组织排放</w:t>
                  </w:r>
                </w:p>
              </w:tc>
              <w:tc>
                <w:tcPr>
                  <w:tcW w:w="151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环氧富锌底漆</w:t>
                  </w:r>
                </w:p>
              </w:tc>
              <w:tc>
                <w:tcPr>
                  <w:tcW w:w="2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0.92</w:t>
                  </w:r>
                </w:p>
              </w:tc>
              <w:tc>
                <w:tcPr>
                  <w:tcW w:w="2213"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活性炭吸附+脱附+催化燃烧处理设备</w:t>
                  </w:r>
                  <w:r>
                    <w:rPr>
                      <w:rFonts w:hint="eastAsia" w:eastAsia="宋体" w:cs="Times New Roman"/>
                      <w:color w:val="000000" w:themeColor="text1"/>
                      <w:kern w:val="2"/>
                      <w:sz w:val="21"/>
                      <w:szCs w:val="21"/>
                      <w:highlight w:val="none"/>
                      <w:lang w:val="en-US" w:eastAsia="zh-CN" w:bidi="ar-SA"/>
                      <w14:textFill>
                        <w14:solidFill>
                          <w14:schemeClr w14:val="tx1"/>
                        </w14:solidFill>
                      </w14:textFill>
                    </w:rPr>
                    <w:t>处理的</w:t>
                  </w:r>
                  <w:r>
                    <w:rPr>
                      <w:rFonts w:hint="eastAsia" w:ascii="宋体" w:hAnsi="宋体" w:eastAsia="宋体" w:cs="宋体"/>
                      <w:color w:val="000000" w:themeColor="text1"/>
                      <w:sz w:val="21"/>
                      <w:szCs w:val="21"/>
                      <w:lang w:val="en-US" w:eastAsia="zh-CN"/>
                      <w14:textFill>
                        <w14:solidFill>
                          <w14:schemeClr w14:val="tx1"/>
                        </w14:solidFill>
                      </w14:textFill>
                    </w:rPr>
                    <w:t>非甲烷总烃</w:t>
                  </w:r>
                </w:p>
              </w:tc>
              <w:tc>
                <w:tcPr>
                  <w:tcW w:w="151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环氧固化剂（通用）</w:t>
                  </w:r>
                </w:p>
              </w:tc>
              <w:tc>
                <w:tcPr>
                  <w:tcW w:w="2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0.16</w:t>
                  </w:r>
                </w:p>
              </w:tc>
              <w:tc>
                <w:tcPr>
                  <w:tcW w:w="2213"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非甲烷总烃</w:t>
                  </w:r>
                  <w:r>
                    <w:rPr>
                      <w:rFonts w:hint="eastAsia"/>
                      <w:color w:val="000000" w:themeColor="text1"/>
                      <w:sz w:val="21"/>
                      <w:szCs w:val="21"/>
                      <w:highlight w:val="none"/>
                      <w:lang w:val="en-US" w:eastAsia="zh-CN"/>
                      <w14:textFill>
                        <w14:solidFill>
                          <w14:schemeClr w14:val="tx1"/>
                        </w14:solidFill>
                      </w14:textFill>
                    </w:rPr>
                    <w:t>有组织排放</w:t>
                  </w:r>
                </w:p>
              </w:tc>
              <w:tc>
                <w:tcPr>
                  <w:tcW w:w="151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环氧稀释剂（通用）</w:t>
                  </w:r>
                </w:p>
              </w:tc>
              <w:tc>
                <w:tcPr>
                  <w:tcW w:w="2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0.92</w:t>
                  </w:r>
                </w:p>
              </w:tc>
              <w:tc>
                <w:tcPr>
                  <w:tcW w:w="2213"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非甲烷总烃</w:t>
                  </w:r>
                  <w:r>
                    <w:rPr>
                      <w:rFonts w:hint="eastAsia"/>
                      <w:color w:val="000000" w:themeColor="text1"/>
                      <w:sz w:val="21"/>
                      <w:szCs w:val="21"/>
                      <w:highlight w:val="none"/>
                      <w:lang w:val="en-US" w:eastAsia="zh-CN"/>
                      <w14:textFill>
                        <w14:solidFill>
                          <w14:schemeClr w14:val="tx1"/>
                        </w14:solidFill>
                      </w14:textFill>
                    </w:rPr>
                    <w:t>无组织排放</w:t>
                  </w:r>
                </w:p>
              </w:tc>
              <w:tc>
                <w:tcPr>
                  <w:tcW w:w="151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环氧云铁中间漆</w:t>
                  </w:r>
                </w:p>
              </w:tc>
              <w:tc>
                <w:tcPr>
                  <w:tcW w:w="2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2213"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151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丙烯酸聚氨酯磁漆</w:t>
                  </w:r>
                </w:p>
              </w:tc>
              <w:tc>
                <w:tcPr>
                  <w:tcW w:w="2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0.91</w:t>
                  </w:r>
                </w:p>
              </w:tc>
              <w:tc>
                <w:tcPr>
                  <w:tcW w:w="2213"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151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聚氨酯稀释剂</w:t>
                  </w:r>
                </w:p>
              </w:tc>
              <w:tc>
                <w:tcPr>
                  <w:tcW w:w="2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0.91</w:t>
                  </w:r>
                </w:p>
              </w:tc>
              <w:tc>
                <w:tcPr>
                  <w:tcW w:w="2213"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151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聚氨酯固化剂</w:t>
                  </w:r>
                </w:p>
              </w:tc>
              <w:tc>
                <w:tcPr>
                  <w:tcW w:w="20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0.18</w:t>
                  </w:r>
                </w:p>
              </w:tc>
              <w:tc>
                <w:tcPr>
                  <w:tcW w:w="2213"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151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合计</w:t>
                  </w:r>
                </w:p>
              </w:tc>
              <w:tc>
                <w:tcPr>
                  <w:tcW w:w="207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26</w:t>
                  </w:r>
                </w:p>
              </w:tc>
              <w:tc>
                <w:tcPr>
                  <w:tcW w:w="2213"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合计</w:t>
                  </w:r>
                </w:p>
              </w:tc>
              <w:tc>
                <w:tcPr>
                  <w:tcW w:w="151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26</w:t>
                  </w:r>
                </w:p>
              </w:tc>
            </w:tr>
          </w:tbl>
          <w:p>
            <w:pPr>
              <w:spacing w:line="360" w:lineRule="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1</w:t>
            </w:r>
            <w:r>
              <w:rPr>
                <w:rFonts w:hint="eastAsia" w:cs="Times New Roman"/>
                <w:b/>
                <w:bCs/>
                <w:color w:val="000000" w:themeColor="text1"/>
                <w:kern w:val="0"/>
                <w:sz w:val="24"/>
                <w:szCs w:val="24"/>
                <w:lang w:val="en-US" w:eastAsia="zh-CN" w:bidi="ar"/>
                <w14:textFill>
                  <w14:solidFill>
                    <w14:schemeClr w14:val="tx1"/>
                  </w14:solidFill>
                </w14:textFill>
              </w:rPr>
              <w:t>0</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、平面布置合理性分析</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val="en-US"/>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本项目</w:t>
            </w:r>
            <w:r>
              <w:rPr>
                <w:rFonts w:hint="default" w:ascii="Times New Roman" w:hAnsi="Times New Roman" w:cs="Times New Roman"/>
                <w:color w:val="000000" w:themeColor="text1"/>
                <w:sz w:val="24"/>
                <w:szCs w:val="24"/>
                <w14:textFill>
                  <w14:solidFill>
                    <w14:schemeClr w14:val="tx1"/>
                  </w14:solidFill>
                </w14:textFill>
              </w:rPr>
              <w:t>建设于</w:t>
            </w:r>
            <w:r>
              <w:rPr>
                <w:rFonts w:hint="eastAsia" w:ascii="Times New Roman" w:hAnsi="Times New Roman" w:cs="Times New Roman"/>
                <w:color w:val="000000" w:themeColor="text1"/>
                <w:sz w:val="24"/>
                <w:szCs w:val="24"/>
                <w:lang w:val="en-US" w:eastAsia="zh-CN"/>
                <w14:textFill>
                  <w14:solidFill>
                    <w14:schemeClr w14:val="tx1"/>
                  </w14:solidFill>
                </w14:textFill>
              </w:rPr>
              <w:t>木垒县民生工业园</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用水、用电、供暖、排水及进厂道路等公用设施可充分利用</w:t>
            </w:r>
            <w:r>
              <w:rPr>
                <w:rFonts w:hint="eastAsia" w:ascii="Times New Roman" w:hAnsi="Times New Roman" w:cs="Times New Roman"/>
                <w:color w:val="000000" w:themeColor="text1"/>
                <w:sz w:val="24"/>
                <w:szCs w:val="24"/>
                <w:lang w:val="en-US" w:eastAsia="zh-CN"/>
                <w14:textFill>
                  <w14:solidFill>
                    <w14:schemeClr w14:val="tx1"/>
                  </w14:solidFill>
                </w14:textFill>
              </w:rPr>
              <w:t>民生工业园</w:t>
            </w:r>
            <w:r>
              <w:rPr>
                <w:rFonts w:hint="eastAsia" w:ascii="宋体" w:hAnsi="宋体" w:eastAsia="宋体" w:cs="宋体"/>
                <w:color w:val="000000" w:themeColor="text1"/>
                <w:kern w:val="0"/>
                <w:sz w:val="24"/>
                <w:szCs w:val="24"/>
                <w:lang w:val="en-US" w:eastAsia="zh-CN" w:bidi="ar"/>
                <w14:textFill>
                  <w14:solidFill>
                    <w14:schemeClr w14:val="tx1"/>
                  </w14:solidFill>
                </w14:textFill>
              </w:rPr>
              <w:t>现有基础设施。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木垒县</w:t>
            </w:r>
            <w:r>
              <w:rPr>
                <w:rFonts w:hint="eastAsia" w:ascii="宋体" w:hAnsi="宋体" w:eastAsia="宋体" w:cs="宋体"/>
                <w:color w:val="000000" w:themeColor="text1"/>
                <w:kern w:val="0"/>
                <w:sz w:val="24"/>
                <w:szCs w:val="24"/>
                <w:lang w:val="en-US" w:eastAsia="zh-CN" w:bidi="ar"/>
                <w14:textFill>
                  <w14:solidFill>
                    <w14:schemeClr w14:val="tx1"/>
                  </w14:solidFill>
                </w14:textFill>
              </w:rPr>
              <w:t>主导风向为西北</w:t>
            </w:r>
            <w:r>
              <w:rPr>
                <w:rFonts w:hint="eastAsia" w:ascii="宋体" w:hAnsi="宋体" w:cs="宋体"/>
                <w:color w:val="000000" w:themeColor="text1"/>
                <w:kern w:val="0"/>
                <w:sz w:val="24"/>
                <w:szCs w:val="24"/>
                <w:lang w:val="en-US" w:eastAsia="zh-CN" w:bidi="ar"/>
                <w14:textFill>
                  <w14:solidFill>
                    <w14:schemeClr w14:val="tx1"/>
                  </w14:solidFill>
                </w14:textFill>
              </w:rPr>
              <w:t>风</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本项目位于大南沟乌兹别克乡大南沟村东南角位置，对大南沟乌兹别克乡大南沟村的居民影响较小，布置合理。</w:t>
            </w:r>
            <w:r>
              <w:rPr>
                <w:rFonts w:hint="default" w:ascii="Times New Roman" w:hAnsi="Times New Roman" w:eastAsia="宋体" w:cs="Times New Roman"/>
                <w:color w:val="000000" w:themeColor="text1"/>
                <w:sz w:val="24"/>
                <w:szCs w:val="24"/>
                <w:lang w:eastAsia="zh-CN"/>
                <w14:textFill>
                  <w14:solidFill>
                    <w14:schemeClr w14:val="tx1"/>
                  </w14:solidFill>
                </w14:textFill>
              </w:rPr>
              <w:t>办公、生活区布置在厂区的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西侧</w:t>
            </w:r>
            <w:r>
              <w:rPr>
                <w:rFonts w:hint="default" w:ascii="Times New Roman" w:hAnsi="Times New Roman" w:eastAsia="宋体" w:cs="Times New Roman"/>
                <w:color w:val="000000" w:themeColor="text1"/>
                <w:sz w:val="24"/>
                <w:szCs w:val="24"/>
                <w:lang w:eastAsia="zh-CN"/>
                <w14:textFill>
                  <w14:solidFill>
                    <w14:schemeClr w14:val="tx1"/>
                  </w14:solidFill>
                </w14:textFill>
              </w:rPr>
              <w:t>位置，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主要产污较多的喷砂间、喷漆间和固化间位于2号厂房，距大南沟乌兹别克乡大南沟村最近距离为510米，且排气筒DA001和排气筒DA002设置在2号厂房东侧位置，距大南沟乌兹别克乡大南沟村最近距离为600米</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对项目区附近村庄造成的影响较小，布置合理。</w:t>
            </w:r>
            <w:r>
              <w:rPr>
                <w:rFonts w:hint="eastAsia" w:ascii="Times New Roman" w:hAnsi="Times New Roman" w:eastAsia="宋体" w:cs="Times New Roman"/>
                <w:color w:val="000000" w:themeColor="text1"/>
                <w:sz w:val="24"/>
                <w:szCs w:val="24"/>
                <w:lang w:eastAsia="zh-CN"/>
                <w14:textFill>
                  <w14:solidFill>
                    <w14:schemeClr w14:val="tx1"/>
                  </w14:solidFill>
                </w14:textFill>
              </w:rPr>
              <w:t>总平面布置按照总平面设计规范，满足企业生产工艺流程要求及符合现行国家消防、安全等规范，结合</w:t>
            </w:r>
            <w:r>
              <w:rPr>
                <w:rFonts w:hint="eastAsia" w:ascii="Times New Roman" w:hAnsi="Times New Roman" w:cs="Times New Roman"/>
                <w:color w:val="000000" w:themeColor="text1"/>
                <w:sz w:val="24"/>
                <w:szCs w:val="24"/>
                <w:lang w:eastAsia="zh-CN"/>
                <w14:textFill>
                  <w14:solidFill>
                    <w14:schemeClr w14:val="tx1"/>
                  </w14:solidFill>
                </w14:textFill>
              </w:rPr>
              <w:t>厂区自然条件，便于运输进行布置，具体详见</w:t>
            </w:r>
            <w:r>
              <w:rPr>
                <w:rFonts w:hint="eastAsia"/>
                <w:snapToGrid w:val="0"/>
                <w:color w:val="000000" w:themeColor="text1"/>
                <w:sz w:val="24"/>
                <w:szCs w:val="28"/>
                <w:lang w:val="en-US" w:eastAsia="zh-CN"/>
                <w14:textFill>
                  <w14:solidFill>
                    <w14:schemeClr w14:val="tx1"/>
                  </w14:solidFill>
                </w14:textFill>
              </w:rPr>
              <w:t>附图5厂区平面布置图。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vAlign w:val="center"/>
          </w:tcPr>
          <w:p>
            <w:pPr>
              <w:pStyle w:val="20"/>
              <w:adjustRightInd w:val="0"/>
              <w:snapToGrid w:val="0"/>
              <w:spacing w:before="0" w:beforeAutospacing="0" w:after="0" w:afterAutospacing="0"/>
              <w:jc w:val="center"/>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工艺流程和产排污环节</w:t>
            </w:r>
          </w:p>
        </w:tc>
        <w:tc>
          <w:tcPr>
            <w:tcW w:w="8161" w:type="dxa"/>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textAlignment w:val="auto"/>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1、施工期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项目区地基及大楼已建设。施工期主要的污染为：</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大气：汽车尾气、</w:t>
            </w:r>
            <w:r>
              <w:rPr>
                <w:rFonts w:hint="eastAsia"/>
                <w:b w:val="0"/>
                <w:bCs w:val="0"/>
                <w:color w:val="000000" w:themeColor="text1"/>
                <w:sz w:val="24"/>
                <w:szCs w:val="24"/>
                <w:highlight w:val="none"/>
                <w:lang w:val="en-US" w:eastAsia="zh-CN"/>
                <w14:textFill>
                  <w14:solidFill>
                    <w14:schemeClr w14:val="tx1"/>
                  </w14:solidFill>
                </w14:textFill>
              </w:rPr>
              <w:t>电焊烟尘、</w:t>
            </w:r>
            <w:r>
              <w:rPr>
                <w:rFonts w:hint="eastAsia"/>
                <w:color w:val="000000" w:themeColor="text1"/>
                <w:sz w:val="24"/>
                <w:szCs w:val="24"/>
                <w:highlight w:val="none"/>
                <w:lang w:val="en-US" w:eastAsia="zh-CN"/>
                <w14:textFill>
                  <w14:solidFill>
                    <w14:schemeClr w14:val="tx1"/>
                  </w14:solidFill>
                </w14:textFill>
              </w:rPr>
              <w:t>装修废气；</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噪声：施工机械及运输车辆噪声；</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废水：施工人员生活废水；</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固体废物</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装修垃圾及装修人员产生的生活垃圾</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0" w:firstLineChars="0"/>
              <w:textAlignment w:val="auto"/>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2、运营期工艺流程：</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eastAsia" w:ascii="Times New Roman" w:hAnsi="Times New Roman" w:eastAsia="宋体" w:cs="Times New Roman"/>
                <w:color w:val="000000" w:themeColor="text1"/>
                <w:kern w:val="15"/>
                <w:sz w:val="24"/>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15"/>
                <w:sz w:val="24"/>
                <w:szCs w:val="22"/>
                <w:highlight w:val="none"/>
                <w:lang w:val="en-US" w:eastAsia="zh-CN"/>
                <w14:textFill>
                  <w14:solidFill>
                    <w14:schemeClr w14:val="tx1"/>
                  </w14:solidFill>
                </w14:textFill>
              </w:rPr>
              <w:t>根据新能源生产提供的有关技术资料及工艺技术资料，各产线生产产品主要生产工艺如下：</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0" w:firstLineChars="0"/>
              <w:textAlignment w:val="auto"/>
              <w:rPr>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2.1汇流箱生产工艺</w:t>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drawing>
                <wp:inline distT="0" distB="0" distL="114300" distR="114300">
                  <wp:extent cx="4289425" cy="7752080"/>
                  <wp:effectExtent l="0" t="0" r="15875" b="1270"/>
                  <wp:docPr id="3" name="F360BE8B-6686-4F3D-AEAF-501FE73E4058-1" descr="绘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60BE8B-6686-4F3D-AEAF-501FE73E4058-1" descr="绘图3"/>
                          <pic:cNvPicPr>
                            <a:picLocks noChangeAspect="1"/>
                          </pic:cNvPicPr>
                        </pic:nvPicPr>
                        <pic:blipFill>
                          <a:blip r:embed="rId15"/>
                          <a:stretch>
                            <a:fillRect/>
                          </a:stretch>
                        </pic:blipFill>
                        <pic:spPr>
                          <a:xfrm>
                            <a:off x="0" y="0"/>
                            <a:ext cx="4289425" cy="7752080"/>
                          </a:xfrm>
                          <a:prstGeom prst="rect">
                            <a:avLst/>
                          </a:prstGeom>
                        </pic:spPr>
                      </pic:pic>
                    </a:graphicData>
                  </a:graphic>
                </wp:inline>
              </w:drawing>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图2-1  汇流箱产品生产工艺流程图</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生产工艺流程简述</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首先进行备料，</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对钢材进行钣金加工（切割、焊接、压铆、折弯等），对汇流箱外壳进行表面处理（</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进入喷砂房进行喷砂打磨，再进入喷漆房和固化室，</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经过喷底漆、中漆、固化、喷面漆及固化后</w:t>
            </w:r>
            <w:r>
              <w:rPr>
                <w:rFonts w:hint="eastAsia" w:ascii="Times New Roman" w:hAnsi="Times New Roman" w:cs="Times New Roman"/>
                <w:color w:val="000000" w:themeColor="text1"/>
                <w:spacing w:val="-6"/>
                <w:kern w:val="0"/>
                <w:sz w:val="24"/>
                <w:szCs w:val="24"/>
                <w:highlight w:val="none"/>
                <w:lang w:val="en-US" w:eastAsia="zh-CN" w:bidi="ar-SA"/>
                <w14:textFill>
                  <w14:solidFill>
                    <w14:schemeClr w14:val="tx1"/>
                  </w14:solidFill>
                </w14:textFill>
              </w:rPr>
              <w:t>，</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在壳体表面丝印公司标志）。</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领料按照《汇流箱控制明细清单》，填写领料单领料。元器件安装，过程中，检查产品型号、元器件型号、规格、数量等与图纸是否相符。检查元器件有无明显损坏。检查元器件相关参数设定。</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严格按照布置图从板前视，由左至右，由上至下安装元器件。同一型号产品应保证组装一致性。</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然后进行布线，二次线的连接（包括螺栓连接、插接、焊接等）均应牢固可靠，线束应横平竖直，配置坚牢，层次分明，整齐美观；导线布置在线槽内，不允许跨越电器元器件和端子；进行测试</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，最后包装入库</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0" w:firstLineChars="0"/>
              <w:textAlignment w:val="auto"/>
              <w:rPr>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2.2光伏升压逆变一体机生产工艺</w:t>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drawing>
                <wp:inline distT="0" distB="0" distL="114300" distR="114300">
                  <wp:extent cx="4952365" cy="7601585"/>
                  <wp:effectExtent l="0" t="0" r="635" b="18415"/>
                  <wp:docPr id="5" name="F360BE8B-6686-4F3D-AEAF-501FE73E4058-2" descr="绘图3_复制3_复制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60BE8B-6686-4F3D-AEAF-501FE73E4058-2" descr="绘图3_复制3_复制_3"/>
                          <pic:cNvPicPr>
                            <a:picLocks noChangeAspect="1"/>
                          </pic:cNvPicPr>
                        </pic:nvPicPr>
                        <pic:blipFill>
                          <a:blip r:embed="rId16"/>
                          <a:stretch>
                            <a:fillRect/>
                          </a:stretch>
                        </pic:blipFill>
                        <pic:spPr>
                          <a:xfrm>
                            <a:off x="0" y="0"/>
                            <a:ext cx="4952365" cy="7601585"/>
                          </a:xfrm>
                          <a:prstGeom prst="rect">
                            <a:avLst/>
                          </a:prstGeom>
                        </pic:spPr>
                      </pic:pic>
                    </a:graphicData>
                  </a:graphic>
                </wp:inline>
              </w:drawing>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图</w:t>
            </w: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2</w:t>
            </w:r>
            <w:r>
              <w:rPr>
                <w:rFonts w:hint="eastAsia" w:cs="Times New Roman"/>
                <w:b/>
                <w:bCs/>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 xml:space="preserve">2  </w:t>
            </w: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光伏升压逆变一体机产品生产工艺流程图</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生产工艺流程简述</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首先详细阅读产品图样和技术标准，了解主接线（方案）图的要求，按产品图样规定领出备品备件、逆变器、变压器、电器元件、通用构件、紧固件和标牌。核定所领物料是否符合产品电路图（或接线图）的要求，电气元件的性能及其附带件是否符合要求。</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cs="Times New Roman"/>
                <w:color w:val="000000" w:themeColor="text1"/>
                <w:spacing w:val="-6"/>
                <w:kern w:val="0"/>
                <w:sz w:val="24"/>
                <w:szCs w:val="24"/>
                <w:highlight w:val="none"/>
                <w:lang w:val="en-US" w:eastAsia="zh-CN" w:bidi="ar-SA"/>
                <w14:textFill>
                  <w14:solidFill>
                    <w14:schemeClr w14:val="tx1"/>
                  </w14:solidFill>
                </w14:textFill>
              </w:rPr>
              <w:t>对钢材进行钣金加工（切割、焊接、压铆、折弯</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等），对光伏升压逆变一体机</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外壳进行表面处理（</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进入喷砂房进行喷砂打磨，再进入喷漆房和固化室，</w:t>
            </w:r>
            <w:r>
              <w:rPr>
                <w:rFonts w:hint="eastAsia" w:ascii="Times New Roman" w:hAnsi="Times New Roman" w:cs="Times New Roman"/>
                <w:color w:val="000000" w:themeColor="text1"/>
                <w:spacing w:val="-6"/>
                <w:kern w:val="0"/>
                <w:sz w:val="24"/>
                <w:szCs w:val="24"/>
                <w:highlight w:val="none"/>
                <w:lang w:val="en-US" w:eastAsia="zh-CN" w:bidi="ar-SA"/>
                <w14:textFill>
                  <w14:solidFill>
                    <w14:schemeClr w14:val="tx1"/>
                  </w14:solidFill>
                </w14:textFill>
              </w:rPr>
              <w:t>经过喷底漆、中漆、固化、喷面漆及固化后，</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在壳体表面丝印公司标志）。</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cs="Times New Roman"/>
                <w:color w:val="000000" w:themeColor="text1"/>
                <w:spacing w:val="-6"/>
                <w:kern w:val="0"/>
                <w:sz w:val="24"/>
                <w:szCs w:val="24"/>
                <w:highlight w:val="none"/>
                <w:lang w:val="en-US" w:eastAsia="zh-CN" w:bidi="ar-SA"/>
                <w14:textFill>
                  <w14:solidFill>
                    <w14:schemeClr w14:val="tx1"/>
                  </w14:solidFill>
                </w14:textFill>
              </w:rPr>
              <w:t>安装时需</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考虑相邻的部件单元之间要留有一定的安装距离和安全的飞弧距离。比较重的电器元件如逆变器柜、变压器应安装在底托上，使整机重心较低，相对稳定。变压器等发热的元件要与一般元件留有一定距离，如果其本身重量较轻可以向上部安装。电器元件的安装，要考虑母线或主回路一次导线的安装，使母线或主回路导线的装配容易而且最为节省。</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安装、调试现场要保持清洁、整齐、安静。产品在安装、调试过程中，需要起立或移动柜体时，要注意安全，轻移、轻放，以免伤人或损坏产品。 必须穿戴好劳保用品，特别是通电试验（或做介电强度）时的分合闸操作，脚下必须垫有绝缘垫板，以防接线和操作错误，出现意外。</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调试合格者</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包装入库</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cs="Times New Roman"/>
                <w:b/>
                <w:bCs/>
                <w:color w:val="000000" w:themeColor="text1"/>
                <w:spacing w:val="-6"/>
                <w:kern w:val="0"/>
                <w:sz w:val="24"/>
                <w:szCs w:val="24"/>
                <w:highlight w:val="none"/>
                <w:lang w:val="en-US" w:eastAsia="zh-CN" w:bidi="ar-SA"/>
                <w14:textFill>
                  <w14:solidFill>
                    <w14:schemeClr w14:val="tx1"/>
                  </w14:solidFill>
                </w14:textFill>
              </w:rPr>
              <w:t>2.3</w:t>
            </w: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光伏/风电/充换电专用箱式变电站生产工艺流程：</w:t>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drawing>
                <wp:inline distT="0" distB="0" distL="114300" distR="114300">
                  <wp:extent cx="4276090" cy="6254115"/>
                  <wp:effectExtent l="0" t="0" r="10160" b="13335"/>
                  <wp:docPr id="7" name="F360BE8B-6686-4F3D-AEAF-501FE73E4058-3" descr="绘图3_复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360BE8B-6686-4F3D-AEAF-501FE73E4058-3" descr="绘图3_复制2"/>
                          <pic:cNvPicPr>
                            <a:picLocks noChangeAspect="1"/>
                          </pic:cNvPicPr>
                        </pic:nvPicPr>
                        <pic:blipFill>
                          <a:blip r:embed="rId17"/>
                          <a:stretch>
                            <a:fillRect/>
                          </a:stretch>
                        </pic:blipFill>
                        <pic:spPr>
                          <a:xfrm>
                            <a:off x="0" y="0"/>
                            <a:ext cx="4276090" cy="6254115"/>
                          </a:xfrm>
                          <a:prstGeom prst="rect">
                            <a:avLst/>
                          </a:prstGeom>
                        </pic:spPr>
                      </pic:pic>
                    </a:graphicData>
                  </a:graphic>
                </wp:inline>
              </w:drawing>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图</w:t>
            </w: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2</w:t>
            </w: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 xml:space="preserve">3  </w:t>
            </w: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光伏/风电/充换电专用箱式变电站生产工艺流程</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生产工艺流程简述</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jc w:val="both"/>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本项目生产产品箱式变电站</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时首先对钢材进行钣金加工（切割、焊接、压铆、折弯等），</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对光伏/风电/充换电专用箱式变电站进行表面处</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理（</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进入喷砂房进行喷砂打磨，再进入喷漆房和固化室，</w:t>
            </w:r>
            <w:r>
              <w:rPr>
                <w:rFonts w:hint="eastAsia" w:ascii="Times New Roman" w:hAnsi="Times New Roman" w:cs="Times New Roman"/>
                <w:color w:val="000000" w:themeColor="text1"/>
                <w:spacing w:val="-6"/>
                <w:kern w:val="0"/>
                <w:sz w:val="24"/>
                <w:szCs w:val="24"/>
                <w:highlight w:val="none"/>
                <w:lang w:val="en-US" w:eastAsia="zh-CN" w:bidi="ar-SA"/>
                <w14:textFill>
                  <w14:solidFill>
                    <w14:schemeClr w14:val="tx1"/>
                  </w14:solidFill>
                </w14:textFill>
              </w:rPr>
              <w:t>经过喷底漆、中漆、固化、喷面漆及固化后，</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在壳体表面丝印公司标志）。</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变电站箱变外壳由厂房加工好后</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安装</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，设备内部电子元件等均外购成品，厂区直接使用即可。装配完成后由人工在实验室进行测试。</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jc w:val="both"/>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测试合格的产品</w:t>
            </w:r>
            <w:r>
              <w:rPr>
                <w:rFonts w:hint="eastAsia" w:cs="Times New Roman"/>
                <w:b w:val="0"/>
                <w:bCs w:val="0"/>
                <w:i w:val="0"/>
                <w:iCs w:val="0"/>
                <w:color w:val="000000" w:themeColor="text1"/>
                <w:spacing w:val="-6"/>
                <w:kern w:val="0"/>
                <w:sz w:val="24"/>
                <w:szCs w:val="24"/>
                <w:highlight w:val="none"/>
                <w:vertAlign w:val="baseline"/>
                <w:lang w:val="en-US" w:eastAsia="zh-CN" w:bidi="ar-SA"/>
                <w14:textFill>
                  <w14:solidFill>
                    <w14:schemeClr w14:val="tx1"/>
                  </w14:solidFill>
                </w14:textFill>
              </w:rPr>
              <w:t>包装入库</w:t>
            </w:r>
            <w:r>
              <w:rPr>
                <w:rFonts w:hint="default" w:ascii="Times New Roman" w:hAnsi="Times New Roman" w:eastAsia="宋体" w:cs="Times New Roman"/>
                <w:b w:val="0"/>
                <w:bCs w:val="0"/>
                <w:i w:val="0"/>
                <w:iCs w:val="0"/>
                <w:color w:val="000000" w:themeColor="text1"/>
                <w:spacing w:val="-6"/>
                <w:kern w:val="0"/>
                <w:sz w:val="24"/>
                <w:szCs w:val="24"/>
                <w:highlight w:val="none"/>
                <w:vertAlign w:val="baseline"/>
                <w:lang w:val="en-US" w:eastAsia="zh-CN" w:bidi="ar-SA"/>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其中，实验室测试主要包括分3步进行：</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A</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设定参数：对实验室设备进行参数设定，设定电压及电流等。</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B</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测试：变电站在实验室设定的环境下开始运行。</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C</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收集参数：通过实验室设备完成在不同环境条件下对变电站性能参数的收集，从而判定其是否正常运行，符合标准。</w:t>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textAlignment w:val="auto"/>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cs="Times New Roman"/>
                <w:b/>
                <w:bCs/>
                <w:color w:val="000000" w:themeColor="text1"/>
                <w:spacing w:val="-6"/>
                <w:kern w:val="0"/>
                <w:sz w:val="24"/>
                <w:szCs w:val="24"/>
                <w:highlight w:val="none"/>
                <w:lang w:val="en-US" w:eastAsia="zh-CN" w:bidi="ar-SA"/>
                <w14:textFill>
                  <w14:solidFill>
                    <w14:schemeClr w14:val="tx1"/>
                  </w14:solidFill>
                </w14:textFill>
              </w:rPr>
              <w:t>2.4</w:t>
            </w: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储能变流升压一体机生产工艺</w:t>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jc w:val="center"/>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491355" cy="6892925"/>
                  <wp:effectExtent l="0" t="0" r="4445" b="3175"/>
                  <wp:docPr id="6" name="F360BE8B-6686-4F3D-AEAF-501FE73E4058-4" descr="绘图3_复制3_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360BE8B-6686-4F3D-AEAF-501FE73E4058-4" descr="绘图3_复制3_复制"/>
                          <pic:cNvPicPr>
                            <a:picLocks noChangeAspect="1"/>
                          </pic:cNvPicPr>
                        </pic:nvPicPr>
                        <pic:blipFill>
                          <a:blip r:embed="rId18"/>
                          <a:stretch>
                            <a:fillRect/>
                          </a:stretch>
                        </pic:blipFill>
                        <pic:spPr>
                          <a:xfrm>
                            <a:off x="0" y="0"/>
                            <a:ext cx="4491355" cy="6892925"/>
                          </a:xfrm>
                          <a:prstGeom prst="rect">
                            <a:avLst/>
                          </a:prstGeom>
                        </pic:spPr>
                      </pic:pic>
                    </a:graphicData>
                  </a:graphic>
                </wp:inline>
              </w:drawing>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图</w:t>
            </w: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2</w:t>
            </w:r>
            <w:r>
              <w:rPr>
                <w:rFonts w:hint="eastAsia" w:cs="Times New Roman"/>
                <w:b/>
                <w:bCs/>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 xml:space="preserve">4  </w:t>
            </w: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储能变流升压一体机产品生产工艺流程图</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生产工艺流程简述</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首先详细阅读产品图样和技术标准，了解主接线（方案）图的要求， 按产品图样规定领出备品备件、变流器、变压器、电器元件、通用构件、 紧固件和标牌。核定所领物料是否符合产品电路图的要求，电气元件的性能及其附带件是否符合要求。</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cs="Times New Roman"/>
                <w:color w:val="000000" w:themeColor="text1"/>
                <w:spacing w:val="-6"/>
                <w:kern w:val="0"/>
                <w:sz w:val="24"/>
                <w:szCs w:val="24"/>
                <w:highlight w:val="none"/>
                <w:lang w:val="en-US" w:eastAsia="zh-CN" w:bidi="ar-SA"/>
                <w14:textFill>
                  <w14:solidFill>
                    <w14:schemeClr w14:val="tx1"/>
                  </w14:solidFill>
                </w14:textFill>
              </w:rPr>
              <w:t>对钢材进行钣金加工（切割、</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焊接、压铆、折弯等），对储能变流升压一体机</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外壳进行表面处理（</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进入喷砂房进行喷砂打磨，再进入喷漆房和固化室，</w:t>
            </w:r>
            <w:r>
              <w:rPr>
                <w:rFonts w:hint="eastAsia" w:ascii="Times New Roman" w:hAnsi="Times New Roman" w:cs="Times New Roman"/>
                <w:color w:val="000000" w:themeColor="text1"/>
                <w:spacing w:val="-6"/>
                <w:kern w:val="0"/>
                <w:sz w:val="24"/>
                <w:szCs w:val="24"/>
                <w:highlight w:val="none"/>
                <w:lang w:val="en-US" w:eastAsia="zh-CN" w:bidi="ar-SA"/>
                <w14:textFill>
                  <w14:solidFill>
                    <w14:schemeClr w14:val="tx1"/>
                  </w14:solidFill>
                </w14:textFill>
              </w:rPr>
              <w:t>经过喷底漆、中漆、固化、喷面漆及固化后，</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在壳体表面丝印公司标志）。</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cs="Times New Roman"/>
                <w:color w:val="000000" w:themeColor="text1"/>
                <w:spacing w:val="-6"/>
                <w:kern w:val="0"/>
                <w:sz w:val="24"/>
                <w:szCs w:val="24"/>
                <w:highlight w:val="none"/>
                <w:lang w:val="en-US" w:eastAsia="zh-CN" w:bidi="ar-SA"/>
                <w14:textFill>
                  <w14:solidFill>
                    <w14:schemeClr w14:val="tx1"/>
                  </w14:solidFill>
                </w14:textFill>
              </w:rPr>
              <w:t>安装时需</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考虑相邻的部件单元之间要留有一定的安装距离和安全的飞弧距离。比较重的电器元件如变流器柜、变压器应安装在底托上，使整机重心较低，相对稳定。变压器等发热的元件要与一般元件留有一定距离，如果其本身重量较轻可以向上部安装。电器元件的安装，要考虑母线或主回路一次导线的安装，使母线或主回路导线的装配容易而且最为节省。</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安装、调试现场要保持清洁、整齐、安静。产品在安装、调试过程中，需要起立或移动柜体时，要注意安全，通电试验时防止误操作。</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jc w:val="both"/>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spacing w:val="-6"/>
                <w:kern w:val="0"/>
                <w:sz w:val="24"/>
                <w:szCs w:val="24"/>
                <w:highlight w:val="none"/>
                <w:vertAlign w:val="baseline"/>
                <w:lang w:val="en-US" w:eastAsia="zh-CN" w:bidi="ar-SA"/>
                <w14:textFill>
                  <w14:solidFill>
                    <w14:schemeClr w14:val="tx1"/>
                  </w14:solidFill>
                </w14:textFill>
              </w:rPr>
              <w:t>测试合格者</w:t>
            </w:r>
            <w:r>
              <w:rPr>
                <w:rFonts w:hint="eastAsia" w:cs="Times New Roman"/>
                <w:b w:val="0"/>
                <w:bCs w:val="0"/>
                <w:i w:val="0"/>
                <w:iCs w:val="0"/>
                <w:color w:val="000000" w:themeColor="text1"/>
                <w:spacing w:val="-6"/>
                <w:kern w:val="0"/>
                <w:sz w:val="24"/>
                <w:szCs w:val="24"/>
                <w:highlight w:val="none"/>
                <w:vertAlign w:val="baseline"/>
                <w:lang w:val="en-US" w:eastAsia="zh-CN" w:bidi="ar-SA"/>
                <w14:textFill>
                  <w14:solidFill>
                    <w14:schemeClr w14:val="tx1"/>
                  </w14:solidFill>
                </w14:textFill>
              </w:rPr>
              <w:t>包装入库</w:t>
            </w:r>
            <w:r>
              <w:rPr>
                <w:rFonts w:hint="default" w:ascii="Times New Roman" w:hAnsi="Times New Roman" w:eastAsia="宋体" w:cs="Times New Roman"/>
                <w:b w:val="0"/>
                <w:bCs w:val="0"/>
                <w:i w:val="0"/>
                <w:iCs w:val="0"/>
                <w:color w:val="000000" w:themeColor="text1"/>
                <w:spacing w:val="-6"/>
                <w:kern w:val="0"/>
                <w:sz w:val="24"/>
                <w:szCs w:val="24"/>
                <w:highlight w:val="none"/>
                <w:vertAlign w:val="baseline"/>
                <w:lang w:val="en-US" w:eastAsia="zh-CN" w:bidi="ar-SA"/>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textAlignment w:val="auto"/>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cs="Times New Roman"/>
                <w:b/>
                <w:bCs/>
                <w:color w:val="000000" w:themeColor="text1"/>
                <w:spacing w:val="-6"/>
                <w:kern w:val="0"/>
                <w:sz w:val="24"/>
                <w:szCs w:val="24"/>
                <w:highlight w:val="none"/>
                <w:lang w:val="en-US" w:eastAsia="zh-CN" w:bidi="ar-SA"/>
                <w14:textFill>
                  <w14:solidFill>
                    <w14:schemeClr w14:val="tx1"/>
                  </w14:solidFill>
                </w14:textFill>
              </w:rPr>
              <w:t>2.5</w:t>
            </w: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储能集装箱生产工艺</w:t>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jc w:val="center"/>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drawing>
                <wp:inline distT="0" distB="0" distL="114300" distR="114300">
                  <wp:extent cx="4906645" cy="7452360"/>
                  <wp:effectExtent l="0" t="0" r="8255" b="15240"/>
                  <wp:docPr id="8" name="F360BE8B-6686-4F3D-AEAF-501FE73E4058-5" descr="绘图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360BE8B-6686-4F3D-AEAF-501FE73E4058-5" descr="绘图31"/>
                          <pic:cNvPicPr>
                            <a:picLocks noChangeAspect="1"/>
                          </pic:cNvPicPr>
                        </pic:nvPicPr>
                        <pic:blipFill>
                          <a:blip r:embed="rId19"/>
                          <a:stretch>
                            <a:fillRect/>
                          </a:stretch>
                        </pic:blipFill>
                        <pic:spPr>
                          <a:xfrm>
                            <a:off x="0" y="0"/>
                            <a:ext cx="4906645" cy="7452360"/>
                          </a:xfrm>
                          <a:prstGeom prst="rect">
                            <a:avLst/>
                          </a:prstGeom>
                        </pic:spPr>
                      </pic:pic>
                    </a:graphicData>
                  </a:graphic>
                </wp:inline>
              </w:drawing>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图</w:t>
            </w: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2</w:t>
            </w: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储能集装箱产品生产工艺流程图</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生产工艺流程简述</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制造环节，根据储能集装箱系统的详细规划设计，将采购高质量的设备和材料进行生产制造，其流程同样遵循严苛的质量管理体系，以完美满足需求。</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cs="Times New Roman"/>
                <w:color w:val="000000" w:themeColor="text1"/>
                <w:spacing w:val="-6"/>
                <w:kern w:val="0"/>
                <w:sz w:val="24"/>
                <w:szCs w:val="24"/>
                <w:highlight w:val="none"/>
                <w:lang w:val="en-US" w:eastAsia="zh-CN" w:bidi="ar-SA"/>
                <w14:textFill>
                  <w14:solidFill>
                    <w14:schemeClr w14:val="tx1"/>
                  </w14:solidFill>
                </w14:textFill>
              </w:rPr>
              <w:t>接着对钢材进行钣金加工（切割、</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焊接、压铆、折弯等），对储能集装箱外</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壳进行表面处理（</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进入喷砂房进行喷砂打磨，再进入喷漆房和固化室，</w:t>
            </w:r>
            <w:r>
              <w:rPr>
                <w:rFonts w:hint="eastAsia" w:ascii="Times New Roman" w:hAnsi="Times New Roman" w:cs="Times New Roman"/>
                <w:color w:val="000000" w:themeColor="text1"/>
                <w:spacing w:val="-6"/>
                <w:kern w:val="0"/>
                <w:sz w:val="24"/>
                <w:szCs w:val="24"/>
                <w:highlight w:val="none"/>
                <w:lang w:val="en-US" w:eastAsia="zh-CN" w:bidi="ar-SA"/>
                <w14:textFill>
                  <w14:solidFill>
                    <w14:schemeClr w14:val="tx1"/>
                  </w14:solidFill>
                </w14:textFill>
              </w:rPr>
              <w:t>经过喷底漆、中漆、固化、喷面漆及固化后，</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在壳体表面丝印公司标志）。</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组装环节，储能集装箱的箱体部分，包括钢结构、地板、顶板和墙体都在严格受控的工厂环境中进行预装配。包括钢框架的搭建、焊接和喷涂顶板、墙体和地板等部件的安装设备的机械安装。</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jc w:val="both"/>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电气安装环节，无论储能集装箱系统中的电气设备如何组成，都能确保其以最佳的集成方式呈现。包括电池系统、PCS/EMS 系统、电力设备、子系统与相关设备、内部电缆连接、预调试与测试通过完成基本的检查和测试，确保储能集装箱系统中电力设备和子系统正常运行并满足性能要求。进行安装预测试</w:t>
            </w:r>
            <w:r>
              <w:rPr>
                <w:rFonts w:hint="eastAsia" w:ascii="Times New Roman" w:hAnsi="Times New Roman"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val="0"/>
                <w:bCs w:val="0"/>
                <w:i w:val="0"/>
                <w:iCs w:val="0"/>
                <w:color w:val="000000" w:themeColor="text1"/>
                <w:spacing w:val="-6"/>
                <w:kern w:val="0"/>
                <w:sz w:val="24"/>
                <w:szCs w:val="24"/>
                <w:highlight w:val="none"/>
                <w:vertAlign w:val="baseline"/>
                <w:lang w:val="en-US" w:eastAsia="zh-CN" w:bidi="ar-SA"/>
                <w14:textFill>
                  <w14:solidFill>
                    <w14:schemeClr w14:val="tx1"/>
                  </w14:solidFill>
                </w14:textFill>
              </w:rPr>
              <w:t>测试合格者</w:t>
            </w:r>
            <w:r>
              <w:rPr>
                <w:rFonts w:hint="eastAsia" w:cs="Times New Roman"/>
                <w:b w:val="0"/>
                <w:bCs w:val="0"/>
                <w:i w:val="0"/>
                <w:iCs w:val="0"/>
                <w:color w:val="000000" w:themeColor="text1"/>
                <w:spacing w:val="-6"/>
                <w:kern w:val="0"/>
                <w:sz w:val="24"/>
                <w:szCs w:val="24"/>
                <w:highlight w:val="none"/>
                <w:vertAlign w:val="baseline"/>
                <w:lang w:val="en-US" w:eastAsia="zh-CN" w:bidi="ar-SA"/>
                <w14:textFill>
                  <w14:solidFill>
                    <w14:schemeClr w14:val="tx1"/>
                  </w14:solidFill>
                </w14:textFill>
              </w:rPr>
              <w:t>包装入库</w:t>
            </w:r>
            <w:r>
              <w:rPr>
                <w:rFonts w:hint="default" w:ascii="Times New Roman" w:hAnsi="Times New Roman" w:eastAsia="宋体" w:cs="Times New Roman"/>
                <w:b w:val="0"/>
                <w:bCs w:val="0"/>
                <w:i w:val="0"/>
                <w:iCs w:val="0"/>
                <w:color w:val="000000" w:themeColor="text1"/>
                <w:spacing w:val="-6"/>
                <w:kern w:val="0"/>
                <w:sz w:val="24"/>
                <w:szCs w:val="24"/>
                <w:highlight w:val="none"/>
                <w:vertAlign w:val="baseline"/>
                <w:lang w:val="en-US" w:eastAsia="zh-CN" w:bidi="ar-SA"/>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textAlignment w:val="auto"/>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cs="Times New Roman"/>
                <w:b/>
                <w:bCs/>
                <w:color w:val="000000" w:themeColor="text1"/>
                <w:spacing w:val="-6"/>
                <w:kern w:val="0"/>
                <w:sz w:val="24"/>
                <w:szCs w:val="24"/>
                <w:highlight w:val="none"/>
                <w:lang w:val="en-US" w:eastAsia="zh-CN" w:bidi="ar-SA"/>
                <w14:textFill>
                  <w14:solidFill>
                    <w14:schemeClr w14:val="tx1"/>
                  </w14:solidFill>
                </w14:textFill>
              </w:rPr>
              <w:t>2.6</w:t>
            </w: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产污环节分析</w:t>
            </w:r>
          </w:p>
          <w:p>
            <w:pPr>
              <w:autoSpaceDE w:val="0"/>
              <w:autoSpaceDN w:val="0"/>
              <w:adjustRightInd w:val="0"/>
              <w:snapToGrid w:val="0"/>
              <w:spacing w:line="240" w:lineRule="auto"/>
              <w:jc w:val="cente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表2-</w:t>
            </w:r>
            <w:r>
              <w:rPr>
                <w:rFonts w:hint="eastAsia" w:cs="Times New Roman"/>
                <w:b/>
                <w:bCs/>
                <w:color w:val="000000" w:themeColor="text1"/>
                <w:spacing w:val="-6"/>
                <w:kern w:val="0"/>
                <w:sz w:val="21"/>
                <w:szCs w:val="21"/>
                <w:highlight w:val="none"/>
                <w:lang w:val="en-US" w:eastAsia="zh-CN" w:bidi="ar-SA"/>
                <w14:textFill>
                  <w14:solidFill>
                    <w14:schemeClr w14:val="tx1"/>
                  </w14:solidFill>
                </w14:textFill>
              </w:rPr>
              <w:t>7</w:t>
            </w: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 xml:space="preserve">  产污环节一览表</w:t>
            </w:r>
          </w:p>
          <w:tbl>
            <w:tblPr>
              <w:tblStyle w:val="69"/>
              <w:tblW w:w="78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61"/>
              <w:gridCol w:w="2576"/>
              <w:gridCol w:w="4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1161" w:type="dxa"/>
                  <w:vAlign w:val="center"/>
                </w:tcPr>
                <w:p>
                  <w:pPr>
                    <w:autoSpaceDE w:val="0"/>
                    <w:autoSpaceDN w:val="0"/>
                    <w:adjustRightInd w:val="0"/>
                    <w:snapToGrid w:val="0"/>
                    <w:spacing w:line="240" w:lineRule="auto"/>
                    <w:jc w:val="cente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污染类别</w:t>
                  </w:r>
                </w:p>
              </w:tc>
              <w:tc>
                <w:tcPr>
                  <w:tcW w:w="2576" w:type="dxa"/>
                  <w:vAlign w:val="center"/>
                </w:tcPr>
                <w:p>
                  <w:pPr>
                    <w:autoSpaceDE w:val="0"/>
                    <w:autoSpaceDN w:val="0"/>
                    <w:adjustRightInd w:val="0"/>
                    <w:snapToGrid w:val="0"/>
                    <w:spacing w:line="240" w:lineRule="auto"/>
                    <w:jc w:val="cente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污染源</w:t>
                  </w:r>
                </w:p>
              </w:tc>
              <w:tc>
                <w:tcPr>
                  <w:tcW w:w="4102" w:type="dxa"/>
                  <w:vAlign w:val="center"/>
                </w:tcPr>
                <w:p>
                  <w:pPr>
                    <w:autoSpaceDE w:val="0"/>
                    <w:autoSpaceDN w:val="0"/>
                    <w:adjustRightInd w:val="0"/>
                    <w:snapToGrid w:val="0"/>
                    <w:spacing w:line="240" w:lineRule="auto"/>
                    <w:jc w:val="cente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污染物种类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1161" w:type="dxa"/>
                  <w:vMerge w:val="restart"/>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废气</w:t>
                  </w:r>
                </w:p>
              </w:tc>
              <w:tc>
                <w:tcPr>
                  <w:tcW w:w="2576"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切割、焊接</w:t>
                  </w:r>
                </w:p>
              </w:tc>
              <w:tc>
                <w:tcPr>
                  <w:tcW w:w="4102"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1161"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576"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抛丸除锈</w:t>
                  </w:r>
                </w:p>
              </w:tc>
              <w:tc>
                <w:tcPr>
                  <w:tcW w:w="4102"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1161"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576"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喷漆、烘干</w:t>
                  </w:r>
                </w:p>
              </w:tc>
              <w:tc>
                <w:tcPr>
                  <w:tcW w:w="4102"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6"/>
                      <w:kern w:val="0"/>
                      <w:sz w:val="21"/>
                      <w:szCs w:val="21"/>
                      <w:highlight w:val="none"/>
                      <w:lang w:val="en-US" w:eastAsia="zh-CN" w:bidi="ar-SA"/>
                      <w14:textFill>
                        <w14:solidFill>
                          <w14:schemeClr w14:val="tx1"/>
                        </w14:solidFill>
                      </w14:textFill>
                    </w:rPr>
                    <w:t>VOCs、</w:t>
                  </w: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TSP（漆雾）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1161"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576" w:type="dxa"/>
                  <w:vAlign w:val="center"/>
                </w:tcPr>
                <w:p>
                  <w:pPr>
                    <w:autoSpaceDE w:val="0"/>
                    <w:autoSpaceDN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丝印</w:t>
                  </w:r>
                </w:p>
              </w:tc>
              <w:tc>
                <w:tcPr>
                  <w:tcW w:w="4102" w:type="dxa"/>
                  <w:vAlign w:val="center"/>
                </w:tcPr>
                <w:p>
                  <w:pPr>
                    <w:autoSpaceDE w:val="0"/>
                    <w:autoSpaceDN w:val="0"/>
                    <w:adjustRightInd w:val="0"/>
                    <w:snapToGrid w:val="0"/>
                    <w:spacing w:line="240" w:lineRule="auto"/>
                    <w:jc w:val="center"/>
                    <w:rPr>
                      <w:rFonts w:hint="eastAsia"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6"/>
                      <w:kern w:val="0"/>
                      <w:sz w:val="21"/>
                      <w:szCs w:val="21"/>
                      <w:highlight w:val="none"/>
                      <w:lang w:val="en-US" w:eastAsia="zh-CN" w:bidi="ar-SA"/>
                      <w14:textFill>
                        <w14:solidFill>
                          <w14:schemeClr w14:val="tx1"/>
                        </w14:solidFill>
                      </w14:textFill>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1161"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576"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食堂油烟</w:t>
                  </w:r>
                </w:p>
              </w:tc>
              <w:tc>
                <w:tcPr>
                  <w:tcW w:w="4102"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1161"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废水</w:t>
                  </w:r>
                </w:p>
              </w:tc>
              <w:tc>
                <w:tcPr>
                  <w:tcW w:w="2576"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生活废水</w:t>
                  </w:r>
                </w:p>
              </w:tc>
              <w:tc>
                <w:tcPr>
                  <w:tcW w:w="4102"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COD、BOD</w:t>
                  </w:r>
                  <w:r>
                    <w:rPr>
                      <w:rFonts w:hint="eastAsia" w:ascii="Times New Roman" w:hAnsi="Times New Roman" w:eastAsia="宋体" w:cs="Times New Roman"/>
                      <w:b w:val="0"/>
                      <w:bCs w:val="0"/>
                      <w:color w:val="000000" w:themeColor="text1"/>
                      <w:spacing w:val="-6"/>
                      <w:kern w:val="0"/>
                      <w:sz w:val="21"/>
                      <w:szCs w:val="21"/>
                      <w:highlight w:val="none"/>
                      <w:vertAlign w:val="subscript"/>
                      <w:lang w:val="en-US" w:eastAsia="zh-CN" w:bidi="ar-SA"/>
                      <w14:textFill>
                        <w14:solidFill>
                          <w14:schemeClr w14:val="tx1"/>
                        </w14:solidFill>
                      </w14:textFill>
                    </w:rPr>
                    <w:t>5</w:t>
                  </w: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、SS、氨氮、动植物油等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1161" w:type="dxa"/>
                  <w:vMerge w:val="restart"/>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噪声</w:t>
                  </w:r>
                </w:p>
              </w:tc>
              <w:tc>
                <w:tcPr>
                  <w:tcW w:w="2576"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生产设备</w:t>
                  </w:r>
                </w:p>
              </w:tc>
              <w:tc>
                <w:tcPr>
                  <w:tcW w:w="4102"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1161"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576"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车辆</w:t>
                  </w:r>
                </w:p>
              </w:tc>
              <w:tc>
                <w:tcPr>
                  <w:tcW w:w="4102"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运输噪声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1161" w:type="dxa"/>
                  <w:vMerge w:val="restart"/>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固体废物</w:t>
                  </w:r>
                </w:p>
              </w:tc>
              <w:tc>
                <w:tcPr>
                  <w:tcW w:w="2576" w:type="dxa"/>
                  <w:vAlign w:val="center"/>
                </w:tcPr>
                <w:p>
                  <w:pPr>
                    <w:autoSpaceDE w:val="0"/>
                    <w:autoSpaceDN w:val="0"/>
                    <w:adjustRightInd w:val="0"/>
                    <w:snapToGrid w:val="0"/>
                    <w:spacing w:line="240" w:lineRule="auto"/>
                    <w:jc w:val="center"/>
                    <w:rPr>
                      <w:rFonts w:hint="default"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6"/>
                      <w:kern w:val="0"/>
                      <w:sz w:val="21"/>
                      <w:szCs w:val="21"/>
                      <w:highlight w:val="none"/>
                      <w:lang w:val="en-US" w:eastAsia="zh-CN" w:bidi="ar-SA"/>
                      <w14:textFill>
                        <w14:solidFill>
                          <w14:schemeClr w14:val="tx1"/>
                        </w14:solidFill>
                      </w14:textFill>
                    </w:rPr>
                    <w:t>员工</w:t>
                  </w:r>
                </w:p>
              </w:tc>
              <w:tc>
                <w:tcPr>
                  <w:tcW w:w="4102" w:type="dxa"/>
                  <w:vAlign w:val="center"/>
                </w:tcPr>
                <w:p>
                  <w:pPr>
                    <w:autoSpaceDE w:val="0"/>
                    <w:autoSpaceDN w:val="0"/>
                    <w:adjustRightInd w:val="0"/>
                    <w:snapToGrid w:val="0"/>
                    <w:spacing w:line="240" w:lineRule="auto"/>
                    <w:jc w:val="center"/>
                    <w:rPr>
                      <w:rFonts w:hint="default"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6"/>
                      <w:kern w:val="0"/>
                      <w:sz w:val="21"/>
                      <w:szCs w:val="21"/>
                      <w:highlight w:val="none"/>
                      <w:lang w:val="en-US" w:eastAsia="zh-CN" w:bidi="ar-SA"/>
                      <w14:textFill>
                        <w14:solidFill>
                          <w14:schemeClr w14:val="tx1"/>
                        </w14:solidFill>
                      </w14:textFill>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1161"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576"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移动式焊接烟尘净化器</w:t>
                  </w:r>
                </w:p>
              </w:tc>
              <w:tc>
                <w:tcPr>
                  <w:tcW w:w="4102"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收集</w:t>
                  </w:r>
                  <w:r>
                    <w:rPr>
                      <w:rFonts w:hint="eastAsia" w:cs="Times New Roman"/>
                      <w:b w:val="0"/>
                      <w:bCs w:val="0"/>
                      <w:color w:val="000000" w:themeColor="text1"/>
                      <w:spacing w:val="-6"/>
                      <w:kern w:val="0"/>
                      <w:sz w:val="21"/>
                      <w:szCs w:val="21"/>
                      <w:highlight w:val="none"/>
                      <w:lang w:val="en-US" w:eastAsia="zh-CN" w:bidi="ar-SA"/>
                      <w14:textFill>
                        <w14:solidFill>
                          <w14:schemeClr w14:val="tx1"/>
                        </w14:solidFill>
                      </w14:textFill>
                    </w:rPr>
                    <w:t>粉</w:t>
                  </w: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尘</w:t>
                  </w:r>
                  <w:r>
                    <w:rPr>
                      <w:rFonts w:hint="eastAsia" w:cs="Times New Roman"/>
                      <w:b w:val="0"/>
                      <w:bCs w:val="0"/>
                      <w:color w:val="000000" w:themeColor="text1"/>
                      <w:spacing w:val="-6"/>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废滤芯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1161"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5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切割</w:t>
                  </w:r>
                </w:p>
              </w:tc>
              <w:tc>
                <w:tcPr>
                  <w:tcW w:w="4102"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边角废料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1161"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5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包装</w:t>
                  </w:r>
                </w:p>
              </w:tc>
              <w:tc>
                <w:tcPr>
                  <w:tcW w:w="4102"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包装废料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1161"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5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喷砂</w:t>
                  </w:r>
                </w:p>
              </w:tc>
              <w:tc>
                <w:tcPr>
                  <w:tcW w:w="4102"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废钢丸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1161"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5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焊接</w:t>
                  </w:r>
                </w:p>
              </w:tc>
              <w:tc>
                <w:tcPr>
                  <w:tcW w:w="4102"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废焊料焊渣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1161"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5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喷漆</w:t>
                  </w:r>
                </w:p>
              </w:tc>
              <w:tc>
                <w:tcPr>
                  <w:tcW w:w="4102"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喷漆过程产生的废漆、废漆桶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1161"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5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丝印</w:t>
                  </w:r>
                </w:p>
              </w:tc>
              <w:tc>
                <w:tcPr>
                  <w:tcW w:w="4102"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废油墨桶，废油墨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1161"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5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喷漆废气处理设施</w:t>
                  </w:r>
                </w:p>
              </w:tc>
              <w:tc>
                <w:tcPr>
                  <w:tcW w:w="4102"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废DPA纸箱</w:t>
                  </w:r>
                  <w:r>
                    <w:rPr>
                      <w:rFonts w:hint="eastAsia" w:cs="Times New Roman"/>
                      <w:b w:val="0"/>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废活性炭</w:t>
                  </w:r>
                  <w:r>
                    <w:rPr>
                      <w:rFonts w:hint="eastAsia" w:cs="Times New Roman"/>
                      <w:b w:val="0"/>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废催化剂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1161"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5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维修</w:t>
                  </w:r>
                </w:p>
              </w:tc>
              <w:tc>
                <w:tcPr>
                  <w:tcW w:w="4102"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废空压机油、废机油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trPr>
              <w:tc>
                <w:tcPr>
                  <w:tcW w:w="1161"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5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滤筒除尘器</w:t>
                  </w:r>
                </w:p>
              </w:tc>
              <w:tc>
                <w:tcPr>
                  <w:tcW w:w="4102"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废滤筒</w:t>
                  </w:r>
                </w:p>
              </w:tc>
            </w:tr>
          </w:tbl>
          <w:p>
            <w:pPr>
              <w:adjustRightInd w:val="0"/>
              <w:snapToGrid w:val="0"/>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vAlign w:val="center"/>
          </w:tcPr>
          <w:p>
            <w:pPr>
              <w:pStyle w:val="20"/>
              <w:adjustRightInd w:val="0"/>
              <w:snapToGrid w:val="0"/>
              <w:spacing w:before="0" w:beforeAutospacing="0" w:after="0" w:afterAutospacing="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与项目有关的原有环境污染问题</w:t>
            </w:r>
          </w:p>
        </w:tc>
        <w:tc>
          <w:tcPr>
            <w:tcW w:w="8161" w:type="dxa"/>
          </w:tcPr>
          <w:p>
            <w:pPr>
              <w:pStyle w:val="40"/>
              <w:keepNext w:val="0"/>
              <w:keepLines w:val="0"/>
              <w:pageBreakBefore w:val="0"/>
              <w:kinsoku/>
              <w:wordWrap/>
              <w:overflowPunct/>
              <w:topLinePunct w:val="0"/>
              <w:autoSpaceDE/>
              <w:autoSpaceDN/>
              <w:bidi w:val="0"/>
              <w:snapToGrid w:val="0"/>
              <w:spacing w:before="0" w:after="0" w:line="360" w:lineRule="auto"/>
              <w:ind w:right="0"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2023年3月15日，新疆双杰新能源有限公司完成了“新疆双杰新能源高端装备研发制造基地项目(一期)”项目网上备案登记。建设内容及规模如下</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总建筑面积6.39万平方米，包括厂房、综合楼、仓库、宿舍等，场地硬化、围墙、管网等配套附属工程，购置检测自动生产线、生产组装流水线等设备，总投资40000万元。</w:t>
            </w:r>
          </w:p>
          <w:p>
            <w:pPr>
              <w:pStyle w:val="40"/>
              <w:keepNext w:val="0"/>
              <w:keepLines w:val="0"/>
              <w:pageBreakBefore w:val="0"/>
              <w:kinsoku/>
              <w:wordWrap/>
              <w:overflowPunct/>
              <w:topLinePunct w:val="0"/>
              <w:autoSpaceDE/>
              <w:autoSpaceDN/>
              <w:bidi w:val="0"/>
              <w:snapToGrid w:val="0"/>
              <w:spacing w:before="0" w:after="0" w:line="360" w:lineRule="auto"/>
              <w:ind w:right="0"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2023年3月24日，该项目环境影响登记表已经完成备案，备案号：202365232800000016。</w:t>
            </w:r>
            <w:r>
              <w:rPr>
                <w:rFonts w:hint="eastAsia" w:cs="Times New Roman"/>
                <w:color w:val="000000" w:themeColor="text1"/>
                <w:kern w:val="2"/>
                <w:sz w:val="24"/>
                <w:szCs w:val="24"/>
                <w:highlight w:val="none"/>
                <w:lang w:val="en-US" w:eastAsia="zh-CN" w:bidi="ar-SA"/>
                <w14:textFill>
                  <w14:solidFill>
                    <w14:schemeClr w14:val="tx1"/>
                  </w14:solidFill>
                </w14:textFill>
              </w:rPr>
              <w:t>目前项目厂区已完成场地平整，已建成厂房、生产车间钢架结构安装、综合楼，已建内容均属原备案表内容。</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考虑市场的需要，建设单位在建设过程中，增加了喷漆与喷砂工序，且年使用低</w:t>
            </w:r>
            <w:r>
              <w:rPr>
                <w:rFonts w:hint="eastAsia" w:cs="Times New Roman"/>
                <w:color w:val="000000" w:themeColor="text1"/>
                <w:kern w:val="2"/>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的</w:t>
            </w:r>
            <w:r>
              <w:rPr>
                <w:rFonts w:hint="eastAsia" w:cs="Times New Roman"/>
                <w:color w:val="000000" w:themeColor="text1"/>
                <w:kern w:val="2"/>
                <w:sz w:val="24"/>
                <w:szCs w:val="24"/>
                <w:highlight w:val="none"/>
                <w:lang w:val="en-US" w:eastAsia="zh-CN" w:bidi="ar-SA"/>
                <w14:textFill>
                  <w14:solidFill>
                    <w14:schemeClr w14:val="tx1"/>
                  </w14:solidFill>
                </w14:textFill>
              </w:rPr>
              <w:t>水性漆及水性漆固化剂20吨，油性漆、油性漆稀释剂及油性漆固化剂6吨</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根据</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《建设项目环境影响评价分类管理名录（2021年版）》，更改后的项目涉及</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三十五、电气机械和器材制造业38  输配电及控制设备制造382  其他(仅分割、焊接、组装的除外；年用非溶剂型低</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含量涂料10吨以下的除外)</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，应该编制环境影响报告表。</w:t>
            </w:r>
          </w:p>
          <w:p>
            <w:pPr>
              <w:pStyle w:val="40"/>
              <w:keepNext w:val="0"/>
              <w:keepLines w:val="0"/>
              <w:pageBreakBefore w:val="0"/>
              <w:kinsoku/>
              <w:wordWrap/>
              <w:overflowPunct/>
              <w:topLinePunct w:val="0"/>
              <w:autoSpaceDE/>
              <w:autoSpaceDN/>
              <w:bidi w:val="0"/>
              <w:snapToGrid w:val="0"/>
              <w:spacing w:before="0" w:after="0" w:line="360" w:lineRule="auto"/>
              <w:ind w:right="0"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该项目</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目前正处于停工状态，待本项目环评批复拿到后</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再</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进行生产线进场安装、调试及进行一些辅助设施的建设。</w:t>
            </w:r>
          </w:p>
          <w:p>
            <w:pPr>
              <w:pStyle w:val="40"/>
              <w:keepNext w:val="0"/>
              <w:keepLines w:val="0"/>
              <w:pageBreakBefore w:val="0"/>
              <w:kinsoku/>
              <w:wordWrap/>
              <w:overflowPunct/>
              <w:topLinePunct w:val="0"/>
              <w:autoSpaceDE/>
              <w:autoSpaceDN/>
              <w:bidi w:val="0"/>
              <w:snapToGrid w:val="0"/>
              <w:spacing w:before="0" w:after="0" w:line="360" w:lineRule="auto"/>
              <w:ind w:right="0"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项目</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已建成厂房、生产车间钢架结构安装、综合楼，建设情况</w:t>
            </w:r>
            <w:r>
              <w:rPr>
                <w:rFonts w:hint="eastAsia" w:cs="Times New Roman"/>
                <w:color w:val="000000" w:themeColor="text1"/>
                <w:kern w:val="2"/>
                <w:sz w:val="24"/>
                <w:szCs w:val="24"/>
                <w:highlight w:val="none"/>
                <w:lang w:val="en-US" w:eastAsia="zh-CN" w:bidi="ar-SA"/>
                <w14:textFill>
                  <w14:solidFill>
                    <w14:schemeClr w14:val="tx1"/>
                  </w14:solidFill>
                </w14:textFill>
              </w:rPr>
              <w:t>如下</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图所示：</w:t>
            </w:r>
          </w:p>
          <w:tbl>
            <w:tblPr>
              <w:tblStyle w:val="25"/>
              <w:tblW w:w="80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11"/>
              <w:gridCol w:w="39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8" w:hRule="atLeast"/>
                <w:jc w:val="center"/>
              </w:trPr>
              <w:tc>
                <w:tcPr>
                  <w:tcW w:w="4111" w:type="dxa"/>
                  <w:noWrap w:val="0"/>
                  <w:vAlign w:val="top"/>
                </w:tcPr>
                <w:p>
                  <w:pPr>
                    <w:pStyle w:val="40"/>
                    <w:keepNext w:val="0"/>
                    <w:keepLines w:val="0"/>
                    <w:pageBreakBefore w:val="0"/>
                    <w:kinsoku/>
                    <w:wordWrap/>
                    <w:overflowPunct/>
                    <w:topLinePunct w:val="0"/>
                    <w:autoSpaceDE/>
                    <w:autoSpaceDN/>
                    <w:bidi w:val="0"/>
                    <w:snapToGrid w:val="0"/>
                    <w:spacing w:before="0" w:after="0" w:line="360" w:lineRule="auto"/>
                    <w:ind w:left="0" w:leftChars="0" w:right="0" w:firstLine="0" w:firstLineChars="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drawing>
                      <wp:inline distT="0" distB="0" distL="114300" distR="114300">
                        <wp:extent cx="2524125" cy="2339975"/>
                        <wp:effectExtent l="0" t="0" r="9525" b="3175"/>
                        <wp:docPr id="54" name="图片 54" descr="01779e93d8f334098f17cfd6e690bef"/>
                        <wp:cNvGraphicFramePr/>
                        <a:graphic xmlns:a="http://schemas.openxmlformats.org/drawingml/2006/main">
                          <a:graphicData uri="http://schemas.openxmlformats.org/drawingml/2006/picture">
                            <pic:pic xmlns:pic="http://schemas.openxmlformats.org/drawingml/2006/picture">
                              <pic:nvPicPr>
                                <pic:cNvPr id="54" name="图片 54" descr="01779e93d8f334098f17cfd6e690bef"/>
                                <pic:cNvPicPr/>
                              </pic:nvPicPr>
                              <pic:blipFill>
                                <a:blip r:embed="rId20"/>
                                <a:stretch>
                                  <a:fillRect/>
                                </a:stretch>
                              </pic:blipFill>
                              <pic:spPr>
                                <a:xfrm>
                                  <a:off x="0" y="0"/>
                                  <a:ext cx="2524125" cy="2339975"/>
                                </a:xfrm>
                                <a:prstGeom prst="rect">
                                  <a:avLst/>
                                </a:prstGeom>
                              </pic:spPr>
                            </pic:pic>
                          </a:graphicData>
                        </a:graphic>
                      </wp:inline>
                    </w:drawing>
                  </w:r>
                </w:p>
              </w:tc>
              <w:tc>
                <w:tcPr>
                  <w:tcW w:w="3988" w:type="dxa"/>
                  <w:noWrap w:val="0"/>
                  <w:vAlign w:val="top"/>
                </w:tcPr>
                <w:p>
                  <w:pPr>
                    <w:pStyle w:val="40"/>
                    <w:keepNext w:val="0"/>
                    <w:keepLines w:val="0"/>
                    <w:pageBreakBefore w:val="0"/>
                    <w:kinsoku/>
                    <w:wordWrap/>
                    <w:overflowPunct/>
                    <w:topLinePunct w:val="0"/>
                    <w:autoSpaceDE/>
                    <w:autoSpaceDN/>
                    <w:bidi w:val="0"/>
                    <w:snapToGrid w:val="0"/>
                    <w:spacing w:before="0" w:after="0" w:line="360" w:lineRule="auto"/>
                    <w:ind w:left="0" w:leftChars="0" w:right="0" w:firstLine="0" w:firstLineChars="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drawing>
                      <wp:inline distT="0" distB="0" distL="114300" distR="114300">
                        <wp:extent cx="2520315" cy="2339975"/>
                        <wp:effectExtent l="0" t="0" r="13335" b="3175"/>
                        <wp:docPr id="55" name="图片 55" descr="cc648006218208a0c35f000d8cb82b6"/>
                        <wp:cNvGraphicFramePr/>
                        <a:graphic xmlns:a="http://schemas.openxmlformats.org/drawingml/2006/main">
                          <a:graphicData uri="http://schemas.openxmlformats.org/drawingml/2006/picture">
                            <pic:pic xmlns:pic="http://schemas.openxmlformats.org/drawingml/2006/picture">
                              <pic:nvPicPr>
                                <pic:cNvPr id="55" name="图片 55" descr="cc648006218208a0c35f000d8cb82b6"/>
                                <pic:cNvPicPr/>
                              </pic:nvPicPr>
                              <pic:blipFill>
                                <a:blip r:embed="rId21"/>
                                <a:stretch>
                                  <a:fillRect/>
                                </a:stretch>
                              </pic:blipFill>
                              <pic:spPr>
                                <a:xfrm>
                                  <a:off x="0" y="0"/>
                                  <a:ext cx="2520315" cy="2339975"/>
                                </a:xfrm>
                                <a:prstGeom prst="rect">
                                  <a:avLst/>
                                </a:prstGeom>
                              </pic:spPr>
                            </pic:pic>
                          </a:graphicData>
                        </a:graphic>
                      </wp:inline>
                    </w:drawing>
                  </w:r>
                </w:p>
              </w:tc>
            </w:tr>
          </w:tbl>
          <w:p>
            <w:pPr>
              <w:pStyle w:val="40"/>
              <w:keepNext w:val="0"/>
              <w:keepLines w:val="0"/>
              <w:pageBreakBefore w:val="0"/>
              <w:kinsoku/>
              <w:wordWrap/>
              <w:overflowPunct/>
              <w:topLinePunct w:val="0"/>
              <w:autoSpaceDE/>
              <w:autoSpaceDN/>
              <w:bidi w:val="0"/>
              <w:snapToGrid w:val="0"/>
              <w:spacing w:before="0" w:after="0" w:line="360" w:lineRule="auto"/>
              <w:ind w:left="0" w:leftChars="0" w:right="0" w:firstLine="0" w:firstLineChars="0"/>
              <w:jc w:val="center"/>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图2-6  项目现状图</w:t>
            </w:r>
          </w:p>
          <w:p>
            <w:pPr>
              <w:pStyle w:val="40"/>
              <w:keepNext w:val="0"/>
              <w:keepLines w:val="0"/>
              <w:pageBreakBefore w:val="0"/>
              <w:kinsoku/>
              <w:wordWrap/>
              <w:overflowPunct/>
              <w:topLinePunct w:val="0"/>
              <w:autoSpaceDE/>
              <w:autoSpaceDN/>
              <w:bidi w:val="0"/>
              <w:snapToGrid w:val="0"/>
              <w:spacing w:before="0" w:after="0" w:line="360" w:lineRule="auto"/>
              <w:ind w:right="0"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项目建设过程中存在主要环境问题及整改措施是：</w:t>
            </w:r>
          </w:p>
          <w:p>
            <w:pPr>
              <w:pStyle w:val="40"/>
              <w:keepNext w:val="0"/>
              <w:keepLines w:val="0"/>
              <w:pageBreakBefore w:val="0"/>
              <w:kinsoku/>
              <w:wordWrap/>
              <w:overflowPunct/>
              <w:topLinePunct w:val="0"/>
              <w:autoSpaceDE/>
              <w:autoSpaceDN/>
              <w:bidi w:val="0"/>
              <w:snapToGrid w:val="0"/>
              <w:spacing w:before="0" w:after="0" w:line="360" w:lineRule="auto"/>
              <w:ind w:right="0" w:firstLine="480" w:firstLineChars="2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1、厂区内杂物乱堆乱放，环评要求将施工期间产生的固废分类收集，能回收的交由废品回收站回收，不能回收的交由环卫部门处置。</w:t>
            </w:r>
          </w:p>
        </w:tc>
      </w:tr>
    </w:tbl>
    <w:p>
      <w:pPr>
        <w:pStyle w:val="20"/>
        <w:jc w:val="center"/>
        <w:rPr>
          <w:rFonts w:ascii="黑体" w:hAnsi="黑体" w:eastAsia="黑体"/>
          <w:snapToGrid w:val="0"/>
          <w:color w:val="000000" w:themeColor="text1"/>
          <w:sz w:val="36"/>
          <w:szCs w:val="36"/>
          <w:highlight w:val="none"/>
          <w14:textFill>
            <w14:solidFill>
              <w14:schemeClr w14:val="tx1"/>
            </w14:solidFill>
          </w14:textFill>
        </w:rPr>
        <w:sectPr>
          <w:pgSz w:w="11906" w:h="16838"/>
          <w:pgMar w:top="1440" w:right="1803" w:bottom="1440" w:left="1803" w:header="851" w:footer="851" w:gutter="0"/>
          <w:pgNumType w:fmt="decimal"/>
          <w:cols w:space="720" w:num="1"/>
          <w:docGrid w:linePitch="312" w:charSpace="0"/>
        </w:sectPr>
      </w:pPr>
    </w:p>
    <w:p>
      <w:pPr>
        <w:pStyle w:val="20"/>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lang w:val="en-US" w:eastAsia="zh-CN"/>
          <w14:textFill>
            <w14:solidFill>
              <w14:schemeClr w14:val="tx1"/>
            </w14:solidFill>
          </w14:textFill>
        </w:rPr>
        <w:t>三</w:t>
      </w:r>
      <w:r>
        <w:rPr>
          <w:rFonts w:hint="eastAsia" w:ascii="黑体" w:hAnsi="黑体" w:eastAsia="黑体"/>
          <w:snapToGrid w:val="0"/>
          <w:color w:val="000000" w:themeColor="text1"/>
          <w:sz w:val="30"/>
          <w:szCs w:val="30"/>
          <w:highlight w:val="none"/>
          <w14:textFill>
            <w14:solidFill>
              <w14:schemeClr w14:val="tx1"/>
            </w14:solidFill>
          </w14:textFill>
        </w:rPr>
        <w:t>、区域环境质量现状、环境保护目标及评价标准</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区域</w:t>
            </w:r>
          </w:p>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环境</w:t>
            </w:r>
          </w:p>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质量</w:t>
            </w:r>
          </w:p>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现状</w:t>
            </w:r>
          </w:p>
        </w:tc>
        <w:tc>
          <w:tcPr>
            <w:tcW w:w="8190" w:type="dxa"/>
            <w:vAlign w:val="center"/>
          </w:tcPr>
          <w:p>
            <w:pPr>
              <w:pStyle w:val="4"/>
              <w:keepNext/>
              <w:keepLines/>
              <w:numPr>
                <w:ilvl w:val="0"/>
                <w:numId w:val="0"/>
              </w:numPr>
              <w:bidi w:val="0"/>
              <w:spacing w:before="0" w:after="0" w:line="360" w:lineRule="auto"/>
              <w:ind w:leftChars="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、大气环境现状调查及评价</w:t>
            </w:r>
          </w:p>
          <w:p>
            <w:pPr>
              <w:keepNext w:val="0"/>
              <w:keepLines w:val="0"/>
              <w:pageBreakBefore w:val="0"/>
              <w:widowControl w:val="0"/>
              <w:kinsoku/>
              <w:wordWrap w:val="0"/>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1.1基本污染物质量现状</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根据《</w:t>
            </w:r>
            <w:r>
              <w:rPr>
                <w:rFonts w:hint="eastAsia" w:cs="Times New Roman"/>
                <w:color w:val="000000" w:themeColor="text1"/>
                <w:sz w:val="24"/>
                <w:szCs w:val="24"/>
                <w:highlight w:val="none"/>
                <w:lang w:val="en-US" w:eastAsia="zh-CN"/>
                <w14:textFill>
                  <w14:solidFill>
                    <w14:schemeClr w14:val="tx1"/>
                  </w14:solidFill>
                </w14:textFill>
              </w:rPr>
              <w:t>环境影响评价技术导则 大气环境</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》（HJ2.2-2018）对环境质量现状数据的要求，选择中国环境影响评价网环境空气质量模型技术支持服务系统中</w:t>
            </w:r>
            <w:r>
              <w:rPr>
                <w:rFonts w:hint="eastAsia" w:cs="Times New Roman"/>
                <w:color w:val="000000" w:themeColor="text1"/>
                <w:sz w:val="24"/>
                <w:szCs w:val="24"/>
                <w:highlight w:val="none"/>
                <w:lang w:val="en-US" w:eastAsia="zh-CN"/>
                <w14:textFill>
                  <w14:solidFill>
                    <w14:schemeClr w14:val="tx1"/>
                  </w14:solidFill>
                </w14:textFill>
              </w:rPr>
              <w:t>木垒县</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监测站202</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年的监测数据，作为本项目环境空气现状评价基本污染物SO</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、NO</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、PM</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、PM</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、CO和O</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的数据来源，数据从空间和时间上均符合《环境影响评价技术导则大气环境》（HJ2.2-2018）的要求。</w:t>
            </w:r>
          </w:p>
          <w:p>
            <w:pPr>
              <w:keepNext w:val="0"/>
              <w:keepLines w:val="0"/>
              <w:pageBreakBefore w:val="0"/>
              <w:widowControl w:val="0"/>
              <w:kinsoku/>
              <w:wordWrap w:val="0"/>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1.2评价标准</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4" w:name="_Toc11467"/>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基本污染物SO</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、NO</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、PM</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、PM</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、CO和O</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执行《环境空气质量标准》（GB3095-2012）中的二级标准。评价标准见表3-1。</w:t>
            </w:r>
          </w:p>
          <w:p>
            <w:pPr>
              <w:bidi w:val="0"/>
              <w:spacing w:line="240" w:lineRule="auto"/>
              <w:jc w:val="center"/>
              <w:rPr>
                <w:rFonts w:hint="eastAsia" w:eastAsia="宋体"/>
                <w:b/>
                <w:bCs/>
                <w:color w:val="000000" w:themeColor="text1"/>
                <w:sz w:val="21"/>
                <w:szCs w:val="21"/>
                <w:highlight w:val="none"/>
                <w:vertAlign w:val="superscript"/>
                <w:lang w:val="en-US" w:eastAsia="zh-CN"/>
                <w14:textFill>
                  <w14:solidFill>
                    <w14:schemeClr w14:val="tx1"/>
                  </w14:solidFill>
                </w14:textFill>
              </w:rPr>
            </w:pPr>
            <w:r>
              <w:rPr>
                <w:b/>
                <w:bCs/>
                <w:color w:val="000000" w:themeColor="text1"/>
                <w:sz w:val="21"/>
                <w:szCs w:val="21"/>
                <w:highlight w:val="none"/>
                <w14:textFill>
                  <w14:solidFill>
                    <w14:schemeClr w14:val="tx1"/>
                  </w14:solidFill>
                </w14:textFill>
              </w:rPr>
              <w:t>表3-1</w:t>
            </w:r>
            <w:r>
              <w:rPr>
                <w:rFonts w:hint="eastAsia"/>
                <w:b/>
                <w:bCs/>
                <w:color w:val="000000" w:themeColor="text1"/>
                <w:sz w:val="21"/>
                <w:szCs w:val="21"/>
                <w:highlight w:val="none"/>
                <w:lang w:val="en-US" w:eastAsia="zh-CN"/>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大气环境质量标准  单位：μg/m</w:t>
            </w:r>
            <w:r>
              <w:rPr>
                <w:b/>
                <w:bCs/>
                <w:color w:val="000000" w:themeColor="text1"/>
                <w:sz w:val="21"/>
                <w:szCs w:val="21"/>
                <w:highlight w:val="none"/>
                <w:vertAlign w:val="superscript"/>
                <w14:textFill>
                  <w14:solidFill>
                    <w14:schemeClr w14:val="tx1"/>
                  </w14:solidFill>
                </w14:textFill>
              </w:rPr>
              <w:t>3</w:t>
            </w:r>
          </w:p>
          <w:tbl>
            <w:tblPr>
              <w:tblStyle w:val="24"/>
              <w:tblW w:w="787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14"/>
              <w:gridCol w:w="1882"/>
              <w:gridCol w:w="1548"/>
              <w:gridCol w:w="1549"/>
              <w:gridCol w:w="168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4" w:type="dxa"/>
                  <w:vMerge w:val="restart"/>
                  <w:tcBorders>
                    <w:top w:val="single" w:color="auto" w:sz="4" w:space="0"/>
                    <w:left w:val="single" w:color="auto" w:sz="0" w:space="0"/>
                  </w:tcBorders>
                  <w:vAlign w:val="center"/>
                </w:tcPr>
                <w:p>
                  <w:pPr>
                    <w:bidi w:val="0"/>
                    <w:spacing w:line="240" w:lineRule="auto"/>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1882" w:type="dxa"/>
                  <w:vMerge w:val="restart"/>
                  <w:tcBorders>
                    <w:top w:val="single" w:color="auto" w:sz="4" w:space="0"/>
                  </w:tcBorders>
                  <w:vAlign w:val="center"/>
                </w:tcPr>
                <w:p>
                  <w:pPr>
                    <w:bidi w:val="0"/>
                    <w:spacing w:line="240" w:lineRule="auto"/>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污染物名称</w:t>
                  </w:r>
                </w:p>
              </w:tc>
              <w:tc>
                <w:tcPr>
                  <w:tcW w:w="4782" w:type="dxa"/>
                  <w:gridSpan w:val="3"/>
                  <w:tcBorders>
                    <w:top w:val="single" w:color="auto" w:sz="4" w:space="0"/>
                    <w:right w:val="single" w:color="auto" w:sz="4" w:space="0"/>
                  </w:tcBorders>
                  <w:vAlign w:val="center"/>
                </w:tcPr>
                <w:p>
                  <w:pPr>
                    <w:bidi w:val="0"/>
                    <w:spacing w:line="240" w:lineRule="auto"/>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取值时间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4" w:type="dxa"/>
                  <w:vMerge w:val="continue"/>
                  <w:tcBorders>
                    <w:left w:val="single" w:color="auto" w:sz="4" w:space="0"/>
                    <w:bottom w:val="single" w:color="auto" w:sz="12" w:space="0"/>
                  </w:tcBorders>
                  <w:vAlign w:val="center"/>
                </w:tcPr>
                <w:p>
                  <w:pPr>
                    <w:bidi w:val="0"/>
                    <w:spacing w:line="240" w:lineRule="auto"/>
                    <w:jc w:val="center"/>
                    <w:rPr>
                      <w:rFonts w:ascii="Times New Roman" w:hAnsi="Times New Roman" w:eastAsia="宋体" w:cs="Times New Roman"/>
                      <w:b/>
                      <w:bCs/>
                      <w:color w:val="000000" w:themeColor="text1"/>
                      <w:sz w:val="21"/>
                      <w:szCs w:val="21"/>
                      <w:highlight w:val="none"/>
                      <w14:textFill>
                        <w14:solidFill>
                          <w14:schemeClr w14:val="tx1"/>
                        </w14:solidFill>
                      </w14:textFill>
                    </w:rPr>
                  </w:pPr>
                </w:p>
              </w:tc>
              <w:tc>
                <w:tcPr>
                  <w:tcW w:w="1882" w:type="dxa"/>
                  <w:vMerge w:val="continue"/>
                  <w:tcBorders>
                    <w:bottom w:val="single" w:color="auto" w:sz="12" w:space="0"/>
                  </w:tcBorders>
                  <w:vAlign w:val="center"/>
                </w:tcPr>
                <w:p>
                  <w:pPr>
                    <w:bidi w:val="0"/>
                    <w:spacing w:line="240" w:lineRule="auto"/>
                    <w:jc w:val="center"/>
                    <w:rPr>
                      <w:rFonts w:ascii="Times New Roman" w:hAnsi="Times New Roman" w:eastAsia="宋体" w:cs="Times New Roman"/>
                      <w:b/>
                      <w:bCs/>
                      <w:color w:val="000000" w:themeColor="text1"/>
                      <w:sz w:val="21"/>
                      <w:szCs w:val="21"/>
                      <w:highlight w:val="none"/>
                      <w14:textFill>
                        <w14:solidFill>
                          <w14:schemeClr w14:val="tx1"/>
                        </w14:solidFill>
                      </w14:textFill>
                    </w:rPr>
                  </w:pPr>
                </w:p>
              </w:tc>
              <w:tc>
                <w:tcPr>
                  <w:tcW w:w="1548" w:type="dxa"/>
                  <w:tcBorders>
                    <w:bottom w:val="single" w:color="auto" w:sz="12" w:space="0"/>
                  </w:tcBorders>
                  <w:vAlign w:val="center"/>
                </w:tcPr>
                <w:p>
                  <w:pPr>
                    <w:bidi w:val="0"/>
                    <w:spacing w:line="240" w:lineRule="auto"/>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年均值</w:t>
                  </w:r>
                </w:p>
              </w:tc>
              <w:tc>
                <w:tcPr>
                  <w:tcW w:w="1549" w:type="dxa"/>
                  <w:tcBorders>
                    <w:bottom w:val="single" w:color="auto" w:sz="12" w:space="0"/>
                  </w:tcBorders>
                  <w:vAlign w:val="center"/>
                </w:tcPr>
                <w:p>
                  <w:pPr>
                    <w:bidi w:val="0"/>
                    <w:spacing w:line="240" w:lineRule="auto"/>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日均值</w:t>
                  </w:r>
                </w:p>
              </w:tc>
              <w:tc>
                <w:tcPr>
                  <w:tcW w:w="1685" w:type="dxa"/>
                  <w:tcBorders>
                    <w:bottom w:val="single" w:color="auto" w:sz="12" w:space="0"/>
                    <w:right w:val="single" w:color="auto" w:sz="4" w:space="0"/>
                  </w:tcBorders>
                  <w:vAlign w:val="center"/>
                </w:tcPr>
                <w:p>
                  <w:pPr>
                    <w:bidi w:val="0"/>
                    <w:spacing w:line="240" w:lineRule="auto"/>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小时均值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4" w:type="dxa"/>
                  <w:tcBorders>
                    <w:top w:val="single" w:color="auto" w:sz="12" w:space="0"/>
                    <w:left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1</w:t>
                  </w:r>
                </w:p>
              </w:tc>
              <w:tc>
                <w:tcPr>
                  <w:tcW w:w="1882" w:type="dxa"/>
                  <w:tcBorders>
                    <w:top w:val="single" w:color="auto" w:sz="12"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SO</w:t>
                  </w:r>
                  <w:r>
                    <w:rPr>
                      <w:rFonts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2</w:t>
                  </w:r>
                </w:p>
              </w:tc>
              <w:tc>
                <w:tcPr>
                  <w:tcW w:w="1548" w:type="dxa"/>
                  <w:tcBorders>
                    <w:top w:val="single" w:color="auto" w:sz="12"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60</w:t>
                  </w:r>
                </w:p>
              </w:tc>
              <w:tc>
                <w:tcPr>
                  <w:tcW w:w="1549" w:type="dxa"/>
                  <w:tcBorders>
                    <w:top w:val="single" w:color="auto" w:sz="12"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150</w:t>
                  </w:r>
                </w:p>
              </w:tc>
              <w:tc>
                <w:tcPr>
                  <w:tcW w:w="1685" w:type="dxa"/>
                  <w:tcBorders>
                    <w:top w:val="single" w:color="auto" w:sz="12" w:space="0"/>
                    <w:right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4" w:type="dxa"/>
                  <w:tcBorders>
                    <w:left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2</w:t>
                  </w:r>
                </w:p>
              </w:tc>
              <w:tc>
                <w:tcPr>
                  <w:tcW w:w="1882"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NO</w:t>
                  </w:r>
                  <w:r>
                    <w:rPr>
                      <w:rFonts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2</w:t>
                  </w:r>
                </w:p>
              </w:tc>
              <w:tc>
                <w:tcPr>
                  <w:tcW w:w="1548"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40</w:t>
                  </w:r>
                </w:p>
              </w:tc>
              <w:tc>
                <w:tcPr>
                  <w:tcW w:w="1549"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80</w:t>
                  </w:r>
                </w:p>
              </w:tc>
              <w:tc>
                <w:tcPr>
                  <w:tcW w:w="1685" w:type="dxa"/>
                  <w:tcBorders>
                    <w:right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4" w:type="dxa"/>
                  <w:tcBorders>
                    <w:left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3</w:t>
                  </w:r>
                </w:p>
              </w:tc>
              <w:tc>
                <w:tcPr>
                  <w:tcW w:w="1882"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PM</w:t>
                  </w:r>
                  <w:r>
                    <w:rPr>
                      <w:rFonts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10</w:t>
                  </w:r>
                </w:p>
              </w:tc>
              <w:tc>
                <w:tcPr>
                  <w:tcW w:w="1548"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70</w:t>
                  </w:r>
                </w:p>
              </w:tc>
              <w:tc>
                <w:tcPr>
                  <w:tcW w:w="1549"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150</w:t>
                  </w:r>
                </w:p>
              </w:tc>
              <w:tc>
                <w:tcPr>
                  <w:tcW w:w="1685" w:type="dxa"/>
                  <w:tcBorders>
                    <w:right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4" w:type="dxa"/>
                  <w:tcBorders>
                    <w:left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4</w:t>
                  </w:r>
                </w:p>
              </w:tc>
              <w:tc>
                <w:tcPr>
                  <w:tcW w:w="1882"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PM</w:t>
                  </w:r>
                  <w:r>
                    <w:rPr>
                      <w:rFonts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2.5</w:t>
                  </w:r>
                </w:p>
              </w:tc>
              <w:tc>
                <w:tcPr>
                  <w:tcW w:w="1548"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35</w:t>
                  </w:r>
                </w:p>
              </w:tc>
              <w:tc>
                <w:tcPr>
                  <w:tcW w:w="1549"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75</w:t>
                  </w:r>
                </w:p>
              </w:tc>
              <w:tc>
                <w:tcPr>
                  <w:tcW w:w="1685" w:type="dxa"/>
                  <w:tcBorders>
                    <w:right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4" w:type="dxa"/>
                  <w:tcBorders>
                    <w:left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5</w:t>
                  </w:r>
                </w:p>
              </w:tc>
              <w:tc>
                <w:tcPr>
                  <w:tcW w:w="1882"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一氧化碳（CO）</w:t>
                  </w:r>
                </w:p>
              </w:tc>
              <w:tc>
                <w:tcPr>
                  <w:tcW w:w="1548"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1549"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4000</w:t>
                  </w:r>
                </w:p>
              </w:tc>
              <w:tc>
                <w:tcPr>
                  <w:tcW w:w="1685" w:type="dxa"/>
                  <w:tcBorders>
                    <w:right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10000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4" w:type="dxa"/>
                  <w:tcBorders>
                    <w:left w:val="single" w:color="auto" w:sz="4" w:space="0"/>
                    <w:bottom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6</w:t>
                  </w:r>
                </w:p>
              </w:tc>
              <w:tc>
                <w:tcPr>
                  <w:tcW w:w="1882" w:type="dxa"/>
                  <w:tcBorders>
                    <w:bottom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臭氧（O</w:t>
                  </w:r>
                  <w:r>
                    <w:rPr>
                      <w:rFonts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3</w:t>
                  </w:r>
                  <w:r>
                    <w:rPr>
                      <w:rFonts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1548" w:type="dxa"/>
                  <w:tcBorders>
                    <w:bottom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1549" w:type="dxa"/>
                  <w:tcBorders>
                    <w:bottom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160</w:t>
                  </w:r>
                </w:p>
              </w:tc>
              <w:tc>
                <w:tcPr>
                  <w:tcW w:w="1685" w:type="dxa"/>
                  <w:tcBorders>
                    <w:bottom w:val="single" w:color="auto" w:sz="4" w:space="0"/>
                    <w:right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200</w:t>
                  </w:r>
                </w:p>
              </w:tc>
            </w:tr>
            <w:bookmarkEnd w:id="4"/>
          </w:tbl>
          <w:p>
            <w:pPr>
              <w:keepNext w:val="0"/>
              <w:keepLines w:val="0"/>
              <w:pageBreakBefore w:val="0"/>
              <w:widowControl w:val="0"/>
              <w:kinsoku/>
              <w:wordWrap w:val="0"/>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1.3评价方法</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评价方法采用最大质量浓度占相应标准质量浓度限值的百分比，及超标率对监测结果进行评价分析。计算公式如下：</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Pi=Ci/Coi×100%</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式中：Pi—某种污染物的最大地面质量浓度占标率，%；</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Ci—某种污染物的实际监测浓度，mg/m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Coi—某种污染物的环境空气标准浓度，mg/m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1.4空气质量达标区判定</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木垒县</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202</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年空气质量达标区判定结果见表3-2。</w:t>
            </w:r>
          </w:p>
          <w:p>
            <w:pPr>
              <w:bidi w:val="0"/>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表3-2</w:t>
            </w:r>
            <w:r>
              <w:rPr>
                <w:rFonts w:hint="eastAsia"/>
                <w:b/>
                <w:bCs/>
                <w:color w:val="000000" w:themeColor="text1"/>
                <w:sz w:val="21"/>
                <w:szCs w:val="21"/>
                <w:highlight w:val="none"/>
                <w:lang w:val="en-US" w:eastAsia="zh-CN"/>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环境空气常规因子现状监测及评价结果</w:t>
            </w:r>
          </w:p>
          <w:tbl>
            <w:tblPr>
              <w:tblStyle w:val="24"/>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79"/>
              <w:gridCol w:w="3087"/>
              <w:gridCol w:w="1051"/>
              <w:gridCol w:w="1138"/>
              <w:gridCol w:w="962"/>
              <w:gridCol w:w="9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tcBorders>
                    <w:top w:val="single" w:color="auto" w:sz="4" w:space="0"/>
                    <w:left w:val="single" w:color="auto" w:sz="0" w:space="0"/>
                    <w:bottom w:val="single" w:color="000000" w:sz="12" w:space="0"/>
                    <w:right w:val="single" w:color="000000" w:sz="6" w:space="0"/>
                  </w:tcBorders>
                  <w:vAlign w:val="center"/>
                </w:tcPr>
                <w:p>
                  <w:pPr>
                    <w:bidi w:val="0"/>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污染物</w:t>
                  </w:r>
                </w:p>
              </w:tc>
              <w:tc>
                <w:tcPr>
                  <w:tcW w:w="3085" w:type="dxa"/>
                  <w:tcBorders>
                    <w:top w:val="single" w:color="auto" w:sz="4" w:space="0"/>
                    <w:left w:val="single" w:color="000000" w:sz="6" w:space="0"/>
                    <w:bottom w:val="single" w:color="000000" w:sz="12" w:space="0"/>
                    <w:right w:val="single" w:color="000000" w:sz="6" w:space="0"/>
                  </w:tcBorders>
                  <w:vAlign w:val="center"/>
                </w:tcPr>
                <w:p>
                  <w:pPr>
                    <w:bidi w:val="0"/>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平均时段</w:t>
                  </w:r>
                </w:p>
              </w:tc>
              <w:tc>
                <w:tcPr>
                  <w:tcW w:w="1050" w:type="dxa"/>
                  <w:tcBorders>
                    <w:top w:val="single" w:color="auto" w:sz="4" w:space="0"/>
                    <w:left w:val="single" w:color="000000" w:sz="6" w:space="0"/>
                    <w:bottom w:val="single" w:color="000000" w:sz="12" w:space="0"/>
                    <w:right w:val="single" w:color="000000" w:sz="6" w:space="0"/>
                  </w:tcBorders>
                  <w:vAlign w:val="center"/>
                </w:tcPr>
                <w:p>
                  <w:pPr>
                    <w:bidi w:val="0"/>
                    <w:spacing w:line="240" w:lineRule="auto"/>
                    <w:jc w:val="center"/>
                    <w:rPr>
                      <w:rFonts w:hint="eastAsia" w:eastAsia="宋体"/>
                      <w:b/>
                      <w:bCs/>
                      <w:color w:val="000000" w:themeColor="text1"/>
                      <w:sz w:val="21"/>
                      <w:szCs w:val="21"/>
                      <w:highlight w:val="none"/>
                      <w:lang w:val="en-US" w:eastAsia="zh-CN"/>
                      <w14:textFill>
                        <w14:solidFill>
                          <w14:schemeClr w14:val="tx1"/>
                        </w14:solidFill>
                      </w14:textFill>
                    </w:rPr>
                  </w:pPr>
                  <w:r>
                    <w:rPr>
                      <w:b/>
                      <w:bCs/>
                      <w:color w:val="000000" w:themeColor="text1"/>
                      <w:sz w:val="21"/>
                      <w:szCs w:val="21"/>
                      <w:highlight w:val="none"/>
                      <w14:textFill>
                        <w14:solidFill>
                          <w14:schemeClr w14:val="tx1"/>
                        </w14:solidFill>
                      </w14:textFill>
                    </w:rPr>
                    <w:t>现状浓度µg/m</w:t>
                  </w:r>
                  <w:r>
                    <w:rPr>
                      <w:b/>
                      <w:bCs/>
                      <w:color w:val="000000" w:themeColor="text1"/>
                      <w:sz w:val="21"/>
                      <w:szCs w:val="21"/>
                      <w:highlight w:val="none"/>
                      <w:vertAlign w:val="superscript"/>
                      <w:lang w:val="en-US"/>
                      <w14:textFill>
                        <w14:solidFill>
                          <w14:schemeClr w14:val="tx1"/>
                        </w14:solidFill>
                      </w14:textFill>
                    </w:rPr>
                    <w:t>3</w:t>
                  </w:r>
                </w:p>
              </w:tc>
              <w:tc>
                <w:tcPr>
                  <w:tcW w:w="1137" w:type="dxa"/>
                  <w:tcBorders>
                    <w:top w:val="single" w:color="auto" w:sz="4" w:space="0"/>
                    <w:left w:val="single" w:color="000000" w:sz="6" w:space="0"/>
                    <w:bottom w:val="single" w:color="000000" w:sz="12" w:space="0"/>
                    <w:right w:val="single" w:color="000000" w:sz="6" w:space="0"/>
                  </w:tcBorders>
                  <w:vAlign w:val="center"/>
                </w:tcPr>
                <w:p>
                  <w:pPr>
                    <w:bidi w:val="0"/>
                    <w:spacing w:line="240" w:lineRule="auto"/>
                    <w:jc w:val="center"/>
                    <w:rPr>
                      <w:b/>
                      <w:bCs/>
                      <w:color w:val="000000" w:themeColor="text1"/>
                      <w:sz w:val="21"/>
                      <w:szCs w:val="21"/>
                      <w:highlight w:val="none"/>
                      <w:lang w:val="en-US"/>
                      <w14:textFill>
                        <w14:solidFill>
                          <w14:schemeClr w14:val="tx1"/>
                        </w14:solidFill>
                      </w14:textFill>
                    </w:rPr>
                  </w:pPr>
                  <w:r>
                    <w:rPr>
                      <w:b/>
                      <w:bCs/>
                      <w:color w:val="000000" w:themeColor="text1"/>
                      <w:sz w:val="21"/>
                      <w:szCs w:val="21"/>
                      <w:highlight w:val="none"/>
                      <w14:textFill>
                        <w14:solidFill>
                          <w14:schemeClr w14:val="tx1"/>
                        </w14:solidFill>
                      </w14:textFill>
                    </w:rPr>
                    <w:t>标准值µg/m</w:t>
                  </w:r>
                  <w:r>
                    <w:rPr>
                      <w:b/>
                      <w:bCs/>
                      <w:color w:val="000000" w:themeColor="text1"/>
                      <w:sz w:val="21"/>
                      <w:szCs w:val="21"/>
                      <w:highlight w:val="none"/>
                      <w:vertAlign w:val="superscript"/>
                      <w:lang w:val="en-US"/>
                      <w14:textFill>
                        <w14:solidFill>
                          <w14:schemeClr w14:val="tx1"/>
                        </w14:solidFill>
                      </w14:textFill>
                    </w:rPr>
                    <w:t>3</w:t>
                  </w:r>
                </w:p>
              </w:tc>
              <w:tc>
                <w:tcPr>
                  <w:tcW w:w="961" w:type="dxa"/>
                  <w:tcBorders>
                    <w:top w:val="single" w:color="auto" w:sz="4" w:space="0"/>
                    <w:left w:val="single" w:color="000000" w:sz="6" w:space="0"/>
                    <w:bottom w:val="single" w:color="000000" w:sz="12" w:space="0"/>
                    <w:right w:val="single" w:color="000000" w:sz="6" w:space="0"/>
                  </w:tcBorders>
                  <w:vAlign w:val="center"/>
                </w:tcPr>
                <w:p>
                  <w:pPr>
                    <w:bidi w:val="0"/>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占标率%</w:t>
                  </w:r>
                </w:p>
              </w:tc>
              <w:tc>
                <w:tcPr>
                  <w:tcW w:w="942" w:type="dxa"/>
                  <w:tcBorders>
                    <w:top w:val="single" w:color="auto" w:sz="4" w:space="0"/>
                    <w:left w:val="single" w:color="000000" w:sz="6" w:space="0"/>
                    <w:bottom w:val="single" w:color="000000" w:sz="12" w:space="0"/>
                    <w:right w:val="single" w:color="auto" w:sz="4" w:space="0"/>
                  </w:tcBorders>
                  <w:vAlign w:val="center"/>
                </w:tcPr>
                <w:p>
                  <w:pPr>
                    <w:bidi w:val="0"/>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tcBorders>
                    <w:top w:val="single" w:color="000000" w:sz="12" w:space="0"/>
                    <w:left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SO</w:t>
                  </w:r>
                  <w:r>
                    <w:rPr>
                      <w:b w:val="0"/>
                      <w:bCs w:val="0"/>
                      <w:color w:val="000000" w:themeColor="text1"/>
                      <w:sz w:val="21"/>
                      <w:szCs w:val="21"/>
                      <w:highlight w:val="none"/>
                      <w:vertAlign w:val="subscript"/>
                      <w14:textFill>
                        <w14:solidFill>
                          <w14:schemeClr w14:val="tx1"/>
                        </w14:solidFill>
                      </w14:textFill>
                    </w:rPr>
                    <w:t>2</w:t>
                  </w:r>
                </w:p>
              </w:tc>
              <w:tc>
                <w:tcPr>
                  <w:tcW w:w="3085" w:type="dxa"/>
                  <w:tcBorders>
                    <w:top w:val="single" w:color="000000" w:sz="12"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年平均浓度</w:t>
                  </w:r>
                </w:p>
              </w:tc>
              <w:tc>
                <w:tcPr>
                  <w:tcW w:w="1050" w:type="dxa"/>
                  <w:tcBorders>
                    <w:top w:val="single" w:color="000000" w:sz="12" w:space="0"/>
                    <w:left w:val="single" w:color="auto" w:sz="4" w:space="0"/>
                  </w:tcBorders>
                  <w:vAlign w:val="center"/>
                </w:tcPr>
                <w:p>
                  <w:pPr>
                    <w:bidi w:val="0"/>
                    <w:spacing w:line="240" w:lineRule="auto"/>
                    <w:jc w:val="center"/>
                    <w:rPr>
                      <w:rFonts w:hint="eastAsia" w:eastAsia="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p>
              </w:tc>
              <w:tc>
                <w:tcPr>
                  <w:tcW w:w="1137" w:type="dxa"/>
                  <w:tcBorders>
                    <w:top w:val="single" w:color="000000" w:sz="12"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60</w:t>
                  </w:r>
                </w:p>
              </w:tc>
              <w:tc>
                <w:tcPr>
                  <w:tcW w:w="961" w:type="dxa"/>
                  <w:tcBorders>
                    <w:top w:val="single" w:color="000000" w:sz="12" w:space="0"/>
                  </w:tcBorders>
                  <w:vAlign w:val="center"/>
                </w:tcPr>
                <w:p>
                  <w:pPr>
                    <w:bidi w:val="0"/>
                    <w:spacing w:line="240" w:lineRule="auto"/>
                    <w:jc w:val="center"/>
                    <w:rPr>
                      <w:rFonts w:hint="default" w:eastAsia="宋体"/>
                      <w:b w:val="0"/>
                      <w:bCs w:val="0"/>
                      <w:color w:val="000000" w:themeColor="text1"/>
                      <w:sz w:val="21"/>
                      <w:szCs w:val="21"/>
                      <w:highlight w:val="none"/>
                      <w:lang w:val="en-US" w:eastAsia="zh-CN"/>
                      <w14:textFill>
                        <w14:solidFill>
                          <w14:schemeClr w14:val="tx1"/>
                        </w14:solidFill>
                      </w14:textFill>
                    </w:rPr>
                  </w:pPr>
                  <w:r>
                    <w:rPr>
                      <w:rFonts w:hint="eastAsia" w:eastAsia="宋体"/>
                      <w:b w:val="0"/>
                      <w:bCs w:val="0"/>
                      <w:color w:val="000000" w:themeColor="text1"/>
                      <w:sz w:val="21"/>
                      <w:szCs w:val="21"/>
                      <w:highlight w:val="none"/>
                      <w:lang w:val="en-US" w:eastAsia="zh-CN"/>
                      <w14:textFill>
                        <w14:solidFill>
                          <w14:schemeClr w14:val="tx1"/>
                        </w14:solidFill>
                      </w14:textFill>
                    </w:rPr>
                    <w:t>11.67</w:t>
                  </w:r>
                </w:p>
              </w:tc>
              <w:tc>
                <w:tcPr>
                  <w:tcW w:w="942" w:type="dxa"/>
                  <w:tcBorders>
                    <w:top w:val="single" w:color="000000" w:sz="12" w:space="0"/>
                    <w:right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tcBorders>
                    <w:left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NO</w:t>
                  </w:r>
                  <w:r>
                    <w:rPr>
                      <w:b w:val="0"/>
                      <w:bCs w:val="0"/>
                      <w:color w:val="000000" w:themeColor="text1"/>
                      <w:sz w:val="21"/>
                      <w:szCs w:val="21"/>
                      <w:highlight w:val="none"/>
                      <w:vertAlign w:val="subscript"/>
                      <w14:textFill>
                        <w14:solidFill>
                          <w14:schemeClr w14:val="tx1"/>
                        </w14:solidFill>
                      </w14:textFill>
                    </w:rPr>
                    <w:t>2</w:t>
                  </w:r>
                </w:p>
              </w:tc>
              <w:tc>
                <w:tcPr>
                  <w:tcW w:w="3085" w:type="dxa"/>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年平均浓度</w:t>
                  </w:r>
                </w:p>
              </w:tc>
              <w:tc>
                <w:tcPr>
                  <w:tcW w:w="1050" w:type="dxa"/>
                  <w:tcBorders>
                    <w:left w:val="single" w:color="auto" w:sz="4" w:space="0"/>
                  </w:tcBorders>
                  <w:vAlign w:val="center"/>
                </w:tcPr>
                <w:p>
                  <w:pPr>
                    <w:bidi w:val="0"/>
                    <w:spacing w:line="240" w:lineRule="auto"/>
                    <w:jc w:val="center"/>
                    <w:rPr>
                      <w:rFonts w:hint="default" w:eastAsia="宋体"/>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10</w:t>
                  </w:r>
                </w:p>
              </w:tc>
              <w:tc>
                <w:tcPr>
                  <w:tcW w:w="1137"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40</w:t>
                  </w:r>
                </w:p>
              </w:tc>
              <w:tc>
                <w:tcPr>
                  <w:tcW w:w="961" w:type="dxa"/>
                  <w:vAlign w:val="center"/>
                </w:tcPr>
                <w:p>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25</w:t>
                  </w:r>
                </w:p>
              </w:tc>
              <w:tc>
                <w:tcPr>
                  <w:tcW w:w="942" w:type="dxa"/>
                  <w:tcBorders>
                    <w:right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tcBorders>
                    <w:left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PM</w:t>
                  </w:r>
                  <w:r>
                    <w:rPr>
                      <w:b w:val="0"/>
                      <w:bCs w:val="0"/>
                      <w:color w:val="000000" w:themeColor="text1"/>
                      <w:sz w:val="21"/>
                      <w:szCs w:val="21"/>
                      <w:highlight w:val="none"/>
                      <w:vertAlign w:val="baseline"/>
                      <w14:textFill>
                        <w14:solidFill>
                          <w14:schemeClr w14:val="tx1"/>
                        </w14:solidFill>
                      </w14:textFill>
                    </w:rPr>
                    <w:t>10</w:t>
                  </w:r>
                </w:p>
              </w:tc>
              <w:tc>
                <w:tcPr>
                  <w:tcW w:w="3085" w:type="dxa"/>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年平均浓度</w:t>
                  </w:r>
                </w:p>
              </w:tc>
              <w:tc>
                <w:tcPr>
                  <w:tcW w:w="1050" w:type="dxa"/>
                  <w:tcBorders>
                    <w:left w:val="single" w:color="auto" w:sz="4" w:space="0"/>
                  </w:tcBorders>
                  <w:vAlign w:val="center"/>
                </w:tcPr>
                <w:p>
                  <w:pPr>
                    <w:bidi w:val="0"/>
                    <w:spacing w:line="240" w:lineRule="auto"/>
                    <w:jc w:val="center"/>
                    <w:rPr>
                      <w:rFonts w:hint="default" w:eastAsia="宋体"/>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27</w:t>
                  </w:r>
                </w:p>
              </w:tc>
              <w:tc>
                <w:tcPr>
                  <w:tcW w:w="1137"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70</w:t>
                  </w:r>
                </w:p>
              </w:tc>
              <w:tc>
                <w:tcPr>
                  <w:tcW w:w="961" w:type="dxa"/>
                  <w:vAlign w:val="center"/>
                </w:tcPr>
                <w:p>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38.57</w:t>
                  </w:r>
                </w:p>
              </w:tc>
              <w:tc>
                <w:tcPr>
                  <w:tcW w:w="942" w:type="dxa"/>
                  <w:tcBorders>
                    <w:right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tcBorders>
                    <w:left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PM</w:t>
                  </w:r>
                  <w:r>
                    <w:rPr>
                      <w:b w:val="0"/>
                      <w:bCs w:val="0"/>
                      <w:color w:val="000000" w:themeColor="text1"/>
                      <w:sz w:val="21"/>
                      <w:szCs w:val="21"/>
                      <w:highlight w:val="none"/>
                      <w:vertAlign w:val="baseline"/>
                      <w14:textFill>
                        <w14:solidFill>
                          <w14:schemeClr w14:val="tx1"/>
                        </w14:solidFill>
                      </w14:textFill>
                    </w:rPr>
                    <w:t>2.5</w:t>
                  </w:r>
                </w:p>
              </w:tc>
              <w:tc>
                <w:tcPr>
                  <w:tcW w:w="3085" w:type="dxa"/>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年平均浓度</w:t>
                  </w:r>
                </w:p>
              </w:tc>
              <w:tc>
                <w:tcPr>
                  <w:tcW w:w="1050" w:type="dxa"/>
                  <w:tcBorders>
                    <w:left w:val="single" w:color="auto" w:sz="4" w:space="0"/>
                  </w:tcBorders>
                  <w:vAlign w:val="center"/>
                </w:tcPr>
                <w:p>
                  <w:pPr>
                    <w:bidi w:val="0"/>
                    <w:spacing w:line="240" w:lineRule="auto"/>
                    <w:jc w:val="center"/>
                    <w:rPr>
                      <w:rFonts w:hint="default" w:eastAsia="宋体"/>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9</w:t>
                  </w:r>
                </w:p>
              </w:tc>
              <w:tc>
                <w:tcPr>
                  <w:tcW w:w="1137"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35</w:t>
                  </w:r>
                </w:p>
              </w:tc>
              <w:tc>
                <w:tcPr>
                  <w:tcW w:w="961" w:type="dxa"/>
                  <w:vAlign w:val="center"/>
                </w:tcPr>
                <w:p>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25.71</w:t>
                  </w:r>
                </w:p>
              </w:tc>
              <w:tc>
                <w:tcPr>
                  <w:tcW w:w="942" w:type="dxa"/>
                  <w:tcBorders>
                    <w:right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tcBorders>
                    <w:left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CO</w:t>
                  </w:r>
                </w:p>
              </w:tc>
              <w:tc>
                <w:tcPr>
                  <w:tcW w:w="3085" w:type="dxa"/>
                  <w:vAlign w:val="center"/>
                </w:tcPr>
                <w:p>
                  <w:pPr>
                    <w:bidi w:val="0"/>
                    <w:spacing w:line="240" w:lineRule="auto"/>
                    <w:jc w:val="center"/>
                    <w:rPr>
                      <w:b w:val="0"/>
                      <w:bCs w:val="0"/>
                      <w:color w:val="000000" w:themeColor="text1"/>
                      <w:sz w:val="21"/>
                      <w:szCs w:val="21"/>
                      <w:highlight w:val="none"/>
                      <w:lang w:val="en-US"/>
                      <w14:textFill>
                        <w14:solidFill>
                          <w14:schemeClr w14:val="tx1"/>
                        </w14:solidFill>
                      </w14:textFill>
                    </w:rPr>
                  </w:pPr>
                  <w:r>
                    <w:rPr>
                      <w:b w:val="0"/>
                      <w:bCs w:val="0"/>
                      <w:color w:val="000000" w:themeColor="text1"/>
                      <w:sz w:val="21"/>
                      <w:szCs w:val="21"/>
                      <w:highlight w:val="none"/>
                      <w:lang w:val="en-US"/>
                      <w14:textFill>
                        <w14:solidFill>
                          <w14:schemeClr w14:val="tx1"/>
                        </w14:solidFill>
                      </w14:textFill>
                    </w:rPr>
                    <w:t>24小时平均第95百分位数</w:t>
                  </w:r>
                </w:p>
              </w:tc>
              <w:tc>
                <w:tcPr>
                  <w:tcW w:w="1050" w:type="dxa"/>
                  <w:tcBorders>
                    <w:left w:val="single" w:color="auto" w:sz="4" w:space="0"/>
                  </w:tcBorders>
                  <w:vAlign w:val="center"/>
                </w:tcPr>
                <w:p>
                  <w:pPr>
                    <w:bidi w:val="0"/>
                    <w:spacing w:line="240" w:lineRule="auto"/>
                    <w:jc w:val="center"/>
                    <w:rPr>
                      <w:rFonts w:hint="default" w:eastAsia="宋体"/>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 xml:space="preserve">1000 </w:t>
                  </w:r>
                </w:p>
              </w:tc>
              <w:tc>
                <w:tcPr>
                  <w:tcW w:w="1137"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lang w:val="en-US"/>
                      <w14:textFill>
                        <w14:solidFill>
                          <w14:schemeClr w14:val="tx1"/>
                        </w14:solidFill>
                      </w14:textFill>
                    </w:rPr>
                  </w:pPr>
                  <w:r>
                    <w:rPr>
                      <w:rFonts w:ascii="Times New Roman" w:hAnsi="Times New Roman" w:eastAsia="宋体" w:cs="Times New Roman"/>
                      <w:b w:val="0"/>
                      <w:bCs w:val="0"/>
                      <w:color w:val="000000" w:themeColor="text1"/>
                      <w:sz w:val="21"/>
                      <w:szCs w:val="21"/>
                      <w:highlight w:val="none"/>
                      <w:lang w:val="en-US"/>
                      <w14:textFill>
                        <w14:solidFill>
                          <w14:schemeClr w14:val="tx1"/>
                        </w14:solidFill>
                      </w14:textFill>
                    </w:rPr>
                    <w:t>4000</w:t>
                  </w:r>
                </w:p>
              </w:tc>
              <w:tc>
                <w:tcPr>
                  <w:tcW w:w="961" w:type="dxa"/>
                  <w:vAlign w:val="center"/>
                </w:tcPr>
                <w:p>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25</w:t>
                  </w:r>
                </w:p>
              </w:tc>
              <w:tc>
                <w:tcPr>
                  <w:tcW w:w="942" w:type="dxa"/>
                  <w:tcBorders>
                    <w:right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tcBorders>
                    <w:left w:val="single" w:color="auto" w:sz="4" w:space="0"/>
                    <w:bottom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O</w:t>
                  </w:r>
                  <w:r>
                    <w:rPr>
                      <w:b w:val="0"/>
                      <w:bCs w:val="0"/>
                      <w:color w:val="000000" w:themeColor="text1"/>
                      <w:sz w:val="21"/>
                      <w:szCs w:val="21"/>
                      <w:highlight w:val="none"/>
                      <w:vertAlign w:val="subscript"/>
                      <w14:textFill>
                        <w14:solidFill>
                          <w14:schemeClr w14:val="tx1"/>
                        </w14:solidFill>
                      </w14:textFill>
                    </w:rPr>
                    <w:t>3</w:t>
                  </w:r>
                </w:p>
              </w:tc>
              <w:tc>
                <w:tcPr>
                  <w:tcW w:w="3085" w:type="dxa"/>
                  <w:tcBorders>
                    <w:bottom w:val="single" w:color="auto" w:sz="4" w:space="0"/>
                  </w:tcBorders>
                  <w:vAlign w:val="center"/>
                </w:tcPr>
                <w:p>
                  <w:pPr>
                    <w:bidi w:val="0"/>
                    <w:spacing w:line="240" w:lineRule="auto"/>
                    <w:jc w:val="center"/>
                    <w:rPr>
                      <w:b w:val="0"/>
                      <w:bCs w:val="0"/>
                      <w:color w:val="000000" w:themeColor="text1"/>
                      <w:sz w:val="21"/>
                      <w:szCs w:val="21"/>
                      <w:highlight w:val="none"/>
                      <w:lang w:val="en-US"/>
                      <w14:textFill>
                        <w14:solidFill>
                          <w14:schemeClr w14:val="tx1"/>
                        </w14:solidFill>
                      </w14:textFill>
                    </w:rPr>
                  </w:pPr>
                  <w:r>
                    <w:rPr>
                      <w:rFonts w:ascii="Times New Roman" w:hAnsi="Times New Roman" w:eastAsia="宋体" w:cs="Times New Roman"/>
                      <w:b w:val="0"/>
                      <w:bCs w:val="0"/>
                      <w:color w:val="000000" w:themeColor="text1"/>
                      <w:sz w:val="21"/>
                      <w:szCs w:val="21"/>
                      <w:highlight w:val="none"/>
                      <w:lang w:val="en-US"/>
                      <w14:textFill>
                        <w14:solidFill>
                          <w14:schemeClr w14:val="tx1"/>
                        </w14:solidFill>
                      </w14:textFill>
                    </w:rPr>
                    <w:t>日最大8小时平均第90百分位数</w:t>
                  </w:r>
                </w:p>
              </w:tc>
              <w:tc>
                <w:tcPr>
                  <w:tcW w:w="1050" w:type="dxa"/>
                  <w:tcBorders>
                    <w:left w:val="single" w:color="auto" w:sz="4" w:space="0"/>
                    <w:bottom w:val="single" w:color="auto" w:sz="4" w:space="0"/>
                  </w:tcBorders>
                  <w:vAlign w:val="center"/>
                </w:tcPr>
                <w:p>
                  <w:pPr>
                    <w:bidi w:val="0"/>
                    <w:spacing w:line="240" w:lineRule="auto"/>
                    <w:jc w:val="center"/>
                    <w:rPr>
                      <w:rFonts w:hint="default" w:eastAsia="宋体"/>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87</w:t>
                  </w:r>
                </w:p>
              </w:tc>
              <w:tc>
                <w:tcPr>
                  <w:tcW w:w="1137" w:type="dxa"/>
                  <w:tcBorders>
                    <w:bottom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lang w:val="en-US"/>
                      <w14:textFill>
                        <w14:solidFill>
                          <w14:schemeClr w14:val="tx1"/>
                        </w14:solidFill>
                      </w14:textFill>
                    </w:rPr>
                  </w:pPr>
                  <w:r>
                    <w:rPr>
                      <w:rFonts w:ascii="Times New Roman" w:hAnsi="Times New Roman" w:eastAsia="宋体" w:cs="Times New Roman"/>
                      <w:b w:val="0"/>
                      <w:bCs w:val="0"/>
                      <w:color w:val="000000" w:themeColor="text1"/>
                      <w:sz w:val="21"/>
                      <w:szCs w:val="21"/>
                      <w:highlight w:val="none"/>
                      <w:lang w:val="en-US"/>
                      <w14:textFill>
                        <w14:solidFill>
                          <w14:schemeClr w14:val="tx1"/>
                        </w14:solidFill>
                      </w14:textFill>
                    </w:rPr>
                    <w:t>160</w:t>
                  </w:r>
                </w:p>
              </w:tc>
              <w:tc>
                <w:tcPr>
                  <w:tcW w:w="961" w:type="dxa"/>
                  <w:tcBorders>
                    <w:bottom w:val="single" w:color="auto" w:sz="4" w:space="0"/>
                  </w:tcBorders>
                  <w:vAlign w:val="center"/>
                </w:tcPr>
                <w:p>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54.375</w:t>
                  </w:r>
                </w:p>
              </w:tc>
              <w:tc>
                <w:tcPr>
                  <w:tcW w:w="942" w:type="dxa"/>
                  <w:tcBorders>
                    <w:bottom w:val="single" w:color="auto" w:sz="4" w:space="0"/>
                    <w:right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达标</w:t>
                  </w:r>
                </w:p>
              </w:tc>
            </w:tr>
          </w:tbl>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由上表可知，项目所在区域NO</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、SO</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年平均浓度、PM10、PM2.5、CO24小时平均第95百分位数及O</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日最大8小时平均第90百分位数均满足《环境空气质量标准》（GB3095-2012）及其修改单中的二级标准要求，因此区域为大气环境质量达标区。</w:t>
            </w:r>
          </w:p>
          <w:p>
            <w:pPr>
              <w:keepNext w:val="0"/>
              <w:keepLines w:val="0"/>
              <w:pageBreakBefore w:val="0"/>
              <w:widowControl w:val="0"/>
              <w:kinsoku/>
              <w:wordWrap w:val="0"/>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1.5特征污染物</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本项目引用新疆博奇清新环境检测有限公司对东方电气(新疆)新能源高端装备制造基地项目</w:t>
            </w:r>
            <w:r>
              <w:rPr>
                <w:rFonts w:hint="eastAsia" w:cs="Times New Roman"/>
                <w:color w:val="000000" w:themeColor="text1"/>
                <w:sz w:val="24"/>
                <w:szCs w:val="24"/>
                <w:highlight w:val="none"/>
                <w:lang w:val="en-US" w:eastAsia="zh-CN"/>
                <w14:textFill>
                  <w14:solidFill>
                    <w14:schemeClr w14:val="tx1"/>
                  </w14:solidFill>
                </w14:textFill>
              </w:rPr>
              <w:t>（已建成运行）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污染物</w:t>
            </w:r>
            <w:r>
              <w:rPr>
                <w:rFonts w:hint="eastAsia" w:cs="Times New Roman"/>
                <w:color w:val="000000" w:themeColor="text1"/>
                <w:sz w:val="24"/>
                <w:szCs w:val="24"/>
                <w:highlight w:val="none"/>
                <w:lang w:val="en-US" w:eastAsia="zh-CN"/>
                <w14:textFill>
                  <w14:solidFill>
                    <w14:schemeClr w14:val="tx1"/>
                  </w14:solidFill>
                </w14:textFill>
              </w:rPr>
              <w:t>TSP、</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非甲烷总烃的现状监测，监测时间为2022年3月25日-3月31日，在项目场地四周布置2个监测点位，连续7天监测；具体监测布点见附图</w:t>
            </w:r>
            <w:r>
              <w:rPr>
                <w:rFonts w:hint="eastAsia" w:cs="Times New Roman"/>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最近</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监测点位在本项目</w:t>
            </w:r>
            <w:r>
              <w:rPr>
                <w:rFonts w:hint="eastAsia" w:cs="Times New Roman"/>
                <w:color w:val="000000" w:themeColor="text1"/>
                <w:sz w:val="24"/>
                <w:szCs w:val="24"/>
                <w:highlight w:val="none"/>
                <w:lang w:val="en-US" w:eastAsia="zh-CN"/>
                <w14:textFill>
                  <w14:solidFill>
                    <w14:schemeClr w14:val="tx1"/>
                  </w14:solidFill>
                </w14:textFill>
              </w:rPr>
              <w:t>西</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南侧约</w:t>
            </w:r>
            <w:r>
              <w:rPr>
                <w:rFonts w:hint="eastAsia" w:cs="Times New Roman"/>
                <w:color w:val="000000" w:themeColor="text1"/>
                <w:sz w:val="24"/>
                <w:szCs w:val="24"/>
                <w:highlight w:val="none"/>
                <w:lang w:val="en-US" w:eastAsia="zh-CN"/>
                <w14:textFill>
                  <w14:solidFill>
                    <w14:schemeClr w14:val="tx1"/>
                  </w14:solidFill>
                </w14:textFill>
              </w:rPr>
              <w:t>660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m处。监测方法：按国家《环境监测技术规范(大气部分)》的规定执行；分析方法按《空气和废气监测分析方法》的有关规定和要求执行</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GB" w:eastAsia="zh-CN" w:bidi="ar-SA"/>
                <w14:textFill>
                  <w14:solidFill>
                    <w14:schemeClr w14:val="tx1"/>
                  </w14:solidFill>
                </w14:textFill>
              </w:rPr>
              <w:t>监测结果统计表</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见表3-</w:t>
            </w:r>
            <w:r>
              <w:rPr>
                <w:rFonts w:hint="eastAsia" w:cs="Times New Roman"/>
                <w:color w:val="000000" w:themeColor="text1"/>
                <w:kern w:val="2"/>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，监测报告见附件。</w:t>
            </w:r>
          </w:p>
          <w:p>
            <w:pPr>
              <w:bidi w:val="0"/>
              <w:spacing w:line="240" w:lineRule="auto"/>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zh-CN" w:eastAsia="zh-CN"/>
                <w14:textFill>
                  <w14:solidFill>
                    <w14:schemeClr w14:val="tx1"/>
                  </w14:solidFill>
                </w14:textFill>
              </w:rPr>
              <w:t>表</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3-3</w:t>
            </w:r>
            <w:r>
              <w:rPr>
                <w:rFonts w:hint="eastAsia" w:ascii="Times New Roman" w:hAnsi="Times New Roman" w:eastAsia="宋体" w:cs="Times New Roman"/>
                <w:b/>
                <w:bCs/>
                <w:color w:val="000000" w:themeColor="text1"/>
                <w:sz w:val="21"/>
                <w:szCs w:val="21"/>
                <w:highlight w:val="none"/>
                <w:lang w:val="zh-CN"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环</w:t>
            </w:r>
            <w:r>
              <w:rPr>
                <w:rFonts w:hint="eastAsia" w:ascii="Times New Roman" w:hAnsi="Times New Roman" w:eastAsia="宋体" w:cs="Times New Roman"/>
                <w:b/>
                <w:bCs/>
                <w:color w:val="000000" w:themeColor="text1"/>
                <w:sz w:val="21"/>
                <w:szCs w:val="21"/>
                <w:highlight w:val="none"/>
                <w:lang w:val="zh-CN" w:eastAsia="zh-CN"/>
                <w14:textFill>
                  <w14:solidFill>
                    <w14:schemeClr w14:val="tx1"/>
                  </w14:solidFill>
                </w14:textFill>
              </w:rPr>
              <w:t>境空气</w:t>
            </w:r>
            <w:r>
              <w:rPr>
                <w:rFonts w:hint="eastAsia" w:cs="Times New Roman"/>
                <w:b/>
                <w:bCs/>
                <w:color w:val="000000" w:themeColor="text1"/>
                <w:sz w:val="21"/>
                <w:szCs w:val="21"/>
                <w:highlight w:val="none"/>
                <w:lang w:val="en-US" w:eastAsia="zh-CN"/>
                <w14:textFill>
                  <w14:solidFill>
                    <w14:schemeClr w14:val="tx1"/>
                  </w14:solidFill>
                </w14:textFill>
              </w:rPr>
              <w:t>VOCs</w:t>
            </w:r>
            <w:r>
              <w:rPr>
                <w:rFonts w:hint="eastAsia" w:ascii="Times New Roman" w:hAnsi="Times New Roman" w:eastAsia="宋体" w:cs="Times New Roman"/>
                <w:b/>
                <w:bCs/>
                <w:color w:val="000000" w:themeColor="text1"/>
                <w:sz w:val="21"/>
                <w:szCs w:val="21"/>
                <w:highlight w:val="none"/>
                <w:lang w:val="zh-CN" w:eastAsia="zh-CN"/>
                <w14:textFill>
                  <w14:solidFill>
                    <w14:schemeClr w14:val="tx1"/>
                  </w14:solidFill>
                </w14:textFill>
              </w:rPr>
              <w:t>现状监测结果  单位：</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b/>
                <w:bCs/>
                <w:color w:val="000000" w:themeColor="text1"/>
                <w:sz w:val="21"/>
                <w:szCs w:val="21"/>
                <w:highlight w:val="none"/>
                <w:lang w:val="zh-CN" w:eastAsia="zh-CN"/>
                <w14:textFill>
                  <w14:solidFill>
                    <w14:schemeClr w14:val="tx1"/>
                  </w14:solidFill>
                </w14:textFill>
              </w:rPr>
              <w:t>g/m</w:t>
            </w:r>
            <w:r>
              <w:rPr>
                <w:rFonts w:hint="eastAsia" w:ascii="Times New Roman" w:hAnsi="Times New Roman" w:eastAsia="宋体" w:cs="Times New Roman"/>
                <w:b/>
                <w:bCs/>
                <w:color w:val="000000" w:themeColor="text1"/>
                <w:sz w:val="21"/>
                <w:szCs w:val="21"/>
                <w:highlight w:val="none"/>
                <w:vertAlign w:val="superscript"/>
                <w:lang w:val="zh-CN" w:eastAsia="zh-CN"/>
                <w14:textFill>
                  <w14:solidFill>
                    <w14:schemeClr w14:val="tx1"/>
                  </w14:solidFill>
                </w14:textFill>
              </w:rPr>
              <w:t>3</w:t>
            </w:r>
          </w:p>
          <w:tbl>
            <w:tblPr>
              <w:tblStyle w:val="69"/>
              <w:tblW w:w="7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4"/>
              <w:gridCol w:w="1759"/>
              <w:gridCol w:w="1425"/>
              <w:gridCol w:w="1476"/>
              <w:gridCol w:w="1232"/>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6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监测点位</w:t>
                  </w:r>
                </w:p>
              </w:tc>
              <w:tc>
                <w:tcPr>
                  <w:tcW w:w="110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监测时间</w:t>
                  </w:r>
                </w:p>
              </w:tc>
              <w:tc>
                <w:tcPr>
                  <w:tcW w:w="3527"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监测项目(mg/m³)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6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0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822"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TSP</w:t>
                  </w:r>
                </w:p>
              </w:tc>
              <w:tc>
                <w:tcPr>
                  <w:tcW w:w="170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6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0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8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监测值</w:t>
                  </w:r>
                </w:p>
              </w:tc>
              <w:tc>
                <w:tcPr>
                  <w:tcW w:w="92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是否达标</w:t>
                  </w:r>
                </w:p>
              </w:tc>
              <w:tc>
                <w:tcPr>
                  <w:tcW w:w="7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监测值</w:t>
                  </w: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6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1#（90°21'12.44"，43°56'59.81"）</w:t>
                  </w:r>
                </w:p>
              </w:tc>
              <w:tc>
                <w:tcPr>
                  <w:tcW w:w="110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2022年3月25日</w:t>
                  </w:r>
                </w:p>
              </w:tc>
              <w:tc>
                <w:tcPr>
                  <w:tcW w:w="8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0.103</w:t>
                  </w:r>
                </w:p>
              </w:tc>
              <w:tc>
                <w:tcPr>
                  <w:tcW w:w="14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c>
                <w:tcPr>
                  <w:tcW w:w="7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0.7425</w:t>
                  </w: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6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0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2022年3月26日</w:t>
                  </w:r>
                </w:p>
              </w:tc>
              <w:tc>
                <w:tcPr>
                  <w:tcW w:w="8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0.110</w:t>
                  </w:r>
                </w:p>
              </w:tc>
              <w:tc>
                <w:tcPr>
                  <w:tcW w:w="14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c>
                <w:tcPr>
                  <w:tcW w:w="7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0.925</w:t>
                  </w: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6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0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2022年3月27日</w:t>
                  </w:r>
                </w:p>
              </w:tc>
              <w:tc>
                <w:tcPr>
                  <w:tcW w:w="8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0.115</w:t>
                  </w:r>
                </w:p>
              </w:tc>
              <w:tc>
                <w:tcPr>
                  <w:tcW w:w="14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c>
                <w:tcPr>
                  <w:tcW w:w="7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0.8975</w:t>
                  </w: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6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0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2022年3月28日</w:t>
                  </w:r>
                </w:p>
              </w:tc>
              <w:tc>
                <w:tcPr>
                  <w:tcW w:w="8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0.117</w:t>
                  </w:r>
                </w:p>
              </w:tc>
              <w:tc>
                <w:tcPr>
                  <w:tcW w:w="14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c>
                <w:tcPr>
                  <w:tcW w:w="7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0.78</w:t>
                  </w: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6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0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2022年3月29日</w:t>
                  </w:r>
                </w:p>
              </w:tc>
              <w:tc>
                <w:tcPr>
                  <w:tcW w:w="8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0.113</w:t>
                  </w:r>
                </w:p>
              </w:tc>
              <w:tc>
                <w:tcPr>
                  <w:tcW w:w="14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c>
                <w:tcPr>
                  <w:tcW w:w="7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0.825</w:t>
                  </w: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6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0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2022年3月30日</w:t>
                  </w:r>
                </w:p>
              </w:tc>
              <w:tc>
                <w:tcPr>
                  <w:tcW w:w="8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0.110</w:t>
                  </w:r>
                </w:p>
              </w:tc>
              <w:tc>
                <w:tcPr>
                  <w:tcW w:w="14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c>
                <w:tcPr>
                  <w:tcW w:w="7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0.945</w:t>
                  </w: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6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0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2022年3月31日</w:t>
                  </w:r>
                </w:p>
              </w:tc>
              <w:tc>
                <w:tcPr>
                  <w:tcW w:w="8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0.107</w:t>
                  </w:r>
                </w:p>
              </w:tc>
              <w:tc>
                <w:tcPr>
                  <w:tcW w:w="14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c>
                <w:tcPr>
                  <w:tcW w:w="7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1.825</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25</w:t>
                  </w: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6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 (90°21'59.48"，43°56'40.19")</w:t>
                  </w:r>
                </w:p>
              </w:tc>
              <w:tc>
                <w:tcPr>
                  <w:tcW w:w="110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2022年3月25日</w:t>
                  </w:r>
                </w:p>
              </w:tc>
              <w:tc>
                <w:tcPr>
                  <w:tcW w:w="8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0.122</w:t>
                  </w:r>
                </w:p>
              </w:tc>
              <w:tc>
                <w:tcPr>
                  <w:tcW w:w="14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c>
                <w:tcPr>
                  <w:tcW w:w="7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0.4325</w:t>
                  </w: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6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0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2022年3月26日</w:t>
                  </w:r>
                </w:p>
              </w:tc>
              <w:tc>
                <w:tcPr>
                  <w:tcW w:w="8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0.126</w:t>
                  </w:r>
                </w:p>
              </w:tc>
              <w:tc>
                <w:tcPr>
                  <w:tcW w:w="14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c>
                <w:tcPr>
                  <w:tcW w:w="7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0.4425</w:t>
                  </w: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6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0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2022年3月27日</w:t>
                  </w:r>
                </w:p>
              </w:tc>
              <w:tc>
                <w:tcPr>
                  <w:tcW w:w="8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0.124</w:t>
                  </w:r>
                </w:p>
              </w:tc>
              <w:tc>
                <w:tcPr>
                  <w:tcW w:w="14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c>
                <w:tcPr>
                  <w:tcW w:w="7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0.57</w:t>
                  </w: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6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0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2022年3月28日</w:t>
                  </w:r>
                </w:p>
              </w:tc>
              <w:tc>
                <w:tcPr>
                  <w:tcW w:w="8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0.128</w:t>
                  </w:r>
                </w:p>
              </w:tc>
              <w:tc>
                <w:tcPr>
                  <w:tcW w:w="14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c>
                <w:tcPr>
                  <w:tcW w:w="7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0.4425</w:t>
                  </w: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6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0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2022年3月29日</w:t>
                  </w:r>
                </w:p>
              </w:tc>
              <w:tc>
                <w:tcPr>
                  <w:tcW w:w="8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0.127</w:t>
                  </w:r>
                </w:p>
              </w:tc>
              <w:tc>
                <w:tcPr>
                  <w:tcW w:w="14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c>
                <w:tcPr>
                  <w:tcW w:w="7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0.3775</w:t>
                  </w: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6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0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2022年3月30日</w:t>
                  </w:r>
                </w:p>
              </w:tc>
              <w:tc>
                <w:tcPr>
                  <w:tcW w:w="8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0.124</w:t>
                  </w:r>
                </w:p>
              </w:tc>
              <w:tc>
                <w:tcPr>
                  <w:tcW w:w="14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c>
                <w:tcPr>
                  <w:tcW w:w="7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0.5375</w:t>
                  </w: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6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0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2022年3月31日</w:t>
                  </w:r>
                </w:p>
              </w:tc>
              <w:tc>
                <w:tcPr>
                  <w:tcW w:w="8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0.121</w:t>
                  </w:r>
                </w:p>
              </w:tc>
              <w:tc>
                <w:tcPr>
                  <w:tcW w:w="14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c>
                <w:tcPr>
                  <w:tcW w:w="7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0.3925</w:t>
                  </w: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472"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标准值</w:t>
                  </w:r>
                </w:p>
              </w:tc>
              <w:tc>
                <w:tcPr>
                  <w:tcW w:w="1822"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300u</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g/m</w:t>
                  </w:r>
                  <w:r>
                    <w:rPr>
                      <w:rFonts w:hint="eastAsia"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170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2.0mg/m</w:t>
                  </w:r>
                  <w:r>
                    <w:rPr>
                      <w:rFonts w:hint="eastAsia" w:cs="Times New Roman"/>
                      <w:b w:val="0"/>
                      <w:bCs w:val="0"/>
                      <w:color w:val="000000" w:themeColor="text1"/>
                      <w:sz w:val="21"/>
                      <w:szCs w:val="21"/>
                      <w:highlight w:val="none"/>
                      <w:vertAlign w:val="superscript"/>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jc w:val="center"/>
              </w:trPr>
              <w:tc>
                <w:tcPr>
                  <w:tcW w:w="1472"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超标率</w:t>
                  </w:r>
                </w:p>
              </w:tc>
              <w:tc>
                <w:tcPr>
                  <w:tcW w:w="1822"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w:t>
                  </w:r>
                </w:p>
              </w:tc>
              <w:tc>
                <w:tcPr>
                  <w:tcW w:w="170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由上表可知，项目厂址</w:t>
            </w:r>
            <w:r>
              <w:rPr>
                <w:rFonts w:hint="eastAsia" w:cs="Times New Roman"/>
                <w:color w:val="000000" w:themeColor="text1"/>
                <w:sz w:val="24"/>
                <w:szCs w:val="24"/>
                <w:highlight w:val="none"/>
                <w:lang w:val="en-US" w:eastAsia="zh-CN"/>
                <w14:textFill>
                  <w14:solidFill>
                    <w14:schemeClr w14:val="tx1"/>
                  </w14:solidFill>
                </w14:textFill>
              </w:rPr>
              <w:t>TSP</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24小时平</w:t>
            </w:r>
            <w:r>
              <w:rPr>
                <w:color w:val="000000" w:themeColor="text1"/>
                <w:sz w:val="24"/>
                <w:szCs w:val="24"/>
                <w:highlight w:val="none"/>
                <w14:textFill>
                  <w14:solidFill>
                    <w14:schemeClr w14:val="tx1"/>
                  </w14:solidFill>
                </w14:textFill>
              </w:rPr>
              <w:t>均浓度满足《环境空气质量标准》</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GB3095-2012</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二级标准</w:t>
            </w:r>
            <w:r>
              <w:rPr>
                <w:rFonts w:hint="eastAsia"/>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VOCs</w:t>
            </w:r>
            <w:r>
              <w:rPr>
                <w:color w:val="000000" w:themeColor="text1"/>
                <w:sz w:val="24"/>
                <w:szCs w:val="24"/>
                <w:highlight w:val="none"/>
                <w14:textFill>
                  <w14:solidFill>
                    <w14:schemeClr w14:val="tx1"/>
                  </w14:solidFill>
                </w14:textFill>
              </w:rPr>
              <w:t>浓度满足</w:t>
            </w:r>
            <w:r>
              <w:rPr>
                <w:rFonts w:hint="default" w:ascii="Times New Roman" w:hAnsi="Times New Roman" w:eastAsia="宋体" w:cs="Times New Roman"/>
                <w:color w:val="auto"/>
                <w:sz w:val="24"/>
                <w:szCs w:val="24"/>
                <w:lang w:val="en-US" w:eastAsia="zh-CN"/>
              </w:rPr>
              <w:t>《大气污染物综合排放标准详解》中的标准浓度限值</w:t>
            </w:r>
            <w:r>
              <w:rPr>
                <w:rFonts w:hint="eastAsia" w:ascii="Times New Roman" w:hAnsi="Times New Roman" w:eastAsia="宋体" w:cs="Times New Roman"/>
                <w:color w:val="auto"/>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right="0"/>
              <w:jc w:val="both"/>
              <w:textAlignment w:val="auto"/>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2、地表水环境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eastAsia"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本项目产生的生活污水依托</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园区</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排水管网处理</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项目无废水外排，与地表水体无水力联系。按照《环境影响评价技术导则 地表水环境》（HJ2.3-2018）中规定，地表水环境影响评价为三级B</w:t>
            </w:r>
            <w:r>
              <w:rPr>
                <w:rFonts w:hint="eastAsia"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，本项目不需要进行地表水评价</w:t>
            </w:r>
            <w:r>
              <w:rPr>
                <w:rFonts w:hint="default" w:ascii="Times New Roman" w:hAnsi="Times New Roman" w:cs="Times New Roman"/>
                <w:color w:val="000000" w:themeColor="text1"/>
                <w:kern w:val="0"/>
                <w:sz w:val="24"/>
                <w:szCs w:val="24"/>
                <w:highlight w:val="none"/>
                <w14:textFill>
                  <w14:solidFill>
                    <w14:schemeClr w14:val="tx1"/>
                  </w14:solidFill>
                </w14:textFill>
              </w:rPr>
              <w:t>。</w:t>
            </w:r>
          </w:p>
          <w:p>
            <w:pPr>
              <w:pStyle w:val="4"/>
              <w:keepNext/>
              <w:keepLines/>
              <w:numPr>
                <w:ilvl w:val="0"/>
                <w:numId w:val="0"/>
              </w:numPr>
              <w:bidi w:val="0"/>
              <w:spacing w:before="0" w:after="0" w:line="360" w:lineRule="auto"/>
              <w:ind w:leftChars="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声环境现状调查及评价</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80" w:firstLineChars="200"/>
              <w:textAlignment w:val="auto"/>
              <w:rPr>
                <w:rFonts w:hint="eastAsia" w:eastAsia="宋体"/>
                <w:color w:val="000000" w:themeColor="text1"/>
                <w:sz w:val="24"/>
                <w:szCs w:val="24"/>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t>通过现场踏勘，项目区厂界外50</w:t>
            </w:r>
            <w:r>
              <w:rPr>
                <w:rFonts w:hint="eastAsia"/>
                <w:color w:val="000000" w:themeColor="text1"/>
                <w:sz w:val="24"/>
                <w:szCs w:val="24"/>
                <w:highlight w:val="none"/>
                <w:lang w:val="en-US" w:eastAsia="zh-CN"/>
                <w14:textFill>
                  <w14:solidFill>
                    <w14:schemeClr w14:val="tx1"/>
                  </w14:solidFill>
                </w14:textFill>
              </w:rPr>
              <w:t>m</w:t>
            </w:r>
            <w:r>
              <w:rPr>
                <w:color w:val="000000" w:themeColor="text1"/>
                <w:sz w:val="24"/>
                <w:szCs w:val="24"/>
                <w:highlight w:val="none"/>
                <w14:textFill>
                  <w14:solidFill>
                    <w14:schemeClr w14:val="tx1"/>
                  </w14:solidFill>
                </w14:textFill>
              </w:rPr>
              <w:t>范围内无学校、医院及住宅等声环境保护目标。项目区声环境能够满足《声环境质量标准》（GB3096-2008）中</w:t>
            </w:r>
            <w:r>
              <w:rPr>
                <w:rFonts w:hint="eastAsia"/>
                <w:color w:val="000000" w:themeColor="text1"/>
                <w:sz w:val="24"/>
                <w:szCs w:val="24"/>
                <w:highlight w:val="none"/>
                <w:lang w:val="en-US" w:eastAsia="zh-CN"/>
                <w14:textFill>
                  <w14:solidFill>
                    <w14:schemeClr w14:val="tx1"/>
                  </w14:solidFill>
                </w14:textFill>
              </w:rPr>
              <w:t>3</w:t>
            </w:r>
            <w:r>
              <w:rPr>
                <w:color w:val="000000" w:themeColor="text1"/>
                <w:sz w:val="24"/>
                <w:szCs w:val="24"/>
                <w:highlight w:val="none"/>
                <w14:textFill>
                  <w14:solidFill>
                    <w14:schemeClr w14:val="tx1"/>
                  </w14:solidFill>
                </w14:textFill>
              </w:rPr>
              <w:t>类区标准，声环境质量状况良好</w:t>
            </w:r>
            <w:r>
              <w:rPr>
                <w:rFonts w:hint="eastAsia"/>
                <w:color w:val="000000" w:themeColor="text1"/>
                <w:sz w:val="24"/>
                <w:szCs w:val="24"/>
                <w:highlight w:val="none"/>
                <w:lang w:eastAsia="zh-CN"/>
                <w14:textFill>
                  <w14:solidFill>
                    <w14:schemeClr w14:val="tx1"/>
                  </w14:solidFill>
                </w14:textFill>
              </w:rPr>
              <w:t>。</w:t>
            </w:r>
          </w:p>
          <w:p>
            <w:pPr>
              <w:pStyle w:val="4"/>
              <w:keepNext/>
              <w:keepLines/>
              <w:numPr>
                <w:ilvl w:val="0"/>
                <w:numId w:val="0"/>
              </w:numPr>
              <w:bidi w:val="0"/>
              <w:spacing w:before="0" w:after="0" w:line="360" w:lineRule="auto"/>
              <w:ind w:leftChars="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4、地下水及土壤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环境现状调查及评价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根据《建设项目环境影响报告表编制技术指南(污染影响类)(试行)》，“原则上不开展环境质量现状调查。建设项目存在土壤、地下水环境污染途径的，应结合污染源、保护目标分布情况开展现状调查以留作背景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本项目厂区已硬化，不存在土壤、地下水环境污染途径，因此本项目无需开展环境质量现状调查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环境</w:t>
            </w:r>
          </w:p>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保护</w:t>
            </w:r>
          </w:p>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目标</w:t>
            </w:r>
          </w:p>
        </w:tc>
        <w:tc>
          <w:tcPr>
            <w:tcW w:w="8190" w:type="dxa"/>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根据现场踏勘，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项目区西侧210m为大南沟乌兹别克乡大南沟村，南侧为新疆东方风电新能源有限公司，东侧为木垒县嘉晟能源科技有限公司和空地，北侧为新疆双杰新能源高端装备研发制造基地项目二期预留用地。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本项目环境保护目标情况见表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项目区与周边关系图见附图</w:t>
            </w:r>
            <w:r>
              <w:rPr>
                <w:rFonts w:hint="eastAsia" w:cs="Times New Roman"/>
                <w:color w:val="000000" w:themeColor="text1"/>
                <w:sz w:val="24"/>
                <w:szCs w:val="24"/>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Style w:val="61"/>
              <w:bidi w:val="0"/>
              <w:spacing w:line="240" w:lineRule="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3-4  </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环境保护目标</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分布一览表</w:t>
            </w:r>
          </w:p>
          <w:tbl>
            <w:tblPr>
              <w:tblStyle w:val="24"/>
              <w:tblW w:w="49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40"/>
              <w:gridCol w:w="941"/>
              <w:gridCol w:w="625"/>
              <w:gridCol w:w="833"/>
              <w:gridCol w:w="3095"/>
              <w:gridCol w:w="877"/>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40" w:type="dxa"/>
                  <w:tcBorders>
                    <w:tl2br w:val="nil"/>
                    <w:tr2bl w:val="nil"/>
                  </w:tcBorders>
                  <w:vAlign w:val="center"/>
                </w:tcPr>
                <w:p>
                  <w:pPr>
                    <w:spacing w:line="240" w:lineRule="auto"/>
                    <w:jc w:val="center"/>
                    <w:rPr>
                      <w:rFonts w:hint="default"/>
                      <w:color w:val="000000" w:themeColor="text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环境要素</w:t>
                  </w:r>
                </w:p>
              </w:tc>
              <w:tc>
                <w:tcPr>
                  <w:tcW w:w="941" w:type="dxa"/>
                  <w:tcBorders>
                    <w:tl2br w:val="nil"/>
                    <w:tr2bl w:val="nil"/>
                  </w:tcBorders>
                  <w:vAlign w:val="center"/>
                </w:tcPr>
                <w:p>
                  <w:pPr>
                    <w:spacing w:line="240" w:lineRule="auto"/>
                    <w:jc w:val="center"/>
                    <w:rPr>
                      <w:rFonts w:hint="default"/>
                      <w:color w:val="000000" w:themeColor="text1"/>
                      <w:highlight w:val="none"/>
                      <w:lang w:eastAsia="zh-CN"/>
                      <w14:textFill>
                        <w14:solidFill>
                          <w14:schemeClr w14:val="tx1"/>
                        </w14:solidFill>
                      </w14:textFill>
                    </w:rPr>
                  </w:pPr>
                  <w:r>
                    <w:rPr>
                      <w:b/>
                      <w:bCs/>
                      <w:color w:val="000000" w:themeColor="text1"/>
                      <w:sz w:val="21"/>
                      <w:szCs w:val="21"/>
                      <w:highlight w:val="none"/>
                      <w14:textFill>
                        <w14:solidFill>
                          <w14:schemeClr w14:val="tx1"/>
                        </w14:solidFill>
                      </w14:textFill>
                    </w:rPr>
                    <w:t>环境保护对象名称</w:t>
                  </w:r>
                </w:p>
              </w:tc>
              <w:tc>
                <w:tcPr>
                  <w:tcW w:w="625" w:type="dxa"/>
                  <w:tcBorders>
                    <w:tl2br w:val="nil"/>
                    <w:tr2bl w:val="nil"/>
                  </w:tcBorders>
                  <w:vAlign w:val="center"/>
                </w:tcPr>
                <w:p>
                  <w:pPr>
                    <w:spacing w:line="240" w:lineRule="auto"/>
                    <w:jc w:val="center"/>
                    <w:rPr>
                      <w:rFonts w:hint="default"/>
                      <w:color w:val="000000" w:themeColor="text1"/>
                      <w:highlight w:val="none"/>
                      <w:lang w:eastAsia="zh-CN"/>
                      <w14:textFill>
                        <w14:solidFill>
                          <w14:schemeClr w14:val="tx1"/>
                        </w14:solidFill>
                      </w14:textFill>
                    </w:rPr>
                  </w:pPr>
                  <w:r>
                    <w:rPr>
                      <w:b/>
                      <w:bCs/>
                      <w:color w:val="000000" w:themeColor="text1"/>
                      <w:sz w:val="21"/>
                      <w:szCs w:val="21"/>
                      <w:highlight w:val="none"/>
                      <w14:textFill>
                        <w14:solidFill>
                          <w14:schemeClr w14:val="tx1"/>
                        </w14:solidFill>
                      </w14:textFill>
                    </w:rPr>
                    <w:t>保护对象</w:t>
                  </w:r>
                </w:p>
              </w:tc>
              <w:tc>
                <w:tcPr>
                  <w:tcW w:w="833" w:type="dxa"/>
                  <w:tcBorders>
                    <w:tl2br w:val="nil"/>
                    <w:tr2bl w:val="nil"/>
                  </w:tcBorders>
                  <w:vAlign w:val="center"/>
                </w:tcPr>
                <w:p>
                  <w:pPr>
                    <w:spacing w:line="240" w:lineRule="auto"/>
                    <w:jc w:val="center"/>
                    <w:rPr>
                      <w:rFonts w:hint="default"/>
                      <w:color w:val="000000" w:themeColor="text1"/>
                      <w:highlight w:val="none"/>
                      <w:lang w:val="en-US" w:eastAsia="zh-CN"/>
                      <w14:textFill>
                        <w14:solidFill>
                          <w14:schemeClr w14:val="tx1"/>
                        </w14:solidFill>
                      </w14:textFill>
                    </w:rPr>
                  </w:pPr>
                  <w:r>
                    <w:rPr>
                      <w:b/>
                      <w:bCs/>
                      <w:color w:val="000000" w:themeColor="text1"/>
                      <w:sz w:val="21"/>
                      <w:szCs w:val="21"/>
                      <w:highlight w:val="none"/>
                      <w14:textFill>
                        <w14:solidFill>
                          <w14:schemeClr w14:val="tx1"/>
                        </w14:solidFill>
                      </w14:textFill>
                    </w:rPr>
                    <w:t>保护规模</w:t>
                  </w:r>
                </w:p>
              </w:tc>
              <w:tc>
                <w:tcPr>
                  <w:tcW w:w="3095" w:type="dxa"/>
                  <w:tcBorders>
                    <w:tl2br w:val="nil"/>
                    <w:tr2bl w:val="nil"/>
                  </w:tcBorders>
                  <w:vAlign w:val="center"/>
                </w:tcPr>
                <w:p>
                  <w:pPr>
                    <w:spacing w:line="240" w:lineRule="auto"/>
                    <w:jc w:val="center"/>
                    <w:rPr>
                      <w:rFonts w:hint="eastAsia" w:eastAsia="宋体"/>
                      <w:color w:val="000000" w:themeColor="text1"/>
                      <w:highlight w:val="none"/>
                      <w:lang w:val="en-US" w:eastAsia="zh-CN"/>
                      <w14:textFill>
                        <w14:solidFill>
                          <w14:schemeClr w14:val="tx1"/>
                        </w14:solidFill>
                      </w14:textFill>
                    </w:rPr>
                  </w:pPr>
                  <w:r>
                    <w:rPr>
                      <w:b/>
                      <w:bCs/>
                      <w:color w:val="000000" w:themeColor="text1"/>
                      <w:sz w:val="21"/>
                      <w:szCs w:val="21"/>
                      <w:highlight w:val="none"/>
                      <w14:textFill>
                        <w14:solidFill>
                          <w14:schemeClr w14:val="tx1"/>
                        </w14:solidFill>
                      </w14:textFill>
                    </w:rPr>
                    <w:t>环境</w:t>
                  </w:r>
                  <w:r>
                    <w:rPr>
                      <w:rFonts w:hint="eastAsia"/>
                      <w:b/>
                      <w:bCs/>
                      <w:color w:val="000000" w:themeColor="text1"/>
                      <w:sz w:val="21"/>
                      <w:szCs w:val="21"/>
                      <w:highlight w:val="none"/>
                      <w:lang w:val="en-US" w:eastAsia="zh-CN"/>
                      <w14:textFill>
                        <w14:solidFill>
                          <w14:schemeClr w14:val="tx1"/>
                        </w14:solidFill>
                      </w14:textFill>
                    </w:rPr>
                    <w:t>标准</w:t>
                  </w:r>
                </w:p>
              </w:tc>
              <w:tc>
                <w:tcPr>
                  <w:tcW w:w="877" w:type="dxa"/>
                  <w:tcBorders>
                    <w:tl2br w:val="nil"/>
                    <w:tr2bl w:val="nil"/>
                  </w:tcBorders>
                  <w:vAlign w:val="center"/>
                </w:tcPr>
                <w:p>
                  <w:pPr>
                    <w:spacing w:line="240" w:lineRule="auto"/>
                    <w:jc w:val="center"/>
                    <w:rPr>
                      <w:rFonts w:hint="eastAsia"/>
                      <w:color w:val="000000" w:themeColor="text1"/>
                      <w:highlight w:val="none"/>
                      <w:lang w:val="en-US" w:eastAsia="zh-CN"/>
                      <w14:textFill>
                        <w14:solidFill>
                          <w14:schemeClr w14:val="tx1"/>
                        </w14:solidFill>
                      </w14:textFill>
                    </w:rPr>
                  </w:pPr>
                  <w:r>
                    <w:rPr>
                      <w:b/>
                      <w:bCs/>
                      <w:color w:val="000000" w:themeColor="text1"/>
                      <w:sz w:val="21"/>
                      <w:szCs w:val="21"/>
                      <w:highlight w:val="none"/>
                      <w14:textFill>
                        <w14:solidFill>
                          <w14:schemeClr w14:val="tx1"/>
                        </w14:solidFill>
                      </w14:textFill>
                    </w:rPr>
                    <w:t>相对厂界方位</w:t>
                  </w:r>
                </w:p>
              </w:tc>
              <w:tc>
                <w:tcPr>
                  <w:tcW w:w="715" w:type="dxa"/>
                  <w:tcBorders>
                    <w:tl2br w:val="nil"/>
                    <w:tr2bl w:val="nil"/>
                  </w:tcBorders>
                  <w:vAlign w:val="center"/>
                </w:tcPr>
                <w:p>
                  <w:pPr>
                    <w:spacing w:line="240" w:lineRule="auto"/>
                    <w:jc w:val="center"/>
                    <w:rPr>
                      <w:rFonts w:hint="default"/>
                      <w:color w:val="000000" w:themeColor="text1"/>
                      <w:highlight w:val="none"/>
                      <w:lang w:val="en-US" w:eastAsia="zh-CN"/>
                      <w14:textFill>
                        <w14:solidFill>
                          <w14:schemeClr w14:val="tx1"/>
                        </w14:solidFill>
                      </w14:textFill>
                    </w:rPr>
                  </w:pPr>
                  <w:r>
                    <w:rPr>
                      <w:b/>
                      <w:bCs/>
                      <w:color w:val="000000" w:themeColor="text1"/>
                      <w:sz w:val="21"/>
                      <w:szCs w:val="21"/>
                      <w:highlight w:val="none"/>
                      <w14:textFill>
                        <w14:solidFill>
                          <w14:schemeClr w14:val="tx1"/>
                        </w14:solidFill>
                      </w14:textFill>
                    </w:rPr>
                    <w:t>相对厂界距离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40" w:type="dxa"/>
                  <w:tcBorders>
                    <w:tl2br w:val="nil"/>
                    <w:tr2bl w:val="nil"/>
                  </w:tcBorders>
                  <w:vAlign w:val="center"/>
                </w:tcPr>
                <w:p>
                  <w:pPr>
                    <w:pStyle w:val="64"/>
                    <w:bidi w:val="0"/>
                    <w:ind w:firstLine="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大气环境</w:t>
                  </w:r>
                </w:p>
              </w:tc>
              <w:tc>
                <w:tcPr>
                  <w:tcW w:w="941" w:type="dxa"/>
                  <w:tcBorders>
                    <w:tl2br w:val="nil"/>
                    <w:tr2bl w:val="nil"/>
                  </w:tcBorders>
                  <w:vAlign w:val="center"/>
                </w:tcPr>
                <w:p>
                  <w:pPr>
                    <w:pStyle w:val="64"/>
                    <w:bidi w:val="0"/>
                    <w:ind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大南沟乌兹别克乡大南沟村</w:t>
                  </w:r>
                </w:p>
              </w:tc>
              <w:tc>
                <w:tcPr>
                  <w:tcW w:w="625" w:type="dxa"/>
                  <w:tcBorders>
                    <w:tl2br w:val="nil"/>
                    <w:tr2bl w:val="nil"/>
                  </w:tcBorders>
                  <w:vAlign w:val="center"/>
                </w:tcPr>
                <w:p>
                  <w:pPr>
                    <w:pStyle w:val="64"/>
                    <w:bidi w:val="0"/>
                    <w:ind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村庄</w:t>
                  </w:r>
                </w:p>
              </w:tc>
              <w:tc>
                <w:tcPr>
                  <w:tcW w:w="833" w:type="dxa"/>
                  <w:tcBorders>
                    <w:tl2br w:val="nil"/>
                    <w:tr2bl w:val="nil"/>
                  </w:tcBorders>
                  <w:vAlign w:val="center"/>
                </w:tcPr>
                <w:p>
                  <w:pPr>
                    <w:pStyle w:val="64"/>
                    <w:bidi w:val="0"/>
                    <w:ind w:firstLine="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800人</w:t>
                  </w:r>
                </w:p>
              </w:tc>
              <w:tc>
                <w:tcPr>
                  <w:tcW w:w="3095" w:type="dxa"/>
                  <w:tcBorders>
                    <w:tl2br w:val="nil"/>
                    <w:tr2bl w:val="nil"/>
                  </w:tcBorders>
                  <w:vAlign w:val="center"/>
                </w:tcPr>
                <w:p>
                  <w:pPr>
                    <w:pStyle w:val="64"/>
                    <w:bidi w:val="0"/>
                    <w:ind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《环境空气质量标准》（GB3095-2012）中二级标准</w:t>
                  </w:r>
                </w:p>
              </w:tc>
              <w:tc>
                <w:tcPr>
                  <w:tcW w:w="877" w:type="dxa"/>
                  <w:tcBorders>
                    <w:tl2br w:val="nil"/>
                    <w:tr2bl w:val="nil"/>
                  </w:tcBorders>
                  <w:vAlign w:val="center"/>
                </w:tcPr>
                <w:p>
                  <w:pPr>
                    <w:pStyle w:val="64"/>
                    <w:bidi w:val="0"/>
                    <w:ind w:firstLine="0" w:firstLineChars="0"/>
                    <w:rPr>
                      <w:rFonts w:hint="eastAsia"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西侧</w:t>
                  </w:r>
                </w:p>
              </w:tc>
              <w:tc>
                <w:tcPr>
                  <w:tcW w:w="715" w:type="dxa"/>
                  <w:tcBorders>
                    <w:tl2br w:val="nil"/>
                    <w:tr2bl w:val="nil"/>
                  </w:tcBorders>
                  <w:vAlign w:val="center"/>
                </w:tcPr>
                <w:p>
                  <w:pPr>
                    <w:pStyle w:val="64"/>
                    <w:bidi w:val="0"/>
                    <w:ind w:firstLine="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40" w:type="dxa"/>
                  <w:tcBorders>
                    <w:tl2br w:val="nil"/>
                    <w:tr2bl w:val="nil"/>
                  </w:tcBorders>
                  <w:vAlign w:val="center"/>
                </w:tcPr>
                <w:p>
                  <w:pPr>
                    <w:pStyle w:val="64"/>
                    <w:bidi w:val="0"/>
                    <w:ind w:firstLine="0" w:firstLineChars="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声环境</w:t>
                  </w:r>
                </w:p>
              </w:tc>
              <w:tc>
                <w:tcPr>
                  <w:tcW w:w="2399" w:type="dxa"/>
                  <w:gridSpan w:val="3"/>
                  <w:tcBorders>
                    <w:tl2br w:val="nil"/>
                    <w:tr2bl w:val="nil"/>
                  </w:tcBorders>
                  <w:vAlign w:val="center"/>
                </w:tcPr>
                <w:p>
                  <w:pPr>
                    <w:pStyle w:val="64"/>
                    <w:bidi w:val="0"/>
                    <w:ind w:firstLine="0" w:firstLineChars="0"/>
                    <w:rPr>
                      <w:rFonts w:hint="eastAsia" w:eastAsia="宋体"/>
                      <w:color w:val="000000" w:themeColor="text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项目厂区及厂界外</w:t>
                  </w:r>
                  <w:r>
                    <w:rPr>
                      <w:rFonts w:hint="eastAsia"/>
                      <w:color w:val="000000" w:themeColor="text1"/>
                      <w:sz w:val="21"/>
                      <w:szCs w:val="21"/>
                      <w:highlight w:val="none"/>
                      <w:lang w:val="en-US" w:eastAsia="zh-CN"/>
                      <w14:textFill>
                        <w14:solidFill>
                          <w14:schemeClr w14:val="tx1"/>
                        </w14:solidFill>
                      </w14:textFill>
                    </w:rPr>
                    <w:t>50</w:t>
                  </w:r>
                  <w:r>
                    <w:rPr>
                      <w:color w:val="000000" w:themeColor="text1"/>
                      <w:sz w:val="21"/>
                      <w:szCs w:val="21"/>
                      <w:highlight w:val="none"/>
                      <w14:textFill>
                        <w14:solidFill>
                          <w14:schemeClr w14:val="tx1"/>
                        </w14:solidFill>
                      </w14:textFill>
                    </w:rPr>
                    <w:t>m</w:t>
                  </w:r>
                  <w:r>
                    <w:rPr>
                      <w:rFonts w:hint="eastAsia"/>
                      <w:color w:val="000000" w:themeColor="text1"/>
                      <w:sz w:val="21"/>
                      <w:szCs w:val="21"/>
                      <w:highlight w:val="none"/>
                      <w:lang w:val="en-US" w:eastAsia="zh-CN"/>
                      <w14:textFill>
                        <w14:solidFill>
                          <w14:schemeClr w14:val="tx1"/>
                        </w14:solidFill>
                      </w14:textFill>
                    </w:rPr>
                    <w:t>范围</w:t>
                  </w:r>
                </w:p>
              </w:tc>
              <w:tc>
                <w:tcPr>
                  <w:tcW w:w="3095" w:type="dxa"/>
                  <w:tcBorders>
                    <w:tl2br w:val="nil"/>
                    <w:tr2bl w:val="nil"/>
                  </w:tcBorders>
                  <w:vAlign w:val="center"/>
                </w:tcPr>
                <w:p>
                  <w:pPr>
                    <w:pStyle w:val="64"/>
                    <w:bidi w:val="0"/>
                    <w:ind w:firstLine="0" w:firstLineChars="0"/>
                    <w:rPr>
                      <w:rFonts w:hint="default"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《工业企业厂界环境噪声排放标准》（GB12348-2008）中的</w:t>
                  </w:r>
                  <w:r>
                    <w:rPr>
                      <w:rFonts w:hint="eastAsia" w:cs="Times New Roman"/>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eastAsia="zh-CN"/>
                      <w14:textFill>
                        <w14:solidFill>
                          <w14:schemeClr w14:val="tx1"/>
                        </w14:solidFill>
                      </w14:textFill>
                    </w:rPr>
                    <w:t>类标准</w:t>
                  </w:r>
                </w:p>
              </w:tc>
              <w:tc>
                <w:tcPr>
                  <w:tcW w:w="877" w:type="dxa"/>
                  <w:tcBorders>
                    <w:tl2br w:val="nil"/>
                    <w:tr2bl w:val="nil"/>
                  </w:tcBorders>
                  <w:vAlign w:val="center"/>
                </w:tcPr>
                <w:p>
                  <w:pPr>
                    <w:pStyle w:val="64"/>
                    <w:bidi w:val="0"/>
                    <w:ind w:firstLine="0" w:firstLineChars="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715" w:type="dxa"/>
                  <w:tcBorders>
                    <w:tl2br w:val="nil"/>
                    <w:tr2bl w:val="nil"/>
                  </w:tcBorders>
                  <w:vAlign w:val="center"/>
                </w:tcPr>
                <w:p>
                  <w:pPr>
                    <w:pStyle w:val="64"/>
                    <w:bidi w:val="0"/>
                    <w:ind w:firstLine="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40" w:type="dxa"/>
                  <w:tcBorders>
                    <w:tl2br w:val="nil"/>
                    <w:tr2bl w:val="nil"/>
                  </w:tcBorders>
                  <w:vAlign w:val="center"/>
                </w:tcPr>
                <w:p>
                  <w:pPr>
                    <w:pStyle w:val="64"/>
                    <w:bidi w:val="0"/>
                    <w:ind w:firstLine="0" w:firstLineChars="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土壤环境</w:t>
                  </w:r>
                </w:p>
              </w:tc>
              <w:tc>
                <w:tcPr>
                  <w:tcW w:w="2399" w:type="dxa"/>
                  <w:gridSpan w:val="3"/>
                  <w:tcBorders>
                    <w:tl2br w:val="nil"/>
                    <w:tr2bl w:val="nil"/>
                  </w:tcBorders>
                  <w:vAlign w:val="center"/>
                </w:tcPr>
                <w:p>
                  <w:pPr>
                    <w:pStyle w:val="64"/>
                    <w:bidi w:val="0"/>
                    <w:ind w:firstLine="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项目区范围内及厂址周边</w:t>
                  </w:r>
                </w:p>
              </w:tc>
              <w:tc>
                <w:tcPr>
                  <w:tcW w:w="3095" w:type="dxa"/>
                  <w:tcBorders>
                    <w:tl2br w:val="nil"/>
                    <w:tr2bl w:val="nil"/>
                  </w:tcBorders>
                  <w:vAlign w:val="center"/>
                </w:tcPr>
                <w:p>
                  <w:pPr>
                    <w:pStyle w:val="64"/>
                    <w:bidi w:val="0"/>
                    <w:ind w:firstLine="0" w:firstLineChars="0"/>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877" w:type="dxa"/>
                  <w:tcBorders>
                    <w:tl2br w:val="nil"/>
                    <w:tr2bl w:val="nil"/>
                  </w:tcBorders>
                  <w:vAlign w:val="center"/>
                </w:tcPr>
                <w:p>
                  <w:pPr>
                    <w:bidi w:val="0"/>
                    <w:ind w:firstLine="0" w:firstLineChars="0"/>
                    <w:rPr>
                      <w:color w:val="000000" w:themeColor="text1"/>
                      <w:sz w:val="21"/>
                      <w:szCs w:val="2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715" w:type="dxa"/>
                  <w:tcBorders>
                    <w:tl2br w:val="nil"/>
                    <w:tr2bl w:val="nil"/>
                  </w:tcBorders>
                  <w:vAlign w:val="center"/>
                </w:tcPr>
                <w:p>
                  <w:pPr>
                    <w:bidi w:val="0"/>
                    <w:ind w:firstLine="0" w:firstLineChars="0"/>
                    <w:rPr>
                      <w:color w:val="000000" w:themeColor="text1"/>
                      <w:sz w:val="21"/>
                      <w:szCs w:val="2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40" w:type="dxa"/>
                  <w:tcBorders>
                    <w:tl2br w:val="nil"/>
                    <w:tr2bl w:val="nil"/>
                  </w:tcBorders>
                  <w:vAlign w:val="center"/>
                </w:tcPr>
                <w:p>
                  <w:pPr>
                    <w:pStyle w:val="64"/>
                    <w:bidi w:val="0"/>
                    <w:ind w:firstLine="0" w:firstLineChars="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地下水</w:t>
                  </w:r>
                  <w:r>
                    <w:rPr>
                      <w:rFonts w:hint="eastAsia" w:cs="Times New Roman"/>
                      <w:color w:val="000000" w:themeColor="text1"/>
                      <w:highlight w:val="none"/>
                      <w:lang w:val="en-US" w:eastAsia="zh-CN"/>
                      <w14:textFill>
                        <w14:solidFill>
                          <w14:schemeClr w14:val="tx1"/>
                        </w14:solidFill>
                      </w14:textFill>
                    </w:rPr>
                    <w:t>环境</w:t>
                  </w:r>
                </w:p>
              </w:tc>
              <w:tc>
                <w:tcPr>
                  <w:tcW w:w="2399" w:type="dxa"/>
                  <w:gridSpan w:val="3"/>
                  <w:tcBorders>
                    <w:tl2br w:val="nil"/>
                    <w:tr2bl w:val="nil"/>
                  </w:tcBorders>
                  <w:vAlign w:val="center"/>
                </w:tcPr>
                <w:p>
                  <w:pPr>
                    <w:spacing w:line="240" w:lineRule="auto"/>
                    <w:jc w:val="center"/>
                    <w:rPr>
                      <w:rFonts w:hint="eastAsia"/>
                      <w:color w:val="000000" w:themeColor="text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厂址区域内及周边地下水</w:t>
                  </w:r>
                </w:p>
              </w:tc>
              <w:tc>
                <w:tcPr>
                  <w:tcW w:w="3095" w:type="dxa"/>
                  <w:tcBorders>
                    <w:tl2br w:val="nil"/>
                    <w:tr2bl w:val="nil"/>
                  </w:tcBorders>
                  <w:vAlign w:val="center"/>
                </w:tcPr>
                <w:p>
                  <w:pPr>
                    <w:pStyle w:val="64"/>
                    <w:bidi w:val="0"/>
                    <w:ind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《地下水质量标准》（</w:t>
                  </w:r>
                  <w:r>
                    <w:rPr>
                      <w:rFonts w:hint="eastAsia"/>
                      <w:color w:val="000000" w:themeColor="text1"/>
                      <w:highlight w:val="none"/>
                      <w:lang w:val="en-US" w:eastAsia="zh-CN"/>
                      <w14:textFill>
                        <w14:solidFill>
                          <w14:schemeClr w14:val="tx1"/>
                        </w14:solidFill>
                      </w14:textFill>
                    </w:rPr>
                    <w:t>GB/T 14848-2</w:t>
                  </w:r>
                  <w:r>
                    <w:rPr>
                      <w:rFonts w:hint="default"/>
                      <w:color w:val="000000" w:themeColor="text1"/>
                      <w:highlight w:val="none"/>
                      <w:lang w:val="en-US" w:eastAsia="zh-CN"/>
                      <w14:textFill>
                        <w14:solidFill>
                          <w14:schemeClr w14:val="tx1"/>
                        </w14:solidFill>
                      </w14:textFill>
                    </w:rPr>
                    <w:t>017</w:t>
                  </w:r>
                  <w:r>
                    <w:rPr>
                      <w:rFonts w:hint="default"/>
                      <w:color w:val="000000" w:themeColor="text1"/>
                      <w:highlight w:val="none"/>
                      <w:lang w:eastAsia="zh-CN"/>
                      <w14:textFill>
                        <w14:solidFill>
                          <w14:schemeClr w14:val="tx1"/>
                        </w14:solidFill>
                      </w14:textFill>
                    </w:rPr>
                    <w:t>）Ⅲ</w:t>
                  </w:r>
                  <w:r>
                    <w:rPr>
                      <w:rFonts w:hint="default"/>
                      <w:color w:val="000000" w:themeColor="text1"/>
                      <w:highlight w:val="none"/>
                      <w:lang w:val="en-US" w:eastAsia="zh-CN"/>
                      <w14:textFill>
                        <w14:solidFill>
                          <w14:schemeClr w14:val="tx1"/>
                        </w14:solidFill>
                      </w14:textFill>
                    </w:rPr>
                    <w:t>类标准</w:t>
                  </w:r>
                </w:p>
              </w:tc>
              <w:tc>
                <w:tcPr>
                  <w:tcW w:w="877" w:type="dxa"/>
                  <w:tcBorders>
                    <w:tl2br w:val="nil"/>
                    <w:tr2bl w:val="nil"/>
                  </w:tcBorders>
                  <w:vAlign w:val="center"/>
                </w:tcPr>
                <w:p>
                  <w:pPr>
                    <w:pStyle w:val="64"/>
                    <w:bidi w:val="0"/>
                    <w:ind w:firstLine="0" w:firstLineChars="0"/>
                    <w:rPr>
                      <w:rFonts w:hint="eastAsia" w:eastAsia="宋体" w:cs="Times New Roman"/>
                      <w:color w:val="000000" w:themeColor="text1"/>
                      <w:highlight w:val="none"/>
                      <w:lang w:val="en-US" w:eastAsia="zh-CN"/>
                      <w14:textFill>
                        <w14:solidFill>
                          <w14:schemeClr w14:val="tx1"/>
                        </w14:solidFill>
                      </w14:textFill>
                    </w:rPr>
                  </w:pPr>
                  <w:r>
                    <w:rPr>
                      <w:rFonts w:hint="eastAsia" w:eastAsia="宋体" w:cs="Times New Roman"/>
                      <w:color w:val="000000" w:themeColor="text1"/>
                      <w:highlight w:val="none"/>
                      <w:lang w:val="en-US" w:eastAsia="zh-CN"/>
                      <w14:textFill>
                        <w14:solidFill>
                          <w14:schemeClr w14:val="tx1"/>
                        </w14:solidFill>
                      </w14:textFill>
                    </w:rPr>
                    <w:t>/</w:t>
                  </w:r>
                </w:p>
              </w:tc>
              <w:tc>
                <w:tcPr>
                  <w:tcW w:w="715" w:type="dxa"/>
                  <w:tcBorders>
                    <w:tl2br w:val="nil"/>
                    <w:tr2bl w:val="nil"/>
                  </w:tcBorders>
                  <w:vAlign w:val="center"/>
                </w:tcPr>
                <w:p>
                  <w:pPr>
                    <w:pStyle w:val="64"/>
                    <w:bidi w:val="0"/>
                    <w:ind w:firstLine="0" w:firstLineChars="0"/>
                    <w:rPr>
                      <w:rFonts w:hint="eastAsia" w:eastAsia="宋体" w:cs="Times New Roman"/>
                      <w:color w:val="000000" w:themeColor="text1"/>
                      <w:highlight w:val="none"/>
                      <w:lang w:val="en-US" w:eastAsia="zh-CN"/>
                      <w14:textFill>
                        <w14:solidFill>
                          <w14:schemeClr w14:val="tx1"/>
                        </w14:solidFill>
                      </w14:textFill>
                    </w:rPr>
                  </w:pPr>
                  <w:r>
                    <w:rPr>
                      <w:rFonts w:hint="eastAsia" w:eastAsia="宋体" w:cs="Times New Roman"/>
                      <w:color w:val="000000" w:themeColor="text1"/>
                      <w:highlight w:val="none"/>
                      <w:lang w:val="en-US" w:eastAsia="zh-CN"/>
                      <w14:textFill>
                        <w14:solidFill>
                          <w14:schemeClr w14:val="tx1"/>
                        </w14:solidFill>
                      </w14:textFill>
                    </w:rPr>
                    <w:t>/</w:t>
                  </w:r>
                </w:p>
              </w:tc>
            </w:tr>
          </w:tbl>
          <w:p>
            <w:pPr>
              <w:adjustRightInd w:val="0"/>
              <w:snapToGrid w:val="0"/>
              <w:jc w:val="center"/>
              <w:rPr>
                <w:rFonts w:ascii="宋体" w:hAnsi="宋体" w:cs="宋体"/>
                <w:color w:val="000000" w:themeColor="text1"/>
                <w:kern w:val="0"/>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污染</w:t>
            </w:r>
          </w:p>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物排</w:t>
            </w:r>
          </w:p>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放控</w:t>
            </w:r>
          </w:p>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制标</w:t>
            </w:r>
          </w:p>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准</w:t>
            </w:r>
          </w:p>
        </w:tc>
        <w:tc>
          <w:tcPr>
            <w:tcW w:w="8190" w:type="dxa"/>
            <w:vAlign w:val="center"/>
          </w:tcPr>
          <w:p>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1、大气</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（1）施工期：《大气污染物综合排放标准》（GB</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16297-1996）表2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无组织排放监控浓度限值：周界外浓度最高点限值要求：1.0mg/m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（2）运营期：项目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有组织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颗粒物执行《大气污染物综合排放标准》(GB16297-1996)二级标准浓度限值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（允许排放浓度值120mg/m³，20米排气筒最高允许排放速率5.9kg/h），无组织颗粒物执行《大气污染物综合排放标准》(GB16297-1996)表2新污染源大气污染物排放限值（厂界外浓度最高点1.0mg/m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有机废气有组织排放标准参照执行《大气污染物综合排放标准》(GB16297-1996)二级标准浓度限值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允许排放浓度值120mg/m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，20米排气筒最高允许排放速率17kg/h</w:t>
            </w:r>
            <w:r>
              <w:rPr>
                <w:rFonts w:hint="eastAsia" w:cs="Times New Roman"/>
                <w:color w:val="000000" w:themeColor="text1"/>
                <w:sz w:val="24"/>
                <w:szCs w:val="24"/>
                <w:highlight w:val="none"/>
                <w:lang w:val="en-US" w:eastAsia="zh-CN"/>
                <w14:textFill>
                  <w14:solidFill>
                    <w14:schemeClr w14:val="tx1"/>
                  </w14:solidFill>
                </w14:textFill>
              </w:rPr>
              <w:t>，甲苯</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允许排放浓度值</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，20米排气筒最高允许排放速率</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kg/h</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，二</w:t>
            </w:r>
            <w:r>
              <w:rPr>
                <w:rFonts w:hint="eastAsia" w:cs="Times New Roman"/>
                <w:color w:val="000000" w:themeColor="text1"/>
                <w:sz w:val="24"/>
                <w:szCs w:val="24"/>
                <w:highlight w:val="none"/>
                <w:lang w:val="en-US" w:eastAsia="zh-CN"/>
                <w14:textFill>
                  <w14:solidFill>
                    <w14:schemeClr w14:val="tx1"/>
                  </w14:solidFill>
                </w14:textFill>
              </w:rPr>
              <w:t>甲苯</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允许排放浓度值</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70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，20米排气筒最高允许排放速率1</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7kg/h)</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。有机废气</w:t>
            </w:r>
            <w:r>
              <w:rPr>
                <w:rFonts w:hint="eastAsia" w:cs="Times New Roman"/>
                <w:color w:val="000000" w:themeColor="text1"/>
                <w:sz w:val="24"/>
                <w:szCs w:val="24"/>
                <w:highlight w:val="none"/>
                <w:lang w:val="en-US" w:eastAsia="zh-CN"/>
                <w14:textFill>
                  <w14:solidFill>
                    <w14:schemeClr w14:val="tx1"/>
                  </w14:solidFill>
                </w14:textFill>
              </w:rPr>
              <w:t>VOCs</w:t>
            </w:r>
            <w:r>
              <w:rPr>
                <w:rFonts w:hint="eastAsia" w:eastAsia="宋体" w:cs="Times New Roman"/>
                <w:color w:val="000000" w:themeColor="text1"/>
                <w:sz w:val="24"/>
                <w:szCs w:val="24"/>
                <w:highlight w:val="none"/>
                <w:lang w:val="en-US" w:eastAsia="zh-CN"/>
                <w14:textFill>
                  <w14:solidFill>
                    <w14:schemeClr w14:val="tx1"/>
                  </w14:solidFill>
                </w14:textFill>
              </w:rPr>
              <w:t>厂界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无组织排放执行《挥发性有机物无组织排放控制标准》(GB37822-2019)附录A中的厂区内</w:t>
            </w:r>
            <w:r>
              <w:rPr>
                <w:rFonts w:hint="eastAsia" w:cs="Times New Roman"/>
                <w:color w:val="000000" w:themeColor="text1"/>
                <w:sz w:val="24"/>
                <w:szCs w:val="24"/>
                <w:highlight w:val="none"/>
                <w:lang w:val="en-US" w:eastAsia="zh-CN"/>
                <w14:textFill>
                  <w14:solidFill>
                    <w14:schemeClr w14:val="tx1"/>
                  </w14:solidFill>
                </w14:textFill>
              </w:rPr>
              <w:t>VOCs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浓度排放限值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（在厂房外监控点处任意一次浓度值</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0mg/m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表3-5废气有组织排放标准(单位：mg/m</w:t>
            </w:r>
            <w:r>
              <w:rPr>
                <w:rFonts w:hint="eastAsia" w:cs="Times New Roman"/>
                <w:b/>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w:t>
            </w:r>
          </w:p>
          <w:tbl>
            <w:tblPr>
              <w:tblStyle w:val="69"/>
              <w:tblW w:w="791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2"/>
              <w:gridCol w:w="1284"/>
              <w:gridCol w:w="1619"/>
              <w:gridCol w:w="1889"/>
              <w:gridCol w:w="20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110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工艺设施</w:t>
                  </w:r>
                </w:p>
              </w:tc>
              <w:tc>
                <w:tcPr>
                  <w:tcW w:w="12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控制项目</w:t>
                  </w:r>
                </w:p>
              </w:tc>
              <w:tc>
                <w:tcPr>
                  <w:tcW w:w="161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允许排放浓度值 (mg/m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188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最高允许排放速率</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(kg/h)</w:t>
                  </w:r>
                </w:p>
              </w:tc>
              <w:tc>
                <w:tcPr>
                  <w:tcW w:w="2024"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标准名称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0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抛丸除锈</w:t>
                  </w:r>
                  <w:r>
                    <w:rPr>
                      <w:rFonts w:hint="eastAsia" w:cs="Times New Roman"/>
                      <w:color w:val="000000" w:themeColor="text1"/>
                      <w:sz w:val="21"/>
                      <w:szCs w:val="21"/>
                      <w:highlight w:val="none"/>
                      <w:vertAlign w:val="baseline"/>
                      <w:lang w:val="en-US" w:eastAsia="zh-CN"/>
                      <w14:textFill>
                        <w14:solidFill>
                          <w14:schemeClr w14:val="tx1"/>
                        </w14:solidFill>
                      </w14:textFill>
                    </w:rPr>
                    <w:t>等工序</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粉尘</w:t>
                  </w:r>
                </w:p>
              </w:tc>
              <w:tc>
                <w:tcPr>
                  <w:tcW w:w="12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颗粒物</w:t>
                  </w:r>
                </w:p>
              </w:tc>
              <w:tc>
                <w:tcPr>
                  <w:tcW w:w="1619"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120</w:t>
                  </w:r>
                </w:p>
              </w:tc>
              <w:tc>
                <w:tcPr>
                  <w:tcW w:w="1889"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5.9(20米排气筒)</w:t>
                  </w:r>
                </w:p>
              </w:tc>
              <w:tc>
                <w:tcPr>
                  <w:tcW w:w="2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《大气污染物综合排放标准》(GB16297-1996)表2新污染源大气污染物排放限值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0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食堂油烟</w:t>
                  </w:r>
                </w:p>
              </w:tc>
              <w:tc>
                <w:tcPr>
                  <w:tcW w:w="12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油烟</w:t>
                  </w:r>
                </w:p>
              </w:tc>
              <w:tc>
                <w:tcPr>
                  <w:tcW w:w="1619"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c>
                <w:tcPr>
                  <w:tcW w:w="1889"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2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《饮食业油烟</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排放标准》(试行)</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(GB18483-2001)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02"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喷漆、烘干产生的VOCs、甲苯、二甲苯、颗粒物（漆雾）</w:t>
                  </w:r>
                </w:p>
              </w:tc>
              <w:tc>
                <w:tcPr>
                  <w:tcW w:w="12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VOCs</w:t>
                  </w:r>
                </w:p>
              </w:tc>
              <w:tc>
                <w:tcPr>
                  <w:tcW w:w="1619"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120</w:t>
                  </w:r>
                </w:p>
              </w:tc>
              <w:tc>
                <w:tcPr>
                  <w:tcW w:w="1889"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17(20米排气筒)</w:t>
                  </w:r>
                </w:p>
              </w:tc>
              <w:tc>
                <w:tcPr>
                  <w:tcW w:w="2024"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《大气污染物综合排放标准》(GB16297-1996)</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表2新污染源大气污染物排放限值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02"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2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甲苯</w:t>
                  </w:r>
                </w:p>
              </w:tc>
              <w:tc>
                <w:tcPr>
                  <w:tcW w:w="1619"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40</w:t>
                  </w:r>
                </w:p>
              </w:tc>
              <w:tc>
                <w:tcPr>
                  <w:tcW w:w="1889"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5.2</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(20米排气筒)</w:t>
                  </w:r>
                </w:p>
              </w:tc>
              <w:tc>
                <w:tcPr>
                  <w:tcW w:w="2024"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02"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2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二甲苯</w:t>
                  </w:r>
                </w:p>
              </w:tc>
              <w:tc>
                <w:tcPr>
                  <w:tcW w:w="1619"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70</w:t>
                  </w:r>
                </w:p>
              </w:tc>
              <w:tc>
                <w:tcPr>
                  <w:tcW w:w="1889"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1.7</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(20米排气筒)</w:t>
                  </w:r>
                </w:p>
              </w:tc>
              <w:tc>
                <w:tcPr>
                  <w:tcW w:w="2024"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02"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28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颗粒物</w:t>
                  </w:r>
                </w:p>
              </w:tc>
              <w:tc>
                <w:tcPr>
                  <w:tcW w:w="1619"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120</w:t>
                  </w:r>
                </w:p>
              </w:tc>
              <w:tc>
                <w:tcPr>
                  <w:tcW w:w="1889"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5.9(20米排气筒)</w:t>
                  </w:r>
                </w:p>
              </w:tc>
              <w:tc>
                <w:tcPr>
                  <w:tcW w:w="2024"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表3-6  废气无组织排放标准(单位：mg/m</w:t>
            </w:r>
            <w:r>
              <w:rPr>
                <w:rFonts w:hint="eastAsia" w:cs="Times New Roman"/>
                <w:b/>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w:t>
            </w:r>
          </w:p>
          <w:tbl>
            <w:tblPr>
              <w:tblStyle w:val="69"/>
              <w:tblW w:w="7898"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5"/>
              <w:gridCol w:w="1067"/>
              <w:gridCol w:w="817"/>
              <w:gridCol w:w="1466"/>
              <w:gridCol w:w="1206"/>
              <w:gridCol w:w="2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3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控制项目</w:t>
                  </w:r>
                </w:p>
              </w:tc>
              <w:tc>
                <w:tcPr>
                  <w:tcW w:w="106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排放限值</w:t>
                  </w:r>
                </w:p>
              </w:tc>
              <w:tc>
                <w:tcPr>
                  <w:tcW w:w="81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特别排 放限值</w:t>
                  </w:r>
                </w:p>
              </w:tc>
              <w:tc>
                <w:tcPr>
                  <w:tcW w:w="146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限值意义</w:t>
                  </w:r>
                </w:p>
              </w:tc>
              <w:tc>
                <w:tcPr>
                  <w:tcW w:w="120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无组织排放</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监控位置</w:t>
                  </w:r>
                </w:p>
              </w:tc>
              <w:tc>
                <w:tcPr>
                  <w:tcW w:w="230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标准名称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35"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NMHC</w:t>
                  </w:r>
                </w:p>
              </w:tc>
              <w:tc>
                <w:tcPr>
                  <w:tcW w:w="106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81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w:t>
                  </w:r>
                </w:p>
              </w:tc>
              <w:tc>
                <w:tcPr>
                  <w:tcW w:w="146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监控点处1h平 均浓度值</w:t>
                  </w:r>
                </w:p>
              </w:tc>
              <w:tc>
                <w:tcPr>
                  <w:tcW w:w="1206"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在厂房外设</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置监控点</w:t>
                  </w:r>
                </w:p>
              </w:tc>
              <w:tc>
                <w:tcPr>
                  <w:tcW w:w="2307"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《挥发性有机物无组织</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排放控制标准》</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(GB37822-2019)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35"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06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w:t>
                  </w:r>
                </w:p>
              </w:tc>
              <w:tc>
                <w:tcPr>
                  <w:tcW w:w="81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c>
                <w:tcPr>
                  <w:tcW w:w="146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监控点处任意 一次浓度值</w:t>
                  </w:r>
                </w:p>
              </w:tc>
              <w:tc>
                <w:tcPr>
                  <w:tcW w:w="1206"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307"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3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颗粒物</w:t>
                  </w:r>
                </w:p>
              </w:tc>
              <w:tc>
                <w:tcPr>
                  <w:tcW w:w="106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81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146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120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厂界外浓度 最高点</w:t>
                  </w:r>
                </w:p>
              </w:tc>
              <w:tc>
                <w:tcPr>
                  <w:tcW w:w="230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《大气污染物综合排放</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标准》(GB16297-1996)</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表2新污染源大气污染物</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排放限值</w:t>
                  </w:r>
                </w:p>
              </w:tc>
            </w:tr>
          </w:tbl>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食堂执行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饮食业油烟排放标准（试行）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》（GB18483-2001）最高允许排放浓度，具体排放限值见表3-</w:t>
            </w:r>
            <w:r>
              <w:rPr>
                <w:rFonts w:hint="eastAsia"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Style w:val="65"/>
              <w:spacing w:line="240" w:lineRule="auto"/>
              <w:ind w:left="0" w:leftChars="0" w:firstLine="0" w:firstLineChars="0"/>
              <w:jc w:val="center"/>
              <w:rPr>
                <w:rFonts w:hint="default"/>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表3-</w:t>
            </w:r>
            <w:r>
              <w:rPr>
                <w:rFonts w:hint="eastAsia" w:cs="Times New Roman"/>
                <w:b/>
                <w:bCs/>
                <w:color w:val="000000" w:themeColor="text1"/>
                <w:sz w:val="21"/>
                <w:szCs w:val="21"/>
                <w:highlight w:val="none"/>
                <w:lang w:val="en-US" w:eastAsia="zh-CN"/>
                <w14:textFill>
                  <w14:solidFill>
                    <w14:schemeClr w14:val="tx1"/>
                  </w14:solidFill>
                </w14:textFill>
              </w:rPr>
              <w:t>7</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eastAsia" w:cs="Times New Roman"/>
                <w:b/>
                <w:bCs/>
                <w:color w:val="000000" w:themeColor="text1"/>
                <w:sz w:val="21"/>
                <w:szCs w:val="21"/>
                <w:highlight w:val="none"/>
                <w:lang w:val="en-US" w:eastAsia="zh-CN"/>
                <w14:textFill>
                  <w14:solidFill>
                    <w14:schemeClr w14:val="tx1"/>
                  </w14:solidFill>
                </w14:textFill>
              </w:rPr>
              <w:t>饮食业油烟排放标准（试行）</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》（GB18483-2001）</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最高允许排放速率</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5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7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污染物</w:t>
                  </w:r>
                </w:p>
              </w:tc>
              <w:tc>
                <w:tcPr>
                  <w:tcW w:w="52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限值（</w:t>
                  </w:r>
                  <w:r>
                    <w:rPr>
                      <w:rFonts w:hint="eastAsia"/>
                      <w:b/>
                      <w:bCs/>
                      <w:color w:val="000000" w:themeColor="text1"/>
                      <w:sz w:val="21"/>
                      <w:szCs w:val="21"/>
                      <w:highlight w:val="none"/>
                      <w14:textFill>
                        <w14:solidFill>
                          <w14:schemeClr w14:val="tx1"/>
                        </w14:solidFill>
                      </w14:textFill>
                    </w:rPr>
                    <w:t>mg/m</w:t>
                  </w:r>
                  <w:r>
                    <w:rPr>
                      <w:rFonts w:hint="eastAsia"/>
                      <w:b/>
                      <w:bCs/>
                      <w:color w:val="000000" w:themeColor="text1"/>
                      <w:sz w:val="21"/>
                      <w:szCs w:val="21"/>
                      <w:highlight w:val="none"/>
                      <w:vertAlign w:val="superscript"/>
                      <w14:textFill>
                        <w14:solidFill>
                          <w14:schemeClr w14:val="tx1"/>
                        </w14:solidFill>
                      </w14:textFill>
                    </w:rPr>
                    <w:t>3</w:t>
                  </w:r>
                  <w:r>
                    <w:rPr>
                      <w:rFonts w:hint="eastAsia"/>
                      <w:b/>
                      <w:bCs/>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油烟</w:t>
                  </w:r>
                </w:p>
              </w:tc>
              <w:tc>
                <w:tcPr>
                  <w:tcW w:w="52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2.0</w:t>
                  </w:r>
                </w:p>
              </w:tc>
            </w:tr>
          </w:tbl>
          <w:p>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2、废水</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项目食堂废水经隔油池处理后和生活污水一并进入园区下水管网，废水执行 《污水综合排放标准》(GB8978-1996)表4中三级标准。项目排放标准</w:t>
            </w:r>
            <w:r>
              <w:rPr>
                <w:rFonts w:hint="eastAsia" w:cs="Times New Roman"/>
                <w:color w:val="000000" w:themeColor="text1"/>
                <w:sz w:val="24"/>
                <w:highlight w:val="none"/>
                <w:lang w:val="en-US" w:eastAsia="zh-CN"/>
                <w14:textFill>
                  <w14:solidFill>
                    <w14:schemeClr w14:val="tx1"/>
                  </w14:solidFill>
                </w14:textFill>
              </w:rPr>
              <w:t>限值</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见表3-8。</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表3-8  废水排放标准</w:t>
            </w:r>
          </w:p>
          <w:tbl>
            <w:tblPr>
              <w:tblStyle w:val="69"/>
              <w:tblW w:w="8306" w:type="dxa"/>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
              <w:gridCol w:w="819"/>
              <w:gridCol w:w="739"/>
              <w:gridCol w:w="842"/>
              <w:gridCol w:w="888"/>
              <w:gridCol w:w="41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85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指标</w:t>
                  </w:r>
                </w:p>
              </w:tc>
              <w:tc>
                <w:tcPr>
                  <w:tcW w:w="81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pH</w:t>
                  </w:r>
                </w:p>
              </w:tc>
              <w:tc>
                <w:tcPr>
                  <w:tcW w:w="73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COD</w:t>
                  </w:r>
                </w:p>
              </w:tc>
              <w:tc>
                <w:tcPr>
                  <w:tcW w:w="84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BOD</w:t>
                  </w:r>
                  <w:r>
                    <w:rPr>
                      <w:rFonts w:hint="eastAsia" w:cs="Times New Roman"/>
                      <w:b/>
                      <w:bCs/>
                      <w:color w:val="000000" w:themeColor="text1"/>
                      <w:sz w:val="21"/>
                      <w:szCs w:val="21"/>
                      <w:highlight w:val="none"/>
                      <w:vertAlign w:val="subscript"/>
                      <w:lang w:val="en-US" w:eastAsia="zh-CN"/>
                      <w14:textFill>
                        <w14:solidFill>
                          <w14:schemeClr w14:val="tx1"/>
                        </w14:solidFill>
                      </w14:textFill>
                    </w:rPr>
                    <w:t>5</w:t>
                  </w:r>
                </w:p>
              </w:tc>
              <w:tc>
                <w:tcPr>
                  <w:tcW w:w="88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SS</w:t>
                  </w:r>
                </w:p>
              </w:tc>
              <w:tc>
                <w:tcPr>
                  <w:tcW w:w="416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NH</w:t>
                  </w:r>
                  <w:r>
                    <w:rPr>
                      <w:rFonts w:hint="eastAsia" w:cs="Times New Roman"/>
                      <w:b/>
                      <w:bCs/>
                      <w:color w:val="000000" w:themeColor="text1"/>
                      <w:sz w:val="21"/>
                      <w:szCs w:val="21"/>
                      <w:highlight w:val="none"/>
                      <w:vertAlign w:val="subscript"/>
                      <w:lang w:val="en-US" w:eastAsia="zh-CN"/>
                      <w14:textFill>
                        <w14:solidFill>
                          <w14:schemeClr w14:val="tx1"/>
                        </w14:solidFill>
                      </w14:textFill>
                    </w:rPr>
                    <w:t>3</w:t>
                  </w: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5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综排三级标准</w:t>
                  </w:r>
                </w:p>
              </w:tc>
              <w:tc>
                <w:tcPr>
                  <w:tcW w:w="81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6~9</w:t>
                  </w:r>
                </w:p>
              </w:tc>
              <w:tc>
                <w:tcPr>
                  <w:tcW w:w="73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≤500</w:t>
                  </w:r>
                </w:p>
              </w:tc>
              <w:tc>
                <w:tcPr>
                  <w:tcW w:w="84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≤300</w:t>
                  </w:r>
                </w:p>
              </w:tc>
              <w:tc>
                <w:tcPr>
                  <w:tcW w:w="88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≤400</w:t>
                  </w:r>
                </w:p>
              </w:tc>
              <w:tc>
                <w:tcPr>
                  <w:tcW w:w="416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氨氮参照《</w:t>
                  </w:r>
                  <w:r>
                    <w:rPr>
                      <w:rFonts w:hint="eastAsia" w:cs="Times New Roman"/>
                      <w:b w:val="0"/>
                      <w:bCs w:val="0"/>
                      <w:color w:val="000000" w:themeColor="text1"/>
                      <w:sz w:val="21"/>
                      <w:szCs w:val="21"/>
                      <w:highlight w:val="none"/>
                      <w:lang w:eastAsia="zh-CN"/>
                      <w14:textFill>
                        <w14:solidFill>
                          <w14:schemeClr w14:val="tx1"/>
                        </w14:solidFill>
                      </w14:textFill>
                    </w:rPr>
                    <w:t>污水排入城镇下水道水质标准</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eastAsia" w:cs="Times New Roman"/>
                      <w:b w:val="0"/>
                      <w:bCs w:val="0"/>
                      <w:color w:val="000000" w:themeColor="text1"/>
                      <w:sz w:val="21"/>
                      <w:szCs w:val="21"/>
                      <w:highlight w:val="none"/>
                      <w:lang w:eastAsia="zh-CN"/>
                      <w14:textFill>
                        <w14:solidFill>
                          <w14:schemeClr w14:val="tx1"/>
                        </w14:solidFill>
                      </w14:textFill>
                    </w:rPr>
                    <w:t>GB/T 31962-2015</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）中氨氮排放标准（</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45</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p>
              </w:tc>
            </w:tr>
          </w:tbl>
          <w:p>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3、噪声</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color w:val="000000" w:themeColor="text1"/>
                <w:sz w:val="24"/>
                <w:highlight w:val="none"/>
                <w14:textFill>
                  <w14:solidFill>
                    <w14:schemeClr w14:val="tx1"/>
                  </w14:solidFill>
                </w14:textFill>
              </w:rPr>
              <w:t>施工期</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执行《建筑施工场界环境噪声排放标准》（GB12523-2011）</w:t>
            </w:r>
            <w:r>
              <w:rPr>
                <w:rFonts w:hint="eastAsia"/>
                <w:color w:val="000000" w:themeColor="text1"/>
                <w:sz w:val="24"/>
                <w:highlight w:val="none"/>
                <w:lang w:eastAsia="zh-CN"/>
                <w14:textFill>
                  <w14:solidFill>
                    <w14:schemeClr w14:val="tx1"/>
                  </w14:solidFill>
                </w14:textFill>
              </w:rPr>
              <w:t>；</w:t>
            </w:r>
          </w:p>
          <w:p>
            <w:pPr>
              <w:spacing w:line="240" w:lineRule="auto"/>
              <w:jc w:val="cente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表</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3-</w:t>
            </w:r>
            <w:r>
              <w:rPr>
                <w:rFonts w:hint="eastAsia" w:cs="Times New Roman"/>
                <w:b/>
                <w:bCs/>
                <w:color w:val="000000" w:themeColor="text1"/>
                <w:sz w:val="21"/>
                <w:szCs w:val="21"/>
                <w:highlight w:val="none"/>
                <w:lang w:val="en-US" w:eastAsia="zh-CN"/>
                <w14:textFill>
                  <w14:solidFill>
                    <w14:schemeClr w14:val="tx1"/>
                  </w14:solidFill>
                </w14:textFill>
              </w:rPr>
              <w:t>9</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 xml:space="preserve"> </w:t>
            </w:r>
            <w:r>
              <w:rPr>
                <w:rFonts w:ascii="Times New Roman" w:hAnsi="Times New Roman" w:cs="Times New Roman"/>
                <w:b/>
                <w:bCs/>
                <w:color w:val="000000" w:themeColor="text1"/>
                <w:sz w:val="21"/>
                <w:szCs w:val="21"/>
                <w:highlight w:val="none"/>
                <w14:textFill>
                  <w14:solidFill>
                    <w14:schemeClr w14:val="tx1"/>
                  </w14:solidFill>
                </w14:textFill>
              </w:rPr>
              <w:t xml:space="preserve"> 《建筑施工场界环境噪声排放标准》(GB12523-2011)</w:t>
            </w:r>
            <w:r>
              <w:rPr>
                <w:rFonts w:hint="eastAsia" w:ascii="Times New Roman" w:hAnsi="Times New Roman" w:cs="Times New Roman"/>
                <w:b/>
                <w:bCs/>
                <w:color w:val="000000" w:themeColor="text1"/>
                <w:sz w:val="21"/>
                <w:szCs w:val="21"/>
                <w:highlight w:val="none"/>
                <w:lang w:eastAsia="zh-CN"/>
                <w14:textFill>
                  <w14:solidFill>
                    <w14:schemeClr w14:val="tx1"/>
                  </w14:solidFill>
                </w14:textFill>
              </w:rPr>
              <w:t>节选</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0"/>
              <w:gridCol w:w="3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9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昼间dB（A）</w:t>
                  </w:r>
                </w:p>
              </w:tc>
              <w:tc>
                <w:tcPr>
                  <w:tcW w:w="39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70</w:t>
                  </w:r>
                </w:p>
              </w:tc>
              <w:tc>
                <w:tcPr>
                  <w:tcW w:w="39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55</w:t>
                  </w:r>
                </w:p>
              </w:tc>
            </w:tr>
          </w:tbl>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color w:val="000000" w:themeColor="text1"/>
                <w:sz w:val="24"/>
                <w:highlight w:val="none"/>
                <w:lang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运营期：</w:t>
            </w:r>
            <w:r>
              <w:rPr>
                <w:color w:val="000000" w:themeColor="text1"/>
                <w:sz w:val="24"/>
                <w:highlight w:val="none"/>
                <w14:textFill>
                  <w14:solidFill>
                    <w14:schemeClr w14:val="tx1"/>
                  </w14:solidFill>
                </w14:textFill>
              </w:rPr>
              <w:t>执行《工业企业厂界环境噪声排放标准》（GB12348-2008）中的</w:t>
            </w:r>
            <w:r>
              <w:rPr>
                <w:rFonts w:hint="eastAsia"/>
                <w:color w:val="000000" w:themeColor="text1"/>
                <w:sz w:val="24"/>
                <w:highlight w:val="none"/>
                <w:lang w:val="en-US" w:eastAsia="zh-CN"/>
                <w14:textFill>
                  <w14:solidFill>
                    <w14:schemeClr w14:val="tx1"/>
                  </w14:solidFill>
                </w14:textFill>
              </w:rPr>
              <w:t>3</w:t>
            </w:r>
            <w:r>
              <w:rPr>
                <w:color w:val="000000" w:themeColor="text1"/>
                <w:sz w:val="24"/>
                <w:highlight w:val="none"/>
                <w14:textFill>
                  <w14:solidFill>
                    <w14:schemeClr w14:val="tx1"/>
                  </w14:solidFill>
                </w14:textFill>
              </w:rPr>
              <w:t>类标准</w:t>
            </w:r>
            <w:r>
              <w:rPr>
                <w:rFonts w:hint="eastAsia"/>
                <w:color w:val="000000" w:themeColor="text1"/>
                <w:sz w:val="24"/>
                <w:highlight w:val="none"/>
                <w:lang w:eastAsia="zh-CN"/>
                <w14:textFill>
                  <w14:solidFill>
                    <w14:schemeClr w14:val="tx1"/>
                  </w14:solidFill>
                </w14:textFill>
              </w:rPr>
              <w:t>；</w:t>
            </w:r>
          </w:p>
          <w:p>
            <w:pPr>
              <w:spacing w:line="240" w:lineRule="auto"/>
              <w:jc w:val="center"/>
              <w:rPr>
                <w:rFonts w:hint="eastAsia" w:eastAsia="宋体"/>
                <w:b/>
                <w:bCs/>
                <w:color w:val="000000" w:themeColor="text1"/>
                <w:sz w:val="21"/>
                <w:szCs w:val="21"/>
                <w:highlight w:val="none"/>
                <w:lang w:eastAsia="zh-CN"/>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表</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3-1</w:t>
            </w:r>
            <w:r>
              <w:rPr>
                <w:rFonts w:hint="eastAsia" w:cs="Times New Roman"/>
                <w:b/>
                <w:bCs/>
                <w:color w:val="000000" w:themeColor="text1"/>
                <w:sz w:val="21"/>
                <w:szCs w:val="21"/>
                <w:highlight w:val="none"/>
                <w:lang w:val="en-US" w:eastAsia="zh-CN"/>
                <w14:textFill>
                  <w14:solidFill>
                    <w14:schemeClr w14:val="tx1"/>
                  </w14:solidFill>
                </w14:textFill>
              </w:rPr>
              <w:t>0</w:t>
            </w:r>
            <w:r>
              <w:rPr>
                <w:rFonts w:hint="eastAsia" w:ascii="Times New Roman" w:hAnsi="Times New Roman" w:cs="Times New Roman"/>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工业企业厂界环境噪声排放标准</w:t>
            </w:r>
            <w:r>
              <w:rPr>
                <w:rFonts w:hint="eastAsia"/>
                <w:b/>
                <w:bCs/>
                <w:color w:val="000000" w:themeColor="text1"/>
                <w:sz w:val="21"/>
                <w:szCs w:val="21"/>
                <w:highlight w:val="none"/>
                <w14:textFill>
                  <w14:solidFill>
                    <w14:schemeClr w14:val="tx1"/>
                  </w14:solidFill>
                </w14:textFill>
              </w:rPr>
              <w:t>》（</w:t>
            </w:r>
            <w:r>
              <w:rPr>
                <w:rFonts w:ascii="Times New Roman" w:hAnsi="Times New Roman" w:cs="Times New Roman"/>
                <w:b/>
                <w:bCs/>
                <w:color w:val="000000" w:themeColor="text1"/>
                <w:sz w:val="21"/>
                <w:szCs w:val="21"/>
                <w:highlight w:val="none"/>
                <w14:textFill>
                  <w14:solidFill>
                    <w14:schemeClr w14:val="tx1"/>
                  </w14:solidFill>
                </w14:textFill>
              </w:rPr>
              <w:t>GB12348-2008</w:t>
            </w:r>
            <w:r>
              <w:rPr>
                <w:rFonts w:hint="eastAsia"/>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lang w:eastAsia="zh-CN"/>
                <w14:textFill>
                  <w14:solidFill>
                    <w14:schemeClr w14:val="tx1"/>
                  </w14:solidFill>
                </w14:textFill>
              </w:rPr>
              <w:t>节选</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0"/>
              <w:gridCol w:w="2171"/>
              <w:gridCol w:w="2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62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厂界外声环境功能区类别</w:t>
                  </w:r>
                </w:p>
              </w:tc>
              <w:tc>
                <w:tcPr>
                  <w:tcW w:w="43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62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p>
              </w:tc>
              <w:tc>
                <w:tcPr>
                  <w:tcW w:w="21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昼间</w:t>
                  </w:r>
                  <w:r>
                    <w:rPr>
                      <w:rFonts w:hint="eastAsia"/>
                      <w:b/>
                      <w:bCs/>
                      <w:color w:val="000000" w:themeColor="text1"/>
                      <w:sz w:val="21"/>
                      <w:szCs w:val="21"/>
                      <w:highlight w:val="none"/>
                      <w14:textFill>
                        <w14:solidFill>
                          <w14:schemeClr w14:val="tx1"/>
                        </w14:solidFill>
                      </w14:textFill>
                    </w:rPr>
                    <w:t>dB（A）</w:t>
                  </w:r>
                </w:p>
              </w:tc>
              <w:tc>
                <w:tcPr>
                  <w:tcW w:w="21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夜间</w:t>
                  </w:r>
                  <w:r>
                    <w:rPr>
                      <w:rFonts w:hint="eastAsia"/>
                      <w:b/>
                      <w:bCs/>
                      <w:color w:val="000000" w:themeColor="text1"/>
                      <w:sz w:val="21"/>
                      <w:szCs w:val="21"/>
                      <w:highlight w:val="none"/>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6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r>
                    <w:rPr>
                      <w:rFonts w:ascii="Times New Roman" w:hAnsi="Times New Roman" w:cs="Times New Roman"/>
                      <w:color w:val="000000" w:themeColor="text1"/>
                      <w:sz w:val="21"/>
                      <w:szCs w:val="21"/>
                      <w:highlight w:val="none"/>
                      <w14:textFill>
                        <w14:solidFill>
                          <w14:schemeClr w14:val="tx1"/>
                        </w14:solidFill>
                      </w14:textFill>
                    </w:rPr>
                    <w:t>类</w:t>
                  </w:r>
                </w:p>
              </w:tc>
              <w:tc>
                <w:tcPr>
                  <w:tcW w:w="21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6</w:t>
                  </w:r>
                  <w:r>
                    <w:rPr>
                      <w:rFonts w:hint="eastAsia" w:cs="Times New Roman"/>
                      <w:color w:val="000000" w:themeColor="text1"/>
                      <w:sz w:val="21"/>
                      <w:szCs w:val="21"/>
                      <w:highlight w:val="none"/>
                      <w:lang w:val="en-US" w:eastAsia="zh-CN"/>
                      <w14:textFill>
                        <w14:solidFill>
                          <w14:schemeClr w14:val="tx1"/>
                        </w14:solidFill>
                      </w14:textFill>
                    </w:rPr>
                    <w:t>5</w:t>
                  </w:r>
                </w:p>
              </w:tc>
              <w:tc>
                <w:tcPr>
                  <w:tcW w:w="21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5</w:t>
                  </w:r>
                  <w:r>
                    <w:rPr>
                      <w:rFonts w:hint="eastAsia" w:cs="Times New Roman"/>
                      <w:color w:val="000000" w:themeColor="text1"/>
                      <w:sz w:val="21"/>
                      <w:szCs w:val="21"/>
                      <w:highlight w:val="none"/>
                      <w:lang w:val="en-US" w:eastAsia="zh-CN"/>
                      <w14:textFill>
                        <w14:solidFill>
                          <w14:schemeClr w14:val="tx1"/>
                        </w14:solidFill>
                      </w14:textFill>
                    </w:rPr>
                    <w:t>5</w:t>
                  </w:r>
                </w:p>
              </w:tc>
            </w:tr>
          </w:tbl>
          <w:p>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ascii="Times New Roman" w:hAnsi="Times New Roman"/>
                <w:color w:val="000000" w:themeColor="text1"/>
                <w:sz w:val="24"/>
                <w:highlight w:val="none"/>
                <w:lang w:val="en-US" w:eastAsia="zh-CN"/>
                <w14:textFill>
                  <w14:solidFill>
                    <w14:schemeClr w14:val="tx1"/>
                  </w14:solidFill>
                </w14:textFill>
              </w:rPr>
            </w:pPr>
            <w:r>
              <w:rPr>
                <w:rFonts w:hint="eastAsia"/>
                <w:b/>
                <w:bCs/>
                <w:color w:val="000000" w:themeColor="text1"/>
                <w:sz w:val="28"/>
                <w:szCs w:val="28"/>
                <w:highlight w:val="none"/>
                <w:lang w:val="en-US" w:eastAsia="zh-CN"/>
                <w14:textFill>
                  <w14:solidFill>
                    <w14:schemeClr w14:val="tx1"/>
                  </w14:solidFill>
                </w14:textFill>
              </w:rPr>
              <w:t>4、固废</w:t>
            </w:r>
          </w:p>
          <w:p>
            <w:pPr>
              <w:keepNext w:val="0"/>
              <w:keepLines w:val="0"/>
              <w:pageBreakBefore w:val="0"/>
              <w:widowControl w:val="0"/>
              <w:kinsoku/>
              <w:wordWrap w:val="0"/>
              <w:overflowPunct/>
              <w:topLinePunct w:val="0"/>
              <w:autoSpaceDE/>
              <w:autoSpaceDN/>
              <w:bidi w:val="0"/>
              <w:adjustRightInd/>
              <w:snapToGrid/>
              <w:spacing w:line="360" w:lineRule="auto"/>
              <w:ind w:left="479" w:leftChars="228" w:firstLine="0" w:firstLineChars="0"/>
              <w:jc w:val="left"/>
              <w:textAlignment w:val="auto"/>
              <w:rPr>
                <w:rFonts w:hint="eastAsia" w:ascii="Times New Roman" w:hAnsi="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snapToGrid/>
                <w:color w:val="000000" w:themeColor="text1"/>
                <w:kern w:val="2"/>
                <w:sz w:val="24"/>
                <w:szCs w:val="24"/>
                <w:highlight w:val="none"/>
                <w:lang w:val="en-US" w:eastAsia="zh-CN" w:bidi="ar-SA"/>
                <w14:textFill>
                  <w14:solidFill>
                    <w14:schemeClr w14:val="tx1"/>
                  </w14:solidFill>
                </w14:textFill>
              </w:rPr>
              <w:t>（1）《</w:t>
            </w:r>
            <w:r>
              <w:rPr>
                <w:rFonts w:hint="eastAsia" w:cs="Times New Roman"/>
                <w:bCs/>
                <w:snapToGrid/>
                <w:color w:val="000000" w:themeColor="text1"/>
                <w:kern w:val="2"/>
                <w:sz w:val="24"/>
                <w:szCs w:val="24"/>
                <w:highlight w:val="none"/>
                <w:lang w:val="en-US" w:eastAsia="zh-CN" w:bidi="ar-SA"/>
                <w14:textFill>
                  <w14:solidFill>
                    <w14:schemeClr w14:val="tx1"/>
                  </w14:solidFill>
                </w14:textFill>
              </w:rPr>
              <w:t>一般工业固体废物贮存和填埋污染控制标准</w:t>
            </w:r>
            <w:r>
              <w:rPr>
                <w:rFonts w:hint="eastAsia" w:ascii="Times New Roman" w:hAnsi="Times New Roman" w:eastAsia="宋体" w:cs="Times New Roman"/>
                <w:bCs/>
                <w:snapToGrid/>
                <w:color w:val="000000" w:themeColor="text1"/>
                <w:kern w:val="2"/>
                <w:sz w:val="24"/>
                <w:szCs w:val="24"/>
                <w:highlight w:val="none"/>
                <w:lang w:val="en-US" w:eastAsia="zh-CN" w:bidi="ar-SA"/>
                <w14:textFill>
                  <w14:solidFill>
                    <w14:schemeClr w14:val="tx1"/>
                  </w14:solidFill>
                </w14:textFill>
              </w:rPr>
              <w:t>》(GB18599-2020)。</w:t>
            </w:r>
          </w:p>
          <w:p>
            <w:pPr>
              <w:keepNext w:val="0"/>
              <w:keepLines w:val="0"/>
              <w:pageBreakBefore w:val="0"/>
              <w:widowControl w:val="0"/>
              <w:kinsoku/>
              <w:wordWrap w:val="0"/>
              <w:overflowPunct/>
              <w:topLinePunct w:val="0"/>
              <w:autoSpaceDE/>
              <w:autoSpaceDN/>
              <w:bidi w:val="0"/>
              <w:adjustRightInd/>
              <w:snapToGrid/>
              <w:spacing w:line="360" w:lineRule="auto"/>
              <w:ind w:left="479" w:leftChars="228" w:firstLine="0" w:firstLineChars="0"/>
              <w:jc w:val="left"/>
              <w:textAlignment w:val="auto"/>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eastAsia" w:ascii="Times New Roman" w:hAnsi="Times New Roman"/>
                <w:color w:val="000000" w:themeColor="text1"/>
                <w:sz w:val="24"/>
                <w:highlight w:val="none"/>
                <w:lang w:val="en-US"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w:t>
            </w:r>
            <w:r>
              <w:rPr>
                <w:rFonts w:hint="eastAsia" w:ascii="Times New Roman" w:hAnsi="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《危险废物贮存污染控制标准》（</w:t>
            </w:r>
            <w:r>
              <w:rPr>
                <w:rFonts w:hint="eastAsia" w:cs="Times New Roman"/>
                <w:color w:val="000000" w:themeColor="text1"/>
                <w:sz w:val="24"/>
                <w:szCs w:val="24"/>
                <w:highlight w:val="none"/>
                <w:lang w:eastAsia="zh-CN"/>
                <w14:textFill>
                  <w14:solidFill>
                    <w14:schemeClr w14:val="tx1"/>
                  </w14:solidFill>
                </w14:textFill>
              </w:rPr>
              <w:t>GB 18597-2023）</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spacing w:line="360" w:lineRule="auto"/>
              <w:ind w:left="479" w:leftChars="228" w:firstLine="0" w:firstLineChars="0"/>
              <w:jc w:val="left"/>
              <w:textAlignment w:val="auto"/>
              <w:rPr>
                <w:rFonts w:ascii="宋体" w:hAnsi="宋体" w:cs="宋体"/>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《危险废物收集贮存运输技术规范》（HJ2025-2012）要求。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8" w:hRule="atLeast"/>
          <w:jc w:val="center"/>
        </w:trPr>
        <w:tc>
          <w:tcPr>
            <w:tcW w:w="800" w:type="dxa"/>
            <w:vAlign w:val="center"/>
          </w:tcPr>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总量</w:t>
            </w:r>
          </w:p>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控制</w:t>
            </w:r>
          </w:p>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指标</w:t>
            </w:r>
          </w:p>
        </w:tc>
        <w:tc>
          <w:tcPr>
            <w:tcW w:w="8190" w:type="dxa"/>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firstLine="480" w:firstLineChars="200"/>
              <w:jc w:val="left"/>
              <w:textAlignment w:val="auto"/>
              <w:rPr>
                <w:rFonts w:hint="default"/>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Cs/>
                <w:snapToGrid/>
                <w:color w:val="000000" w:themeColor="text1"/>
                <w:kern w:val="2"/>
                <w:sz w:val="24"/>
                <w:szCs w:val="24"/>
                <w:highlight w:val="none"/>
                <w:lang w:val="en-US" w:eastAsia="zh-CN" w:bidi="ar-SA"/>
                <w14:textFill>
                  <w14:solidFill>
                    <w14:schemeClr w14:val="tx1"/>
                  </w14:solidFill>
                </w14:textFill>
              </w:rPr>
              <w:t>根据本项目生产特点和污染物排放情况，建议此项目总量控制指标如下：</w:t>
            </w:r>
            <w:r>
              <w:rPr>
                <w:rFonts w:hint="eastAsia" w:cs="Times New Roman"/>
                <w:bCs/>
                <w:snapToGrid/>
                <w:color w:val="000000" w:themeColor="text1"/>
                <w:kern w:val="2"/>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bCs/>
                <w:snapToGrid/>
                <w:color w:val="000000" w:themeColor="text1"/>
                <w:kern w:val="2"/>
                <w:sz w:val="24"/>
                <w:szCs w:val="24"/>
                <w:highlight w:val="none"/>
                <w:lang w:val="en-US" w:eastAsia="zh-CN" w:bidi="ar-SA"/>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1.209</w:t>
            </w:r>
            <w:r>
              <w:rPr>
                <w:rFonts w:hint="default" w:ascii="Times New Roman" w:hAnsi="Times New Roman" w:eastAsia="宋体" w:cs="Times New Roman"/>
                <w:bCs/>
                <w:snapToGrid/>
                <w:color w:val="000000" w:themeColor="text1"/>
                <w:kern w:val="2"/>
                <w:sz w:val="24"/>
                <w:szCs w:val="24"/>
                <w:highlight w:val="none"/>
                <w:lang w:val="en-US" w:eastAsia="zh-CN" w:bidi="ar-SA"/>
                <w14:textFill>
                  <w14:solidFill>
                    <w14:schemeClr w14:val="tx1"/>
                  </w14:solidFill>
                </w14:textFill>
              </w:rPr>
              <w:t>t/a</w:t>
            </w:r>
            <w:r>
              <w:rPr>
                <w:rFonts w:hint="eastAsia" w:ascii="Times New Roman" w:hAnsi="Times New Roman" w:eastAsia="宋体" w:cs="Times New Roman"/>
                <w:bCs/>
                <w:snapToGrid/>
                <w:color w:val="000000" w:themeColor="text1"/>
                <w:kern w:val="2"/>
                <w:sz w:val="24"/>
                <w:szCs w:val="24"/>
                <w:highlight w:val="none"/>
                <w:lang w:val="en-US" w:eastAsia="zh-CN" w:bidi="ar-SA"/>
                <w14:textFill>
                  <w14:solidFill>
                    <w14:schemeClr w14:val="tx1"/>
                  </w14:solidFill>
                </w14:textFill>
              </w:rPr>
              <w:t>，颗粒物</w:t>
            </w:r>
            <w:r>
              <w:rPr>
                <w:rFonts w:hint="eastAsia" w:cs="Times New Roman"/>
                <w:color w:val="000000" w:themeColor="text1"/>
                <w:sz w:val="24"/>
                <w:szCs w:val="24"/>
                <w:highlight w:val="none"/>
                <w:lang w:val="en-US" w:eastAsia="zh-CN"/>
                <w14:textFill>
                  <w14:solidFill>
                    <w14:schemeClr w14:val="tx1"/>
                  </w14:solidFill>
                </w14:textFill>
              </w:rPr>
              <w:t>3.787</w:t>
            </w:r>
            <w:r>
              <w:rPr>
                <w:rFonts w:hint="eastAsia" w:ascii="Times New Roman" w:hAnsi="Times New Roman" w:eastAsia="宋体" w:cs="Times New Roman"/>
                <w:bCs/>
                <w:snapToGrid/>
                <w:color w:val="000000" w:themeColor="text1"/>
                <w:kern w:val="2"/>
                <w:sz w:val="24"/>
                <w:szCs w:val="24"/>
                <w:highlight w:val="none"/>
                <w:lang w:val="en-US" w:eastAsia="zh-CN" w:bidi="ar-SA"/>
                <w14:textFill>
                  <w14:solidFill>
                    <w14:schemeClr w14:val="tx1"/>
                  </w14:solidFill>
                </w14:textFill>
              </w:rPr>
              <w:t>t/a。</w:t>
            </w:r>
          </w:p>
        </w:tc>
      </w:tr>
    </w:tbl>
    <w:p>
      <w:pPr>
        <w:pStyle w:val="20"/>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ascii="黑体" w:hAnsi="黑体" w:eastAsia="黑体"/>
          <w:snapToGrid w:val="0"/>
          <w:color w:val="000000" w:themeColor="text1"/>
          <w:sz w:val="36"/>
          <w:szCs w:val="36"/>
          <w:highlight w:val="none"/>
          <w14:textFill>
            <w14:solidFill>
              <w14:schemeClr w14:val="tx1"/>
            </w14:solidFill>
          </w14:textFill>
        </w:rPr>
        <w:br w:type="page"/>
      </w:r>
      <w:r>
        <w:rPr>
          <w:rFonts w:hint="eastAsia" w:ascii="黑体" w:hAnsi="黑体" w:eastAsia="黑体"/>
          <w:snapToGrid w:val="0"/>
          <w:color w:val="000000" w:themeColor="text1"/>
          <w:sz w:val="30"/>
          <w:szCs w:val="30"/>
          <w:highlight w:val="none"/>
          <w14:textFill>
            <w14:solidFill>
              <w14:schemeClr w14:val="tx1"/>
            </w14:solidFill>
          </w14:textFill>
        </w:rPr>
        <w:t>四、主要环境影响和保护措施</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746" w:type="dxa"/>
            <w:tcMar>
              <w:left w:w="28" w:type="dxa"/>
              <w:right w:w="28" w:type="dxa"/>
            </w:tcMar>
            <w:vAlign w:val="center"/>
          </w:tcPr>
          <w:p>
            <w:pPr>
              <w:pStyle w:val="20"/>
              <w:adjustRightInd w:val="0"/>
              <w:snapToGrid w:val="0"/>
              <w:spacing w:before="0" w:beforeAutospacing="0" w:after="0" w:afterAutospacing="0"/>
              <w:jc w:val="center"/>
              <w:rPr>
                <w:rFonts w:hint="eastAsia" w:cs="宋体"/>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施工</w:t>
            </w:r>
          </w:p>
          <w:p>
            <w:pPr>
              <w:pStyle w:val="20"/>
              <w:adjustRightInd w:val="0"/>
              <w:snapToGrid w:val="0"/>
              <w:spacing w:before="0" w:beforeAutospacing="0" w:after="0" w:afterAutospacing="0"/>
              <w:jc w:val="center"/>
              <w:rPr>
                <w:rFonts w:hint="eastAsia" w:cs="宋体"/>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期环</w:t>
            </w:r>
          </w:p>
          <w:p>
            <w:pPr>
              <w:pStyle w:val="20"/>
              <w:adjustRightInd w:val="0"/>
              <w:snapToGrid w:val="0"/>
              <w:spacing w:before="0" w:beforeAutospacing="0" w:after="0" w:afterAutospacing="0"/>
              <w:jc w:val="center"/>
              <w:rPr>
                <w:rFonts w:hint="eastAsia" w:cs="宋体"/>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境保</w:t>
            </w:r>
          </w:p>
          <w:p>
            <w:pPr>
              <w:pStyle w:val="20"/>
              <w:adjustRightInd w:val="0"/>
              <w:snapToGrid w:val="0"/>
              <w:spacing w:before="0" w:beforeAutospacing="0" w:after="0" w:afterAutospacing="0"/>
              <w:jc w:val="center"/>
              <w:rPr>
                <w:rFonts w:hint="eastAsia" w:cs="宋体"/>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护措</w:t>
            </w:r>
          </w:p>
          <w:p>
            <w:pPr>
              <w:pStyle w:val="20"/>
              <w:adjustRightInd w:val="0"/>
              <w:snapToGrid w:val="0"/>
              <w:spacing w:before="0" w:beforeAutospacing="0" w:after="0" w:afterAutospacing="0"/>
              <w:jc w:val="center"/>
              <w:rPr>
                <w:rFonts w:hint="eastAsia" w:cs="宋体"/>
                <w:bCs/>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施</w:t>
            </w:r>
          </w:p>
        </w:tc>
        <w:tc>
          <w:tcPr>
            <w:tcW w:w="8162"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1、施工期大气环境影响分析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目前项目厂区已完成部分场地平整，已建成厂房、生产车间钢架结构安装、综合楼，已建内容均属原备案表内容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剩余部分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施工期主要的大气污染为：运输车辆将产生汽车尾气，装修过程产生装修废气，给大气环境造成一定的影响。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1.1汽车尾气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车辆运输排放的尾气，主要污染物为THC、TSP、CO、NOx，由于污染源较分散，且每天排放的量相对较少，影响范围有限。由于此污染物排放为暂时性非稳态的，因此建议建设公司管理人员合理安排车辆进出，车辆出入地点应尽量远离敏感点，车辆出入现场时应低速、禁鸣。在加强管理、采取措施后，可减轻污染程度，对环境影响较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1.2电焊烟尘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本项目在建构筑物施工、工程安装过程会进行焊接工序，焊接过程中会产生一定量的电焊烟尘。其中电焊烟尘中有毒有害气体的成分主要为CO 、CO₂、O₃、NOx、CH₄等，其中以CO所占的比例最大。由于项目施工过程中所需焊接的量不大，因此电焊烟尘产生量及排放量也较小，在施工过程中，电焊烟尘主要为无组织排放。施工期结束后，不利影响将随之消失。</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1.3装修废气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项目施工期向周围大气环境排放装修废气主要污染物为苯及苯系物，这些废气对人体健康的主要影响是嗅到异味、刺激眼和呼吸道黏膜、产生肝肺损伤等。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为了降低装修造成的污染影响，建议采取如下防治措施：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①采用符合国家质检总局颁布的《室内装修材料10项有害物质限量》规定的室内装饰和装修材料，优先选用不含或少含甲苯和二甲苯的亲水涂料或环保涂料，禁止使用国家明令淘汰的建筑装饰装修材料和设备。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②装修完毕后应充分开窗换气，要求符合《室内空气质量标准》(GB/T 18883-2022)后方可使用。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综上，建设单位应切实按本环评提出的要求做好废气防治措施，项目施工期废气对环境的影响将降到最小。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2、施工期声环境影响分析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bookmarkStart w:id="5" w:name="bookmark25"/>
            <w:bookmarkEnd w:id="5"/>
            <w:r>
              <w:rPr>
                <w:rFonts w:hint="eastAsia"/>
                <w:color w:val="000000" w:themeColor="text1"/>
                <w:sz w:val="24"/>
                <w:szCs w:val="24"/>
                <w:highlight w:val="none"/>
                <w:lang w:val="en-US" w:eastAsia="zh-CN"/>
                <w14:textFill>
                  <w14:solidFill>
                    <w14:schemeClr w14:val="tx1"/>
                  </w14:solidFill>
                </w14:textFill>
              </w:rPr>
              <w:t>工程施工机械及运输车辆产生噪声，将对工程附近地区(≤200m范围内)的环境带来一定的噪声影响。为减小施工过程中噪声污染对周边环境的影响，应采取一定的污染防治措施：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(1)合理选择施工机械、施工方法、施工场地、施工时间，尽量选用低噪 声设备，在施工过程中，应经常对施工设备进行维修保养，避免由于设备性能减退使噪声增大；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(2)合理安排施工时间，严禁敏感时段施工，最大限度减少建筑施工的高噪声设备产生的噪声对周边敏感点的生活、工作产生影响；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(3)建议在施工场地设围挡；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(4)加强对施工设备的维护保养，减少设备噪声；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(5)运输车辆尽可能的减少鸣笛。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施工期相对于运营期而言其影响是短暂的，一旦施工活动结束，施工噪声影响也就随之结束。本项目施工期采取以上污染防治措施可有效控制施工过程中对周围附近区域带来的环境影响。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3、施工期地表水环境影响分析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本项目施工现场设施工营地。项目施工高峰期按施工人数50人计，生活用水定额50L/人·d计取，生活污水按用水量的80%计，则施工期间产生的生活污水为Q=50人×50L/人·d×0.80=2m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/d，全部排入下水管网，最终进入园区污水处理厂处理。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4、施工期固体废物影响分析</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本项目施工阶段产生的固体废物主要为装修垃圾及装修人员产生的生活垃圾。</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（1）装修垃圾主要为废木板、废钢丝、废包装袋等。废木板、废钢丝、废包装袋属于可回收利用的固体废物，施工结束后出售综合利用。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（2）本项目装修阶段装修人员产生的生活垃圾集中收集后由环卫部门统一清运处理。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6" w:hRule="atLeast"/>
          <w:jc w:val="center"/>
        </w:trPr>
        <w:tc>
          <w:tcPr>
            <w:tcW w:w="746" w:type="dxa"/>
            <w:tcMar>
              <w:left w:w="28" w:type="dxa"/>
              <w:right w:w="28" w:type="dxa"/>
            </w:tcMar>
            <w:vAlign w:val="center"/>
          </w:tcPr>
          <w:p>
            <w:pPr>
              <w:adjustRightInd w:val="0"/>
              <w:snapToGrid w:val="0"/>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运营</w:t>
            </w:r>
          </w:p>
          <w:p>
            <w:pPr>
              <w:adjustRightInd w:val="0"/>
              <w:snapToGrid w:val="0"/>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期环</w:t>
            </w:r>
          </w:p>
          <w:p>
            <w:pPr>
              <w:adjustRightInd w:val="0"/>
              <w:snapToGrid w:val="0"/>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境影</w:t>
            </w:r>
          </w:p>
          <w:p>
            <w:pPr>
              <w:adjustRightInd w:val="0"/>
              <w:snapToGrid w:val="0"/>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响和</w:t>
            </w:r>
          </w:p>
          <w:p>
            <w:pPr>
              <w:adjustRightInd w:val="0"/>
              <w:snapToGrid w:val="0"/>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保护</w:t>
            </w:r>
          </w:p>
          <w:p>
            <w:pPr>
              <w:adjustRightInd w:val="0"/>
              <w:snapToGrid w:val="0"/>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措施</w:t>
            </w:r>
          </w:p>
        </w:tc>
        <w:tc>
          <w:tcPr>
            <w:tcW w:w="8162"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1、废气</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1.1食堂油烟废气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项目设有员工食堂，为员工提供工作餐。根据业主提供的资料，食堂就餐人数按200人/天计，食堂食用平均耗油系数以20g/人计，因此每天耗油量为4kg/d。油的挥发量平均约占总耗油量的3%，则油烟的产生量为0.036t/a。油烟机净化器每天工作时间以6h计，本项目厨房设计4个灶头，每个灶头厨房油烟净化器设计风量2000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/h，则厨房油烟净化器总设计风量为8000m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/h。本项目厨房油烟废气均经过油烟机净化处理后排放，项目油烟去除效率为80%，则最终油烟排放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量为0.0072t/a</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排放浓度为0.</w:t>
            </w:r>
            <w:r>
              <w:rPr>
                <w:rFonts w:hint="eastAsia"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eastAsia"/>
                <w:color w:val="000000" w:themeColor="text1"/>
                <w:sz w:val="24"/>
                <w:szCs w:val="24"/>
                <w:highlight w:val="none"/>
                <w:lang w:val="en-US" w:eastAsia="zh-CN"/>
                <w14:textFill>
                  <w14:solidFill>
                    <w14:schemeClr w14:val="tx1"/>
                  </w14:solidFill>
                </w14:textFill>
              </w:rPr>
              <w:t>g/m³，小于《饮食业油烟排放标准(试行)》(GB18483-2001)中2.0mg/m³的限值。本项目食堂油烟净化处理后通过烟道由8m排气筒(DA003)排放。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表4-1  食用油消耗和油烟废气产生情况</w:t>
            </w:r>
          </w:p>
          <w:tbl>
            <w:tblPr>
              <w:tblStyle w:val="69"/>
              <w:tblW w:w="7757" w:type="dxa"/>
              <w:tblInd w:w="1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1"/>
              <w:gridCol w:w="1539"/>
              <w:gridCol w:w="1548"/>
              <w:gridCol w:w="1557"/>
              <w:gridCol w:w="1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6" w:hRule="atLeast"/>
              </w:trPr>
              <w:tc>
                <w:tcPr>
                  <w:tcW w:w="156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油烟产生量(t/a)</w:t>
                  </w:r>
                </w:p>
              </w:tc>
              <w:tc>
                <w:tcPr>
                  <w:tcW w:w="153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油烟产生浓度</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(mg/m³)</w:t>
                  </w:r>
                </w:p>
              </w:tc>
              <w:tc>
                <w:tcPr>
                  <w:tcW w:w="154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处理率(%)</w:t>
                  </w:r>
                </w:p>
              </w:tc>
              <w:tc>
                <w:tcPr>
                  <w:tcW w:w="1557"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油烟排放量(t/a)</w:t>
                  </w:r>
                </w:p>
              </w:tc>
              <w:tc>
                <w:tcPr>
                  <w:tcW w:w="1552"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排放浓度(mg/m³)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56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0.036</w:t>
                  </w:r>
                </w:p>
              </w:tc>
              <w:tc>
                <w:tcPr>
                  <w:tcW w:w="153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w:t>
                  </w:r>
                </w:p>
              </w:tc>
              <w:tc>
                <w:tcPr>
                  <w:tcW w:w="154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w:t>
                  </w:r>
                </w:p>
              </w:tc>
              <w:tc>
                <w:tcPr>
                  <w:tcW w:w="1557"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0.0072</w:t>
                  </w:r>
                </w:p>
              </w:tc>
              <w:tc>
                <w:tcPr>
                  <w:tcW w:w="1552"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1.2切割、焊接颗粒物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ascii="Calibri" w:hAnsi="Calibri" w:cs="Calibri"/>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lang w:val="en-US" w:eastAsia="zh-CN"/>
                <w14:textFill>
                  <w14:solidFill>
                    <w14:schemeClr w14:val="tx1"/>
                  </w14:solidFill>
                </w14:textFill>
              </w:rPr>
              <w:t>切割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切割过程中会产生切割烟尘，根据《排放源统计调查产排污核算方法和系数手册》(2021年第24号)(33-37.431-434机械行业系数手册)的相关资料，并结合本项目工艺特点，切割烟尘产尘量为1.10千克/吨-原料，本项目钢材年耗量为20000吨，其中需要切割的为2000吨，则项目切割烟尘产生量为2.2t，年工作时间为2400h，则产生速率为1.8257kg/h。切割烟尘经移动式焊接烟尘净化器处理后由排气扇排至厂房外无组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ascii="Calibri" w:hAnsi="Calibri" w:cs="Calibri"/>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焊接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焊接会产生焊接烟尘，根据《排放源统计调查产排污核算方法和系数手册》(2021年第24号)(33-37.431-434机械行业系数手册)的相关资料，并结合本项目工艺特点，焊接工艺为二氧化碳气体保护焊或者氩弧焊。焊接烟尘产生量为9.19千克/吨-原料，根据企业提供材料，焊丝年耗量10吨，则焊接烟尘产生量为0.092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本项目焊接作业年工作时间为2400h，则焊接烟尘产生速率为0.038kg/h。焊接工位固定，焊接烟尘经过移动式焊接烟尘净化器处理后由排气扇排至厂房外无组织排放。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综上，项目切割与焊接烟尘产生总量为2.292t/a，产生速率为0.955kg/h，移动式焊接烟尘净化器集气罩收集效率不低于90%，建设单位所使用的移动式焊接烟尘净化器中除尘系统为脉冲净化器，对切割与焊接烟尘的处理效率不低于95%，则颗粒物无组织排放量为0.332t/a，排放速率为0.138kg/h，无组织颗粒物满足《大气污染物综合排放标准》(GB16297-1996)表2新污染源大气污染物排放限值（厂界外浓度最高点1.0mg/m³）后排放，对周围大气环境影响较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1.3抛丸除锈</w:t>
            </w:r>
            <w:r>
              <w:rPr>
                <w:rFonts w:hint="eastAsia" w:cs="Times New Roman"/>
                <w:b/>
                <w:bCs/>
                <w:color w:val="000000" w:themeColor="text1"/>
                <w:sz w:val="24"/>
                <w:szCs w:val="24"/>
                <w:highlight w:val="none"/>
                <w:lang w:val="en-US" w:eastAsia="zh-CN"/>
                <w14:textFill>
                  <w14:solidFill>
                    <w14:schemeClr w14:val="tx1"/>
                  </w14:solidFill>
                </w14:textFill>
              </w:rPr>
              <w:t>粉尘</w:t>
            </w:r>
          </w:p>
          <w:p>
            <w:pPr>
              <w:keepNext w:val="0"/>
              <w:keepLines w:val="0"/>
              <w:widowControl/>
              <w:suppressLineNumbers w:val="0"/>
              <w:spacing w:line="360" w:lineRule="auto"/>
              <w:ind w:firstLine="480" w:firstLineChars="200"/>
              <w:jc w:val="left"/>
              <w:rPr>
                <w:rFonts w:hint="default"/>
                <w:lang w:val="en-US"/>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抛丸操作位于全自动机械回收式喷砂房内，操作过程室内为封闭负压状态。本项目车间在喷砂房布置2套抛丸机，根据《排放源统计调查产排污核算方法和系数手册》(2021年第24号)(33-37.431-4机械行业系数手册)的相关资料，抛丸粉尘产尘量为2.19千克/吨-原料，工业废气量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8500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立方米/吨-原料</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p>
          <w:p>
            <w:pPr>
              <w:keepNext w:val="0"/>
              <w:keepLines w:val="0"/>
              <w:widowControl/>
              <w:suppressLineNumbers w:val="0"/>
              <w:spacing w:line="360" w:lineRule="auto"/>
              <w:ind w:firstLine="480" w:firstLineChars="200"/>
              <w:jc w:val="left"/>
              <w:rPr>
                <w:rFonts w:hint="eastAsia"/>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w:t>
            </w:r>
            <w:r>
              <w:rPr>
                <w:rFonts w:hint="eastAsia" w:cs="Times New Roman"/>
                <w:color w:val="000000" w:themeColor="text1"/>
                <w:sz w:val="24"/>
                <w:szCs w:val="24"/>
                <w:highlight w:val="none"/>
                <w:lang w:val="en-US" w:eastAsia="zh-CN"/>
                <w14:textFill>
                  <w14:solidFill>
                    <w14:schemeClr w14:val="tx1"/>
                  </w14:solidFill>
                </w14:textFill>
              </w:rPr>
              <w:t>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企业提供材料，钢件年用量为20000t/a，年有效工作时间为1200h，则抛丸粉尘的产生量为43.8t/a，产生速率为</w:t>
            </w:r>
            <w:r>
              <w:rPr>
                <w:rFonts w:hint="eastAsia" w:cs="Times New Roman"/>
                <w:color w:val="000000" w:themeColor="text1"/>
                <w:sz w:val="24"/>
                <w:szCs w:val="24"/>
                <w:highlight w:val="none"/>
                <w:lang w:val="en-US" w:eastAsia="zh-CN"/>
                <w14:textFill>
                  <w14:solidFill>
                    <w14:schemeClr w14:val="tx1"/>
                  </w14:solidFill>
                </w14:textFill>
              </w:rPr>
              <w:t>36.5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kg/h</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废气量为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1.7*10</w:t>
            </w:r>
            <w:r>
              <w:rPr>
                <w:rFonts w:hint="eastAsia" w:ascii="Times New Roman" w:hAnsi="Times New Roman" w:cs="Times New Roman"/>
                <w:color w:val="000000" w:themeColor="text1"/>
                <w:sz w:val="24"/>
                <w:szCs w:val="24"/>
                <w:highlight w:val="none"/>
                <w:vertAlign w:val="superscript"/>
                <w:lang w:val="en-US" w:eastAsia="zh-CN"/>
                <w14:textFill>
                  <w14:solidFill>
                    <w14:schemeClr w14:val="tx1"/>
                  </w14:solidFill>
                </w14:textFill>
              </w:rPr>
              <w:t>8</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Nm</w:t>
            </w:r>
            <w:r>
              <w:rPr>
                <w:rFonts w:hint="eastAsia"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/a，产生速率为257.65</w:t>
            </w:r>
            <w:r>
              <w:rPr>
                <w:rFonts w:hint="eastAsia"/>
                <w:color w:val="000000" w:themeColor="text1"/>
                <w:sz w:val="24"/>
                <w:szCs w:val="24"/>
                <w:highlight w:val="none"/>
                <w:lang w:val="en-US" w:eastAsia="zh-CN"/>
                <w14:textFill>
                  <w14:solidFill>
                    <w14:schemeClr w14:val="tx1"/>
                  </w14:solidFill>
                </w14:textFill>
              </w:rPr>
              <w:t>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。废气收集效率</w:t>
            </w:r>
            <w:r>
              <w:rPr>
                <w:rFonts w:hint="eastAsia" w:cs="Times New Roman"/>
                <w:color w:val="000000" w:themeColor="text1"/>
                <w:sz w:val="24"/>
                <w:szCs w:val="24"/>
                <w:highlight w:val="none"/>
                <w:lang w:val="en-US" w:eastAsia="zh-CN"/>
                <w14:textFill>
                  <w14:solidFill>
                    <w14:schemeClr w14:val="tx1"/>
                  </w14:solidFill>
                </w14:textFill>
              </w:rPr>
              <w:t>可达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eastAsia"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%以上，废气经引风机引至沉降除尘器+滤筒除尘器处理，处理效率为99.</w:t>
            </w:r>
            <w:r>
              <w:rPr>
                <w:rFonts w:hint="eastAsia" w:cs="Times New Roman"/>
                <w:color w:val="000000" w:themeColor="text1"/>
                <w:sz w:val="24"/>
                <w:szCs w:val="24"/>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%以上，处理后废气经20m高排气(DA00</w:t>
            </w:r>
            <w:r>
              <w:rPr>
                <w:rFonts w:hint="eastAsia"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）排放。则</w:t>
            </w:r>
            <w:r>
              <w:rPr>
                <w:rFonts w:hint="eastAsia"/>
                <w:color w:val="000000" w:themeColor="text1"/>
                <w:sz w:val="24"/>
                <w:szCs w:val="24"/>
                <w:highlight w:val="none"/>
                <w:lang w:val="en-US" w:eastAsia="zh-CN"/>
                <w14:textFill>
                  <w14:solidFill>
                    <w14:schemeClr w14:val="tx1"/>
                  </w14:solidFill>
                </w14:textFill>
              </w:rPr>
              <w:t>颗粒物有组织排放量为0.125t/a，排放速率为0.104kg/h，排放浓度为0.74mg/m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，无组织排放量为2.19t/a，排放速率为1.825kg/h。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因此，</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有组织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颗粒物</w:t>
            </w:r>
            <w:r>
              <w:rPr>
                <w:rFonts w:hint="eastAsia"/>
                <w:color w:val="000000" w:themeColor="text1"/>
                <w:sz w:val="24"/>
                <w:szCs w:val="24"/>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《大气污染物综合排放标准》(GB16297-1996)二级标准浓度限值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（允许排放浓度值120mg/m³，</w:t>
            </w:r>
            <w:r>
              <w:rPr>
                <w:rFonts w:hint="eastAsia" w:eastAsia="宋体" w:cs="Times New Roman"/>
                <w:color w:val="000000" w:themeColor="text1"/>
                <w:sz w:val="24"/>
                <w:szCs w:val="24"/>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米排气筒最高允许排放速率3.5kg/h)</w:t>
            </w:r>
            <w:r>
              <w:rPr>
                <w:rFonts w:hint="eastAsia"/>
                <w:color w:val="000000" w:themeColor="text1"/>
                <w:sz w:val="24"/>
                <w:szCs w:val="24"/>
                <w:highlight w:val="none"/>
                <w:lang w:val="en-US" w:eastAsia="zh-CN"/>
                <w14:textFill>
                  <w14:solidFill>
                    <w14:schemeClr w14:val="tx1"/>
                  </w14:solidFill>
                </w14:textFill>
              </w:rPr>
              <w:t>后排放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无组织颗粒物满足《大气污染物综合排放标准》(GB16297-1996)表2新污染源大气污染物排放限值（厂界外浓度最高点1.0mg/m³）后排放，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对周围大气环境影响较小。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1.4</w:t>
            </w:r>
            <w:r>
              <w:rPr>
                <w:rFonts w:hint="eastAsia" w:cs="Times New Roman"/>
                <w:b/>
                <w:bCs/>
                <w:color w:val="000000" w:themeColor="text1"/>
                <w:sz w:val="24"/>
                <w:szCs w:val="24"/>
                <w:highlight w:val="none"/>
                <w:lang w:val="en-US" w:eastAsia="zh-CN"/>
                <w14:textFill>
                  <w14:solidFill>
                    <w14:schemeClr w14:val="tx1"/>
                  </w14:solidFill>
                </w14:textFill>
              </w:rPr>
              <w:t>喷漆、烘干产生的漆雾（颗粒物）、废气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本项目车间布置一套喷漆、烘干生产线，烘干室采用电加热，操作过程</w:t>
            </w:r>
            <w:r>
              <w:rPr>
                <w:rFonts w:hint="eastAsia" w:cs="Times New Roman"/>
                <w:color w:val="000000" w:themeColor="text1"/>
                <w:sz w:val="24"/>
                <w:szCs w:val="24"/>
                <w:highlight w:val="none"/>
                <w:lang w:val="en-US" w:eastAsia="zh-CN"/>
                <w14:textFill>
                  <w14:solidFill>
                    <w14:schemeClr w14:val="tx1"/>
                  </w14:solidFill>
                </w14:textFill>
              </w:rPr>
              <w:t>室</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内为封闭负压状态。根据建设单位提供资料，年使用水性漆及水性漆固化剂20吨，油性漆、油性漆稀释剂及油性漆固化剂6吨</w:t>
            </w:r>
            <w:r>
              <w:rPr>
                <w:rFonts w:hint="eastAsia" w:ascii="宋体" w:hAnsi="宋体" w:cs="宋体"/>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通过查阅相关资料和类比同类型项目，约有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的有机废气在调漆工序挥发，约有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的有机废气在喷漆、晾干</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烘干等施工状态下挥发</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参考《青岛市某汽车制造厂废气治理实例研究及效果评估》（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2018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全国</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监测与治理高峰论坛论文集，和慧）和《汽车车身喷漆废气的排放分析及处理措施》（汽车研究与开发，谢文林），结合同类型项目分析得出，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有机废气在喷漆室排放，约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有机废气在烘干室排放。调漆工序、烘干工序和喷漆工序的有机废气合并到废气处理设施中处理，收集方式均为负压收集，且位于同一个车间，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VOCs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在三个工序无论分布形式如何均不会影响到最终的产排情况，因此本次评价喷漆房调漆、喷漆和烘干工序产生的有机废气作为一个整体评价，不另外核算调漆废气。</w:t>
            </w:r>
          </w:p>
          <w:p>
            <w:pPr>
              <w:keepNext w:val="0"/>
              <w:keepLines w:val="0"/>
              <w:widowControl/>
              <w:suppressLineNumbers w:val="0"/>
              <w:jc w:val="cente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kern w:val="0"/>
                <w:sz w:val="20"/>
                <w:szCs w:val="20"/>
                <w:lang w:val="en-US" w:eastAsia="zh-CN" w:bidi="ar"/>
                <w14:textFill>
                  <w14:solidFill>
                    <w14:schemeClr w14:val="tx1"/>
                  </w14:solidFill>
                </w14:textFill>
              </w:rPr>
              <w:t>表</w:t>
            </w:r>
            <w:r>
              <w:rPr>
                <w:rFonts w:hint="default" w:ascii="Times New Roman" w:hAnsi="Times New Roman" w:eastAsia="宋体" w:cs="Times New Roman"/>
                <w:b/>
                <w:bCs/>
                <w:color w:val="000000" w:themeColor="text1"/>
                <w:kern w:val="0"/>
                <w:sz w:val="20"/>
                <w:szCs w:val="20"/>
                <w:lang w:val="en-US" w:eastAsia="zh-CN" w:bidi="ar"/>
                <w14:textFill>
                  <w14:solidFill>
                    <w14:schemeClr w14:val="tx1"/>
                  </w14:solidFill>
                </w14:textFill>
              </w:rPr>
              <w:t xml:space="preserve">4-2 </w:t>
            </w:r>
            <w:r>
              <w:rPr>
                <w:rFonts w:hint="eastAsia" w:ascii="Times New Roman" w:hAnsi="Times New Roman" w:eastAsia="宋体" w:cs="Times New Roman"/>
                <w:b/>
                <w:bCs/>
                <w:color w:val="000000" w:themeColor="text1"/>
                <w:kern w:val="0"/>
                <w:sz w:val="20"/>
                <w:szCs w:val="20"/>
                <w:lang w:val="en-US" w:eastAsia="zh-CN" w:bidi="ar"/>
                <w14:textFill>
                  <w14:solidFill>
                    <w14:schemeClr w14:val="tx1"/>
                  </w14:solidFill>
                </w14:textFill>
              </w:rPr>
              <w:t xml:space="preserve"> </w:t>
            </w:r>
            <w:r>
              <w:rPr>
                <w:rFonts w:hint="eastAsia" w:ascii="宋体" w:hAnsi="宋体" w:eastAsia="宋体" w:cs="宋体"/>
                <w:b/>
                <w:bCs/>
                <w:color w:val="000000" w:themeColor="text1"/>
                <w:kern w:val="0"/>
                <w:sz w:val="20"/>
                <w:szCs w:val="20"/>
                <w:lang w:val="en-US" w:eastAsia="zh-CN" w:bidi="ar"/>
                <w14:textFill>
                  <w14:solidFill>
                    <w14:schemeClr w14:val="tx1"/>
                  </w14:solidFill>
                </w14:textFill>
              </w:rPr>
              <w:t>本项目调漆、喷漆、烘干有机废气产生情况一览表（单位：</w:t>
            </w:r>
            <w:r>
              <w:rPr>
                <w:rFonts w:hint="default" w:ascii="Times New Roman" w:hAnsi="Times New Roman" w:eastAsia="宋体" w:cs="Times New Roman"/>
                <w:b/>
                <w:bCs/>
                <w:color w:val="000000" w:themeColor="text1"/>
                <w:kern w:val="0"/>
                <w:sz w:val="20"/>
                <w:szCs w:val="20"/>
                <w:lang w:val="en-US" w:eastAsia="zh-CN" w:bidi="ar"/>
                <w14:textFill>
                  <w14:solidFill>
                    <w14:schemeClr w14:val="tx1"/>
                  </w14:solidFill>
                </w14:textFill>
              </w:rPr>
              <w:t>t/a</w:t>
            </w:r>
            <w:r>
              <w:rPr>
                <w:rFonts w:hint="eastAsia" w:ascii="宋体" w:hAnsi="宋体" w:eastAsia="宋体" w:cs="宋体"/>
                <w:b/>
                <w:bCs/>
                <w:color w:val="000000" w:themeColor="text1"/>
                <w:kern w:val="0"/>
                <w:sz w:val="20"/>
                <w:szCs w:val="20"/>
                <w:lang w:val="en-US" w:eastAsia="zh-CN" w:bidi="ar"/>
                <w14:textFill>
                  <w14:solidFill>
                    <w14:schemeClr w14:val="tx1"/>
                  </w14:solidFill>
                </w14:textFill>
              </w:rPr>
              <w:t>）</w:t>
            </w:r>
          </w:p>
          <w:tbl>
            <w:tblPr>
              <w:tblStyle w:val="25"/>
              <w:tblW w:w="7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426"/>
              <w:gridCol w:w="1177"/>
              <w:gridCol w:w="1177"/>
              <w:gridCol w:w="1177"/>
              <w:gridCol w:w="1177"/>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142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名称</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用量</w:t>
                  </w:r>
                </w:p>
              </w:tc>
              <w:tc>
                <w:tcPr>
                  <w:tcW w:w="1177" w:type="dxa"/>
                  <w:vAlign w:val="center"/>
                </w:tcPr>
                <w:p>
                  <w:pPr>
                    <w:keepNext w:val="0"/>
                    <w:keepLines w:val="0"/>
                    <w:widowControl/>
                    <w:suppressLineNumbers w:val="0"/>
                    <w:jc w:val="left"/>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kern w:val="0"/>
                      <w:sz w:val="20"/>
                      <w:szCs w:val="20"/>
                      <w:lang w:val="en-US" w:eastAsia="zh-CN" w:bidi="ar"/>
                      <w14:textFill>
                        <w14:solidFill>
                          <w14:schemeClr w14:val="tx1"/>
                        </w14:solidFill>
                      </w14:textFill>
                    </w:rPr>
                    <w:t>项目</w:t>
                  </w:r>
                </w:p>
              </w:tc>
              <w:tc>
                <w:tcPr>
                  <w:tcW w:w="1177" w:type="dxa"/>
                  <w:vAlign w:val="center"/>
                </w:tcPr>
                <w:p>
                  <w:pPr>
                    <w:keepNext w:val="0"/>
                    <w:keepLines w:val="0"/>
                    <w:widowControl/>
                    <w:suppressLineNumbers w:val="0"/>
                    <w:jc w:val="left"/>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kern w:val="0"/>
                      <w:sz w:val="20"/>
                      <w:szCs w:val="20"/>
                      <w:lang w:val="en-US" w:eastAsia="zh-CN" w:bidi="ar"/>
                      <w14:textFill>
                        <w14:solidFill>
                          <w14:schemeClr w14:val="tx1"/>
                        </w14:solidFill>
                      </w14:textFill>
                    </w:rPr>
                    <w:t>固份</w:t>
                  </w:r>
                </w:p>
              </w:tc>
              <w:tc>
                <w:tcPr>
                  <w:tcW w:w="1177" w:type="dxa"/>
                  <w:vAlign w:val="center"/>
                </w:tcPr>
                <w:p>
                  <w:pPr>
                    <w:keepNext w:val="0"/>
                    <w:keepLines w:val="0"/>
                    <w:widowControl/>
                    <w:suppressLineNumbers w:val="0"/>
                    <w:jc w:val="left"/>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0"/>
                      <w:szCs w:val="20"/>
                      <w:lang w:val="en-US" w:eastAsia="zh-CN" w:bidi="ar"/>
                      <w14:textFill>
                        <w14:solidFill>
                          <w14:schemeClr w14:val="tx1"/>
                        </w14:solidFill>
                      </w14:textFill>
                    </w:rPr>
                    <w:t>VOCs</w:t>
                  </w:r>
                </w:p>
              </w:tc>
              <w:tc>
                <w:tcPr>
                  <w:tcW w:w="1177" w:type="dxa"/>
                  <w:vAlign w:val="center"/>
                </w:tcPr>
                <w:p>
                  <w:pPr>
                    <w:keepNext w:val="0"/>
                    <w:keepLines w:val="0"/>
                    <w:widowControl/>
                    <w:suppressLineNumbers w:val="0"/>
                    <w:jc w:val="left"/>
                    <w:rPr>
                      <w:rFonts w:hint="default" w:ascii="Times New Roman" w:hAnsi="Times New Roman" w:eastAsia="宋体" w:cs="Times New Roman"/>
                      <w:b/>
                      <w:bCs/>
                      <w:color w:val="000000" w:themeColor="text1"/>
                      <w:kern w:val="0"/>
                      <w:sz w:val="20"/>
                      <w:szCs w:val="20"/>
                      <w:lang w:val="en-US" w:eastAsia="zh-CN" w:bidi="ar"/>
                      <w14:textFill>
                        <w14:solidFill>
                          <w14:schemeClr w14:val="tx1"/>
                        </w14:solidFill>
                      </w14:textFill>
                    </w:rPr>
                  </w:pPr>
                  <w:r>
                    <w:rPr>
                      <w:rFonts w:hint="eastAsia" w:ascii="宋体" w:hAnsi="宋体" w:eastAsia="宋体" w:cs="宋体"/>
                      <w:b/>
                      <w:bCs/>
                      <w:color w:val="000000" w:themeColor="text1"/>
                      <w:kern w:val="0"/>
                      <w:sz w:val="20"/>
                      <w:szCs w:val="20"/>
                      <w:lang w:val="en-US" w:eastAsia="zh-CN" w:bidi="ar"/>
                      <w14:textFill>
                        <w14:solidFill>
                          <w14:schemeClr w14:val="tx1"/>
                        </w14:solidFill>
                      </w14:textFill>
                    </w:rPr>
                    <w:t>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42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水性环氧防腐底漆</w:t>
                  </w:r>
                </w:p>
              </w:tc>
              <w:tc>
                <w:tcPr>
                  <w:tcW w:w="117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5.92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1177" w:type="dxa"/>
                  <w:vAlign w:val="center"/>
                </w:tcPr>
                <w:p>
                  <w:pPr>
                    <w:keepNext w:val="0"/>
                    <w:keepLines w:val="0"/>
                    <w:widowControl/>
                    <w:suppressLineNumbers w:val="0"/>
                    <w:jc w:val="left"/>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组成比例</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74.5%</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42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Align w:val="center"/>
                </w:tcPr>
                <w:p>
                  <w:pPr>
                    <w:keepNext w:val="0"/>
                    <w:keepLines w:val="0"/>
                    <w:widowControl/>
                    <w:suppressLineNumbers w:val="0"/>
                    <w:jc w:val="left"/>
                    <w:rPr>
                      <w:rFonts w:hint="eastAsia"/>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含量</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4.41</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0.47</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42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水性环氧固化剂（通用）</w:t>
                  </w:r>
                </w:p>
              </w:tc>
              <w:tc>
                <w:tcPr>
                  <w:tcW w:w="117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0.74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1177" w:type="dxa"/>
                  <w:vAlign w:val="center"/>
                </w:tcPr>
                <w:p>
                  <w:pPr>
                    <w:keepNext w:val="0"/>
                    <w:keepLines w:val="0"/>
                    <w:widowControl/>
                    <w:suppressLineNumbers w:val="0"/>
                    <w:jc w:val="left"/>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组成比例</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57% </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42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Align w:val="center"/>
                </w:tcPr>
                <w:p>
                  <w:pPr>
                    <w:keepNext w:val="0"/>
                    <w:keepLines w:val="0"/>
                    <w:widowControl/>
                    <w:suppressLineNumbers w:val="0"/>
                    <w:jc w:val="left"/>
                    <w:rPr>
                      <w:rFonts w:hint="eastAsia"/>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含量</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0.42</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0.06</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42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水性环氧云铁中间漆</w:t>
                  </w:r>
                </w:p>
              </w:tc>
              <w:tc>
                <w:tcPr>
                  <w:tcW w:w="117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6.67</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1177" w:type="dxa"/>
                  <w:vAlign w:val="center"/>
                </w:tcPr>
                <w:p>
                  <w:pPr>
                    <w:keepNext w:val="0"/>
                    <w:keepLines w:val="0"/>
                    <w:widowControl/>
                    <w:suppressLineNumbers w:val="0"/>
                    <w:jc w:val="left"/>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组成比例</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84% </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42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Align w:val="center"/>
                </w:tcPr>
                <w:p>
                  <w:pPr>
                    <w:keepNext w:val="0"/>
                    <w:keepLines w:val="0"/>
                    <w:widowControl/>
                    <w:suppressLineNumbers w:val="0"/>
                    <w:jc w:val="left"/>
                    <w:rPr>
                      <w:rFonts w:hint="eastAsia"/>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含量</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5.60</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0.53</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42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水性双组份聚氨酯面漆</w:t>
                  </w:r>
                </w:p>
              </w:tc>
              <w:tc>
                <w:tcPr>
                  <w:tcW w:w="117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5.56</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1177" w:type="dxa"/>
                  <w:vAlign w:val="center"/>
                </w:tcPr>
                <w:p>
                  <w:pPr>
                    <w:keepNext w:val="0"/>
                    <w:keepLines w:val="0"/>
                    <w:widowControl/>
                    <w:suppressLineNumbers w:val="0"/>
                    <w:jc w:val="left"/>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组成比例</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82%</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7.0%</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42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Align w:val="center"/>
                </w:tcPr>
                <w:p>
                  <w:pPr>
                    <w:keepNext w:val="0"/>
                    <w:keepLines w:val="0"/>
                    <w:widowControl/>
                    <w:suppressLineNumbers w:val="0"/>
                    <w:jc w:val="left"/>
                    <w:rPr>
                      <w:rFonts w:hint="eastAsia"/>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含量</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4.56</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0.39</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142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水性双组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份聚氨酯面漆固化剂</w:t>
                  </w:r>
                </w:p>
              </w:tc>
              <w:tc>
                <w:tcPr>
                  <w:tcW w:w="117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1.11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1177" w:type="dxa"/>
                  <w:vAlign w:val="center"/>
                </w:tcPr>
                <w:p>
                  <w:pPr>
                    <w:keepNext w:val="0"/>
                    <w:keepLines w:val="0"/>
                    <w:widowControl/>
                    <w:suppressLineNumbers w:val="0"/>
                    <w:jc w:val="left"/>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组成比例</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42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Align w:val="center"/>
                </w:tcPr>
                <w:p>
                  <w:pPr>
                    <w:keepNext w:val="0"/>
                    <w:keepLines w:val="0"/>
                    <w:widowControl/>
                    <w:suppressLineNumbers w:val="0"/>
                    <w:jc w:val="left"/>
                    <w:rPr>
                      <w:rFonts w:hint="eastAsia"/>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含量</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0.67</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0.44</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142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环氧富锌底漆</w:t>
                  </w:r>
                </w:p>
              </w:tc>
              <w:tc>
                <w:tcPr>
                  <w:tcW w:w="117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0.92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1177" w:type="dxa"/>
                  <w:vAlign w:val="center"/>
                </w:tcPr>
                <w:p>
                  <w:pPr>
                    <w:keepNext w:val="0"/>
                    <w:keepLines w:val="0"/>
                    <w:widowControl/>
                    <w:suppressLineNumbers w:val="0"/>
                    <w:jc w:val="left"/>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组成比例</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93% </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7.0%</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42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Align w:val="center"/>
                </w:tcPr>
                <w:p>
                  <w:pPr>
                    <w:keepNext w:val="0"/>
                    <w:keepLines w:val="0"/>
                    <w:widowControl/>
                    <w:suppressLineNumbers w:val="0"/>
                    <w:jc w:val="left"/>
                    <w:rPr>
                      <w:rFonts w:hint="eastAsia"/>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含量</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0.86</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0.06</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142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环氧固化剂（通用）</w:t>
                  </w:r>
                </w:p>
              </w:tc>
              <w:tc>
                <w:tcPr>
                  <w:tcW w:w="117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0.16</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1177" w:type="dxa"/>
                  <w:vAlign w:val="center"/>
                </w:tcPr>
                <w:p>
                  <w:pPr>
                    <w:keepNext w:val="0"/>
                    <w:keepLines w:val="0"/>
                    <w:widowControl/>
                    <w:suppressLineNumbers w:val="0"/>
                    <w:jc w:val="left"/>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组成比例</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70% </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42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Align w:val="center"/>
                </w:tcPr>
                <w:p>
                  <w:pPr>
                    <w:keepNext w:val="0"/>
                    <w:keepLines w:val="0"/>
                    <w:widowControl/>
                    <w:suppressLineNumbers w:val="0"/>
                    <w:jc w:val="left"/>
                    <w:rPr>
                      <w:rFonts w:hint="eastAsia"/>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含量</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0.11</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0.05</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142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环氧稀释剂（通用）</w:t>
                  </w:r>
                </w:p>
              </w:tc>
              <w:tc>
                <w:tcPr>
                  <w:tcW w:w="117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0.92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1177" w:type="dxa"/>
                  <w:vAlign w:val="center"/>
                </w:tcPr>
                <w:p>
                  <w:pPr>
                    <w:keepNext w:val="0"/>
                    <w:keepLines w:val="0"/>
                    <w:widowControl/>
                    <w:suppressLineNumbers w:val="0"/>
                    <w:jc w:val="left"/>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组成比例</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42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Align w:val="center"/>
                </w:tcPr>
                <w:p>
                  <w:pPr>
                    <w:keepNext w:val="0"/>
                    <w:keepLines w:val="0"/>
                    <w:widowControl/>
                    <w:suppressLineNumbers w:val="0"/>
                    <w:jc w:val="left"/>
                    <w:rPr>
                      <w:rFonts w:hint="eastAsia"/>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含量</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0.92</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142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环氧云铁中间漆</w:t>
                  </w:r>
                </w:p>
              </w:tc>
              <w:tc>
                <w:tcPr>
                  <w:tcW w:w="117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1177" w:type="dxa"/>
                  <w:vAlign w:val="center"/>
                </w:tcPr>
                <w:p>
                  <w:pPr>
                    <w:keepNext w:val="0"/>
                    <w:keepLines w:val="0"/>
                    <w:widowControl/>
                    <w:suppressLineNumbers w:val="0"/>
                    <w:jc w:val="left"/>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组成比例</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82% </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42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Align w:val="center"/>
                </w:tcPr>
                <w:p>
                  <w:pPr>
                    <w:keepNext w:val="0"/>
                    <w:keepLines w:val="0"/>
                    <w:widowControl/>
                    <w:suppressLineNumbers w:val="0"/>
                    <w:jc w:val="left"/>
                    <w:rPr>
                      <w:rFonts w:hint="eastAsia"/>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含量</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1.64</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0.36</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142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丙烯酸聚氨酯磁漆</w:t>
                  </w:r>
                </w:p>
              </w:tc>
              <w:tc>
                <w:tcPr>
                  <w:tcW w:w="117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0.91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1177" w:type="dxa"/>
                  <w:vAlign w:val="center"/>
                </w:tcPr>
                <w:p>
                  <w:pPr>
                    <w:keepNext w:val="0"/>
                    <w:keepLines w:val="0"/>
                    <w:widowControl/>
                    <w:suppressLineNumbers w:val="0"/>
                    <w:jc w:val="left"/>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组成比例</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84% </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16%</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42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Align w:val="center"/>
                </w:tcPr>
                <w:p>
                  <w:pPr>
                    <w:keepNext w:val="0"/>
                    <w:keepLines w:val="0"/>
                    <w:widowControl/>
                    <w:suppressLineNumbers w:val="0"/>
                    <w:jc w:val="left"/>
                    <w:rPr>
                      <w:rFonts w:hint="eastAsia"/>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含量</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0.76</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0.15</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w:t>
                  </w:r>
                </w:p>
              </w:tc>
              <w:tc>
                <w:tcPr>
                  <w:tcW w:w="142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聚氨酯稀释剂</w:t>
                  </w:r>
                </w:p>
              </w:tc>
              <w:tc>
                <w:tcPr>
                  <w:tcW w:w="117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0.91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1177" w:type="dxa"/>
                  <w:vAlign w:val="center"/>
                </w:tcPr>
                <w:p>
                  <w:pPr>
                    <w:keepNext w:val="0"/>
                    <w:keepLines w:val="0"/>
                    <w:widowControl/>
                    <w:suppressLineNumbers w:val="0"/>
                    <w:jc w:val="left"/>
                    <w:rPr>
                      <w:rFonts w:hint="eastAsia" w:ascii="宋体" w:hAnsi="宋体" w:eastAsia="宋体" w:cs="宋体"/>
                      <w:color w:val="000000" w:themeColor="text1"/>
                      <w:kern w:val="0"/>
                      <w:sz w:val="20"/>
                      <w:szCs w:val="20"/>
                      <w:lang w:val="en-US" w:eastAsia="zh-CN" w:bidi="ar"/>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组成比例</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42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Align w:val="center"/>
                </w:tcPr>
                <w:p>
                  <w:pPr>
                    <w:keepNext w:val="0"/>
                    <w:keepLines w:val="0"/>
                    <w:widowControl/>
                    <w:suppressLineNumbers w:val="0"/>
                    <w:jc w:val="left"/>
                    <w:rPr>
                      <w:rFonts w:hint="eastAsia" w:ascii="宋体" w:hAnsi="宋体" w:eastAsia="宋体" w:cs="宋体"/>
                      <w:color w:val="000000" w:themeColor="text1"/>
                      <w:kern w:val="0"/>
                      <w:sz w:val="20"/>
                      <w:szCs w:val="20"/>
                      <w:lang w:val="en-US" w:eastAsia="zh-CN" w:bidi="ar"/>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含量</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0.91</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142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聚氨酯固化剂</w:t>
                  </w:r>
                </w:p>
              </w:tc>
              <w:tc>
                <w:tcPr>
                  <w:tcW w:w="117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0.18</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1177" w:type="dxa"/>
                  <w:vAlign w:val="center"/>
                </w:tcPr>
                <w:p>
                  <w:pPr>
                    <w:keepNext w:val="0"/>
                    <w:keepLines w:val="0"/>
                    <w:widowControl/>
                    <w:suppressLineNumbers w:val="0"/>
                    <w:jc w:val="left"/>
                    <w:rPr>
                      <w:rFonts w:hint="eastAsia" w:ascii="宋体" w:hAnsi="宋体" w:eastAsia="宋体" w:cs="宋体"/>
                      <w:color w:val="000000" w:themeColor="text1"/>
                      <w:kern w:val="0"/>
                      <w:sz w:val="20"/>
                      <w:szCs w:val="20"/>
                      <w:lang w:val="en-US" w:eastAsia="zh-CN" w:bidi="ar"/>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组成比例</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85% </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42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p>
              </w:tc>
              <w:tc>
                <w:tcPr>
                  <w:tcW w:w="1177" w:type="dxa"/>
                  <w:vAlign w:val="center"/>
                </w:tcPr>
                <w:p>
                  <w:pPr>
                    <w:keepNext w:val="0"/>
                    <w:keepLines w:val="0"/>
                    <w:widowControl/>
                    <w:suppressLineNumbers w:val="0"/>
                    <w:jc w:val="left"/>
                    <w:rPr>
                      <w:rFonts w:hint="eastAsia" w:ascii="宋体" w:hAnsi="宋体" w:eastAsia="宋体" w:cs="宋体"/>
                      <w:color w:val="000000" w:themeColor="text1"/>
                      <w:kern w:val="0"/>
                      <w:sz w:val="20"/>
                      <w:szCs w:val="20"/>
                      <w:lang w:val="en-US" w:eastAsia="zh-CN" w:bidi="ar"/>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含量</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0.15</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0.03</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66" w:type="dxa"/>
                  <w:gridSpan w:val="4"/>
                  <w:vAlign w:val="center"/>
                </w:tcPr>
                <w:p>
                  <w:pPr>
                    <w:keepNext w:val="0"/>
                    <w:keepLines w:val="0"/>
                    <w:widowControl/>
                    <w:suppressLineNumbers w:val="0"/>
                    <w:jc w:val="left"/>
                    <w:rPr>
                      <w:rFonts w:hint="default" w:ascii="宋体" w:hAnsi="宋体" w:eastAsia="宋体" w:cs="宋体"/>
                      <w:color w:val="000000" w:themeColor="text1"/>
                      <w:kern w:val="0"/>
                      <w:sz w:val="20"/>
                      <w:szCs w:val="20"/>
                      <w:lang w:val="en-US" w:eastAsia="zh-CN" w:bidi="ar"/>
                      <w14:textFill>
                        <w14:solidFill>
                          <w14:schemeClr w14:val="tx1"/>
                        </w14:solidFill>
                      </w14:textFill>
                    </w:rPr>
                  </w:pPr>
                  <w:r>
                    <w:rPr>
                      <w:rFonts w:hint="eastAsia" w:ascii="宋体" w:hAnsi="宋体" w:cs="宋体"/>
                      <w:color w:val="000000" w:themeColor="text1"/>
                      <w:kern w:val="0"/>
                      <w:sz w:val="20"/>
                      <w:szCs w:val="20"/>
                      <w:lang w:val="en-US" w:eastAsia="zh-CN" w:bidi="ar"/>
                      <w14:textFill>
                        <w14:solidFill>
                          <w14:schemeClr w14:val="tx1"/>
                        </w14:solidFill>
                      </w14:textFill>
                    </w:rPr>
                    <w:t>合计</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19.18</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4.37</w:t>
                  </w:r>
                </w:p>
              </w:tc>
              <w:tc>
                <w:tcPr>
                  <w:tcW w:w="11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0.88</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（1）漆雾（颗粒物）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本项目喷漆方式主要为无气喷涂，参考</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依据《谈喷涂涂着效率，王锡春》发表于《现代涂料与涂装》2006.10的研究论文及建设方提供的资料</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，采用无气喷涂的喷涂效率一般为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采用</w:t>
            </w:r>
            <w:r>
              <w:rPr>
                <w:rFonts w:hint="eastAsia" w:cs="Times New Roman"/>
                <w:color w:val="000000" w:themeColor="text1"/>
                <w:sz w:val="24"/>
                <w:szCs w:val="24"/>
                <w:highlight w:val="none"/>
                <w:lang w:val="en-US" w:eastAsia="zh-CN"/>
                <w14:textFill>
                  <w14:solidFill>
                    <w14:schemeClr w14:val="tx1"/>
                  </w14:solidFill>
                </w14:textFill>
              </w:rPr>
              <w:t>喷涂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作业时约有70%的固体附着在工件上，其余30%形成雾(颗粒物)进入空气，故漆雾产生量为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5.75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t/a，本项目</w:t>
            </w:r>
            <w:r>
              <w:rPr>
                <w:rFonts w:hint="default" w:ascii="Times New Roman" w:hAnsi="Times New Roman" w:cs="Times New Roman"/>
                <w:color w:val="000000" w:themeColor="text1"/>
                <w:sz w:val="24"/>
                <w:szCs w:val="24"/>
                <w:highlight w:val="none"/>
                <w14:textFill>
                  <w14:solidFill>
                    <w14:schemeClr w14:val="tx1"/>
                  </w14:solidFill>
                </w14:textFill>
              </w:rPr>
              <w:t>喷漆房漆雾捕集系统，采用DPA纸箱过滤器</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据厂家提供资料，</w:t>
            </w:r>
            <w:r>
              <w:rPr>
                <w:rFonts w:hint="default" w:ascii="Times New Roman" w:hAnsi="Times New Roman" w:cs="Times New Roman"/>
                <w:color w:val="000000" w:themeColor="text1"/>
                <w:sz w:val="24"/>
                <w:szCs w:val="24"/>
                <w:highlight w:val="none"/>
                <w14:textFill>
                  <w14:solidFill>
                    <w14:schemeClr w14:val="tx1"/>
                  </w14:solidFill>
                </w14:textFill>
              </w:rPr>
              <w:t>DPA纸箱过滤器</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20um以上油漆颗粒去除率达100%，10um以上油漆颗粒去除效率99.8%，5um以上油漆颗粒去除效率84.5%，本项目漆雾处理效率取84.5%，漆雾经封闭负压状态收集后使用DPA纸箱过滤器过滤后经20m高排气(DA002）排放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废气收集效率取9</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年有效工作时间为1200h</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风机风量为</w:t>
            </w:r>
            <w:r>
              <w:rPr>
                <w:rFonts w:hint="eastAsia" w:cs="Times New Roman"/>
                <w:color w:val="000000" w:themeColor="text1"/>
                <w:sz w:val="24"/>
                <w:szCs w:val="24"/>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0000m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/h，则</w:t>
            </w:r>
            <w:r>
              <w:rPr>
                <w:rFonts w:hint="eastAsia" w:cs="Times New Roman"/>
                <w:color w:val="000000" w:themeColor="text1"/>
                <w:sz w:val="24"/>
                <w:szCs w:val="24"/>
                <w:highlight w:val="none"/>
                <w:lang w:val="en-US" w:eastAsia="zh-CN"/>
                <w14:textFill>
                  <w14:solidFill>
                    <w14:schemeClr w14:val="tx1"/>
                  </w14:solidFill>
                </w14:textFill>
              </w:rPr>
              <w:t>漆雾（</w:t>
            </w:r>
            <w:r>
              <w:rPr>
                <w:rFonts w:hint="eastAsia"/>
                <w:color w:val="000000" w:themeColor="text1"/>
                <w:sz w:val="24"/>
                <w:szCs w:val="24"/>
                <w:highlight w:val="none"/>
                <w:lang w:val="en-US" w:eastAsia="zh-CN"/>
                <w14:textFill>
                  <w14:solidFill>
                    <w14:schemeClr w14:val="tx1"/>
                  </w14:solidFill>
                </w14:textFill>
              </w:rPr>
              <w:t>颗粒物</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有组织排放量为0.85t/a，排放速率为0.71kg/h，排放浓度为8.85mg/m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，无组织排放量为0.29t/a，排放速率为0.24kg/h。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因此，有组织</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颗粒物</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满足</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《大气污染物综合排放标准》(GB16297-1996)二级标准浓度限值</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允许排放浓度值120mg/m³，20米排气筒最高允许排放速率3.5kg/h)后排放，无组织颗粒物满足《大气污染物综合排放标准》(GB16297-1996)表2新污染源大气污染物排放限值（厂界外浓度最高点1.0mg/m³）后排放，对周围大气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（2）挥发废气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本项目喷漆</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、烘干</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房调漆、喷漆与</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烘干</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工序产生的废气经风机抽集后，经</w:t>
            </w:r>
            <w:r>
              <w:rPr>
                <w:rFonts w:hint="default" w:ascii="Times New Roman" w:hAnsi="Times New Roman" w:cs="Times New Roman"/>
                <w:color w:val="000000" w:themeColor="text1"/>
                <w:sz w:val="24"/>
                <w:szCs w:val="24"/>
                <w:highlight w:val="none"/>
                <w14:textFill>
                  <w14:solidFill>
                    <w14:schemeClr w14:val="tx1"/>
                  </w14:solidFill>
                </w14:textFill>
              </w:rPr>
              <w:t>DPA纸箱过滤器</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除去部分颗粒物后，进入“80K型活性炭吸附+脱附+催化燃烧处理设备（在线）”装置进行处理后，处理后废气经20m高排气(DA002）排放。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室内</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封闭负压状态</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下</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废气收集效率可达95%以上，</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根据</w:t>
            </w:r>
            <w:r>
              <w:rPr>
                <w:rFonts w:hint="eastAsia" w:ascii="宋体" w:hAnsi="宋体" w:eastAsia="宋体" w:cs="宋体"/>
                <w:color w:val="000000" w:themeColor="text1"/>
                <w:sz w:val="24"/>
                <w:szCs w:val="24"/>
                <w:lang w:val="en-US" w:eastAsia="zh-CN"/>
                <w14:textFill>
                  <w14:solidFill>
                    <w14:schemeClr w14:val="tx1"/>
                  </w14:solidFill>
                </w14:textFill>
              </w:rPr>
              <w:t>《排放源统计调查产排污核算方法和系数手册》机械行业产排污核算对应情况表中涂装中系数，采用吸附/催化燃烧工艺处理效率为77%</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。风机风量为80000m</w:t>
            </w:r>
            <w:r>
              <w:rPr>
                <w:rFonts w:hint="eastAsia" w:ascii="Times New Roman" w:hAnsi="Times New Roman" w:eastAsia="宋体" w:cs="Times New Roman"/>
                <w:bCs/>
                <w:color w:val="000000" w:themeColor="text1"/>
                <w:spacing w:val="0"/>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/h，喷漆、烘干工序年有效工作时间均为1200h。</w:t>
            </w:r>
            <w:r>
              <w:rPr>
                <w:rFonts w:hint="eastAsia" w:ascii="宋体" w:hAnsi="宋体" w:eastAsia="宋体" w:cs="宋体"/>
                <w:color w:val="000000" w:themeColor="text1"/>
                <w:sz w:val="24"/>
                <w:szCs w:val="24"/>
                <w:lang w:val="en-US" w:eastAsia="zh-CN"/>
                <w14:textFill>
                  <w14:solidFill>
                    <w14:schemeClr w14:val="tx1"/>
                  </w14:solidFill>
                </w14:textFill>
              </w:rPr>
              <w:t>则喷漆、烘干工序非甲烷总烃、甲苯及二甲苯</w:t>
            </w:r>
            <w:r>
              <w:rPr>
                <w:rFonts w:hint="default" w:ascii="宋体" w:hAnsi="宋体" w:eastAsia="宋体" w:cs="宋体"/>
                <w:color w:val="000000" w:themeColor="text1"/>
                <w:sz w:val="24"/>
                <w:szCs w:val="24"/>
                <w:lang w:val="en-US" w:eastAsia="zh-CN"/>
                <w14:textFill>
                  <w14:solidFill>
                    <w14:schemeClr w14:val="tx1"/>
                  </w14:solidFill>
                </w14:textFill>
              </w:rPr>
              <w:t>产排污情况统计表</w:t>
            </w:r>
            <w:r>
              <w:rPr>
                <w:rFonts w:hint="eastAsia" w:ascii="宋体" w:hAnsi="宋体" w:eastAsia="宋体" w:cs="宋体"/>
                <w:color w:val="000000" w:themeColor="text1"/>
                <w:sz w:val="24"/>
                <w:szCs w:val="24"/>
                <w:lang w:val="en-US" w:eastAsia="zh-CN"/>
                <w14:textFill>
                  <w14:solidFill>
                    <w14:schemeClr w14:val="tx1"/>
                  </w14:solidFill>
                </w14:textFill>
              </w:rPr>
              <w:t>如下：</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4-3喷漆、烘干非甲烷总烃、甲苯及二甲苯</w:t>
            </w:r>
            <w: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产排污情况统计表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710"/>
              <w:gridCol w:w="776"/>
              <w:gridCol w:w="757"/>
              <w:gridCol w:w="626"/>
              <w:gridCol w:w="817"/>
              <w:gridCol w:w="1327"/>
              <w:gridCol w:w="647"/>
              <w:gridCol w:w="851"/>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5" w:type="dxa"/>
                  <w:vMerge w:val="restart"/>
                  <w:vAlign w:val="center"/>
                </w:tcPr>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240" w:lineRule="auto"/>
                    <w:ind w:right="0" w:rightChars="0" w:firstLine="0" w:firstLineChars="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污染物种类</w:t>
                  </w:r>
                </w:p>
              </w:tc>
              <w:tc>
                <w:tcPr>
                  <w:tcW w:w="2243" w:type="dxa"/>
                  <w:gridSpan w:val="3"/>
                  <w:vAlign w:val="center"/>
                </w:tcPr>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240" w:lineRule="auto"/>
                    <w:ind w:right="0" w:rightChars="0"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污染物产生情况</w:t>
                  </w:r>
                </w:p>
              </w:tc>
              <w:tc>
                <w:tcPr>
                  <w:tcW w:w="626" w:type="dxa"/>
                  <w:vMerge w:val="restart"/>
                  <w:vAlign w:val="center"/>
                </w:tcPr>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240" w:lineRule="auto"/>
                    <w:ind w:right="0" w:rightChars="0" w:firstLine="0" w:firstLineChars="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排放形式</w:t>
                  </w:r>
                </w:p>
              </w:tc>
              <w:tc>
                <w:tcPr>
                  <w:tcW w:w="2144" w:type="dxa"/>
                  <w:gridSpan w:val="2"/>
                  <w:vAlign w:val="center"/>
                </w:tcPr>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240" w:lineRule="auto"/>
                    <w:ind w:right="0" w:rightChars="0" w:firstLine="0" w:firstLineChars="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主要治理措施</w:t>
                  </w:r>
                </w:p>
              </w:tc>
              <w:tc>
                <w:tcPr>
                  <w:tcW w:w="2370" w:type="dxa"/>
                  <w:gridSpan w:val="3"/>
                  <w:vAlign w:val="center"/>
                </w:tcPr>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240" w:lineRule="auto"/>
                    <w:ind w:right="0" w:rightChars="0"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污染物排放情况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710" w:type="dxa"/>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产生量t/a</w:t>
                  </w:r>
                </w:p>
              </w:tc>
              <w:tc>
                <w:tcPr>
                  <w:tcW w:w="776" w:type="dxa"/>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产生</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浓度</w:t>
                  </w:r>
                </w:p>
                <w:p>
                  <w:pPr>
                    <w:pStyle w:val="41"/>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mg</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/m³</w:t>
                  </w:r>
                </w:p>
              </w:tc>
              <w:tc>
                <w:tcPr>
                  <w:tcW w:w="757" w:type="dxa"/>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产生速率kg/h</w:t>
                  </w:r>
                </w:p>
              </w:tc>
              <w:tc>
                <w:tcPr>
                  <w:tcW w:w="62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817" w:type="dxa"/>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措施</w:t>
                  </w:r>
                </w:p>
              </w:tc>
              <w:tc>
                <w:tcPr>
                  <w:tcW w:w="1327" w:type="dxa"/>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去除率%</w:t>
                  </w:r>
                </w:p>
              </w:tc>
              <w:tc>
                <w:tcPr>
                  <w:tcW w:w="647" w:type="dxa"/>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排放量t/a</w:t>
                  </w:r>
                </w:p>
              </w:tc>
              <w:tc>
                <w:tcPr>
                  <w:tcW w:w="851" w:type="dxa"/>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排放</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浓度mg/m</w:t>
                  </w:r>
                  <w:r>
                    <w:rPr>
                      <w:rFonts w:hint="eastAsia"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3</w:t>
                  </w:r>
                </w:p>
              </w:tc>
              <w:tc>
                <w:tcPr>
                  <w:tcW w:w="872" w:type="dxa"/>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非甲烷总烃</w:t>
                  </w:r>
                </w:p>
              </w:tc>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4.37</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45.52</w:t>
                  </w:r>
                </w:p>
              </w:tc>
              <w:tc>
                <w:tcPr>
                  <w:tcW w:w="75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3.64</w:t>
                  </w:r>
                </w:p>
              </w:tc>
              <w:tc>
                <w:tcPr>
                  <w:tcW w:w="62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有组织</w:t>
                  </w:r>
                </w:p>
              </w:tc>
              <w:tc>
                <w:tcPr>
                  <w:tcW w:w="2144"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废气收集效率9</w:t>
                  </w:r>
                  <w:r>
                    <w:rPr>
                      <w:rFonts w:hint="eastAsia" w:cs="Times New Roman"/>
                      <w:color w:val="000000" w:themeColor="text1"/>
                      <w:kern w:val="2"/>
                      <w:sz w:val="21"/>
                      <w:szCs w:val="21"/>
                      <w:highlight w:val="none"/>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%，80K型活性炭吸附+脱附+催化燃烧处理设备（在线），处理效率</w:t>
                  </w:r>
                  <w:r>
                    <w:rPr>
                      <w:rFonts w:hint="eastAsia" w:cs="Times New Roman"/>
                      <w:color w:val="000000" w:themeColor="text1"/>
                      <w:kern w:val="2"/>
                      <w:sz w:val="21"/>
                      <w:szCs w:val="21"/>
                      <w:highlight w:val="none"/>
                      <w:lang w:val="en-US" w:eastAsia="zh-CN" w:bidi="ar-SA"/>
                      <w14:textFill>
                        <w14:solidFill>
                          <w14:schemeClr w14:val="tx1"/>
                        </w14:solidFill>
                      </w14:textFill>
                    </w:rPr>
                    <w:t>77</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0.95</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9.90</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75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62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无组织</w:t>
                  </w:r>
                </w:p>
              </w:tc>
              <w:tc>
                <w:tcPr>
                  <w:tcW w:w="214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0.22</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甲苯及二甲苯</w:t>
                  </w:r>
                </w:p>
              </w:tc>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0.88</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9.17</w:t>
                  </w:r>
                </w:p>
              </w:tc>
              <w:tc>
                <w:tcPr>
                  <w:tcW w:w="75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0.73</w:t>
                  </w:r>
                </w:p>
              </w:tc>
              <w:tc>
                <w:tcPr>
                  <w:tcW w:w="62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有组织</w:t>
                  </w:r>
                </w:p>
              </w:tc>
              <w:tc>
                <w:tcPr>
                  <w:tcW w:w="214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0.192</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p>
              </w:tc>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77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75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62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无组织</w:t>
                  </w:r>
                </w:p>
              </w:tc>
              <w:tc>
                <w:tcPr>
                  <w:tcW w:w="214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0.044</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0.037</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有机废气有组织排放标准</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《大气污染物综合排放标准》(GB16297-1996)二级标准浓度限值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允许排放浓度值120mg/m³，20米排气筒最高允许排放速率17kg/h，甲苯允许排放浓度值40mg/m³，20米排气筒最高允许排放速率5.2kg/h，二甲苯允许排放浓度值70mg/m³，20米排气筒最高允许排放速率1.7kg/h</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)。有机废气</w:t>
            </w:r>
            <w:r>
              <w:rPr>
                <w:rFonts w:hint="eastAsia" w:cs="Times New Roman"/>
                <w:color w:val="000000" w:themeColor="text1"/>
                <w:sz w:val="24"/>
                <w:szCs w:val="24"/>
                <w:highlight w:val="none"/>
                <w:lang w:val="en-US" w:eastAsia="zh-CN"/>
                <w14:textFill>
                  <w14:solidFill>
                    <w14:schemeClr w14:val="tx1"/>
                  </w14:solidFill>
                </w14:textFill>
              </w:rPr>
              <w:t>VOCs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厂界无组织排放</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《挥发性有机物无组织排放控制标准》(GB37822-2019)附录A中的厂区内</w:t>
            </w:r>
            <w:r>
              <w:rPr>
                <w:rFonts w:hint="eastAsia" w:cs="Times New Roman"/>
                <w:color w:val="000000" w:themeColor="text1"/>
                <w:sz w:val="24"/>
                <w:szCs w:val="24"/>
                <w:highlight w:val="none"/>
                <w:lang w:val="en-US" w:eastAsia="zh-CN"/>
                <w14:textFill>
                  <w14:solidFill>
                    <w14:schemeClr w14:val="tx1"/>
                  </w14:solidFill>
                </w14:textFill>
              </w:rPr>
              <w:t>VOCs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浓度排放限值（在厂房外监控点处任意一次浓度值</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0mg/m³）</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，对周围大气环境影响较小。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val="0"/>
                <w:color w:val="000000" w:themeColor="text1"/>
                <w:spacing w:val="0"/>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spacing w:val="0"/>
                <w:kern w:val="2"/>
                <w:sz w:val="24"/>
                <w:szCs w:val="24"/>
                <w:highlight w:val="none"/>
                <w:lang w:val="en-US" w:eastAsia="zh-CN" w:bidi="ar-SA"/>
                <w14:textFill>
                  <w14:solidFill>
                    <w14:schemeClr w14:val="tx1"/>
                  </w14:solidFill>
                </w14:textFill>
              </w:rPr>
              <w:t>1.</w:t>
            </w:r>
            <w:r>
              <w:rPr>
                <w:rFonts w:hint="eastAsia" w:cs="Times New Roman"/>
                <w:b/>
                <w:bCs w:val="0"/>
                <w:color w:val="000000" w:themeColor="text1"/>
                <w:spacing w:val="0"/>
                <w:kern w:val="2"/>
                <w:sz w:val="24"/>
                <w:szCs w:val="24"/>
                <w:highlight w:val="none"/>
                <w:lang w:val="en-US" w:eastAsia="zh-CN" w:bidi="ar-SA"/>
                <w14:textFill>
                  <w14:solidFill>
                    <w14:schemeClr w14:val="tx1"/>
                  </w14:solidFill>
                </w14:textFill>
              </w:rPr>
              <w:t>5</w:t>
            </w:r>
            <w:r>
              <w:rPr>
                <w:rFonts w:hint="eastAsia" w:ascii="Times New Roman" w:hAnsi="Times New Roman" w:eastAsia="宋体" w:cs="Times New Roman"/>
                <w:b/>
                <w:bCs w:val="0"/>
                <w:color w:val="000000" w:themeColor="text1"/>
                <w:spacing w:val="0"/>
                <w:kern w:val="2"/>
                <w:sz w:val="24"/>
                <w:szCs w:val="24"/>
                <w:highlight w:val="none"/>
                <w:lang w:val="en-US" w:eastAsia="zh-CN" w:bidi="ar-SA"/>
                <w14:textFill>
                  <w14:solidFill>
                    <w14:schemeClr w14:val="tx1"/>
                  </w14:solidFill>
                </w14:textFill>
              </w:rPr>
              <w:t>丝印废气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本项目</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丝印</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工序印刷过程</w:t>
            </w:r>
            <w:r>
              <w:rPr>
                <w:rFonts w:hint="eastAsia" w:cs="Times New Roman"/>
                <w:bCs/>
                <w:color w:val="000000" w:themeColor="text1"/>
                <w:spacing w:val="0"/>
                <w:kern w:val="2"/>
                <w:sz w:val="24"/>
                <w:szCs w:val="24"/>
                <w:highlight w:val="none"/>
                <w:lang w:val="en-US" w:eastAsia="zh-CN" w:bidi="ar-SA"/>
                <w14:textFill>
                  <w14:solidFill>
                    <w14:schemeClr w14:val="tx1"/>
                  </w14:solidFill>
                </w14:textFill>
              </w:rPr>
              <w:t>，</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年</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使用</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0.4t</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油性油墨和</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0.4t</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水性油墨。根据企业提供</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资料</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，本项目所用油性油墨挥发性成分比例为</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30</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%，项目油性油墨的使用量为</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0.4</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t</w:t>
            </w:r>
            <w:r>
              <w:rPr>
                <w:rFonts w:hint="eastAsia" w:cs="Times New Roman"/>
                <w:bCs/>
                <w:color w:val="000000" w:themeColor="text1"/>
                <w:spacing w:val="0"/>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a，则使用油性油墨</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进行</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丝印</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工序</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时</w:t>
            </w:r>
            <w:r>
              <w:rPr>
                <w:rFonts w:hint="eastAsia" w:cs="Times New Roman"/>
                <w:bCs/>
                <w:color w:val="000000" w:themeColor="text1"/>
                <w:spacing w:val="0"/>
                <w:kern w:val="2"/>
                <w:sz w:val="24"/>
                <w:szCs w:val="24"/>
                <w:highlight w:val="none"/>
                <w:lang w:val="en-US" w:eastAsia="zh-CN" w:bidi="ar-SA"/>
                <w14:textFill>
                  <w14:solidFill>
                    <w14:schemeClr w14:val="tx1"/>
                  </w14:solidFill>
                </w14:textFill>
              </w:rPr>
              <w:t>VOCs</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产生量为</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0.12</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根据企业提供的资料</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水性油墨中水溶性树脂占比为70%</w:t>
            </w:r>
            <w:r>
              <w:rPr>
                <w:rFonts w:hint="eastAsia" w:cs="Times New Roman"/>
                <w:bCs/>
                <w:color w:val="000000" w:themeColor="text1"/>
                <w:spacing w:val="0"/>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75%，</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参照</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《浙江省工业涂装工序挥发性有机物排放量计算暂行办法》，水性涂料含水性丙烯酸乳液(树脂)或其他水性乳液(树脂)时，游离单体按实测挥发比例计入</w:t>
            </w:r>
            <w:r>
              <w:rPr>
                <w:rFonts w:hint="eastAsia" w:cs="Times New Roman"/>
                <w:bCs/>
                <w:color w:val="000000" w:themeColor="text1"/>
                <w:spacing w:val="0"/>
                <w:kern w:val="2"/>
                <w:sz w:val="24"/>
                <w:szCs w:val="24"/>
                <w:highlight w:val="none"/>
                <w:lang w:val="en-US" w:eastAsia="zh-CN" w:bidi="ar-SA"/>
                <w14:textFill>
                  <w14:solidFill>
                    <w14:schemeClr w14:val="tx1"/>
                  </w14:solidFill>
                </w14:textFill>
              </w:rPr>
              <w:t>VOCs</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，无实测数据时按水性乳液(树脂)质量的2%计，则本项目所用水性油墨挥发性成分比例为1.4%</w:t>
            </w:r>
            <w:r>
              <w:rPr>
                <w:rFonts w:hint="eastAsia" w:cs="Times New Roman"/>
                <w:bCs/>
                <w:color w:val="000000" w:themeColor="text1"/>
                <w:spacing w:val="0"/>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1.5%，本环评按最不利因素取值计算(即水性油墨挥发性成分比例按1.5%计)。本项目水性油墨的使用量为</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0.4</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t/a，则使用油性油墨</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进行</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丝印</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工序</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时</w:t>
            </w:r>
            <w:r>
              <w:rPr>
                <w:rFonts w:hint="eastAsia" w:cs="Times New Roman"/>
                <w:bCs/>
                <w:color w:val="000000" w:themeColor="text1"/>
                <w:spacing w:val="0"/>
                <w:kern w:val="2"/>
                <w:sz w:val="24"/>
                <w:szCs w:val="24"/>
                <w:highlight w:val="none"/>
                <w:lang w:val="en-US" w:eastAsia="zh-CN" w:bidi="ar-SA"/>
                <w14:textFill>
                  <w14:solidFill>
                    <w14:schemeClr w14:val="tx1"/>
                  </w14:solidFill>
                </w14:textFill>
              </w:rPr>
              <w:t>VOCs</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产生量为</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0.006</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则</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本项目</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丝印</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废气</w:t>
            </w:r>
            <w:r>
              <w:rPr>
                <w:rFonts w:hint="eastAsia" w:cs="Times New Roman"/>
                <w:bCs/>
                <w:color w:val="000000" w:themeColor="text1"/>
                <w:spacing w:val="0"/>
                <w:kern w:val="2"/>
                <w:sz w:val="24"/>
                <w:szCs w:val="24"/>
                <w:highlight w:val="none"/>
                <w:lang w:val="en-US" w:eastAsia="zh-CN" w:bidi="ar-SA"/>
                <w14:textFill>
                  <w14:solidFill>
                    <w14:schemeClr w14:val="tx1"/>
                  </w14:solidFill>
                </w14:textFill>
              </w:rPr>
              <w:t>VOCs</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产生量为</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0.126</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t/a</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丝印</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废气</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使用集气罩收集后接入</w:t>
            </w:r>
            <w:r>
              <w:rPr>
                <w:rFonts w:hint="eastAsia" w:cs="Times New Roman"/>
                <w:color w:val="000000" w:themeColor="text1"/>
                <w:sz w:val="24"/>
                <w:szCs w:val="24"/>
                <w:highlight w:val="none"/>
                <w:lang w:val="en-US" w:eastAsia="zh-CN"/>
                <w14:textFill>
                  <w14:solidFill>
                    <w14:schemeClr w14:val="tx1"/>
                  </w14:solidFill>
                </w14:textFill>
              </w:rPr>
              <w:t>80K型活性炭吸附+脱附+催化燃烧处理设备（在线）</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处理，处理效率为</w:t>
            </w:r>
            <w:r>
              <w:rPr>
                <w:rFonts w:hint="eastAsia" w:cs="Times New Roman"/>
                <w:color w:val="000000" w:themeColor="text1"/>
                <w:sz w:val="24"/>
                <w:szCs w:val="24"/>
                <w:highlight w:val="none"/>
                <w:lang w:val="en-US" w:eastAsia="zh-CN"/>
                <w14:textFill>
                  <w14:solidFill>
                    <w14:schemeClr w14:val="tx1"/>
                  </w14:solidFill>
                </w14:textFill>
              </w:rPr>
              <w:t>77</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%以上，处理后废气经20m高排气(DA00</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）排放。废气收集效率</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取</w:t>
            </w:r>
            <w:r>
              <w:rPr>
                <w:rFonts w:hint="eastAsia" w:cs="Times New Roman"/>
                <w:color w:val="000000" w:themeColor="text1"/>
                <w:sz w:val="24"/>
                <w:szCs w:val="24"/>
                <w:highlight w:val="none"/>
                <w:lang w:val="en-US" w:eastAsia="zh-CN"/>
                <w14:textFill>
                  <w14:solidFill>
                    <w14:schemeClr w14:val="tx1"/>
                  </w14:solidFill>
                </w14:textFill>
              </w:rPr>
              <w:t>90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%，风机风量为80000m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/h，</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丝印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工序年有效工作时间为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300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h</w:t>
            </w:r>
            <w:r>
              <w:rPr>
                <w:rFonts w:hint="eastAsia"/>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则</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丝印</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废气</w:t>
            </w:r>
            <w:r>
              <w:rPr>
                <w:rFonts w:hint="eastAsia" w:cs="Times New Roman"/>
                <w:bCs/>
                <w:color w:val="000000" w:themeColor="text1"/>
                <w:spacing w:val="0"/>
                <w:kern w:val="2"/>
                <w:sz w:val="24"/>
                <w:szCs w:val="24"/>
                <w:highlight w:val="none"/>
                <w:lang w:val="en-US" w:eastAsia="zh-CN" w:bidi="ar-SA"/>
                <w14:textFill>
                  <w14:solidFill>
                    <w14:schemeClr w14:val="tx1"/>
                  </w14:solidFill>
                </w14:textFill>
              </w:rPr>
              <w:t>VOCs</w:t>
            </w:r>
            <w:r>
              <w:rPr>
                <w:rFonts w:hint="eastAsia"/>
                <w:color w:val="000000" w:themeColor="text1"/>
                <w:sz w:val="24"/>
                <w:szCs w:val="24"/>
                <w:highlight w:val="none"/>
                <w:lang w:val="en-US" w:eastAsia="zh-CN"/>
                <w14:textFill>
                  <w14:solidFill>
                    <w14:schemeClr w14:val="tx1"/>
                  </w14:solidFill>
                </w14:textFill>
              </w:rPr>
              <w:t>有组织排放量为0.026t/a，排放速率为0.086kg/h，排放浓度为5.25mg/m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，无组织排放量为0.0.013t/a，排放速率为0.043kg/h。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因此，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有机废气有组织排放标准</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《大气污染物综合排放标准》(GB16297-1996)二级标准浓度限值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允许排放浓度值120mg/m³，20米排气筒最高允许排放速率17kg/h</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。有机废气</w:t>
            </w:r>
            <w:r>
              <w:rPr>
                <w:rFonts w:hint="eastAsia" w:cs="Times New Roman"/>
                <w:color w:val="000000" w:themeColor="text1"/>
                <w:sz w:val="24"/>
                <w:szCs w:val="24"/>
                <w:highlight w:val="none"/>
                <w:lang w:val="en-US" w:eastAsia="zh-CN"/>
                <w14:textFill>
                  <w14:solidFill>
                    <w14:schemeClr w14:val="tx1"/>
                  </w14:solidFill>
                </w14:textFill>
              </w:rPr>
              <w:t>VOCs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厂界无组织排放</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《挥发性有机物无组织排放控制标准》(GB37822-2019)附录A中的厂区内</w:t>
            </w:r>
            <w:r>
              <w:rPr>
                <w:rFonts w:hint="eastAsia" w:cs="Times New Roman"/>
                <w:color w:val="000000" w:themeColor="text1"/>
                <w:sz w:val="24"/>
                <w:szCs w:val="24"/>
                <w:highlight w:val="none"/>
                <w:lang w:val="en-US" w:eastAsia="zh-CN"/>
                <w14:textFill>
                  <w14:solidFill>
                    <w14:schemeClr w14:val="tx1"/>
                  </w14:solidFill>
                </w14:textFill>
              </w:rPr>
              <w:t>VOCs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浓度排放限值（在厂房外监控点处任意一次浓度值</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0mg/m³）</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，对周围大气环境影响较小</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综上所述，各产污环节的污染物产排污情况见表</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4-</w:t>
            </w:r>
            <w:r>
              <w:rPr>
                <w:rFonts w:hint="eastAsia" w:cs="Times New Roman"/>
                <w:color w:val="000000" w:themeColor="text1"/>
                <w:spacing w:val="0"/>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4-</w:t>
            </w:r>
            <w:r>
              <w:rPr>
                <w:rFonts w:hint="eastAsia" w:cs="Times New Roman"/>
                <w:b/>
                <w:bCs/>
                <w:color w:val="000000" w:themeColor="text1"/>
                <w:spacing w:val="0"/>
                <w:sz w:val="21"/>
                <w:szCs w:val="2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大气污染物产排污情况统计表</w:t>
            </w:r>
          </w:p>
          <w:tbl>
            <w:tblPr>
              <w:tblStyle w:val="25"/>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732"/>
              <w:gridCol w:w="748"/>
              <w:gridCol w:w="650"/>
              <w:gridCol w:w="402"/>
              <w:gridCol w:w="823"/>
              <w:gridCol w:w="577"/>
              <w:gridCol w:w="859"/>
              <w:gridCol w:w="74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77" w:type="pct"/>
                  <w:vMerge w:val="restart"/>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产污环节</w:t>
                  </w:r>
                </w:p>
              </w:tc>
              <w:tc>
                <w:tcPr>
                  <w:tcW w:w="462" w:type="pct"/>
                  <w:vMerge w:val="restart"/>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污染物种类</w:t>
                  </w:r>
                </w:p>
              </w:tc>
              <w:tc>
                <w:tcPr>
                  <w:tcW w:w="883" w:type="pct"/>
                  <w:gridSpan w:val="2"/>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污染物产生情况</w:t>
                  </w:r>
                </w:p>
              </w:tc>
              <w:tc>
                <w:tcPr>
                  <w:tcW w:w="253" w:type="pct"/>
                  <w:vMerge w:val="restart"/>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排放形式</w:t>
                  </w:r>
                </w:p>
              </w:tc>
              <w:tc>
                <w:tcPr>
                  <w:tcW w:w="884" w:type="pct"/>
                  <w:gridSpan w:val="2"/>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主要治理措施</w:t>
                  </w:r>
                </w:p>
              </w:tc>
              <w:tc>
                <w:tcPr>
                  <w:tcW w:w="1009" w:type="pct"/>
                  <w:gridSpan w:val="2"/>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污染物排放情况</w:t>
                  </w:r>
                </w:p>
              </w:tc>
              <w:tc>
                <w:tcPr>
                  <w:tcW w:w="1128" w:type="pct"/>
                  <w:vMerge w:val="restart"/>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排放执行标准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p>
              </w:tc>
              <w:tc>
                <w:tcPr>
                  <w:tcW w:w="462" w:type="pct"/>
                  <w:vMerge w:val="continue"/>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p>
              </w:tc>
              <w:tc>
                <w:tcPr>
                  <w:tcW w:w="472" w:type="pct"/>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w w:val="90"/>
                      <w:sz w:val="21"/>
                      <w:szCs w:val="21"/>
                      <w:highlight w:val="none"/>
                      <w:vertAlign w:val="baseline"/>
                      <w:lang w:val="en-US" w:eastAsia="zh-CN"/>
                      <w14:textFill>
                        <w14:solidFill>
                          <w14:schemeClr w14:val="tx1"/>
                        </w14:solidFill>
                      </w14:textFill>
                    </w:rPr>
                    <w:t>产生量</w:t>
                  </w:r>
                  <w:r>
                    <w:rPr>
                      <w:rFonts w:hint="default" w:ascii="Times New Roman" w:hAnsi="Times New Roman" w:eastAsia="宋体" w:cs="Times New Roman"/>
                      <w:b/>
                      <w:bCs/>
                      <w:color w:val="000000" w:themeColor="text1"/>
                      <w:w w:val="90"/>
                      <w:kern w:val="0"/>
                      <w:sz w:val="21"/>
                      <w:szCs w:val="21"/>
                      <w:highlight w:val="none"/>
                      <w:lang w:val="en-US" w:eastAsia="zh-CN"/>
                      <w14:textFill>
                        <w14:solidFill>
                          <w14:schemeClr w14:val="tx1"/>
                        </w14:solidFill>
                      </w14:textFill>
                    </w:rPr>
                    <w:t>t/a</w:t>
                  </w:r>
                </w:p>
              </w:tc>
              <w:tc>
                <w:tcPr>
                  <w:tcW w:w="410" w:type="pct"/>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w w:val="9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w w:val="90"/>
                      <w:sz w:val="21"/>
                      <w:szCs w:val="21"/>
                      <w:highlight w:val="none"/>
                      <w:vertAlign w:val="baseline"/>
                      <w:lang w:val="en-US" w:eastAsia="zh-CN"/>
                      <w14:textFill>
                        <w14:solidFill>
                          <w14:schemeClr w14:val="tx1"/>
                        </w14:solidFill>
                      </w14:textFill>
                    </w:rPr>
                    <w:t>浓度</w:t>
                  </w:r>
                </w:p>
                <w:p>
                  <w:pPr>
                    <w:pStyle w:val="4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w w:val="90"/>
                      <w:kern w:val="0"/>
                      <w:sz w:val="21"/>
                      <w:szCs w:val="21"/>
                      <w:highlight w:val="none"/>
                      <w:lang w:val="en-US" w:eastAsia="zh-CN"/>
                      <w14:textFill>
                        <w14:solidFill>
                          <w14:schemeClr w14:val="tx1"/>
                        </w14:solidFill>
                      </w14:textFill>
                    </w:rPr>
                    <w:t>㎎/m³</w:t>
                  </w:r>
                </w:p>
              </w:tc>
              <w:tc>
                <w:tcPr>
                  <w:tcW w:w="253" w:type="pct"/>
                  <w:vMerge w:val="continue"/>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p>
              </w:tc>
              <w:tc>
                <w:tcPr>
                  <w:tcW w:w="519" w:type="pct"/>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w w:val="90"/>
                      <w:sz w:val="21"/>
                      <w:szCs w:val="21"/>
                      <w:highlight w:val="none"/>
                      <w:vertAlign w:val="baseline"/>
                      <w:lang w:val="en-US" w:eastAsia="zh-CN"/>
                      <w14:textFill>
                        <w14:solidFill>
                          <w14:schemeClr w14:val="tx1"/>
                        </w14:solidFill>
                      </w14:textFill>
                    </w:rPr>
                    <w:t>措施</w:t>
                  </w:r>
                </w:p>
              </w:tc>
              <w:tc>
                <w:tcPr>
                  <w:tcW w:w="364" w:type="pct"/>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w w:val="90"/>
                      <w:sz w:val="21"/>
                      <w:szCs w:val="21"/>
                      <w:highlight w:val="none"/>
                      <w:vertAlign w:val="baseline"/>
                      <w:lang w:val="en-US" w:eastAsia="zh-CN"/>
                      <w14:textFill>
                        <w14:solidFill>
                          <w14:schemeClr w14:val="tx1"/>
                        </w14:solidFill>
                      </w14:textFill>
                    </w:rPr>
                    <w:t>去除率%</w:t>
                  </w:r>
                </w:p>
              </w:tc>
              <w:tc>
                <w:tcPr>
                  <w:tcW w:w="542" w:type="pct"/>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w w:val="90"/>
                      <w:sz w:val="21"/>
                      <w:szCs w:val="21"/>
                      <w:highlight w:val="none"/>
                      <w:vertAlign w:val="baseline"/>
                      <w:lang w:val="en-US" w:eastAsia="zh-CN"/>
                      <w14:textFill>
                        <w14:solidFill>
                          <w14:schemeClr w14:val="tx1"/>
                        </w14:solidFill>
                      </w14:textFill>
                    </w:rPr>
                    <w:t>排放量</w:t>
                  </w:r>
                  <w:r>
                    <w:rPr>
                      <w:rFonts w:hint="default" w:ascii="Times New Roman" w:hAnsi="Times New Roman" w:eastAsia="宋体" w:cs="Times New Roman"/>
                      <w:b/>
                      <w:bCs/>
                      <w:color w:val="000000" w:themeColor="text1"/>
                      <w:w w:val="90"/>
                      <w:sz w:val="21"/>
                      <w:szCs w:val="21"/>
                      <w:highlight w:val="none"/>
                      <w14:textFill>
                        <w14:solidFill>
                          <w14:schemeClr w14:val="tx1"/>
                        </w14:solidFill>
                      </w14:textFill>
                    </w:rPr>
                    <w:t>t/a</w:t>
                  </w:r>
                </w:p>
              </w:tc>
              <w:tc>
                <w:tcPr>
                  <w:tcW w:w="467" w:type="pct"/>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w w:val="90"/>
                      <w:sz w:val="21"/>
                      <w:szCs w:val="21"/>
                      <w:highlight w:val="none"/>
                      <w:vertAlign w:val="baseline"/>
                      <w:lang w:val="en-US" w:eastAsia="zh-CN"/>
                      <w14:textFill>
                        <w14:solidFill>
                          <w14:schemeClr w14:val="tx1"/>
                        </w14:solidFill>
                      </w14:textFill>
                    </w:rPr>
                    <w:t>浓度</w:t>
                  </w:r>
                  <w:r>
                    <w:rPr>
                      <w:rFonts w:hint="default" w:ascii="Times New Roman" w:hAnsi="Times New Roman" w:eastAsia="宋体" w:cs="Times New Roman"/>
                      <w:b/>
                      <w:bCs/>
                      <w:color w:val="000000" w:themeColor="text1"/>
                      <w:w w:val="90"/>
                      <w:sz w:val="21"/>
                      <w:szCs w:val="21"/>
                      <w:highlight w:val="none"/>
                      <w14:textFill>
                        <w14:solidFill>
                          <w14:schemeClr w14:val="tx1"/>
                        </w14:solidFill>
                      </w14:textFill>
                    </w:rPr>
                    <w:t>mg/m</w:t>
                  </w:r>
                  <w:r>
                    <w:rPr>
                      <w:rFonts w:hint="eastAsia" w:ascii="Times New Roman" w:hAnsi="Times New Roman" w:eastAsia="宋体" w:cs="Times New Roman"/>
                      <w:b/>
                      <w:bCs/>
                      <w:color w:val="000000" w:themeColor="text1"/>
                      <w:w w:val="90"/>
                      <w:sz w:val="21"/>
                      <w:szCs w:val="21"/>
                      <w:highlight w:val="none"/>
                      <w:vertAlign w:val="superscript"/>
                      <w:lang w:val="en-US" w:eastAsia="zh-CN"/>
                      <w14:textFill>
                        <w14:solidFill>
                          <w14:schemeClr w14:val="tx1"/>
                        </w14:solidFill>
                      </w14:textFill>
                    </w:rPr>
                    <w:t>3</w:t>
                  </w:r>
                </w:p>
              </w:tc>
              <w:tc>
                <w:tcPr>
                  <w:tcW w:w="1128" w:type="pct"/>
                  <w:vMerge w:val="continue"/>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w w:val="9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食堂油烟废气</w:t>
                  </w:r>
                </w:p>
              </w:tc>
              <w:tc>
                <w:tcPr>
                  <w:tcW w:w="46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油烟</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0.036</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2.5</w:t>
                  </w:r>
                </w:p>
              </w:tc>
              <w:tc>
                <w:tcPr>
                  <w:tcW w:w="25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有组织</w:t>
                  </w:r>
                </w:p>
              </w:tc>
              <w:tc>
                <w:tcPr>
                  <w:tcW w:w="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油烟净化器</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0.0072</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《饮食业油烟排放标准(试行)》(GB18483-2001)（2.0mg/m³）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切割、焊接颗粒物</w:t>
                  </w:r>
                </w:p>
              </w:tc>
              <w:tc>
                <w:tcPr>
                  <w:tcW w:w="46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2.292</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5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无组织</w:t>
                  </w:r>
                </w:p>
              </w:tc>
              <w:tc>
                <w:tcPr>
                  <w:tcW w:w="88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移动式焊接烟尘净化器</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集气罩收集效率90%，</w:t>
                  </w:r>
                  <w:r>
                    <w:rPr>
                      <w:rFonts w:hint="eastAsia" w:cs="Times New Roman"/>
                      <w:color w:val="000000" w:themeColor="text1"/>
                      <w:sz w:val="21"/>
                      <w:szCs w:val="21"/>
                      <w:highlight w:val="none"/>
                      <w:lang w:val="en-US" w:eastAsia="zh-CN"/>
                      <w14:textFill>
                        <w14:solidFill>
                          <w14:schemeClr w14:val="tx1"/>
                        </w14:solidFill>
                      </w14:textFill>
                    </w:rPr>
                    <w:t>脉冲净化器</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处理效率95%</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0.332</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无组织颗粒物执行《大气污染物综合排放标准》(GB16297-1996)表2新污染源大气污染物排放限值（厂界外浓度最高点1.0mg/m³）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抛丸除锈粉尘</w:t>
                  </w:r>
                </w:p>
              </w:tc>
              <w:tc>
                <w:tcPr>
                  <w:tcW w:w="46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43.8</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257.65</w:t>
                  </w:r>
                </w:p>
              </w:tc>
              <w:tc>
                <w:tcPr>
                  <w:tcW w:w="25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有组织</w:t>
                  </w:r>
                </w:p>
              </w:tc>
              <w:tc>
                <w:tcPr>
                  <w:tcW w:w="884"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废气收集效率9</w:t>
                  </w:r>
                  <w:r>
                    <w:rPr>
                      <w:rFonts w:hint="eastAsia" w:cs="Times New Roman"/>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%，沉降除尘器+滤筒除尘器处理效率99.7%</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0.125</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0.74</w:t>
                  </w:r>
                </w:p>
              </w:tc>
              <w:tc>
                <w:tcPr>
                  <w:tcW w:w="112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有组织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颗粒物执行《大气污染物综合排放标准》(GB16297-1996)二级标准浓度限值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（允许排放浓度值120mg/m³，20米排气筒最高允许排放速率5.9kg/h），无组织颗粒物执行《大气污染物综合排放标准》(GB16297-1996)表2新污染源大气污染物排放限值（厂界外浓度最高点1.0mg/m³）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5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无组织</w:t>
                  </w:r>
                </w:p>
              </w:tc>
              <w:tc>
                <w:tcPr>
                  <w:tcW w:w="884"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2.19</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2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喷漆、烘干产生的废气</w:t>
                  </w:r>
                </w:p>
              </w:tc>
              <w:tc>
                <w:tcPr>
                  <w:tcW w:w="46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漆雾</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5.754</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25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有组织</w:t>
                  </w:r>
                </w:p>
              </w:tc>
              <w:tc>
                <w:tcPr>
                  <w:tcW w:w="884"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废气收集效率95%，</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DPA纸箱过滤器</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处理效率84.5%</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0.85</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8.85</w:t>
                  </w:r>
                </w:p>
              </w:tc>
              <w:tc>
                <w:tcPr>
                  <w:tcW w:w="112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p>
              </w:tc>
              <w:tc>
                <w:tcPr>
                  <w:tcW w:w="46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25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无组织</w:t>
                  </w:r>
                </w:p>
              </w:tc>
              <w:tc>
                <w:tcPr>
                  <w:tcW w:w="884"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0.29</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12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VOCs</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4.37</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45.52</w:t>
                  </w:r>
                </w:p>
              </w:tc>
              <w:tc>
                <w:tcPr>
                  <w:tcW w:w="25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有组织</w:t>
                  </w:r>
                </w:p>
              </w:tc>
              <w:tc>
                <w:tcPr>
                  <w:tcW w:w="884"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废气收集效率9</w:t>
                  </w:r>
                  <w:r>
                    <w:rPr>
                      <w:rFonts w:hint="eastAsia" w:cs="Times New Roman"/>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80K型活性炭吸附+脱附+催化燃烧处理设备（在线）</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，处理效率</w:t>
                  </w:r>
                  <w:r>
                    <w:rPr>
                      <w:rFonts w:hint="eastAsia" w:cs="Times New Roman"/>
                      <w:color w:val="000000" w:themeColor="text1"/>
                      <w:sz w:val="21"/>
                      <w:szCs w:val="21"/>
                      <w:highlight w:val="none"/>
                      <w:lang w:val="en-US" w:eastAsia="zh-CN"/>
                      <w14:textFill>
                        <w14:solidFill>
                          <w14:schemeClr w14:val="tx1"/>
                        </w14:solidFill>
                      </w14:textFill>
                    </w:rPr>
                    <w:t>77</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0.95</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9.90</w:t>
                  </w:r>
                </w:p>
              </w:tc>
              <w:tc>
                <w:tcPr>
                  <w:tcW w:w="112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有机废气有组织排放标准参照执行《大气污染物综合排放标准》(GB16297-1996)二级标准浓度限值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允许排放浓度值120mg/m³，20米排气筒最高允许排放速率17kg/h，甲苯允许排放浓度值40mg/m³，20米排气筒最高允许排放速率5.2kg/h，二甲苯允许排放浓度值70mg/m³，20米排气筒最高允许排放速率1.7kg/h)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。有机废气</w:t>
                  </w:r>
                  <w:r>
                    <w:rPr>
                      <w:rFonts w:hint="eastAsia" w:cs="Times New Roman"/>
                      <w:color w:val="000000" w:themeColor="text1"/>
                      <w:sz w:val="21"/>
                      <w:szCs w:val="21"/>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厂界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无组织排放执行《挥发性有机物无组织排放控制标准》(GB37822-2019)附录A中的厂区内</w:t>
                  </w:r>
                  <w:r>
                    <w:rPr>
                      <w:rFonts w:hint="eastAsia" w:cs="Times New Roman"/>
                      <w:color w:val="000000" w:themeColor="text1"/>
                      <w:sz w:val="21"/>
                      <w:szCs w:val="21"/>
                      <w:highlight w:val="none"/>
                      <w:lang w:val="en-US" w:eastAsia="zh-CN"/>
                      <w14:textFill>
                        <w14:solidFill>
                          <w14:schemeClr w14:val="tx1"/>
                        </w14:solidFill>
                      </w14:textFill>
                    </w:rPr>
                    <w:t>VOCs</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浓度排放限值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（在厂房外监控点处任意一次浓度值</w:t>
                  </w:r>
                  <w:r>
                    <w:rPr>
                      <w:rFonts w:hint="eastAsia"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25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无组织</w:t>
                  </w:r>
                </w:p>
              </w:tc>
              <w:tc>
                <w:tcPr>
                  <w:tcW w:w="884"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0.22</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112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甲苯及二甲苯</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0.88</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9.17</w:t>
                  </w:r>
                </w:p>
              </w:tc>
              <w:tc>
                <w:tcPr>
                  <w:tcW w:w="25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有组织</w:t>
                  </w:r>
                </w:p>
              </w:tc>
              <w:tc>
                <w:tcPr>
                  <w:tcW w:w="884"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0.192</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w:t>
                  </w:r>
                </w:p>
              </w:tc>
              <w:tc>
                <w:tcPr>
                  <w:tcW w:w="112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25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无组织</w:t>
                  </w:r>
                </w:p>
              </w:tc>
              <w:tc>
                <w:tcPr>
                  <w:tcW w:w="884"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0.044</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112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丝印</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废气</w:t>
                  </w:r>
                </w:p>
              </w:tc>
              <w:tc>
                <w:tcPr>
                  <w:tcW w:w="46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VOCs</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0.126</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25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有组织</w:t>
                  </w:r>
                </w:p>
              </w:tc>
              <w:tc>
                <w:tcPr>
                  <w:tcW w:w="884"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0.026</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5.25</w:t>
                  </w:r>
                </w:p>
              </w:tc>
              <w:tc>
                <w:tcPr>
                  <w:tcW w:w="112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46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5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无组织</w:t>
                  </w:r>
                </w:p>
              </w:tc>
              <w:tc>
                <w:tcPr>
                  <w:tcW w:w="884"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0.013</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12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总计</w:t>
                  </w:r>
                </w:p>
              </w:tc>
              <w:tc>
                <w:tcPr>
                  <w:tcW w:w="46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油烟</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0.036</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5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0.0072</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51.846</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5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3.787</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VOCs</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4.496</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5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1.209</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甲苯及二甲苯</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0.88</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5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0.236</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1.</w:t>
            </w:r>
            <w:r>
              <w:rPr>
                <w:rFonts w:hint="eastAsia" w:cs="Times New Roman"/>
                <w:b/>
                <w:bCs w:val="0"/>
                <w:color w:val="000000" w:themeColor="text1"/>
                <w:spacing w:val="0"/>
                <w:sz w:val="24"/>
                <w:szCs w:val="24"/>
                <w:highlight w:val="none"/>
                <w:lang w:val="en-US" w:eastAsia="zh-CN"/>
                <w14:textFill>
                  <w14:solidFill>
                    <w14:schemeClr w14:val="tx1"/>
                  </w14:solidFill>
                </w14:textFill>
              </w:rPr>
              <w:t>7</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 xml:space="preserve"> 污染源排放参数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本项目废气排放口基本情况见表</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4-</w:t>
            </w:r>
            <w:r>
              <w:rPr>
                <w:rFonts w:hint="eastAsia" w:cs="Times New Roman"/>
                <w:bCs/>
                <w:color w:val="000000" w:themeColor="text1"/>
                <w:spacing w:val="0"/>
                <w:sz w:val="24"/>
                <w:szCs w:val="24"/>
                <w:highlight w:val="none"/>
                <w:lang w:val="en-US" w:eastAsia="zh-CN"/>
                <w14:textFill>
                  <w14:solidFill>
                    <w14:schemeClr w14:val="tx1"/>
                  </w14:solidFill>
                </w14:textFill>
              </w:rPr>
              <w:t>5</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lang w:val="en-US" w:eastAsia="zh-CN"/>
                <w14:textFill>
                  <w14:solidFill>
                    <w14:schemeClr w14:val="tx1"/>
                  </w14:solidFill>
                </w14:textFill>
              </w:rPr>
              <w:t>表</w:t>
            </w:r>
            <w:r>
              <w:rPr>
                <w:rFonts w:hint="eastAsia" w:ascii="Times New Roman" w:hAnsi="Times New Roman" w:cs="Times New Roman"/>
                <w:b/>
                <w:bCs w:val="0"/>
                <w:color w:val="000000" w:themeColor="text1"/>
                <w:spacing w:val="0"/>
                <w:sz w:val="21"/>
                <w:szCs w:val="21"/>
                <w:highlight w:val="none"/>
                <w:lang w:val="en-US" w:eastAsia="zh-CN"/>
                <w14:textFill>
                  <w14:solidFill>
                    <w14:schemeClr w14:val="tx1"/>
                  </w14:solidFill>
                </w14:textFill>
              </w:rPr>
              <w:t>4-</w:t>
            </w:r>
            <w:r>
              <w:rPr>
                <w:rFonts w:hint="eastAsia" w:cs="Times New Roman"/>
                <w:b/>
                <w:bCs w:val="0"/>
                <w:color w:val="000000" w:themeColor="text1"/>
                <w:spacing w:val="0"/>
                <w:sz w:val="21"/>
                <w:szCs w:val="21"/>
                <w:highlight w:val="none"/>
                <w:lang w:val="en-US" w:eastAsia="zh-CN"/>
                <w14:textFill>
                  <w14:solidFill>
                    <w14:schemeClr w14:val="tx1"/>
                  </w14:solidFill>
                </w14:textFill>
              </w:rPr>
              <w:t xml:space="preserve">5  </w:t>
            </w:r>
            <w:r>
              <w:rPr>
                <w:rFonts w:hint="default" w:ascii="Times New Roman" w:hAnsi="Times New Roman" w:cs="Times New Roman"/>
                <w:b/>
                <w:bCs w:val="0"/>
                <w:color w:val="000000" w:themeColor="text1"/>
                <w:spacing w:val="0"/>
                <w:sz w:val="21"/>
                <w:szCs w:val="21"/>
                <w:highlight w:val="none"/>
                <w:lang w:val="en-US" w:eastAsia="zh-CN"/>
                <w14:textFill>
                  <w14:solidFill>
                    <w14:schemeClr w14:val="tx1"/>
                  </w14:solidFill>
                </w14:textFill>
              </w:rPr>
              <w:t>废气排放口基本情况一览表</w:t>
            </w:r>
          </w:p>
          <w:tbl>
            <w:tblPr>
              <w:tblStyle w:val="25"/>
              <w:tblW w:w="8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1243"/>
              <w:gridCol w:w="1250"/>
              <w:gridCol w:w="1041"/>
              <w:gridCol w:w="793"/>
              <w:gridCol w:w="739"/>
              <w:gridCol w:w="857"/>
              <w:gridCol w:w="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1" w:type="dxa"/>
                  <w:vMerge w:val="restart"/>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排放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口编</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号</w:t>
                  </w:r>
                </w:p>
              </w:tc>
              <w:tc>
                <w:tcPr>
                  <w:tcW w:w="1243" w:type="dxa"/>
                  <w:vMerge w:val="restart"/>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污染</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源名</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称</w:t>
                  </w:r>
                </w:p>
              </w:tc>
              <w:tc>
                <w:tcPr>
                  <w:tcW w:w="2291" w:type="dxa"/>
                  <w:gridSpan w:val="2"/>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排气筒底部中心坐标</w:t>
                  </w:r>
                </w:p>
              </w:tc>
              <w:tc>
                <w:tcPr>
                  <w:tcW w:w="2389" w:type="dxa"/>
                  <w:gridSpan w:val="3"/>
                  <w:tcBorders>
                    <w:right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排气筒参数</w:t>
                  </w:r>
                </w:p>
              </w:tc>
              <w:tc>
                <w:tcPr>
                  <w:tcW w:w="894" w:type="dxa"/>
                  <w:vMerge w:val="restart"/>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污染物</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1" w:type="dxa"/>
                  <w:vMerge w:val="continue"/>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243" w:type="dxa"/>
                  <w:vMerge w:val="continue"/>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250"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经度</w:t>
                  </w:r>
                </w:p>
              </w:tc>
              <w:tc>
                <w:tcPr>
                  <w:tcW w:w="1041"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纬度</w:t>
                  </w:r>
                </w:p>
              </w:tc>
              <w:tc>
                <w:tcPr>
                  <w:tcW w:w="793"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高度</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（m）</w:t>
                  </w:r>
                </w:p>
              </w:tc>
              <w:tc>
                <w:tcPr>
                  <w:tcW w:w="739"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内径</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（m）</w:t>
                  </w:r>
                </w:p>
              </w:tc>
              <w:tc>
                <w:tcPr>
                  <w:tcW w:w="857" w:type="dxa"/>
                  <w:tcBorders>
                    <w:right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温度</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w:t>
                  </w:r>
                </w:p>
              </w:tc>
              <w:tc>
                <w:tcPr>
                  <w:tcW w:w="894" w:type="dxa"/>
                  <w:vMerge w:val="continue"/>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1"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排气筒（</w:t>
                  </w: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DA001</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w:t>
                  </w:r>
                </w:p>
              </w:tc>
              <w:tc>
                <w:tcPr>
                  <w:tcW w:w="1243"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抛丸除锈粉尘</w:t>
                  </w:r>
                </w:p>
              </w:tc>
              <w:tc>
                <w:tcPr>
                  <w:tcW w:w="1250"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0"/>
                      <w:kern w:val="2"/>
                      <w:sz w:val="21"/>
                      <w:szCs w:val="21"/>
                      <w:highlight w:val="none"/>
                      <w:vertAlign w:val="baseline"/>
                      <w:lang w:val="en-US" w:eastAsia="zh-CN" w:bidi="ar-SA"/>
                      <w14:textFill>
                        <w14:solidFill>
                          <w14:schemeClr w14:val="tx1"/>
                        </w14:solidFill>
                      </w14:textFill>
                    </w:rPr>
                    <w:t>90°21′36.61</w:t>
                  </w:r>
                  <w:r>
                    <w:rPr>
                      <w:rFonts w:hint="eastAsia" w:cs="Times New Roman"/>
                      <w:bCs/>
                      <w:color w:val="000000" w:themeColor="text1"/>
                      <w:spacing w:val="0"/>
                      <w:kern w:val="2"/>
                      <w:sz w:val="21"/>
                      <w:szCs w:val="21"/>
                      <w:highlight w:val="none"/>
                      <w:vertAlign w:val="baseline"/>
                      <w:lang w:val="en-US" w:eastAsia="zh-CN" w:bidi="ar-SA"/>
                      <w14:textFill>
                        <w14:solidFill>
                          <w14:schemeClr w14:val="tx1"/>
                        </w14:solidFill>
                      </w14:textFill>
                    </w:rPr>
                    <w:t>9</w:t>
                  </w:r>
                  <w:r>
                    <w:rPr>
                      <w:rFonts w:hint="default" w:ascii="Times New Roman" w:hAnsi="Times New Roman" w:cs="Times New Roman"/>
                      <w:bCs/>
                      <w:color w:val="000000" w:themeColor="text1"/>
                      <w:spacing w:val="0"/>
                      <w:kern w:val="2"/>
                      <w:sz w:val="21"/>
                      <w:szCs w:val="21"/>
                      <w:highlight w:val="none"/>
                      <w:vertAlign w:val="baseline"/>
                      <w:lang w:val="en-US" w:eastAsia="zh-CN" w:bidi="ar-SA"/>
                      <w14:textFill>
                        <w14:solidFill>
                          <w14:schemeClr w14:val="tx1"/>
                        </w14:solidFill>
                      </w14:textFill>
                    </w:rPr>
                    <w:t>″</w:t>
                  </w:r>
                </w:p>
              </w:tc>
              <w:tc>
                <w:tcPr>
                  <w:tcW w:w="1041"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0"/>
                      <w:kern w:val="2"/>
                      <w:sz w:val="21"/>
                      <w:szCs w:val="21"/>
                      <w:highlight w:val="none"/>
                      <w:vertAlign w:val="baseline"/>
                      <w:lang w:val="en-US" w:eastAsia="zh-CN" w:bidi="ar-SA"/>
                      <w14:textFill>
                        <w14:solidFill>
                          <w14:schemeClr w14:val="tx1"/>
                        </w14:solidFill>
                      </w14:textFill>
                    </w:rPr>
                    <w:t>43°57′10.504″</w:t>
                  </w:r>
                </w:p>
              </w:tc>
              <w:tc>
                <w:tcPr>
                  <w:tcW w:w="793"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20</w:t>
                  </w:r>
                </w:p>
              </w:tc>
              <w:tc>
                <w:tcPr>
                  <w:tcW w:w="739"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1.0</w:t>
                  </w:r>
                </w:p>
              </w:tc>
              <w:tc>
                <w:tcPr>
                  <w:tcW w:w="857" w:type="dxa"/>
                  <w:tcBorders>
                    <w:right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30</w:t>
                  </w:r>
                </w:p>
              </w:tc>
              <w:tc>
                <w:tcPr>
                  <w:tcW w:w="894"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1"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排气筒（</w:t>
                  </w: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DA002</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w:t>
                  </w:r>
                </w:p>
              </w:tc>
              <w:tc>
                <w:tcPr>
                  <w:tcW w:w="1243"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丝印、喷漆、烘干产生的废气</w:t>
                  </w:r>
                </w:p>
              </w:tc>
              <w:tc>
                <w:tcPr>
                  <w:tcW w:w="1250"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pacing w:val="0"/>
                      <w:kern w:val="2"/>
                      <w:sz w:val="21"/>
                      <w:szCs w:val="21"/>
                      <w:highlight w:val="none"/>
                      <w:vertAlign w:val="baseline"/>
                      <w:lang w:val="en-US" w:eastAsia="zh-CN" w:bidi="ar-SA"/>
                      <w14:textFill>
                        <w14:solidFill>
                          <w14:schemeClr w14:val="tx1"/>
                        </w14:solidFill>
                      </w14:textFill>
                    </w:rPr>
                    <w:t>90°21′34.68</w:t>
                  </w:r>
                  <w:r>
                    <w:rPr>
                      <w:rFonts w:hint="eastAsia" w:cs="Times New Roman"/>
                      <w:bCs/>
                      <w:color w:val="000000" w:themeColor="text1"/>
                      <w:spacing w:val="0"/>
                      <w:kern w:val="2"/>
                      <w:sz w:val="21"/>
                      <w:szCs w:val="21"/>
                      <w:highlight w:val="none"/>
                      <w:vertAlign w:val="baseline"/>
                      <w:lang w:val="en-US" w:eastAsia="zh-CN" w:bidi="ar-SA"/>
                      <w14:textFill>
                        <w14:solidFill>
                          <w14:schemeClr w14:val="tx1"/>
                        </w14:solidFill>
                      </w14:textFill>
                    </w:rPr>
                    <w:t>8</w:t>
                  </w:r>
                  <w:r>
                    <w:rPr>
                      <w:rFonts w:hint="default" w:ascii="Times New Roman" w:hAnsi="Times New Roman" w:cs="Times New Roman"/>
                      <w:bCs/>
                      <w:color w:val="000000" w:themeColor="text1"/>
                      <w:spacing w:val="0"/>
                      <w:kern w:val="2"/>
                      <w:sz w:val="21"/>
                      <w:szCs w:val="21"/>
                      <w:highlight w:val="none"/>
                      <w:vertAlign w:val="baseline"/>
                      <w:lang w:val="en-US" w:eastAsia="zh-CN" w:bidi="ar-SA"/>
                      <w14:textFill>
                        <w14:solidFill>
                          <w14:schemeClr w14:val="tx1"/>
                        </w14:solidFill>
                      </w14:textFill>
                    </w:rPr>
                    <w:t>″</w:t>
                  </w:r>
                </w:p>
              </w:tc>
              <w:tc>
                <w:tcPr>
                  <w:tcW w:w="1041"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pacing w:val="0"/>
                      <w:kern w:val="2"/>
                      <w:sz w:val="21"/>
                      <w:szCs w:val="21"/>
                      <w:highlight w:val="none"/>
                      <w:vertAlign w:val="baseline"/>
                      <w:lang w:val="en-US" w:eastAsia="zh-CN" w:bidi="ar-SA"/>
                      <w14:textFill>
                        <w14:solidFill>
                          <w14:schemeClr w14:val="tx1"/>
                        </w14:solidFill>
                      </w14:textFill>
                    </w:rPr>
                    <w:t>43°57′11.373″</w:t>
                  </w:r>
                </w:p>
              </w:tc>
              <w:tc>
                <w:tcPr>
                  <w:tcW w:w="793"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20</w:t>
                  </w:r>
                </w:p>
              </w:tc>
              <w:tc>
                <w:tcPr>
                  <w:tcW w:w="739"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2.0</w:t>
                  </w:r>
                </w:p>
              </w:tc>
              <w:tc>
                <w:tcPr>
                  <w:tcW w:w="857" w:type="dxa"/>
                  <w:tcBorders>
                    <w:right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100</w:t>
                  </w:r>
                </w:p>
              </w:tc>
              <w:tc>
                <w:tcPr>
                  <w:tcW w:w="894"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非甲烷总烃</w:t>
                  </w: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w:t>
                  </w:r>
                  <w:r>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1"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排气筒（</w:t>
                  </w: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DA003</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w:t>
                  </w:r>
                </w:p>
              </w:tc>
              <w:tc>
                <w:tcPr>
                  <w:tcW w:w="1243"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食堂油烟废气</w:t>
                  </w:r>
                </w:p>
              </w:tc>
              <w:tc>
                <w:tcPr>
                  <w:tcW w:w="1250"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pacing w:val="0"/>
                      <w:kern w:val="2"/>
                      <w:sz w:val="21"/>
                      <w:szCs w:val="21"/>
                      <w:highlight w:val="none"/>
                      <w:vertAlign w:val="baseline"/>
                      <w:lang w:val="en-US" w:eastAsia="zh-CN" w:bidi="ar-SA"/>
                      <w14:textFill>
                        <w14:solidFill>
                          <w14:schemeClr w14:val="tx1"/>
                        </w14:solidFill>
                      </w14:textFill>
                    </w:rPr>
                    <w:t>90°21′22.231″</w:t>
                  </w:r>
                </w:p>
              </w:tc>
              <w:tc>
                <w:tcPr>
                  <w:tcW w:w="1041"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pacing w:val="0"/>
                      <w:kern w:val="2"/>
                      <w:sz w:val="21"/>
                      <w:szCs w:val="21"/>
                      <w:highlight w:val="none"/>
                      <w:vertAlign w:val="baseline"/>
                      <w:lang w:val="en-US" w:eastAsia="zh-CN" w:bidi="ar-SA"/>
                      <w14:textFill>
                        <w14:solidFill>
                          <w14:schemeClr w14:val="tx1"/>
                        </w14:solidFill>
                      </w14:textFill>
                    </w:rPr>
                    <w:t>43°57′13.922″</w:t>
                  </w:r>
                </w:p>
              </w:tc>
              <w:tc>
                <w:tcPr>
                  <w:tcW w:w="793"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8</w:t>
                  </w:r>
                </w:p>
              </w:tc>
              <w:tc>
                <w:tcPr>
                  <w:tcW w:w="739"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0.5</w:t>
                  </w:r>
                </w:p>
              </w:tc>
              <w:tc>
                <w:tcPr>
                  <w:tcW w:w="857" w:type="dxa"/>
                  <w:tcBorders>
                    <w:right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50</w:t>
                  </w:r>
                </w:p>
              </w:tc>
              <w:tc>
                <w:tcPr>
                  <w:tcW w:w="894"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油烟</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1.</w:t>
            </w:r>
            <w:r>
              <w:rPr>
                <w:rFonts w:hint="eastAsia" w:cs="Times New Roman"/>
                <w:b/>
                <w:bCs w:val="0"/>
                <w:color w:val="000000" w:themeColor="text1"/>
                <w:spacing w:val="0"/>
                <w:sz w:val="24"/>
                <w:szCs w:val="24"/>
                <w:highlight w:val="none"/>
                <w:lang w:val="en-US" w:eastAsia="zh-CN"/>
                <w14:textFill>
                  <w14:solidFill>
                    <w14:schemeClr w14:val="tx1"/>
                  </w14:solidFill>
                </w14:textFill>
              </w:rPr>
              <w:t>8</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 xml:space="preserve"> 非正常工况下废气排放情况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本项目非正常工况是指生产运行阶段的开、停车、检修、操作不正常或设备故障等，本项目非正常工况主要是环保设施完全</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失效情况下的排放。本项目废气非正常排放主要发生在</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切割、焊接</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工序的除尘器、</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抛丸除锈粉尘</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采用</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沉降除尘器+滤筒除尘器</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w:t>
            </w:r>
            <w:r>
              <w:rPr>
                <w:rFonts w:hint="eastAsia" w:cs="Times New Roman"/>
                <w:bCs/>
                <w:color w:val="000000" w:themeColor="text1"/>
                <w:spacing w:val="0"/>
                <w:sz w:val="24"/>
                <w:szCs w:val="24"/>
                <w:highlight w:val="none"/>
                <w:lang w:val="en-US" w:eastAsia="zh-CN"/>
                <w14:textFill>
                  <w14:solidFill>
                    <w14:schemeClr w14:val="tx1"/>
                  </w14:solidFill>
                </w14:textFill>
              </w:rPr>
              <w:t>喷漆、烘干产生的废气</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的</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活性炭吸附</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脱附</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催化燃烧处理设备、喷漆产生的漆雾的</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DPA纸箱过滤器</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失效</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，每年发生非正常情况的次数为1次，每次持续时间小于1h，非正常情况见表</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4-</w:t>
            </w:r>
            <w:r>
              <w:rPr>
                <w:rFonts w:hint="eastAsia" w:cs="Times New Roman"/>
                <w:bCs/>
                <w:color w:val="000000" w:themeColor="text1"/>
                <w:spacing w:val="0"/>
                <w:sz w:val="24"/>
                <w:szCs w:val="24"/>
                <w:highlight w:val="none"/>
                <w:lang w:val="en-US" w:eastAsia="zh-CN"/>
                <w14:textFill>
                  <w14:solidFill>
                    <w14:schemeClr w14:val="tx1"/>
                  </w14:solidFill>
                </w14:textFill>
              </w:rPr>
              <w:t>6</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lang w:val="en-US" w:eastAsia="zh-CN"/>
                <w14:textFill>
                  <w14:solidFill>
                    <w14:schemeClr w14:val="tx1"/>
                  </w14:solidFill>
                </w14:textFill>
              </w:rPr>
              <w:t>表</w:t>
            </w:r>
            <w:r>
              <w:rPr>
                <w:rFonts w:hint="eastAsia" w:ascii="Times New Roman" w:hAnsi="Times New Roman" w:cs="Times New Roman"/>
                <w:b/>
                <w:bCs w:val="0"/>
                <w:color w:val="000000" w:themeColor="text1"/>
                <w:spacing w:val="0"/>
                <w:sz w:val="21"/>
                <w:szCs w:val="21"/>
                <w:highlight w:val="none"/>
                <w:lang w:val="en-US" w:eastAsia="zh-CN"/>
                <w14:textFill>
                  <w14:solidFill>
                    <w14:schemeClr w14:val="tx1"/>
                  </w14:solidFill>
                </w14:textFill>
              </w:rPr>
              <w:t>4-</w:t>
            </w:r>
            <w:r>
              <w:rPr>
                <w:rFonts w:hint="eastAsia" w:cs="Times New Roman"/>
                <w:b/>
                <w:bCs w:val="0"/>
                <w:color w:val="000000" w:themeColor="text1"/>
                <w:spacing w:val="0"/>
                <w:sz w:val="21"/>
                <w:szCs w:val="21"/>
                <w:highlight w:val="none"/>
                <w:lang w:val="en-US" w:eastAsia="zh-CN"/>
                <w14:textFill>
                  <w14:solidFill>
                    <w14:schemeClr w14:val="tx1"/>
                  </w14:solidFill>
                </w14:textFill>
              </w:rPr>
              <w:t xml:space="preserve">6  </w:t>
            </w:r>
            <w:r>
              <w:rPr>
                <w:rFonts w:hint="default" w:ascii="Times New Roman" w:hAnsi="Times New Roman" w:cs="Times New Roman"/>
                <w:b/>
                <w:bCs w:val="0"/>
                <w:color w:val="000000" w:themeColor="text1"/>
                <w:spacing w:val="0"/>
                <w:sz w:val="21"/>
                <w:szCs w:val="21"/>
                <w:highlight w:val="none"/>
                <w:lang w:val="en-US" w:eastAsia="zh-CN"/>
                <w14:textFill>
                  <w14:solidFill>
                    <w14:schemeClr w14:val="tx1"/>
                  </w14:solidFill>
                </w14:textFill>
              </w:rPr>
              <w:t>项目废气废正常情况排放情况</w:t>
            </w:r>
          </w:p>
          <w:tbl>
            <w:tblPr>
              <w:tblStyle w:val="25"/>
              <w:tblW w:w="8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086"/>
              <w:gridCol w:w="1135"/>
              <w:gridCol w:w="952"/>
              <w:gridCol w:w="1096"/>
              <w:gridCol w:w="977"/>
              <w:gridCol w:w="1004"/>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8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烟囱</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序号</w:t>
                  </w:r>
                </w:p>
              </w:tc>
              <w:tc>
                <w:tcPr>
                  <w:tcW w:w="10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污染源</w:t>
                  </w:r>
                </w:p>
              </w:tc>
              <w:tc>
                <w:tcPr>
                  <w:tcW w:w="11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非正常排放原因</w:t>
                  </w:r>
                </w:p>
              </w:tc>
              <w:tc>
                <w:tcPr>
                  <w:tcW w:w="9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污染物</w:t>
                  </w:r>
                </w:p>
              </w:tc>
              <w:tc>
                <w:tcPr>
                  <w:tcW w:w="10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非正常排放速率</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（kg/h）</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单次持续时间/h</w:t>
                  </w:r>
                </w:p>
              </w:tc>
              <w:tc>
                <w:tcPr>
                  <w:tcW w:w="10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年发生频率（次）</w:t>
                  </w:r>
                </w:p>
              </w:tc>
              <w:tc>
                <w:tcPr>
                  <w:tcW w:w="99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应对</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w:t>
                  </w:r>
                </w:p>
              </w:tc>
              <w:tc>
                <w:tcPr>
                  <w:tcW w:w="1086"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切割、焊接颗粒物</w:t>
                  </w:r>
                </w:p>
              </w:tc>
              <w:tc>
                <w:tcPr>
                  <w:tcW w:w="11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除尘器失效</w:t>
                  </w:r>
                </w:p>
              </w:tc>
              <w:tc>
                <w:tcPr>
                  <w:tcW w:w="9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0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0.955</w:t>
                  </w:r>
                </w:p>
              </w:tc>
              <w:tc>
                <w:tcPr>
                  <w:tcW w:w="97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1</w:t>
                  </w:r>
                </w:p>
              </w:tc>
              <w:tc>
                <w:tcPr>
                  <w:tcW w:w="100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1</w:t>
                  </w:r>
                </w:p>
              </w:tc>
              <w:tc>
                <w:tcPr>
                  <w:tcW w:w="99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停止生</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产，检修</w:t>
                  </w: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，及时更换活性炭及</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DPA纸箱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8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DA00</w:t>
                  </w: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1</w:t>
                  </w:r>
                </w:p>
              </w:tc>
              <w:tc>
                <w:tcPr>
                  <w:tcW w:w="1086"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抛丸除锈粉尘</w:t>
                  </w:r>
                </w:p>
              </w:tc>
              <w:tc>
                <w:tcPr>
                  <w:tcW w:w="11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沉降除尘器+滤筒除尘器处理失效</w:t>
                  </w:r>
                </w:p>
              </w:tc>
              <w:tc>
                <w:tcPr>
                  <w:tcW w:w="9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0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36.5</w:t>
                  </w:r>
                </w:p>
              </w:tc>
              <w:tc>
                <w:tcPr>
                  <w:tcW w:w="9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00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c>
                <w:tcPr>
                  <w:tcW w:w="99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5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DA00</w:t>
                  </w: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2</w:t>
                  </w:r>
                </w:p>
              </w:tc>
              <w:tc>
                <w:tcPr>
                  <w:tcW w:w="1086" w:type="dxa"/>
                  <w:vMerge w:val="restart"/>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丝印、喷漆、烘干产生的废气、</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漆雾</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 xml:space="preserve"> </w:t>
                  </w:r>
                </w:p>
              </w:tc>
              <w:tc>
                <w:tcPr>
                  <w:tcW w:w="113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活性炭吸附</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脱附</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催化燃烧处理设备</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失效</w:t>
                  </w:r>
                </w:p>
              </w:tc>
              <w:tc>
                <w:tcPr>
                  <w:tcW w:w="9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非甲烷总烃</w:t>
                  </w:r>
                </w:p>
              </w:tc>
              <w:tc>
                <w:tcPr>
                  <w:tcW w:w="10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3.75</w:t>
                  </w:r>
                </w:p>
              </w:tc>
              <w:tc>
                <w:tcPr>
                  <w:tcW w:w="9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00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c>
                <w:tcPr>
                  <w:tcW w:w="99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85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086" w:type="dxa"/>
                  <w:vMerge w:val="continue"/>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eastAsia"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13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甲苯及二甲苯</w:t>
                  </w:r>
                </w:p>
              </w:tc>
              <w:tc>
                <w:tcPr>
                  <w:tcW w:w="10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0.73</w:t>
                  </w:r>
                </w:p>
              </w:tc>
              <w:tc>
                <w:tcPr>
                  <w:tcW w:w="9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00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c>
                <w:tcPr>
                  <w:tcW w:w="99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85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086" w:type="dxa"/>
                  <w:vMerge w:val="continue"/>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1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DPA纸箱过滤器</w:t>
                  </w:r>
                  <w:r>
                    <w:rPr>
                      <w:rFonts w:hint="eastAsia" w:cs="Times New Roman"/>
                      <w:color w:val="000000" w:themeColor="text1"/>
                      <w:sz w:val="21"/>
                      <w:szCs w:val="21"/>
                      <w:highlight w:val="none"/>
                      <w:lang w:val="en-US" w:eastAsia="zh-CN"/>
                      <w14:textFill>
                        <w14:solidFill>
                          <w14:schemeClr w14:val="tx1"/>
                        </w14:solidFill>
                      </w14:textFill>
                    </w:rPr>
                    <w:t>失效</w:t>
                  </w:r>
                </w:p>
              </w:tc>
              <w:tc>
                <w:tcPr>
                  <w:tcW w:w="9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0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4.8</w:t>
                  </w:r>
                </w:p>
              </w:tc>
              <w:tc>
                <w:tcPr>
                  <w:tcW w:w="9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00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c>
                <w:tcPr>
                  <w:tcW w:w="99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如发生非正常工况，应立即停止相关工作，直至污染防治设施修复为止。</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①安排专人负责环保设备的日常维护和管理，</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每隔</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固定时间检查、汇报情况，及时发现废气处理设备的隐患，确保废气处理系统正常运行；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②建立健全环保管理机构，对环保管理人员和技术人员进行岗位培训，委托具有专业资质的环境检测单位对项目排放的各类污染物进行定期检测；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③应定期维护、检修废气净化装置，以保持废气处理装置的净化能力和净化容量。</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1.</w:t>
            </w:r>
            <w:r>
              <w:rPr>
                <w:rFonts w:hint="eastAsia" w:cs="Times New Roman"/>
                <w:b/>
                <w:bCs w:val="0"/>
                <w:color w:val="000000" w:themeColor="text1"/>
                <w:spacing w:val="0"/>
                <w:sz w:val="24"/>
                <w:szCs w:val="24"/>
                <w:highlight w:val="none"/>
                <w:lang w:val="en-US" w:eastAsia="zh-CN"/>
                <w14:textFill>
                  <w14:solidFill>
                    <w14:schemeClr w14:val="tx1"/>
                  </w14:solidFill>
                </w14:textFill>
              </w:rPr>
              <w:t>9</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 xml:space="preserve"> 废气治理措施可行性分析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（1）</w:t>
            </w:r>
            <w:r>
              <w:rPr>
                <w:rFonts w:hint="eastAsia"/>
                <w:color w:val="000000" w:themeColor="text1"/>
                <w:sz w:val="24"/>
                <w:szCs w:val="24"/>
                <w:highlight w:val="none"/>
                <w:lang w:val="en-US" w:eastAsia="zh-CN"/>
                <w14:textFill>
                  <w14:solidFill>
                    <w14:schemeClr w14:val="tx1"/>
                  </w14:solidFill>
                </w14:textFill>
              </w:rPr>
              <w:t>移动式焊接烟尘净化器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移动式焊接烟尘净化器</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中除尘系统为脉冲净化器。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脉冲净化器</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用于焊接、切割、打磨等工序中产生烟尘和粉尘的净化以及对稀有金属、贵重物料的回收等，可净化大量悬浮在空气中对人体有害的细小金属颗粒。具有净化效果好、噪声低、使用灵活、占地面积小等特点。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适用于手把焊、电弧焊、二氧化碳保护焊、MAG焊接、碳弧气刨焊、气熔割、特殊焊接等产生烟气的作业场所。</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脉冲净化器主要部件包括：箱体、万向吸尘臂、耐高温吸尘软管、吸尘罩（带风量调节阀）、阻燃过滤筒、气包、脉冲阀、带刹车的新式脚轮、风机、离心风机以及电控系统等。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通过风机引力作用，废气经万向吸尘罩吸入设备进风口，设备进风口处设有阻火器，火花经阻火器被阻留，烟尘气体进入沉降室，利用重力与上行气流，首先将粗粒尘直接降至灰斗，微粒烟尘被滤芯捕集在外表面，洁净气体经滤芯过滤净化后，由滤芯中心流入洁净室，洁净空气经出风口达标排出。</w:t>
            </w:r>
          </w:p>
          <w:p>
            <w:pPr>
              <w:pStyle w:val="40"/>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（2）沉降除尘器+滤筒除尘器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1）沉降除尘器</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是使粉尘和空气的混合物进入空间较大的室内，尘粒由于重力的作用而在空气中沉降并分离捕集的一种除尘装置。这种设备的特点是结构简单，造价不高（可以砖砌），施工容易，管理方便，空气阻力小，但是由于单纯地利用重力沉降，会使沉降室的容积过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沉降除尘器</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的工作原理</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为</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含尘气体从左侧以均匀速度u水平进入沉降室，在其中气流平稳，这时，尘粒以沉降速度UC下降，经过运行时间u后含尘气体经过距离，使尘粒沉落于室底，净化后的气体从右侧出口排出。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重力除尘技术是利用粉尘颗粒的重力沉降作用而使粉尘与气体分离的除尘技术。利用重力除尘是一种古老简易的除尘方法。</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重力沉降除尘装置称为</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沉降除尘器</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又称沉降室</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其主要优点是：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①结构简单，维护容易；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②</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阻力低，一般约为150pa，主要是气体入口和出口的压力损失；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③</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维护费用低，经久耐用；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④</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可靠性优良，很少有故障。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它的缺点是：除尘效率低，一般只有40%-50%，适于捕集大于50um粉尘粒子；设备较庞大，适合处理中等气量的常温或高温气体，多作为多级除尘的预除尘使用。当尘量很大或粒度很粗时，对串联使用的除尘器会产生有害作用时，先使用</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fldChar w:fldCharType="begin"/>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instrText xml:space="preserve"> HYPERLINK "http://www.budaichuchen.com/hyxw/20201228081613.html" </w:instrTex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fldChar w:fldCharType="separate"/>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沉降除尘器</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fldChar w:fldCharType="end"/>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预先净化是特别有利的。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2）</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滤筒式除尘器的结构是由进风管、排风管、箱体、灰斗、清灰装置、导流装置、气流分流分布板、滤筒及电控装置组成，类似气箱脉冲袋除尘结构。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滤筒在除尘器中的布置很重要，既可以垂直布置在箱体花板上，也可以倾斜布置在天花板上，从清灰效果看，垂直布置较为合理。花板下部为过滤室，上部为气箱脉冲室。在除尘器入口处装有气流分布板。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含尘气体进入除尘器灰斗后，由于气流断面突然扩大及气流分布板作用，气流中一部分粗大颗粒在动和惯性力作用下沉降在灰斗；粒度细、密度小的尘粒进入滤尘室后，通过布朗扩散和筛滤等组合效应，使粉尘沉积在滤料表面上，净化后的气体进入净气室由排气管经风机排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滤筒式除尘器的阻力随滤料表面粉尘层厚度的增加而增大。阻力达到某一规定值时进行清灰。此时PLC程序控制脉冲阀的启闭，首先一分室提升阀关闭，将过滤气流截断，然后电磁脉冲阀开启，压缩空气以</w:t>
            </w:r>
            <w:r>
              <w:rPr>
                <w:rFonts w:hint="eastAsia" w:cs="Times New Roman"/>
                <w:bCs/>
                <w:color w:val="000000" w:themeColor="text1"/>
                <w:spacing w:val="0"/>
                <w:sz w:val="24"/>
                <w:szCs w:val="24"/>
                <w:highlight w:val="none"/>
                <w:lang w:val="en-US" w:eastAsia="zh-CN"/>
                <w14:textFill>
                  <w14:solidFill>
                    <w14:schemeClr w14:val="tx1"/>
                  </w14:solidFill>
                </w14:textFill>
              </w:rPr>
              <w:t>极短</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的时间在上箱体内迅速膨胀，涌入滤筒，使滤筒膨胀变形产生振动，并在逆向气流冲刷的作用下，附着在滤袋外表面上的粉尘被剥离落入灰斗中。清灰完毕后，电磁脉冲阀关闭，提升阀打开，该室又恢复过滤状态。清灰各室依次进行，从第一室清灰开始至下一次清灰开始为一个清灰周期。脱落的粉尘掉入灰斗内通过缷灰阀排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在此过程中必须定期对滤筒进行更换和清洗，以确保过滤效果和精度。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滤筒式除尘器设备的优点为：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①</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新滤料</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防水防潮防磨防腐滤料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②</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新结构</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硬质滤料折叠布置</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无钢筋骨架</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无滤料磨损现象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③</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新理论</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表面过滤代替深层过滤粉尘</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不再渗透</w:t>
            </w:r>
            <w:r>
              <w:rPr>
                <w:rFonts w:hint="eastAsia" w:cs="Times New Roman"/>
                <w:bCs/>
                <w:color w:val="000000" w:themeColor="text1"/>
                <w:spacing w:val="0"/>
                <w:sz w:val="24"/>
                <w:szCs w:val="24"/>
                <w:highlight w:val="none"/>
                <w:lang w:val="en-US" w:eastAsia="zh-CN"/>
                <w14:textFill>
                  <w14:solidFill>
                    <w14:schemeClr w14:val="tx1"/>
                  </w14:solidFill>
                </w14:textFill>
              </w:rPr>
              <w:t>于</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滤料内部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④</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滤筒式布袋除尘器表面过滤的除尘效率远远高于旧式除尘器</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大大减少了有害物的排放量</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空气净化指标达到了世界先进水平。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⑤</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滤筒式除尘器无滤料磨损现象</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其本体上无可动部件</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可长期使用不须维修(即使拆换滤筒也极方便)避免了旧式除尘器不断换滤料的烦恼</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省钱省时省力又无二次污染。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⑥</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滤筒式除尘器其体积、重量小于同规格的除尘器</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节省土建空间及土建负荷</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节省基建投资显著。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spacing w:val="0"/>
                <w:sz w:val="24"/>
                <w:szCs w:val="24"/>
                <w:highlight w:val="none"/>
                <w:lang w:val="en-US" w:eastAsia="zh-CN"/>
                <w14:textFill>
                  <w14:solidFill>
                    <w14:schemeClr w14:val="tx1"/>
                  </w14:solidFill>
                </w14:textFill>
              </w:rPr>
              <w:t>⑦</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滤筒式除尘器阻力小</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耗压缩空气量小</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无维修工作量。电磁脉冲阀比各类旧式除尘器节能</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节资30%以上</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任何企业都不可忽视这一节能效果给企业带来的显著经济效益。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⑧滤筒式除尘器，其过滤精度达到５μ，除尘效率高达</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99.5%</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，粉尘排放浓度≤</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50mg/m</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综合考虑，</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本环评</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沉降除尘器+滤筒除尘器除尘效率取99.7</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（3）活性炭吸附+脱附+催化燃烧处理设备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活性炭吸附脱附催化燃烧装置是将吸附技术和催化燃烧技术，两种废气处理技术组合起来的一种的环保装置。活性炭吸附脱附催化燃烧装置主要适用于低浓度有机气体且不宜采用直接燃烧或催化燃烧法和吸附回收法处理的有机废气，尤其对大风量的处理场所。废气经吸附净化并脱附后转换成小风量、高浓度的有机废气，对其进行热氧化处理，并将有机物燃烧释放的热量有效利用。活性炭吸附脱附催化燃烧装置由前置预处理装置、活性炭吸附脱附装置、催化燃烧装置、控制系统以及风机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活性炭吸附脱附催化燃烧装置的关键部分便是催化燃烧炉，催化燃烧炉内设加热室，启动加热装置，废气便进入内部循环，当热气经过活性炭吸附箱，吸附在活性炭中的的浓缩废气便</w:t>
            </w:r>
            <w:r>
              <w:rPr>
                <w:rFonts w:hint="eastAsia" w:cs="Times New Roman"/>
                <w:bCs/>
                <w:color w:val="000000" w:themeColor="text1"/>
                <w:spacing w:val="0"/>
                <w:sz w:val="24"/>
                <w:szCs w:val="24"/>
                <w:highlight w:val="none"/>
                <w:lang w:val="en-US" w:eastAsia="zh-CN"/>
                <w14:textFill>
                  <w14:solidFill>
                    <w14:schemeClr w14:val="tx1"/>
                  </w14:solidFill>
                </w14:textFill>
              </w:rPr>
              <w:t>会</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发出来，然后进入催化燃烧室内进行催化分解，变成水和二氧化碳，同时释放出能量。与此同时，释放出的热量被再次循环，进入吸附床脱附时，此时加热装置便可停止工作，利用余热使有机废气在催化燃烧室内维持自燃，循环进行，直到有机物完全从活性炭内部分离，至催化室分解。这样活性炭得到了再生，有机物得到分解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活性炭吸附脱附催化燃烧装置在工作时，有机废气先经过前置过滤系统进入活性炭吸附箱进行吸附，当达到饱和时，启动加热装置，将有机物从活性炭上脱附下来，这样脱附后的活性炭又重新保持了活性，经过脱附后的有机物已被浓缩至原来的好几倍，然后送往催化燃烧炉进行氧化分解成二氧化碳及水蒸气排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活性炭吸附脱附催化燃烧装置，不仅能使碳循环使用，还有节能省电的功效。在本装置运行时，如果有机废气的浓度达到2000PPm以上时，有机废气在催化床便可以维持自燃，不用外加热。这样一部分气体排出，另一部分继续被送往活性炭吸附床进行脱附，这样既可以满足燃烧，又能保证吸附所需的热能，达到省电节能的目的。</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活性炭吸附脱附催化燃烧装置可应用于涂装、化工、制药、电子、印刷、橡胶、皮革、家具、半导体制造等行业车间的有害废气的净化及臭味的消除，宜适用于低浓度(≤1200mg/m</w:t>
            </w:r>
            <w:r>
              <w:rPr>
                <w:rFonts w:hint="default" w:ascii="Times New Roman" w:hAnsi="Times New Roman" w:eastAsia="宋体" w:cs="Times New Roman"/>
                <w:bCs/>
                <w:color w:val="000000" w:themeColor="text1"/>
                <w:spacing w:val="0"/>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)的不适宜采用直接燃烧或催化燃烧和回收处理的有机废气，</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尤其对大风量的处理场所，可获得满意的经济和社会效益。</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根据“33金属制品业、</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34 </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通用设备制造业、</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35 </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专用设备制造业、</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36 </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汽车制造业、</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37</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铁路、船舶、航空航天和其他运输设备制造业、</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431 </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金属制品修理、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432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通用设备修理、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433</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专</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用设备修理、</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 xml:space="preserve">434 </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 xml:space="preserve">铁路、船舶、航空航天等运输设备修理（不包括电镀工艺）行业系数手册”表 </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 xml:space="preserve">1 </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机械行业产排污核算对应情况表中末端治理技术效率，</w:t>
            </w:r>
            <w:r>
              <w:rPr>
                <w:rFonts w:hint="eastAsia" w:ascii="宋体" w:hAnsi="宋体" w:eastAsia="宋体" w:cs="宋体"/>
                <w:color w:val="000000"/>
                <w:sz w:val="24"/>
                <w:szCs w:val="24"/>
                <w:lang w:val="en-US" w:eastAsia="zh-CN"/>
              </w:rPr>
              <w:t>吸附/催化燃烧工艺处理效率为77%</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w:t>
            </w:r>
          </w:p>
          <w:p>
            <w:pPr>
              <w:pStyle w:val="9"/>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（4）DPA纸箱过滤器</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DPA纸箱过滤器</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由一种合成材料制成，过滤器的迎风面采用3D蜂窝层状结构设计符合深层过滤原理，不但可以捕捉更多的漆雾，而且对10微米以上的小漆雾可以99.8%的捕捉。</w:t>
            </w:r>
            <w:r>
              <w:rPr>
                <w:rFonts w:hint="default" w:ascii="Times New Roman" w:hAnsi="Times New Roman" w:cs="Times New Roman"/>
                <w:color w:val="000000" w:themeColor="text1"/>
                <w:sz w:val="24"/>
                <w:szCs w:val="24"/>
                <w:highlight w:val="none"/>
                <w14:textFill>
                  <w14:solidFill>
                    <w14:schemeClr w14:val="tx1"/>
                  </w14:solidFill>
                </w14:textFill>
              </w:rPr>
              <w:t>DPA纸箱过滤器</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最大的特点是材料具有自支撑能力，即便是</w:t>
            </w:r>
            <w:r>
              <w:rPr>
                <w:rFonts w:hint="eastAsia" w:cs="Times New Roman"/>
                <w:bCs/>
                <w:color w:val="000000" w:themeColor="text1"/>
                <w:spacing w:val="0"/>
                <w:kern w:val="2"/>
                <w:sz w:val="24"/>
                <w:szCs w:val="24"/>
                <w:highlight w:val="none"/>
                <w:lang w:val="en-US" w:eastAsia="zh-CN" w:bidi="ar-SA"/>
                <w14:textFill>
                  <w14:solidFill>
                    <w14:schemeClr w14:val="tx1"/>
                  </w14:solidFill>
                </w14:textFill>
              </w:rPr>
              <w:t>每平方米</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吸附了大量的漆后，滤材的蜂窝结构依然清晰可见，这样就保证了材料的容尘能力。标准型DPA材料适用于双组份溶剂型油漆和水性油漆，20um以上油漆颗粒去除率达100%，10um以上油漆颗粒去除效率99.8%，5um以上油漆颗粒去除效率84.5%。最大可以达到27kg/m</w:t>
            </w:r>
            <w:r>
              <w:rPr>
                <w:rFonts w:hint="default" w:ascii="Times New Roman" w:hAnsi="Times New Roman" w:eastAsia="宋体" w:cs="Times New Roman"/>
                <w:bCs/>
                <w:color w:val="000000" w:themeColor="text1"/>
                <w:spacing w:val="0"/>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的漆雾捕捉能力。DPA本身不含有玻纤材料，具有优异的防水能力，制作过程和使用过程安全，使用后固体废弃物100%可焚化处理。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1.</w:t>
            </w:r>
            <w:r>
              <w:rPr>
                <w:rFonts w:hint="eastAsia" w:cs="Times New Roman"/>
                <w:b/>
                <w:bCs w:val="0"/>
                <w:color w:val="000000" w:themeColor="text1"/>
                <w:spacing w:val="0"/>
                <w:sz w:val="24"/>
                <w:szCs w:val="24"/>
                <w:highlight w:val="none"/>
                <w:lang w:val="en-US" w:eastAsia="zh-CN"/>
                <w14:textFill>
                  <w14:solidFill>
                    <w14:schemeClr w14:val="tx1"/>
                  </w14:solidFill>
                </w14:textFill>
              </w:rPr>
              <w:t>10</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大气污染物监测计划</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宋体" w:hAnsi="宋体" w:eastAsia="宋体" w:cs="宋体"/>
                <w:bCs/>
                <w:color w:val="000000" w:themeColor="text1"/>
                <w:spacing w:val="0"/>
                <w:kern w:val="2"/>
                <w:sz w:val="24"/>
                <w:szCs w:val="24"/>
                <w:highlight w:val="none"/>
                <w:lang w:val="en-US" w:eastAsia="zh-CN" w:bidi="ar-SA"/>
                <w14:textFill>
                  <w14:solidFill>
                    <w14:schemeClr w14:val="tx1"/>
                  </w14:solidFill>
                </w14:textFill>
              </w:rPr>
            </w:pPr>
            <w:r>
              <w:rPr>
                <w:rFonts w:hint="default" w:ascii="宋体" w:hAnsi="宋体" w:eastAsia="宋体" w:cs="宋体"/>
                <w:bCs/>
                <w:color w:val="000000" w:themeColor="text1"/>
                <w:spacing w:val="0"/>
                <w:kern w:val="2"/>
                <w:sz w:val="24"/>
                <w:szCs w:val="24"/>
                <w:highlight w:val="none"/>
                <w:lang w:val="en-US" w:eastAsia="zh-CN" w:bidi="ar-SA"/>
                <w14:textFill>
                  <w14:solidFill>
                    <w14:schemeClr w14:val="tx1"/>
                  </w14:solidFill>
                </w14:textFill>
              </w:rPr>
              <w:t>根据</w:t>
            </w:r>
            <w:r>
              <w:rPr>
                <w:rFonts w:hint="eastAsia" w:ascii="宋体" w:hAnsi="宋体" w:eastAsia="宋体" w:cs="宋体"/>
                <w:bCs/>
                <w:color w:val="000000" w:themeColor="text1"/>
                <w:spacing w:val="0"/>
                <w:kern w:val="2"/>
                <w:sz w:val="24"/>
                <w:szCs w:val="24"/>
                <w:highlight w:val="none"/>
                <w:lang w:val="en-US" w:eastAsia="zh-CN" w:bidi="ar-SA"/>
                <w14:textFill>
                  <w14:solidFill>
                    <w14:schemeClr w14:val="tx1"/>
                  </w14:solidFill>
                </w14:textFill>
              </w:rPr>
              <w:t>《排污许可证申请与核发技术规范 总则》（</w:t>
            </w:r>
            <w:r>
              <w:rPr>
                <w:rFonts w:hint="default" w:ascii="宋体" w:hAnsi="宋体" w:eastAsia="宋体" w:cs="宋体"/>
                <w:bCs/>
                <w:color w:val="000000" w:themeColor="text1"/>
                <w:spacing w:val="0"/>
                <w:kern w:val="2"/>
                <w:sz w:val="24"/>
                <w:szCs w:val="24"/>
                <w:highlight w:val="none"/>
                <w:lang w:val="en-US" w:eastAsia="zh-CN" w:bidi="ar-SA"/>
                <w14:textFill>
                  <w14:solidFill>
                    <w14:schemeClr w14:val="tx1"/>
                  </w14:solidFill>
                </w14:textFill>
              </w:rPr>
              <w:t>HJ942-2018</w:t>
            </w:r>
            <w:r>
              <w:rPr>
                <w:rFonts w:hint="eastAsia" w:ascii="宋体" w:hAnsi="宋体" w:eastAsia="宋体" w:cs="宋体"/>
                <w:bCs/>
                <w:color w:val="000000" w:themeColor="text1"/>
                <w:spacing w:val="0"/>
                <w:kern w:val="2"/>
                <w:sz w:val="24"/>
                <w:szCs w:val="24"/>
                <w:highlight w:val="none"/>
                <w:lang w:val="en-US" w:eastAsia="zh-CN" w:bidi="ar-SA"/>
                <w14:textFill>
                  <w14:solidFill>
                    <w14:schemeClr w14:val="tx1"/>
                  </w14:solidFill>
                </w14:textFill>
              </w:rPr>
              <w:t>）、《排污单位自行监测技术指南 涂装》（</w:t>
            </w:r>
            <w:r>
              <w:rPr>
                <w:rFonts w:hint="default" w:ascii="宋体" w:hAnsi="宋体" w:eastAsia="宋体" w:cs="宋体"/>
                <w:bCs/>
                <w:color w:val="000000" w:themeColor="text1"/>
                <w:spacing w:val="0"/>
                <w:kern w:val="2"/>
                <w:sz w:val="24"/>
                <w:szCs w:val="24"/>
                <w:highlight w:val="none"/>
                <w:lang w:val="en-US" w:eastAsia="zh-CN" w:bidi="ar-SA"/>
                <w14:textFill>
                  <w14:solidFill>
                    <w14:schemeClr w14:val="tx1"/>
                  </w14:solidFill>
                </w14:textFill>
              </w:rPr>
              <w:t>HJ1086-2020</w:t>
            </w:r>
            <w:r>
              <w:rPr>
                <w:rFonts w:hint="eastAsia" w:ascii="宋体" w:hAnsi="宋体" w:eastAsia="宋体" w:cs="宋体"/>
                <w:bCs/>
                <w:color w:val="000000" w:themeColor="text1"/>
                <w:spacing w:val="0"/>
                <w:kern w:val="2"/>
                <w:sz w:val="24"/>
                <w:szCs w:val="24"/>
                <w:highlight w:val="none"/>
                <w:lang w:val="en-US" w:eastAsia="zh-CN" w:bidi="ar-SA"/>
                <w14:textFill>
                  <w14:solidFill>
                    <w14:schemeClr w14:val="tx1"/>
                  </w14:solidFill>
                </w14:textFill>
              </w:rPr>
              <w:t>），本</w:t>
            </w:r>
            <w:r>
              <w:rPr>
                <w:rFonts w:hint="default" w:ascii="宋体" w:hAnsi="宋体" w:eastAsia="宋体" w:cs="宋体"/>
                <w:bCs/>
                <w:color w:val="000000" w:themeColor="text1"/>
                <w:spacing w:val="0"/>
                <w:kern w:val="2"/>
                <w:sz w:val="24"/>
                <w:szCs w:val="24"/>
                <w:highlight w:val="none"/>
                <w:lang w:val="en-US" w:eastAsia="zh-CN" w:bidi="ar-SA"/>
                <w14:textFill>
                  <w14:solidFill>
                    <w14:schemeClr w14:val="tx1"/>
                  </w14:solidFill>
                </w14:textFill>
              </w:rPr>
              <w:t>项目大气污染源监测计划详见表</w:t>
            </w:r>
            <w:r>
              <w:rPr>
                <w:rFonts w:hint="eastAsia" w:ascii="宋体" w:hAnsi="宋体" w:eastAsia="宋体" w:cs="宋体"/>
                <w:bCs/>
                <w:color w:val="000000" w:themeColor="text1"/>
                <w:spacing w:val="0"/>
                <w:kern w:val="2"/>
                <w:sz w:val="24"/>
                <w:szCs w:val="24"/>
                <w:highlight w:val="none"/>
                <w:lang w:val="en-US" w:eastAsia="zh-CN" w:bidi="ar-SA"/>
                <w14:textFill>
                  <w14:solidFill>
                    <w14:schemeClr w14:val="tx1"/>
                  </w14:solidFill>
                </w14:textFill>
              </w:rPr>
              <w:t>4-</w:t>
            </w:r>
            <w:r>
              <w:rPr>
                <w:rFonts w:hint="eastAsia" w:ascii="宋体" w:hAnsi="宋体" w:cs="宋体"/>
                <w:bCs/>
                <w:color w:val="000000" w:themeColor="text1"/>
                <w:spacing w:val="0"/>
                <w:kern w:val="2"/>
                <w:sz w:val="24"/>
                <w:szCs w:val="24"/>
                <w:highlight w:val="none"/>
                <w:lang w:val="en-US" w:eastAsia="zh-CN" w:bidi="ar-SA"/>
                <w14:textFill>
                  <w14:solidFill>
                    <w14:schemeClr w14:val="tx1"/>
                  </w14:solidFill>
                </w14:textFill>
              </w:rPr>
              <w:t>7</w:t>
            </w:r>
            <w:r>
              <w:rPr>
                <w:rFonts w:hint="default" w:ascii="宋体" w:hAnsi="宋体" w:eastAsia="宋体" w:cs="宋体"/>
                <w:bCs/>
                <w:color w:val="000000" w:themeColor="text1"/>
                <w:spacing w:val="0"/>
                <w:kern w:val="2"/>
                <w:sz w:val="24"/>
                <w:szCs w:val="24"/>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表4-</w:t>
            </w:r>
            <w:r>
              <w:rPr>
                <w:rFonts w:hint="eastAsia" w:cs="Times New Roman"/>
                <w:b/>
                <w:bCs/>
                <w:color w:val="000000" w:themeColor="text1"/>
                <w:sz w:val="21"/>
                <w:szCs w:val="21"/>
                <w:highlight w:val="none"/>
                <w:lang w:val="en-US" w:eastAsia="zh-CN"/>
                <w14:textFill>
                  <w14:solidFill>
                    <w14:schemeClr w14:val="tx1"/>
                  </w14:solidFill>
                </w14:textFill>
              </w:rPr>
              <w:t>7</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大气污染源监测计划表</w:t>
            </w:r>
          </w:p>
          <w:tbl>
            <w:tblPr>
              <w:tblStyle w:val="25"/>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778"/>
              <w:gridCol w:w="869"/>
              <w:gridCol w:w="642"/>
              <w:gridCol w:w="5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类别</w:t>
                  </w:r>
                </w:p>
              </w:tc>
              <w:tc>
                <w:tcPr>
                  <w:tcW w:w="7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监测点位</w:t>
                  </w:r>
                </w:p>
              </w:tc>
              <w:tc>
                <w:tcPr>
                  <w:tcW w:w="8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监测指标</w:t>
                  </w:r>
                </w:p>
              </w:tc>
              <w:tc>
                <w:tcPr>
                  <w:tcW w:w="64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监测频次</w:t>
                  </w:r>
                </w:p>
              </w:tc>
              <w:tc>
                <w:tcPr>
                  <w:tcW w:w="5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有组织</w:t>
                  </w:r>
                </w:p>
              </w:tc>
              <w:tc>
                <w:tcPr>
                  <w:tcW w:w="7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DA001</w:t>
                  </w:r>
                </w:p>
              </w:tc>
              <w:tc>
                <w:tcPr>
                  <w:tcW w:w="8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颗粒物</w:t>
                  </w:r>
                </w:p>
              </w:tc>
              <w:tc>
                <w:tcPr>
                  <w:tcW w:w="64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1次/</w:t>
                  </w: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年</w:t>
                  </w:r>
                </w:p>
              </w:tc>
              <w:tc>
                <w:tcPr>
                  <w:tcW w:w="513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有组织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颗粒物执行《大气污染物综合排放标准》(GB16297-1996)二级标准浓度限值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允许排放浓度值120mg/m³，15米排气筒最高允许排放速率3.5kg/h，20米排气筒最高允许排放速率5.9kg/h），无组织颗粒物执行《大气污染物综合排放标准》(GB16297-1996)表2新污染源大气污染物排放限值（厂界外浓度最高点1.0mg/m³）</w:t>
                  </w:r>
                  <w:r>
                    <w:rPr>
                      <w:rFonts w:hint="eastAsia"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有机废气有组织排放标准参照执行《大气污染物综合排放标准》(GB16297-1996)二级标准浓度限值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允许排放浓度值120mg/m³，20米排气筒最高允许排放速率17kg/h，甲苯允许排放浓度值40mg/m³，20米排气筒最高允许排放速率5.2kg/h，二甲苯允许排放浓度值70mg/m³，20米排气筒最高允许排放速率1.7kg/h)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。有机废气</w:t>
                  </w:r>
                  <w:r>
                    <w:rPr>
                      <w:rFonts w:hint="eastAsia" w:cs="Times New Roman"/>
                      <w:color w:val="000000" w:themeColor="text1"/>
                      <w:sz w:val="21"/>
                      <w:szCs w:val="21"/>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厂界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无组织排放执行《挥发性有机物无组织排放控制标准》(GB37822-2019)附录A中的厂区内</w:t>
                  </w:r>
                  <w:r>
                    <w:rPr>
                      <w:rFonts w:hint="eastAsia" w:cs="Times New Roman"/>
                      <w:color w:val="000000" w:themeColor="text1"/>
                      <w:sz w:val="21"/>
                      <w:szCs w:val="21"/>
                      <w:highlight w:val="none"/>
                      <w:lang w:val="en-US" w:eastAsia="zh-CN"/>
                      <w14:textFill>
                        <w14:solidFill>
                          <w14:schemeClr w14:val="tx1"/>
                        </w14:solidFill>
                      </w14:textFill>
                    </w:rPr>
                    <w:t>VOCs</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浓度排放限值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（在厂房外监控点处任意一次浓度值</w:t>
                  </w:r>
                  <w:r>
                    <w:rPr>
                      <w:rFonts w:hint="eastAsia"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0mg/m³）</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油烟执行</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《饮食业油烟排放标准(试行)》(GB18483-2001)（2.0mg/m³）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7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DA002</w:t>
                  </w:r>
                </w:p>
              </w:tc>
              <w:tc>
                <w:tcPr>
                  <w:tcW w:w="8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颗粒物</w:t>
                  </w: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非甲烷总烃</w:t>
                  </w:r>
                  <w:r>
                    <w:rPr>
                      <w:rFonts w:hint="eastAsia"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、甲苯、二甲苯</w:t>
                  </w:r>
                </w:p>
              </w:tc>
              <w:tc>
                <w:tcPr>
                  <w:tcW w:w="64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1次/</w:t>
                  </w: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年</w:t>
                  </w:r>
                </w:p>
              </w:tc>
              <w:tc>
                <w:tcPr>
                  <w:tcW w:w="513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7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DA003</w:t>
                  </w:r>
                </w:p>
              </w:tc>
              <w:tc>
                <w:tcPr>
                  <w:tcW w:w="8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油烟</w:t>
                  </w:r>
                </w:p>
              </w:tc>
              <w:tc>
                <w:tcPr>
                  <w:tcW w:w="64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1次/年</w:t>
                  </w:r>
                </w:p>
              </w:tc>
              <w:tc>
                <w:tcPr>
                  <w:tcW w:w="513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39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无组织</w:t>
                  </w:r>
                </w:p>
              </w:tc>
              <w:tc>
                <w:tcPr>
                  <w:tcW w:w="77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厂界</w:t>
                  </w:r>
                </w:p>
              </w:tc>
              <w:tc>
                <w:tcPr>
                  <w:tcW w:w="8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颗粒物</w:t>
                  </w:r>
                </w:p>
              </w:tc>
              <w:tc>
                <w:tcPr>
                  <w:tcW w:w="64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1次/年</w:t>
                  </w:r>
                </w:p>
              </w:tc>
              <w:tc>
                <w:tcPr>
                  <w:tcW w:w="513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77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8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非甲烷总烃</w:t>
                  </w:r>
                </w:p>
              </w:tc>
              <w:tc>
                <w:tcPr>
                  <w:tcW w:w="64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1次/</w:t>
                  </w: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半</w:t>
                  </w: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年</w:t>
                  </w:r>
                </w:p>
              </w:tc>
              <w:tc>
                <w:tcPr>
                  <w:tcW w:w="513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2、废水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2.1生活污水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本项目产生的废水主要为生活污水。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生活污水以生活</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用水量的80%计算，生活污水排放量</w:t>
            </w:r>
            <w:r>
              <w:rPr>
                <w:rFonts w:hint="eastAsia" w:cs="Times New Roman"/>
                <w:bCs/>
                <w:color w:val="000000" w:themeColor="text1"/>
                <w:sz w:val="24"/>
                <w:szCs w:val="24"/>
                <w:highlight w:val="none"/>
                <w:lang w:val="en-US" w:eastAsia="zh-CN"/>
                <w14:textFill>
                  <w14:solidFill>
                    <w14:schemeClr w14:val="tx1"/>
                  </w14:solidFill>
                </w14:textFill>
              </w:rPr>
              <w:t>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16</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4800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/a）。生活污水的主要污染物为CODcr、BOD</w:t>
            </w:r>
            <w:r>
              <w:rPr>
                <w:rFonts w:hint="default" w:ascii="Times New Roman" w:hAnsi="Times New Roman" w:eastAsia="宋体" w:cs="Times New Roman"/>
                <w:bCs/>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、氨氮、SS</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项目食堂废水经隔油池处理后和生活</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污水一并进入园区下水管网，废水执行《污水综合排放标准》(GB8978-1996)表4中三级标准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2.2依托可行性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本项目所在的新型产业及轻工业区位于污水处理厂上游，相对高程差分别为36</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91m。木垒县民生工业园区污水处理厂及配套管网工程管线已布设至新型产业及轻工业区管道长9.8km，均为重力排水管道，已铺设至项目所在区域。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新疆维吾尔自治区环境保护厅于2017年5月6日出具《</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关于木垒县城乡园区一体化污水处理系统建设项目环境影响报告书的批复</w:t>
            </w:r>
            <w:r>
              <w:rPr>
                <w:rFonts w:hint="eastAsia"/>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新环</w:t>
            </w:r>
            <w:r>
              <w:rPr>
                <w:rFonts w:hint="eastAsia" w:cs="Times New Roman"/>
                <w:color w:val="000000" w:themeColor="text1"/>
                <w:sz w:val="24"/>
                <w:szCs w:val="24"/>
                <w:highlight w:val="none"/>
                <w:lang w:val="en-US" w:eastAsia="zh-CN"/>
                <w14:textFill>
                  <w14:solidFill>
                    <w14:schemeClr w14:val="tx1"/>
                  </w14:solidFill>
                </w14:textFill>
              </w:rPr>
              <w:t>函</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2017</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657号</w:t>
            </w:r>
            <w:r>
              <w:rPr>
                <w:rFonts w:hint="eastAsia"/>
                <w:color w:val="000000" w:themeColor="text1"/>
                <w:sz w:val="24"/>
                <w:szCs w:val="24"/>
                <w:lang w:val="en-US" w:eastAsia="zh-CN"/>
                <w14:textFill>
                  <w14:solidFill>
                    <w14:schemeClr w14:val="tx1"/>
                  </w14:solidFill>
                </w14:textFill>
              </w:rPr>
              <w:t>）批准建设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民生工业园区污水处理厂</w:t>
            </w:r>
            <w:r>
              <w:rPr>
                <w:rFonts w:hint="eastAsia"/>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位于木垒县城东北侧约</w:t>
            </w:r>
            <w:r>
              <w:rPr>
                <w:rFonts w:hint="eastAsia" w:cs="Times New Roman"/>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km，主要用于收纳木垒县城、民生工业园区(农副产品加工及民族特色旅游产业区、</w:t>
            </w:r>
            <w:r>
              <w:rPr>
                <w:rFonts w:hint="eastAsia" w:cs="Times New Roman"/>
                <w:color w:val="000000" w:themeColor="text1"/>
                <w:sz w:val="24"/>
                <w:szCs w:val="24"/>
                <w:highlight w:val="none"/>
                <w:lang w:val="en-US" w:eastAsia="zh-CN"/>
                <w14:textFill>
                  <w14:solidFill>
                    <w14:schemeClr w14:val="tx1"/>
                  </w14:solidFill>
                </w14:textFill>
              </w:rPr>
              <w:t>农副产品</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及食品加工区、新型产业及轻工业区)的生活污水和生产废水。项目预处理阶段采用“粗格栅+提升泵+细格栅+曝气沉砂池+水解酸化池+初沉池”处理工艺，二级处理工艺采用A/0+MBR+臭氧消毒处理工艺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主要工程建设内容包括</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业务用房、配电室、预处理车间、沉砂池、初沉池、A/0池、MBR池、二沉池、污泥脱水车间、回流及剩余污泥泵池、鼓风机房、臭氧接触池等，配套建设污水收集管网36135米、尾水排放管网1000米。</w:t>
            </w:r>
            <w:r>
              <w:rPr>
                <w:rFonts w:hint="eastAsia"/>
                <w:color w:val="000000" w:themeColor="text1"/>
                <w:sz w:val="24"/>
                <w:szCs w:val="24"/>
                <w:lang w:val="en-US" w:eastAsia="zh-CN"/>
                <w14:textFill>
                  <w14:solidFill>
                    <w14:schemeClr w14:val="tx1"/>
                  </w14:solidFill>
                </w14:textFill>
              </w:rPr>
              <w:t>该项目于2017年5月开始施工，2018年8月完工。并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2018年10月进行了验收，并交新疆环保厅环评处公示。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污水处理厂近期(2020年)污水处理规模为1万m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d，远期(2030年)污水处理规模为2万m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d。最终出水达到《城镇污水处理厂污染物排放标准》(GB189</w:t>
            </w:r>
            <w:r>
              <w:rPr>
                <w:rFonts w:hint="eastAsia" w:cs="Times New Roman"/>
                <w:color w:val="000000" w:themeColor="text1"/>
                <w:sz w:val="24"/>
                <w:szCs w:val="24"/>
                <w:highlight w:val="none"/>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-2002)中的一级A标准，作为木垒光伏产业园用水或下游绿化灌溉水源。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项目外排生活污水排放浓度可以达到民生工业园区污水管网接管标准，因此本项目生活污水排至民生工业园区污水处理厂可行。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3、噪声</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3.1噪声源分析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本项目噪声污染主要来自各类机械设备运行时产生的噪声，噪声值范围在75~85dB(A)，主要噪声源及其噪声值见下表。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t>表4-</w:t>
            </w:r>
            <w:r>
              <w:rPr>
                <w:rFonts w:hint="eastAsia" w:cs="Times New Roman"/>
                <w:b/>
                <w:bCs w:val="0"/>
                <w:color w:val="000000" w:themeColor="text1"/>
                <w:spacing w:val="0"/>
                <w:sz w:val="21"/>
                <w:szCs w:val="21"/>
                <w:highlight w:val="none"/>
                <w:vertAlign w:val="baseline"/>
                <w:lang w:val="en-US" w:eastAsia="zh-CN"/>
                <w14:textFill>
                  <w14:solidFill>
                    <w14:schemeClr w14:val="tx1"/>
                  </w14:solidFill>
                </w14:textFill>
              </w:rPr>
              <w:t>8</w:t>
            </w:r>
            <w:r>
              <w:rPr>
                <w:rFonts w:hint="eastAsia"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工业企业噪声源强调查清单（室</w:t>
            </w:r>
            <w:r>
              <w:rPr>
                <w:rFonts w:hint="eastAsia" w:cs="Times New Roman"/>
                <w:b/>
                <w:bCs/>
                <w:color w:val="000000" w:themeColor="text1"/>
                <w:sz w:val="21"/>
                <w:szCs w:val="21"/>
                <w:lang w:val="en-US" w:eastAsia="zh-CN"/>
                <w14:textFill>
                  <w14:solidFill>
                    <w14:schemeClr w14:val="tx1"/>
                  </w14:solidFill>
                </w14:textFill>
              </w:rPr>
              <w:t>内</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声源）</w:t>
            </w:r>
          </w:p>
          <w:tbl>
            <w:tblPr>
              <w:tblStyle w:val="24"/>
              <w:tblW w:w="7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967"/>
              <w:gridCol w:w="1161"/>
              <w:gridCol w:w="990"/>
              <w:gridCol w:w="1079"/>
              <w:gridCol w:w="1079"/>
              <w:gridCol w:w="1099"/>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11" w:type="dxa"/>
                  <w:vMerge w:val="restart"/>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bookmarkStart w:id="6" w:name="PT_6"/>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967" w:type="dxa"/>
                  <w:vMerge w:val="restart"/>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声源名称</w:t>
                  </w:r>
                </w:p>
              </w:tc>
              <w:tc>
                <w:tcPr>
                  <w:tcW w:w="1161" w:type="dxa"/>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声源源强</w:t>
                  </w:r>
                </w:p>
              </w:tc>
              <w:tc>
                <w:tcPr>
                  <w:tcW w:w="990" w:type="dxa"/>
                  <w:vMerge w:val="restart"/>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声源控制措施</w:t>
                  </w:r>
                </w:p>
              </w:tc>
              <w:tc>
                <w:tcPr>
                  <w:tcW w:w="3257" w:type="dxa"/>
                  <w:gridSpan w:val="3"/>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空间相对位置/m</w:t>
                  </w:r>
                </w:p>
              </w:tc>
              <w:tc>
                <w:tcPr>
                  <w:tcW w:w="811" w:type="dxa"/>
                  <w:vMerge w:val="restart"/>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4" w:hRule="atLeast"/>
                <w:jc w:val="center"/>
              </w:trPr>
              <w:tc>
                <w:tcPr>
                  <w:tcW w:w="811" w:type="dxa"/>
                  <w:vMerge w:val="continue"/>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967" w:type="dxa"/>
                  <w:vMerge w:val="continue"/>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116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声功率级/dB(A)</w:t>
                  </w:r>
                </w:p>
              </w:tc>
              <w:tc>
                <w:tcPr>
                  <w:tcW w:w="990" w:type="dxa"/>
                  <w:vMerge w:val="continue"/>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107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X</w:t>
                  </w:r>
                </w:p>
              </w:tc>
              <w:tc>
                <w:tcPr>
                  <w:tcW w:w="107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Y</w:t>
                  </w:r>
                </w:p>
              </w:tc>
              <w:tc>
                <w:tcPr>
                  <w:tcW w:w="109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Z</w:t>
                  </w:r>
                </w:p>
              </w:tc>
              <w:tc>
                <w:tcPr>
                  <w:tcW w:w="811" w:type="dxa"/>
                  <w:vMerge w:val="continue"/>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4" w:hRule="atLeast"/>
                <w:jc w:val="center"/>
              </w:trPr>
              <w:tc>
                <w:tcPr>
                  <w:tcW w:w="81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7"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切割机</w:t>
                  </w:r>
                </w:p>
              </w:tc>
              <w:tc>
                <w:tcPr>
                  <w:tcW w:w="116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w:t>
                  </w:r>
                </w:p>
              </w:tc>
              <w:tc>
                <w:tcPr>
                  <w:tcW w:w="990" w:type="dxa"/>
                  <w:vMerge w:val="restart"/>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选用低噪声设备，采取减振隔声等降噪措施</w:t>
                  </w:r>
                </w:p>
              </w:tc>
              <w:tc>
                <w:tcPr>
                  <w:tcW w:w="107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-59.3</w:t>
                  </w:r>
                </w:p>
              </w:tc>
              <w:tc>
                <w:tcPr>
                  <w:tcW w:w="107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87.3</w:t>
                  </w:r>
                </w:p>
              </w:tc>
              <w:tc>
                <w:tcPr>
                  <w:tcW w:w="109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81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4" w:hRule="atLeast"/>
                <w:jc w:val="center"/>
              </w:trPr>
              <w:tc>
                <w:tcPr>
                  <w:tcW w:w="81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967"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喷砂机</w:t>
                  </w:r>
                </w:p>
              </w:tc>
              <w:tc>
                <w:tcPr>
                  <w:tcW w:w="116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c>
                <w:tcPr>
                  <w:tcW w:w="990" w:type="dxa"/>
                  <w:vMerge w:val="continue"/>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7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58.5</w:t>
                  </w:r>
                </w:p>
              </w:tc>
              <w:tc>
                <w:tcPr>
                  <w:tcW w:w="107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24.5</w:t>
                  </w:r>
                </w:p>
              </w:tc>
              <w:tc>
                <w:tcPr>
                  <w:tcW w:w="109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81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4" w:hRule="atLeast"/>
                <w:jc w:val="center"/>
              </w:trPr>
              <w:tc>
                <w:tcPr>
                  <w:tcW w:w="81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967"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焊机</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60台（按点声源组预测）</w:t>
                  </w:r>
                </w:p>
              </w:tc>
              <w:tc>
                <w:tcPr>
                  <w:tcW w:w="116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85（等效后：102.8)</w:t>
                  </w:r>
                </w:p>
              </w:tc>
              <w:tc>
                <w:tcPr>
                  <w:tcW w:w="990" w:type="dxa"/>
                  <w:vMerge w:val="continue"/>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7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-51.8</w:t>
                  </w:r>
                </w:p>
              </w:tc>
              <w:tc>
                <w:tcPr>
                  <w:tcW w:w="107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73.7</w:t>
                  </w:r>
                </w:p>
              </w:tc>
              <w:tc>
                <w:tcPr>
                  <w:tcW w:w="109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81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4" w:hRule="atLeast"/>
                <w:jc w:val="center"/>
              </w:trPr>
              <w:tc>
                <w:tcPr>
                  <w:tcW w:w="81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967"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切管机</w:t>
                  </w:r>
                </w:p>
              </w:tc>
              <w:tc>
                <w:tcPr>
                  <w:tcW w:w="116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w:t>
                  </w:r>
                </w:p>
              </w:tc>
              <w:tc>
                <w:tcPr>
                  <w:tcW w:w="990" w:type="dxa"/>
                  <w:vMerge w:val="continue"/>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7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17.2</w:t>
                  </w:r>
                </w:p>
              </w:tc>
              <w:tc>
                <w:tcPr>
                  <w:tcW w:w="107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-60.6</w:t>
                  </w:r>
                </w:p>
              </w:tc>
              <w:tc>
                <w:tcPr>
                  <w:tcW w:w="109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81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4" w:hRule="atLeast"/>
                <w:jc w:val="center"/>
              </w:trPr>
              <w:tc>
                <w:tcPr>
                  <w:tcW w:w="81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967"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压接机</w:t>
                  </w:r>
                </w:p>
              </w:tc>
              <w:tc>
                <w:tcPr>
                  <w:tcW w:w="116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c>
                <w:tcPr>
                  <w:tcW w:w="990" w:type="dxa"/>
                  <w:vMerge w:val="continue"/>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7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28.8</w:t>
                  </w:r>
                </w:p>
              </w:tc>
              <w:tc>
                <w:tcPr>
                  <w:tcW w:w="107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-68.8</w:t>
                  </w:r>
                </w:p>
              </w:tc>
              <w:tc>
                <w:tcPr>
                  <w:tcW w:w="109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81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4" w:hRule="atLeast"/>
                <w:jc w:val="center"/>
              </w:trPr>
              <w:tc>
                <w:tcPr>
                  <w:tcW w:w="81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967"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机械机</w:t>
                  </w:r>
                </w:p>
              </w:tc>
              <w:tc>
                <w:tcPr>
                  <w:tcW w:w="116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w:t>
                  </w:r>
                </w:p>
              </w:tc>
              <w:tc>
                <w:tcPr>
                  <w:tcW w:w="990" w:type="dxa"/>
                  <w:vMerge w:val="continue"/>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7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43.4</w:t>
                  </w:r>
                </w:p>
              </w:tc>
              <w:tc>
                <w:tcPr>
                  <w:tcW w:w="107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-76.1</w:t>
                  </w:r>
                </w:p>
              </w:tc>
              <w:tc>
                <w:tcPr>
                  <w:tcW w:w="109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81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4" w:hRule="atLeast"/>
                <w:jc w:val="center"/>
              </w:trPr>
              <w:tc>
                <w:tcPr>
                  <w:tcW w:w="81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967"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冲剪机</w:t>
                  </w:r>
                </w:p>
              </w:tc>
              <w:tc>
                <w:tcPr>
                  <w:tcW w:w="116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85</w:t>
                  </w:r>
                </w:p>
              </w:tc>
              <w:tc>
                <w:tcPr>
                  <w:tcW w:w="990" w:type="dxa"/>
                  <w:vMerge w:val="continue"/>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7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55.9</w:t>
                  </w:r>
                </w:p>
              </w:tc>
              <w:tc>
                <w:tcPr>
                  <w:tcW w:w="107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-81.7</w:t>
                  </w:r>
                </w:p>
              </w:tc>
              <w:tc>
                <w:tcPr>
                  <w:tcW w:w="109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81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4" w:hRule="atLeast"/>
                <w:jc w:val="center"/>
              </w:trPr>
              <w:tc>
                <w:tcPr>
                  <w:tcW w:w="81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967"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折弯机</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10台（按点声源组预测）</w:t>
                  </w:r>
                </w:p>
              </w:tc>
              <w:tc>
                <w:tcPr>
                  <w:tcW w:w="116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80（等效后：90.0)</w:t>
                  </w:r>
                </w:p>
              </w:tc>
              <w:tc>
                <w:tcPr>
                  <w:tcW w:w="990" w:type="dxa"/>
                  <w:vMerge w:val="continue"/>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7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66.8</w:t>
                  </w:r>
                </w:p>
              </w:tc>
              <w:tc>
                <w:tcPr>
                  <w:tcW w:w="107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-70.5</w:t>
                  </w:r>
                </w:p>
              </w:tc>
              <w:tc>
                <w:tcPr>
                  <w:tcW w:w="109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81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4" w:hRule="atLeast"/>
                <w:jc w:val="center"/>
              </w:trPr>
              <w:tc>
                <w:tcPr>
                  <w:tcW w:w="81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967"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剪板机</w:t>
                  </w:r>
                </w:p>
              </w:tc>
              <w:tc>
                <w:tcPr>
                  <w:tcW w:w="116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85</w:t>
                  </w:r>
                </w:p>
              </w:tc>
              <w:tc>
                <w:tcPr>
                  <w:tcW w:w="990" w:type="dxa"/>
                  <w:vMerge w:val="continue"/>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7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41.3</w:t>
                  </w:r>
                </w:p>
              </w:tc>
              <w:tc>
                <w:tcPr>
                  <w:tcW w:w="107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109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81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4" w:hRule="atLeast"/>
                <w:jc w:val="center"/>
              </w:trPr>
              <w:tc>
                <w:tcPr>
                  <w:tcW w:w="81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967"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起重机</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10台（按点声源组预测）</w:t>
                  </w:r>
                </w:p>
              </w:tc>
              <w:tc>
                <w:tcPr>
                  <w:tcW w:w="116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75（等效后：85.0)</w:t>
                  </w:r>
                </w:p>
              </w:tc>
              <w:tc>
                <w:tcPr>
                  <w:tcW w:w="990" w:type="dxa"/>
                  <w:vMerge w:val="continue"/>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7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w:t>
                  </w:r>
                </w:p>
              </w:tc>
              <w:tc>
                <w:tcPr>
                  <w:tcW w:w="107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58.5</w:t>
                  </w:r>
                </w:p>
              </w:tc>
              <w:tc>
                <w:tcPr>
                  <w:tcW w:w="1099"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811" w:type="dxa"/>
                  <w:shd w:val="clear" w:color="auto" w:fill="FFFFFF"/>
                  <w:tcMar>
                    <w:top w:w="0" w:type="dxa"/>
                    <w:left w:w="0" w:type="dxa"/>
                    <w:bottom w:w="0" w:type="dxa"/>
                    <w:right w:w="0" w:type="dxa"/>
                  </w:tcMar>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昼间</w:t>
                  </w:r>
                </w:p>
              </w:tc>
            </w:tr>
            <w:bookmarkEnd w:id="6"/>
          </w:tbl>
          <w:p>
            <w:pPr>
              <w:pStyle w:val="41"/>
              <w:keepNext w:val="0"/>
              <w:keepLines w:val="0"/>
              <w:pageBreakBefore w:val="0"/>
              <w:widowControl w:val="0"/>
              <w:numPr>
                <w:ilvl w:val="0"/>
                <w:numId w:val="0"/>
              </w:numPr>
              <w:suppressLineNumbers w:val="0"/>
              <w:tabs>
                <w:tab w:val="left" w:pos="312"/>
                <w:tab w:val="clear" w:pos="2760"/>
              </w:tabs>
              <w:kinsoku/>
              <w:wordWrap/>
              <w:overflowPunct/>
              <w:topLinePunct w:val="0"/>
              <w:autoSpaceDE w:val="0"/>
              <w:autoSpaceDN w:val="0"/>
              <w:bidi w:val="0"/>
              <w:adjustRightInd/>
              <w:snapToGrid/>
              <w:spacing w:before="0" w:beforeAutospacing="0" w:after="0" w:afterAutospacing="0" w:line="360" w:lineRule="auto"/>
              <w:ind w:right="0" w:rightChars="0"/>
              <w:jc w:val="left"/>
              <w:textAlignment w:val="auto"/>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3.2预测模型</w:t>
            </w:r>
          </w:p>
          <w:p>
            <w:pPr>
              <w:pStyle w:val="41"/>
              <w:keepNext w:val="0"/>
              <w:keepLines w:val="0"/>
              <w:pageBreakBefore w:val="0"/>
              <w:widowControl w:val="0"/>
              <w:numPr>
                <w:ilvl w:val="0"/>
                <w:numId w:val="0"/>
              </w:numPr>
              <w:suppressLineNumbers w:val="0"/>
              <w:tabs>
                <w:tab w:val="left" w:pos="312"/>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根据项目建设内容及《环境影响评价技术导则 声环境》（HJ2.4-2021）的要求，本评价采用的模型为《环境影响评价技术导则 声环境》(HJ2.4.2021)附录 A（规范性附录）户外声传播的衰减和附录 B（规范性附录）中“B.1工业噪声预测计算模型”。</w:t>
            </w:r>
          </w:p>
          <w:p>
            <w:pPr>
              <w:pStyle w:val="41"/>
              <w:keepNext w:val="0"/>
              <w:keepLines w:val="0"/>
              <w:pageBreakBefore w:val="0"/>
              <w:widowControl w:val="0"/>
              <w:numPr>
                <w:ilvl w:val="0"/>
                <w:numId w:val="0"/>
              </w:numPr>
              <w:suppressLineNumbers w:val="0"/>
              <w:tabs>
                <w:tab w:val="left" w:pos="312"/>
                <w:tab w:val="clear" w:pos="2760"/>
              </w:tabs>
              <w:kinsoku/>
              <w:wordWrap/>
              <w:overflowPunct/>
              <w:topLinePunct w:val="0"/>
              <w:autoSpaceDE w:val="0"/>
              <w:autoSpaceDN w:val="0"/>
              <w:bidi w:val="0"/>
              <w:adjustRightInd/>
              <w:snapToGrid/>
              <w:spacing w:before="0" w:beforeAutospacing="0" w:after="0" w:afterAutospacing="0" w:line="360" w:lineRule="auto"/>
              <w:ind w:right="0" w:rightChars="0"/>
              <w:jc w:val="left"/>
              <w:textAlignment w:val="auto"/>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3.3预测参数</w:t>
            </w:r>
          </w:p>
          <w:p>
            <w:pPr>
              <w:pStyle w:val="41"/>
              <w:keepNext w:val="0"/>
              <w:keepLines w:val="0"/>
              <w:pageBreakBefore w:val="0"/>
              <w:widowControl w:val="0"/>
              <w:numPr>
                <w:ilvl w:val="0"/>
                <w:numId w:val="0"/>
              </w:numPr>
              <w:suppressLineNumbers w:val="0"/>
              <w:tabs>
                <w:tab w:val="left" w:pos="312"/>
                <w:tab w:val="clear" w:pos="2760"/>
              </w:tabs>
              <w:kinsoku/>
              <w:wordWrap/>
              <w:overflowPunct/>
              <w:topLinePunct w:val="0"/>
              <w:autoSpaceDE w:val="0"/>
              <w:autoSpaceDN w:val="0"/>
              <w:bidi w:val="0"/>
              <w:adjustRightInd/>
              <w:snapToGrid/>
              <w:spacing w:before="0" w:beforeAutospacing="0" w:after="0" w:afterAutospacing="0" w:line="240" w:lineRule="auto"/>
              <w:ind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4-</w:t>
            </w:r>
            <w:r>
              <w:rPr>
                <w:rFonts w:hint="eastAsia" w:cs="Times New Roman"/>
                <w:b/>
                <w:bCs/>
                <w:color w:val="000000" w:themeColor="text1"/>
                <w:sz w:val="21"/>
                <w:szCs w:val="21"/>
                <w:lang w:val="en-US" w:eastAsia="zh-CN"/>
                <w14:textFill>
                  <w14:solidFill>
                    <w14:schemeClr w14:val="tx1"/>
                  </w14:solidFill>
                </w14:textFill>
              </w:rPr>
              <w:t xml:space="preserve">9 </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项目噪声环境影响预测基础数据表</w:t>
            </w:r>
          </w:p>
          <w:tbl>
            <w:tblPr>
              <w:tblStyle w:val="24"/>
              <w:tblW w:w="8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2107"/>
              <w:gridCol w:w="1608"/>
              <w:gridCol w:w="1608"/>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108" w:type="dxa"/>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序号</w:t>
                  </w:r>
                </w:p>
              </w:tc>
              <w:tc>
                <w:tcPr>
                  <w:tcW w:w="2107" w:type="dxa"/>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名称</w:t>
                  </w:r>
                </w:p>
              </w:tc>
              <w:tc>
                <w:tcPr>
                  <w:tcW w:w="1608" w:type="dxa"/>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单位</w:t>
                  </w:r>
                </w:p>
              </w:tc>
              <w:tc>
                <w:tcPr>
                  <w:tcW w:w="1608" w:type="dxa"/>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数据</w:t>
                  </w:r>
                </w:p>
              </w:tc>
              <w:tc>
                <w:tcPr>
                  <w:tcW w:w="1608" w:type="dxa"/>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77" w:hRule="exact"/>
                <w:jc w:val="center"/>
              </w:trPr>
              <w:tc>
                <w:tcPr>
                  <w:tcW w:w="1108"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2107"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年平均风速</w:t>
                  </w:r>
                </w:p>
              </w:tc>
              <w:tc>
                <w:tcPr>
                  <w:tcW w:w="1608"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m/s</w:t>
                  </w:r>
                </w:p>
              </w:tc>
              <w:tc>
                <w:tcPr>
                  <w:tcW w:w="1608"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608"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77" w:hRule="exact"/>
                <w:jc w:val="center"/>
              </w:trPr>
              <w:tc>
                <w:tcPr>
                  <w:tcW w:w="1108"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2107"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主导风向</w:t>
                  </w:r>
                </w:p>
              </w:tc>
              <w:tc>
                <w:tcPr>
                  <w:tcW w:w="1608"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608"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西北</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风</w:t>
                  </w:r>
                </w:p>
              </w:tc>
              <w:tc>
                <w:tcPr>
                  <w:tcW w:w="1608"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77" w:hRule="exact"/>
                <w:jc w:val="center"/>
              </w:trPr>
              <w:tc>
                <w:tcPr>
                  <w:tcW w:w="1108"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2107"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年平均气温</w:t>
                  </w:r>
                </w:p>
              </w:tc>
              <w:tc>
                <w:tcPr>
                  <w:tcW w:w="1608"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608"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1608"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77" w:hRule="exact"/>
                <w:jc w:val="center"/>
              </w:trPr>
              <w:tc>
                <w:tcPr>
                  <w:tcW w:w="1108"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2107"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年平均相对湿度</w:t>
                  </w:r>
                </w:p>
              </w:tc>
              <w:tc>
                <w:tcPr>
                  <w:tcW w:w="1608"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608"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w:t>
                  </w:r>
                </w:p>
              </w:tc>
              <w:tc>
                <w:tcPr>
                  <w:tcW w:w="1608"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6" w:hRule="exact"/>
                <w:jc w:val="center"/>
              </w:trPr>
              <w:tc>
                <w:tcPr>
                  <w:tcW w:w="1108"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2107"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大气压强</w:t>
                  </w:r>
                </w:p>
              </w:tc>
              <w:tc>
                <w:tcPr>
                  <w:tcW w:w="1608"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atm</w:t>
                  </w:r>
                </w:p>
              </w:tc>
              <w:tc>
                <w:tcPr>
                  <w:tcW w:w="1608"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608" w:type="dxa"/>
                  <w:shd w:val="clear" w:color="auto" w:fill="FFFFFF"/>
                  <w:noWrap w:val="0"/>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bl>
          <w:p>
            <w:pPr>
              <w:pStyle w:val="41"/>
              <w:keepNext w:val="0"/>
              <w:keepLines w:val="0"/>
              <w:pageBreakBefore w:val="0"/>
              <w:widowControl w:val="0"/>
              <w:numPr>
                <w:ilvl w:val="0"/>
                <w:numId w:val="0"/>
              </w:numPr>
              <w:suppressLineNumbers w:val="0"/>
              <w:tabs>
                <w:tab w:val="left" w:pos="312"/>
                <w:tab w:val="clear" w:pos="2760"/>
              </w:tabs>
              <w:kinsoku/>
              <w:wordWrap/>
              <w:overflowPunct/>
              <w:topLinePunct w:val="0"/>
              <w:autoSpaceDE w:val="0"/>
              <w:autoSpaceDN w:val="0"/>
              <w:bidi w:val="0"/>
              <w:adjustRightInd/>
              <w:snapToGrid/>
              <w:spacing w:before="0" w:beforeAutospacing="0" w:after="0" w:afterAutospacing="0" w:line="360" w:lineRule="auto"/>
              <w:ind w:right="0" w:rightChars="0"/>
              <w:jc w:val="left"/>
              <w:textAlignment w:val="auto"/>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3.4评价标准</w:t>
            </w:r>
          </w:p>
          <w:p>
            <w:pPr>
              <w:pStyle w:val="41"/>
              <w:keepNext w:val="0"/>
              <w:keepLines w:val="0"/>
              <w:pageBreakBefore w:val="0"/>
              <w:widowControl w:val="0"/>
              <w:numPr>
                <w:ilvl w:val="0"/>
                <w:numId w:val="0"/>
              </w:numPr>
              <w:suppressLineNumbers w:val="0"/>
              <w:tabs>
                <w:tab w:val="left" w:pos="312"/>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评价标准采用《工业企业厂界环境噪声排放标准》（GB12348-2008）中</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类</w:t>
            </w:r>
            <w:r>
              <w:rPr>
                <w:rFonts w:hint="eastAsia" w:ascii="Times New Roman" w:hAnsi="Times New Roman" w:eastAsia="宋体" w:cs="Times New Roman"/>
                <w:color w:val="000000" w:themeColor="text1"/>
                <w:sz w:val="24"/>
                <w:lang w:val="en-US" w:eastAsia="zh-CN"/>
                <w14:textFill>
                  <w14:solidFill>
                    <w14:schemeClr w14:val="tx1"/>
                  </w14:solidFill>
                </w14:textFill>
              </w:rPr>
              <w:t>标准</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pPr>
              <w:pStyle w:val="41"/>
              <w:keepNext w:val="0"/>
              <w:keepLines w:val="0"/>
              <w:pageBreakBefore w:val="0"/>
              <w:widowControl w:val="0"/>
              <w:numPr>
                <w:ilvl w:val="0"/>
                <w:numId w:val="0"/>
              </w:numPr>
              <w:suppressLineNumbers w:val="0"/>
              <w:tabs>
                <w:tab w:val="left" w:pos="312"/>
                <w:tab w:val="clear" w:pos="2760"/>
              </w:tabs>
              <w:kinsoku/>
              <w:wordWrap/>
              <w:overflowPunct/>
              <w:topLinePunct w:val="0"/>
              <w:autoSpaceDE w:val="0"/>
              <w:autoSpaceDN w:val="0"/>
              <w:bidi w:val="0"/>
              <w:adjustRightInd/>
              <w:snapToGrid/>
              <w:spacing w:before="0" w:beforeAutospacing="0" w:after="0" w:afterAutospacing="0" w:line="360" w:lineRule="auto"/>
              <w:ind w:right="0" w:rightChars="0"/>
              <w:jc w:val="left"/>
              <w:textAlignment w:val="auto"/>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3.5预测结果</w:t>
            </w:r>
          </w:p>
          <w:p>
            <w:pPr>
              <w:pStyle w:val="41"/>
              <w:keepNext w:val="0"/>
              <w:keepLines w:val="0"/>
              <w:pageBreakBefore w:val="0"/>
              <w:widowControl w:val="0"/>
              <w:numPr>
                <w:ilvl w:val="0"/>
                <w:numId w:val="0"/>
              </w:numPr>
              <w:suppressLineNumbers w:val="0"/>
              <w:tabs>
                <w:tab w:val="left" w:pos="312"/>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鉴于周边无敏感点，因此在项目运营期间，必须对项目厂界的昼间和夜间噪声值进行预测。</w:t>
            </w:r>
            <w:r>
              <w:rPr>
                <w:rFonts w:hint="default" w:ascii="Times New Roman" w:hAnsi="Times New Roman" w:eastAsia="宋体" w:cs="Times New Roman"/>
                <w:color w:val="000000" w:themeColor="text1"/>
                <w:sz w:val="24"/>
                <w:lang w:val="en-US" w:eastAsia="zh-CN"/>
                <w14:textFill>
                  <w14:solidFill>
                    <w14:schemeClr w14:val="tx1"/>
                  </w14:solidFill>
                </w14:textFill>
              </w:rPr>
              <w:t>通过预测模型计算，项目厂界噪声预测结果与达标分析见表</w:t>
            </w:r>
            <w:r>
              <w:rPr>
                <w:rFonts w:hint="eastAsia" w:ascii="Times New Roman" w:hAnsi="Times New Roman" w:eastAsia="宋体" w:cs="Times New Roman"/>
                <w:color w:val="000000" w:themeColor="text1"/>
                <w:sz w:val="24"/>
                <w:lang w:val="en-US" w:eastAsia="zh-CN"/>
                <w14:textFill>
                  <w14:solidFill>
                    <w14:schemeClr w14:val="tx1"/>
                  </w14:solidFill>
                </w14:textFill>
              </w:rPr>
              <w:t>4-1</w:t>
            </w:r>
            <w:r>
              <w:rPr>
                <w:rFonts w:hint="eastAsia" w:cs="Times New Roman"/>
                <w:color w:val="000000" w:themeColor="text1"/>
                <w:sz w:val="24"/>
                <w:lang w:val="en-US" w:eastAsia="zh-CN"/>
                <w14:textFill>
                  <w14:solidFill>
                    <w14:schemeClr w14:val="tx1"/>
                  </w14:solidFill>
                </w14:textFill>
              </w:rPr>
              <w:t>0</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pPr>
              <w:pStyle w:val="41"/>
              <w:keepNext w:val="0"/>
              <w:keepLines w:val="0"/>
              <w:pageBreakBefore w:val="0"/>
              <w:widowControl w:val="0"/>
              <w:numPr>
                <w:ilvl w:val="0"/>
                <w:numId w:val="0"/>
              </w:numPr>
              <w:suppressLineNumbers w:val="0"/>
              <w:tabs>
                <w:tab w:val="left" w:pos="312"/>
                <w:tab w:val="clear" w:pos="2760"/>
              </w:tabs>
              <w:kinsoku/>
              <w:wordWrap/>
              <w:overflowPunct/>
              <w:topLinePunct w:val="0"/>
              <w:autoSpaceDE w:val="0"/>
              <w:autoSpaceDN w:val="0"/>
              <w:bidi w:val="0"/>
              <w:adjustRightInd/>
              <w:snapToGrid/>
              <w:spacing w:before="0" w:beforeAutospacing="0" w:after="0" w:afterAutospacing="0" w:line="240" w:lineRule="auto"/>
              <w:ind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1</w:t>
            </w:r>
            <w:r>
              <w:rPr>
                <w:rFonts w:hint="eastAsia" w:cs="Times New Roman"/>
                <w:b/>
                <w:bCs/>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厂界噪声预测结果与达标分析表</w:t>
            </w:r>
          </w:p>
          <w:tbl>
            <w:tblPr>
              <w:tblStyle w:val="24"/>
              <w:tblW w:w="8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755"/>
              <w:gridCol w:w="755"/>
              <w:gridCol w:w="756"/>
              <w:gridCol w:w="934"/>
              <w:gridCol w:w="1332"/>
              <w:gridCol w:w="1333"/>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035" w:type="dxa"/>
                  <w:vMerge w:val="restart"/>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bookmarkStart w:id="7" w:name="PT_7"/>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预测方位</w:t>
                  </w:r>
                </w:p>
              </w:tc>
              <w:tc>
                <w:tcPr>
                  <w:tcW w:w="2266" w:type="dxa"/>
                  <w:gridSpan w:val="3"/>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最大值点</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空间相对位置/m</w:t>
                  </w:r>
                </w:p>
              </w:tc>
              <w:tc>
                <w:tcPr>
                  <w:tcW w:w="934" w:type="dxa"/>
                  <w:vMerge w:val="restart"/>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时段</w:t>
                  </w:r>
                </w:p>
              </w:tc>
              <w:tc>
                <w:tcPr>
                  <w:tcW w:w="1332" w:type="dxa"/>
                  <w:vMerge w:val="restart"/>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贡献值</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（dB(A)）</w:t>
                  </w:r>
                </w:p>
              </w:tc>
              <w:tc>
                <w:tcPr>
                  <w:tcW w:w="1333" w:type="dxa"/>
                  <w:vMerge w:val="restart"/>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标准限值（dB(A)）</w:t>
                  </w:r>
                </w:p>
              </w:tc>
              <w:tc>
                <w:tcPr>
                  <w:tcW w:w="1117" w:type="dxa"/>
                  <w:vMerge w:val="restart"/>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35" w:type="dxa"/>
                  <w:vMerge w:val="continue"/>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55"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X</w:t>
                  </w:r>
                </w:p>
              </w:tc>
              <w:tc>
                <w:tcPr>
                  <w:tcW w:w="755"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Y</w:t>
                  </w:r>
                </w:p>
              </w:tc>
              <w:tc>
                <w:tcPr>
                  <w:tcW w:w="756"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Z</w:t>
                  </w:r>
                </w:p>
              </w:tc>
              <w:tc>
                <w:tcPr>
                  <w:tcW w:w="934" w:type="dxa"/>
                  <w:vMerge w:val="continue"/>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332" w:type="dxa"/>
                  <w:vMerge w:val="continue"/>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333" w:type="dxa"/>
                  <w:vMerge w:val="continue"/>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bookmarkEnd w:id="7"/>
              </w:tc>
              <w:tc>
                <w:tcPr>
                  <w:tcW w:w="1117" w:type="dxa"/>
                  <w:vMerge w:val="continue"/>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35" w:type="dxa"/>
                  <w:vMerge w:val="restart"/>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东侧</w:t>
                  </w:r>
                </w:p>
              </w:tc>
              <w:tc>
                <w:tcPr>
                  <w:tcW w:w="755"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102.3</w:t>
                  </w:r>
                </w:p>
              </w:tc>
              <w:tc>
                <w:tcPr>
                  <w:tcW w:w="755"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-97.7</w:t>
                  </w:r>
                </w:p>
              </w:tc>
              <w:tc>
                <w:tcPr>
                  <w:tcW w:w="756"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934"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昼间</w:t>
                  </w:r>
                </w:p>
              </w:tc>
              <w:tc>
                <w:tcPr>
                  <w:tcW w:w="1332"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24.9</w:t>
                  </w:r>
                </w:p>
              </w:tc>
              <w:tc>
                <w:tcPr>
                  <w:tcW w:w="1333"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1117"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35" w:type="dxa"/>
                  <w:vMerge w:val="continue"/>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东侧</w:t>
                  </w:r>
                </w:p>
              </w:tc>
              <w:tc>
                <w:tcPr>
                  <w:tcW w:w="755"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102.3</w:t>
                  </w:r>
                </w:p>
              </w:tc>
              <w:tc>
                <w:tcPr>
                  <w:tcW w:w="755"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-97.7</w:t>
                  </w:r>
                </w:p>
              </w:tc>
              <w:tc>
                <w:tcPr>
                  <w:tcW w:w="756"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934"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夜间</w:t>
                  </w:r>
                </w:p>
              </w:tc>
              <w:tc>
                <w:tcPr>
                  <w:tcW w:w="1332"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333"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1117"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35" w:type="dxa"/>
                  <w:vMerge w:val="restart"/>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南侧</w:t>
                  </w:r>
                </w:p>
              </w:tc>
              <w:tc>
                <w:tcPr>
                  <w:tcW w:w="755"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32.4</w:t>
                  </w:r>
                </w:p>
              </w:tc>
              <w:tc>
                <w:tcPr>
                  <w:tcW w:w="755"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-127.5</w:t>
                  </w:r>
                </w:p>
              </w:tc>
              <w:tc>
                <w:tcPr>
                  <w:tcW w:w="756"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934"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昼间</w:t>
                  </w:r>
                </w:p>
              </w:tc>
              <w:tc>
                <w:tcPr>
                  <w:tcW w:w="1332"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21.6</w:t>
                  </w:r>
                </w:p>
              </w:tc>
              <w:tc>
                <w:tcPr>
                  <w:tcW w:w="1333"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1117"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35" w:type="dxa"/>
                  <w:vMerge w:val="continue"/>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南侧</w:t>
                  </w:r>
                </w:p>
              </w:tc>
              <w:tc>
                <w:tcPr>
                  <w:tcW w:w="755"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32.4</w:t>
                  </w:r>
                </w:p>
              </w:tc>
              <w:tc>
                <w:tcPr>
                  <w:tcW w:w="755"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-127.5</w:t>
                  </w:r>
                </w:p>
              </w:tc>
              <w:tc>
                <w:tcPr>
                  <w:tcW w:w="756"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934"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夜间</w:t>
                  </w:r>
                </w:p>
              </w:tc>
              <w:tc>
                <w:tcPr>
                  <w:tcW w:w="1332"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333"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1117"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35" w:type="dxa"/>
                  <w:vMerge w:val="restart"/>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西侧</w:t>
                  </w:r>
                </w:p>
              </w:tc>
              <w:tc>
                <w:tcPr>
                  <w:tcW w:w="755"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-102.5</w:t>
                  </w:r>
                </w:p>
              </w:tc>
              <w:tc>
                <w:tcPr>
                  <w:tcW w:w="755"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99.2</w:t>
                  </w:r>
                </w:p>
              </w:tc>
              <w:tc>
                <w:tcPr>
                  <w:tcW w:w="756"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934"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昼间</w:t>
                  </w:r>
                </w:p>
              </w:tc>
              <w:tc>
                <w:tcPr>
                  <w:tcW w:w="1332"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33.2</w:t>
                  </w:r>
                </w:p>
              </w:tc>
              <w:tc>
                <w:tcPr>
                  <w:tcW w:w="1333"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1117"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35" w:type="dxa"/>
                  <w:vMerge w:val="continue"/>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西侧</w:t>
                  </w:r>
                </w:p>
              </w:tc>
              <w:tc>
                <w:tcPr>
                  <w:tcW w:w="755"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-102.5</w:t>
                  </w:r>
                </w:p>
              </w:tc>
              <w:tc>
                <w:tcPr>
                  <w:tcW w:w="755"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99.2</w:t>
                  </w:r>
                </w:p>
              </w:tc>
              <w:tc>
                <w:tcPr>
                  <w:tcW w:w="756"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934"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夜间</w:t>
                  </w:r>
                </w:p>
              </w:tc>
              <w:tc>
                <w:tcPr>
                  <w:tcW w:w="1332"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333"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1117"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35" w:type="dxa"/>
                  <w:vMerge w:val="restart"/>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北侧</w:t>
                  </w:r>
                </w:p>
              </w:tc>
              <w:tc>
                <w:tcPr>
                  <w:tcW w:w="755"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-21.9</w:t>
                  </w:r>
                </w:p>
              </w:tc>
              <w:tc>
                <w:tcPr>
                  <w:tcW w:w="755"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121.7</w:t>
                  </w:r>
                </w:p>
              </w:tc>
              <w:tc>
                <w:tcPr>
                  <w:tcW w:w="756"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934"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昼间</w:t>
                  </w:r>
                </w:p>
              </w:tc>
              <w:tc>
                <w:tcPr>
                  <w:tcW w:w="1332"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33.3</w:t>
                  </w:r>
                </w:p>
              </w:tc>
              <w:tc>
                <w:tcPr>
                  <w:tcW w:w="1333"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1117"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35" w:type="dxa"/>
                  <w:vMerge w:val="continue"/>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北侧</w:t>
                  </w:r>
                </w:p>
              </w:tc>
              <w:tc>
                <w:tcPr>
                  <w:tcW w:w="755"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-21.9</w:t>
                  </w:r>
                </w:p>
              </w:tc>
              <w:tc>
                <w:tcPr>
                  <w:tcW w:w="755"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121.7</w:t>
                  </w:r>
                </w:p>
              </w:tc>
              <w:tc>
                <w:tcPr>
                  <w:tcW w:w="756"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934"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夜间</w:t>
                  </w:r>
                </w:p>
              </w:tc>
              <w:tc>
                <w:tcPr>
                  <w:tcW w:w="1332"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333"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1117" w:type="dxa"/>
                  <w:shd w:val="clear" w:color="auto" w:fill="FFFFFF"/>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bl>
          <w:p>
            <w:pPr>
              <w:snapToGrid w:val="0"/>
              <w:spacing w:line="360" w:lineRule="auto"/>
              <w:ind w:firstLine="480" w:firstLineChars="200"/>
              <w:rPr>
                <w:rFonts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表中坐标以厂界中心为坐标原点，正东向为X轴正方向，正北向为Y轴正方向</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snapToGrid w:val="0"/>
              <w:spacing w:line="360" w:lineRule="auto"/>
              <w:ind w:firstLine="480" w:firstLineChars="200"/>
              <w:rPr>
                <w:rFonts w:ascii="Times New Roman" w:hAnsi="Times New Roman" w:cs="Times New Roman" w:eastAsiaTheme="minorEastAsia"/>
                <w:color w:val="000000" w:themeColor="text1"/>
                <w:sz w:val="24"/>
                <w:szCs w:val="24"/>
                <w:lang w:eastAsia="zh-CN"/>
                <w14:textFill>
                  <w14:solidFill>
                    <w14:schemeClr w14:val="tx1"/>
                  </w14:solidFill>
                </w14:textFill>
              </w:rPr>
            </w:pPr>
            <w:r>
              <w:rPr>
                <w:rFonts w:ascii="Times New Roman" w:hAnsi="Times New Roman" w:cs="Times New Roman" w:eastAsiaTheme="minorEastAsia"/>
                <w:color w:val="000000" w:themeColor="text1"/>
                <w:sz w:val="24"/>
                <w:szCs w:val="24"/>
                <w:lang w:eastAsia="zh-CN"/>
                <w14:textFill>
                  <w14:solidFill>
                    <w14:schemeClr w14:val="tx1"/>
                  </w14:solidFill>
                </w14:textFill>
              </w:rPr>
              <w:t xml:space="preserve">由上表可知，正常工况下，项目厂界噪声满足《工业企业厂界环境噪声排放标准》(GB12348.2008) </w:t>
            </w:r>
            <w:bookmarkStart w:id="8" w:name="PO_3"/>
            <w:r>
              <w:rPr>
                <w:rFonts w:ascii="Times New Roman" w:hAnsi="Times New Roman" w:cs="Times New Roman" w:eastAsiaTheme="minorEastAsia"/>
                <w:color w:val="000000" w:themeColor="text1"/>
                <w:sz w:val="24"/>
                <w:szCs w:val="24"/>
                <w:lang w:eastAsia="zh-CN"/>
                <w14:textFill>
                  <w14:solidFill>
                    <w14:schemeClr w14:val="tx1"/>
                  </w14:solidFill>
                </w14:textFill>
              </w:rPr>
              <w:t>3</w:t>
            </w:r>
            <w:bookmarkEnd w:id="8"/>
            <w:r>
              <w:rPr>
                <w:rFonts w:ascii="Times New Roman" w:hAnsi="Times New Roman" w:cs="Times New Roman" w:eastAsiaTheme="minorEastAsia"/>
                <w:color w:val="000000" w:themeColor="text1"/>
                <w:sz w:val="24"/>
                <w:szCs w:val="24"/>
                <w:lang w:eastAsia="zh-CN"/>
                <w14:textFill>
                  <w14:solidFill>
                    <w14:schemeClr w14:val="tx1"/>
                  </w14:solidFill>
                </w14:textFill>
              </w:rPr>
              <w:t>类标准。</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3.</w:t>
            </w:r>
            <w:r>
              <w:rPr>
                <w:rFonts w:hint="eastAsia" w:cs="Times New Roman"/>
                <w:b/>
                <w:bCs w:val="0"/>
                <w:color w:val="000000" w:themeColor="text1"/>
                <w:spacing w:val="0"/>
                <w:sz w:val="24"/>
                <w:szCs w:val="24"/>
                <w:highlight w:val="none"/>
                <w:lang w:val="en-US" w:eastAsia="zh-CN"/>
                <w14:textFill>
                  <w14:solidFill>
                    <w14:schemeClr w14:val="tx1"/>
                  </w14:solidFill>
                </w14:textFill>
              </w:rPr>
              <w:t>6</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降噪措施</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本项目运营期采取如下降噪措施。</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（1）选用低噪声设备，厂房采取隔声、降噪措施，振动较大的设备采取独立基础，设置减振器等措施；</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（2）合理布局，加强厂区绿化，减少噪声对周边环境的影响。</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严格落实环保措施后，本项目厂界噪声满足《工业企业厂界环境噪声排放标准》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（GB12348-2008）3类</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标准要求。</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本项目产生的噪声经隔声及距离衰减后可达标排放，对周围声环境影响较小。</w:t>
            </w:r>
          </w:p>
          <w:p>
            <w:pPr>
              <w:pStyle w:val="19"/>
              <w:keepNext w:val="0"/>
              <w:keepLines w:val="0"/>
              <w:pageBreakBefore w:val="0"/>
              <w:widowControl w:val="0"/>
              <w:kinsoku/>
              <w:wordWrap/>
              <w:overflowPunct/>
              <w:topLinePunct w:val="0"/>
              <w:autoSpaceDE/>
              <w:autoSpaceDN/>
              <w:bidi w:val="0"/>
              <w:adjustRightInd/>
              <w:snapToGrid/>
              <w:spacing w:after="0" w:line="360" w:lineRule="auto"/>
              <w:ind w:right="0"/>
              <w:jc w:val="both"/>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3.</w:t>
            </w:r>
            <w:r>
              <w:rPr>
                <w:rFonts w:hint="eastAsia" w:cs="Times New Roman"/>
                <w:b/>
                <w:bCs/>
                <w:color w:val="000000" w:themeColor="text1"/>
                <w:sz w:val="24"/>
                <w:szCs w:val="24"/>
                <w:highlight w:val="none"/>
                <w:lang w:val="en-US" w:eastAsia="zh-CN"/>
                <w14:textFill>
                  <w14:solidFill>
                    <w14:schemeClr w14:val="tx1"/>
                  </w14:solidFill>
                </w14:textFill>
              </w:rPr>
              <w:t>7</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噪声监测计划</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根据《排污单位自行监测技术指南 总则》（HJ819-2017），确定本项目噪声污染源监测计划，详细情况见下表。</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表4-</w:t>
            </w:r>
            <w:r>
              <w:rPr>
                <w:rFonts w:hint="eastAsia" w:cs="Times New Roman"/>
                <w:b/>
                <w:bCs/>
                <w:color w:val="000000" w:themeColor="text1"/>
                <w:sz w:val="21"/>
                <w:szCs w:val="21"/>
                <w:highlight w:val="none"/>
                <w:lang w:val="en-US" w:eastAsia="zh-CN"/>
                <w14:textFill>
                  <w14:solidFill>
                    <w14:schemeClr w14:val="tx1"/>
                  </w14:solidFill>
                </w14:textFill>
              </w:rPr>
              <w:t xml:space="preserve">11  </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噪声监测计划</w:t>
            </w:r>
          </w:p>
          <w:tbl>
            <w:tblPr>
              <w:tblStyle w:val="24"/>
              <w:tblW w:w="8297" w:type="dxa"/>
              <w:tblInd w:w="-5" w:type="dxa"/>
              <w:tblBorders>
                <w:top w:val="single" w:color="auto" w:sz="4" w:space="0"/>
                <w:left w:val="single" w:color="auto" w:sz="4" w:space="0"/>
                <w:bottom w:val="single" w:color="auto" w:sz="4" w:space="0"/>
                <w:right w:val="single" w:color="auto" w:sz="4" w:space="0"/>
                <w:insideH w:val="single" w:color="auto" w:sz="12" w:space="0"/>
                <w:insideV w:val="single" w:color="auto" w:sz="4" w:space="0"/>
              </w:tblBorders>
              <w:tblLayout w:type="fixed"/>
              <w:tblCellMar>
                <w:top w:w="0" w:type="dxa"/>
                <w:left w:w="108" w:type="dxa"/>
                <w:bottom w:w="0" w:type="dxa"/>
                <w:right w:w="108" w:type="dxa"/>
              </w:tblCellMar>
            </w:tblPr>
            <w:tblGrid>
              <w:gridCol w:w="1506"/>
              <w:gridCol w:w="1865"/>
              <w:gridCol w:w="1167"/>
              <w:gridCol w:w="3759"/>
            </w:tblGrid>
            <w:tr>
              <w:tblPrEx>
                <w:tblBorders>
                  <w:top w:val="single" w:color="auto" w:sz="4" w:space="0"/>
                  <w:left w:val="single" w:color="auto" w:sz="4" w:space="0"/>
                  <w:bottom w:val="single" w:color="auto" w:sz="4" w:space="0"/>
                  <w:right w:val="single" w:color="auto" w:sz="4" w:space="0"/>
                  <w:insideH w:val="single" w:color="auto" w:sz="12" w:space="0"/>
                  <w:insideV w:val="single" w:color="auto" w:sz="4" w:space="0"/>
                </w:tblBorders>
                <w:tblCellMar>
                  <w:top w:w="0" w:type="dxa"/>
                  <w:left w:w="108" w:type="dxa"/>
                  <w:bottom w:w="0" w:type="dxa"/>
                  <w:right w:w="108" w:type="dxa"/>
                </w:tblCellMar>
              </w:tblPrEx>
              <w:trPr>
                <w:trHeight w:val="595" w:hRule="atLeast"/>
              </w:trPr>
              <w:tc>
                <w:tcPr>
                  <w:tcW w:w="1506" w:type="dxa"/>
                  <w:tcBorders>
                    <w:bottom w:val="single" w:color="auto" w:sz="4" w:space="0"/>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监测点位</w:t>
                  </w:r>
                </w:p>
              </w:tc>
              <w:tc>
                <w:tcPr>
                  <w:tcW w:w="1865" w:type="dxa"/>
                  <w:tcBorders>
                    <w:bottom w:val="single" w:color="auto" w:sz="4" w:space="0"/>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监测指标</w:t>
                  </w:r>
                </w:p>
              </w:tc>
              <w:tc>
                <w:tcPr>
                  <w:tcW w:w="1167" w:type="dxa"/>
                  <w:tcBorders>
                    <w:bottom w:val="single" w:color="auto" w:sz="4" w:space="0"/>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监测频次</w:t>
                  </w:r>
                </w:p>
              </w:tc>
              <w:tc>
                <w:tcPr>
                  <w:tcW w:w="3759" w:type="dxa"/>
                  <w:tcBorders>
                    <w:bottom w:val="single" w:color="auto" w:sz="4" w:space="0"/>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12" w:space="0"/>
                  <w:insideV w:val="single" w:color="auto" w:sz="4" w:space="0"/>
                </w:tblBorders>
                <w:tblCellMar>
                  <w:top w:w="0" w:type="dxa"/>
                  <w:left w:w="108" w:type="dxa"/>
                  <w:bottom w:w="0" w:type="dxa"/>
                  <w:right w:w="108" w:type="dxa"/>
                </w:tblCellMar>
              </w:tblPrEx>
              <w:trPr>
                <w:trHeight w:val="772" w:hRule="atLeast"/>
              </w:trPr>
              <w:tc>
                <w:tcPr>
                  <w:tcW w:w="1506" w:type="dxa"/>
                  <w:tcBorders>
                    <w:top w:val="single" w:color="auto" w:sz="4" w:space="0"/>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厂界外1米处</w:t>
                  </w:r>
                </w:p>
              </w:tc>
              <w:tc>
                <w:tcPr>
                  <w:tcW w:w="1865" w:type="dxa"/>
                  <w:tcBorders>
                    <w:top w:val="single" w:color="auto" w:sz="4" w:space="0"/>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等效连续A声级</w:t>
                  </w:r>
                </w:p>
              </w:tc>
              <w:tc>
                <w:tcPr>
                  <w:tcW w:w="1167" w:type="dxa"/>
                  <w:tcBorders>
                    <w:top w:val="single" w:color="auto" w:sz="4" w:space="0"/>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1次/</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季度</w:t>
                  </w:r>
                </w:p>
              </w:tc>
              <w:tc>
                <w:tcPr>
                  <w:tcW w:w="3759" w:type="dxa"/>
                  <w:tcBorders>
                    <w:top w:val="single" w:color="auto" w:sz="4" w:space="0"/>
                  </w:tcBorders>
                  <w:vAlign w:val="center"/>
                </w:tcPr>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《工业企业厂界环境噪声排放标准》（</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GB12348-2008）中</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类标准要求</w:t>
                  </w:r>
                </w:p>
              </w:tc>
            </w:tr>
          </w:tbl>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jc w:val="left"/>
              <w:textAlignment w:val="auto"/>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4</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固体废物</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jc w:val="left"/>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4.1一般固废</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（1）生活垃圾</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本项目员工人数为200人，生活垃圾产生量按1.0kg/d·人计，则产生量为0.2t/d(60t/a)</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统一交由环卫部门处置。</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eastAsia" w:cs="Times New Roman"/>
                <w:color w:val="000000" w:themeColor="text1"/>
                <w:sz w:val="24"/>
                <w:highlight w:val="none"/>
                <w:lang w:val="en-US" w:eastAsia="zh-CN"/>
                <w14:textFill>
                  <w14:solidFill>
                    <w14:schemeClr w14:val="tx1"/>
                  </w14:solidFill>
                </w14:textFill>
              </w:rPr>
              <w:t>除尘器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收集粉尘</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w:t>
            </w:r>
            <w:r>
              <w:rPr>
                <w:rFonts w:hint="eastAsia" w:cs="Times New Roman"/>
                <w:color w:val="000000" w:themeColor="text1"/>
                <w:sz w:val="24"/>
                <w:highlight w:val="none"/>
                <w:lang w:val="en-US" w:eastAsia="zh-CN"/>
                <w14:textFill>
                  <w14:solidFill>
                    <w14:schemeClr w14:val="tx1"/>
                  </w14:solidFill>
                </w14:textFill>
              </w:rPr>
              <w:t>除尘器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收集粉尘量约</w:t>
            </w:r>
            <w:r>
              <w:rPr>
                <w:rFonts w:hint="eastAsia" w:cs="Times New Roman"/>
                <w:color w:val="000000" w:themeColor="text1"/>
                <w:sz w:val="24"/>
                <w:highlight w:val="none"/>
                <w:lang w:val="en-US" w:eastAsia="zh-CN"/>
                <w14:textFill>
                  <w14:solidFill>
                    <w14:schemeClr w14:val="tx1"/>
                  </w14:solidFill>
                </w14:textFill>
              </w:rPr>
              <w:t>48.061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w:t>
            </w:r>
            <w:r>
              <w:rPr>
                <w:rFonts w:hint="eastAsia" w:cs="Times New Roman"/>
                <w:color w:val="000000" w:themeColor="text1"/>
                <w:sz w:val="24"/>
                <w:highlight w:val="none"/>
                <w:lang w:val="en-US" w:eastAsia="zh-CN"/>
                <w14:textFill>
                  <w14:solidFill>
                    <w14:schemeClr w14:val="tx1"/>
                  </w14:solidFill>
                </w14:textFill>
              </w:rPr>
              <w:t>分类</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回收后综合利用或交由环卫部门处置。</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边角废料</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项目在生产过程中切割产生边角</w:t>
            </w:r>
            <w:r>
              <w:rPr>
                <w:rFonts w:hint="eastAsia" w:cs="Times New Roman"/>
                <w:color w:val="000000" w:themeColor="text1"/>
                <w:sz w:val="24"/>
                <w:highlight w:val="none"/>
                <w:lang w:val="en-US" w:eastAsia="zh-CN"/>
                <w14:textFill>
                  <w14:solidFill>
                    <w14:schemeClr w14:val="tx1"/>
                  </w14:solidFill>
                </w14:textFill>
              </w:rPr>
              <w:t>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料，根据建设单位生产经验边角废料年产生量约2t/a</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回收后外售综合利用。</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包装废料</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bookmarkStart w:id="9" w:name="bookmark21"/>
            <w:bookmarkEnd w:id="9"/>
            <w:bookmarkStart w:id="10" w:name="bookmark20"/>
            <w:bookmarkEnd w:id="10"/>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项目在生产过程中产生包装废料，根据建设单位生产经验包装废料年产生量约1t/a</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分类回收后综合利用或交由环卫部门处置。</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（5）废钢丸</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项目在喷砂过程会产生废钢丸，根据建设单位生产经验，约4个月更换一次钢丸，钢丸一次用量为0.5t，则废钢丸产生量为1.5t/a，回收后外售综合利用。</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（6）废焊料焊渣</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本项目焊接工艺为二氧化碳气体保护焊或者氩弧焊。焊丝年耗量10吨，焊渣按焊条量的5%计算，则废焊料焊渣为0.5t/a。回收后外售综合利用。</w:t>
            </w:r>
          </w:p>
          <w:p>
            <w:pPr>
              <w:pStyle w:val="41"/>
              <w:keepNext w:val="0"/>
              <w:keepLines w:val="0"/>
              <w:pageBreakBefore w:val="0"/>
              <w:widowControl w:val="0"/>
              <w:numPr>
                <w:ilvl w:val="0"/>
                <w:numId w:val="2"/>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移动式焊接烟尘净化器产生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的</w:t>
            </w:r>
            <w:r>
              <w:rPr>
                <w:rFonts w:hint="eastAsia" w:cs="Times New Roman"/>
                <w:color w:val="000000" w:themeColor="text1"/>
                <w:sz w:val="24"/>
                <w:highlight w:val="none"/>
                <w:lang w:val="en-US" w:eastAsia="zh-CN"/>
                <w14:textFill>
                  <w14:solidFill>
                    <w14:schemeClr w14:val="tx1"/>
                  </w14:solidFill>
                </w14:textFill>
              </w:rPr>
              <w:t>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滤芯</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移动式焊接烟尘净化器使用滤芯除尘，根据厂家提供资料，移动式焊接烟尘净化器中的滤芯半年更换一次，一次更换量0.5t，则废滤芯量为1t/a。回收后综合利用或交由环卫部门处置。</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（8）滤筒除尘器废滤筒</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根据建设单位生产经验</w:t>
            </w:r>
            <w:r>
              <w:rPr>
                <w:rFonts w:hint="eastAsia" w:cs="Times New Roman"/>
                <w:color w:val="000000" w:themeColor="text1"/>
                <w:sz w:val="24"/>
                <w:highlight w:val="none"/>
                <w:lang w:val="en-US" w:eastAsia="zh-CN"/>
                <w14:textFill>
                  <w14:solidFill>
                    <w14:schemeClr w14:val="tx1"/>
                  </w14:solidFill>
                </w14:textFill>
              </w:rPr>
              <w:t>，滤筒除尘器废滤筒约一年更换一次，一次更换量0.1t，则废滤筒量为0.1t/a。回收后综合利用或交由环卫部门处置。</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jc w:val="left"/>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4.2</w:t>
            </w:r>
            <w:r>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危险废物</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喷漆</w:t>
            </w:r>
            <w:r>
              <w:rPr>
                <w:rFonts w:hint="eastAsia" w:cs="Times New Roman"/>
                <w:color w:val="000000" w:themeColor="text1"/>
                <w:sz w:val="24"/>
                <w:highlight w:val="none"/>
                <w:lang w:val="en-US" w:eastAsia="zh-CN"/>
                <w14:textFill>
                  <w14:solidFill>
                    <w14:schemeClr w14:val="tx1"/>
                  </w14:solidFill>
                </w14:textFill>
              </w:rPr>
              <w:t>、丝印</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过程产生的废漆、废漆桶</w:t>
            </w:r>
            <w:r>
              <w:rPr>
                <w:rFonts w:hint="eastAsia" w:cs="Times New Roman"/>
                <w:color w:val="000000" w:themeColor="text1"/>
                <w:sz w:val="24"/>
                <w:highlight w:val="none"/>
                <w:lang w:val="en-US" w:eastAsia="zh-CN"/>
                <w14:textFill>
                  <w14:solidFill>
                    <w14:schemeClr w14:val="tx1"/>
                  </w14:solidFill>
                </w14:textFill>
              </w:rPr>
              <w:t>、废油墨桶</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根据原辅料使用量及包装规格，本项目喷漆</w:t>
            </w:r>
            <w:r>
              <w:rPr>
                <w:rFonts w:hint="eastAsia" w:cs="Times New Roman"/>
                <w:color w:val="000000" w:themeColor="text1"/>
                <w:sz w:val="24"/>
                <w:highlight w:val="none"/>
                <w:lang w:val="en-US" w:eastAsia="zh-CN"/>
                <w14:textFill>
                  <w14:solidFill>
                    <w14:schemeClr w14:val="tx1"/>
                  </w14:solidFill>
                </w14:textFill>
              </w:rPr>
              <w:t>、丝印</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过程产生的废漆、废漆桶</w:t>
            </w:r>
            <w:r>
              <w:rPr>
                <w:rFonts w:hint="eastAsia" w:cs="Times New Roman"/>
                <w:color w:val="000000" w:themeColor="text1"/>
                <w:sz w:val="24"/>
                <w:highlight w:val="none"/>
                <w:lang w:val="en-US" w:eastAsia="zh-CN"/>
                <w14:textFill>
                  <w14:solidFill>
                    <w14:schemeClr w14:val="tx1"/>
                  </w14:solidFill>
                </w14:textFill>
              </w:rPr>
              <w:t>、废油墨桶</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产生量约0.</w:t>
            </w:r>
            <w:r>
              <w:rPr>
                <w:rFonts w:hint="eastAsia" w:cs="Times New Roman"/>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t/a，按《国家危险废物名录》(2021版)</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属危险废物HW49其他废物(含有或沾染毒性、感染性危险废物的废弃包装物容器、过滤吸附介质)，废物代码为900-041-49(危</w:t>
            </w:r>
            <w:bookmarkStart w:id="11" w:name="bookmark19"/>
            <w:bookmarkEnd w:id="11"/>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险特性T/In)。经收集后暂存于危险废物暂存间，最终交由具有相应资质类别的危险废物处置单位处置。</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（2）废DPA纸箱</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根据建设单位提供资料，</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漆雾产生量为</w:t>
            </w:r>
            <w:r>
              <w:rPr>
                <w:rFonts w:hint="eastAsia" w:cs="Times New Roman"/>
                <w:color w:val="000000" w:themeColor="text1"/>
                <w:sz w:val="24"/>
                <w:szCs w:val="24"/>
                <w:highlight w:val="none"/>
                <w:lang w:val="en-US" w:eastAsia="zh-CN"/>
                <w14:textFill>
                  <w14:solidFill>
                    <w14:schemeClr w14:val="tx1"/>
                  </w14:solidFill>
                </w14:textFill>
              </w:rPr>
              <w:t>5.75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color w:val="000000" w:themeColor="text1"/>
                <w:sz w:val="24"/>
                <w:szCs w:val="24"/>
                <w:highlight w:val="none"/>
                <w14:textFill>
                  <w14:solidFill>
                    <w14:schemeClr w14:val="tx1"/>
                  </w14:solidFill>
                </w14:textFill>
              </w:rPr>
              <w:t>DPA纸箱过滤器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漆雾收集量为</w:t>
            </w:r>
            <w:r>
              <w:rPr>
                <w:rFonts w:hint="eastAsia" w:cs="Times New Roman"/>
                <w:color w:val="000000" w:themeColor="text1"/>
                <w:sz w:val="24"/>
                <w:szCs w:val="24"/>
                <w:highlight w:val="none"/>
                <w:lang w:val="en-US" w:eastAsia="zh-CN"/>
                <w14:textFill>
                  <w14:solidFill>
                    <w14:schemeClr w14:val="tx1"/>
                  </w14:solidFill>
                </w14:textFill>
              </w:rPr>
              <w:t>4.61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废DPA纸箱1个月更换一次，DPA纸箱一次的量约为0.</w:t>
            </w:r>
            <w:r>
              <w:rPr>
                <w:rFonts w:hint="eastAsia" w:cs="Times New Roman"/>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t，则废DPA纸箱年产生量为：</w:t>
            </w:r>
            <w:r>
              <w:rPr>
                <w:rFonts w:hint="eastAsia" w:cs="Times New Roman"/>
                <w:color w:val="000000" w:themeColor="text1"/>
                <w:sz w:val="24"/>
                <w:highlight w:val="none"/>
                <w:lang w:val="en-US" w:eastAsia="zh-CN"/>
                <w14:textFill>
                  <w14:solidFill>
                    <w14:schemeClr w14:val="tx1"/>
                  </w14:solidFill>
                </w14:textFill>
              </w:rPr>
              <w:t>5.81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t/a。按《国家危险废物名录》(2021版)</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属危险废物HW49其他废物(含有或沾染毒性、感染性危险废物的废弃包装物容器、过滤吸附介质)，废物代码为900-041-49</w:t>
            </w:r>
            <w:r>
              <w:rPr>
                <w:rFonts w:hint="eastAsia" w:cs="Times New Roman"/>
                <w:color w:val="000000" w:themeColor="text1"/>
                <w:sz w:val="24"/>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(危险特性T/In)。经收集后暂存于危险废物暂存间，最终交由具有相应资质类别的危险废物处置单位处置。</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（3）废空压机油、废机油</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项目设备使用、维修过程中更换少量的废空压油和机油，年用量为1t/a</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根据业主提供资料及同类型行业参考可知，废油产生量为年用量的5%-10%</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本环评以最大量10%计，则废空压机和</w:t>
            </w:r>
            <w:r>
              <w:rPr>
                <w:rFonts w:hint="eastAsia" w:cs="Times New Roman"/>
                <w:color w:val="000000" w:themeColor="text1"/>
                <w:sz w:val="24"/>
                <w:highlight w:val="none"/>
                <w:lang w:val="en-US" w:eastAsia="zh-CN"/>
                <w14:textFill>
                  <w14:solidFill>
                    <w14:schemeClr w14:val="tx1"/>
                  </w14:solidFill>
                </w14:textFill>
              </w:rPr>
              <w:t>废空压机油、废机油</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产生量约为0.1t/a</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对照《国家危险废物名录》(2021版)</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属危险废物HW08废矿物油与含矿物油废物，废物代码为900-214-08(危险特性T</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I)。经收集后暂存于危险废物暂存间，最终交由具有相应资质类别的危险废物处置单位处置。</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（4）废活性炭</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废活性炭属于《国家危险废物名录(2021版)》中HW49其他废物(900-039-49)烟气、</w:t>
            </w:r>
            <w:r>
              <w:rPr>
                <w:rFonts w:hint="eastAsia" w:cs="Times New Roman"/>
                <w:color w:val="000000" w:themeColor="text1"/>
                <w:sz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治理过程(不包括餐饮行业油烟治理过程)产生的废活性炭(危险特性T/In)。</w:t>
            </w:r>
            <w:r>
              <w:rPr>
                <w:rFonts w:hint="eastAsia" w:cs="Times New Roman"/>
                <w:color w:val="000000" w:themeColor="text1"/>
                <w:sz w:val="24"/>
                <w:highlight w:val="none"/>
                <w:lang w:val="en-US" w:eastAsia="zh-CN"/>
                <w14:textFill>
                  <w14:solidFill>
                    <w14:schemeClr w14:val="tx1"/>
                  </w14:solidFill>
                </w14:textFill>
              </w:rPr>
              <w:t>本项目使用</w:t>
            </w:r>
            <w:r>
              <w:rPr>
                <w:rFonts w:hint="eastAsia" w:ascii="宋体" w:hAnsi="宋体" w:eastAsia="宋体" w:cs="宋体"/>
                <w:bCs/>
                <w:color w:val="000000" w:themeColor="text1"/>
                <w:spacing w:val="0"/>
                <w:sz w:val="24"/>
                <w:szCs w:val="24"/>
                <w:highlight w:val="none"/>
                <w:lang w:val="en-US" w:eastAsia="zh-CN"/>
                <w14:textFill>
                  <w14:solidFill>
                    <w14:schemeClr w14:val="tx1"/>
                  </w14:solidFill>
                </w14:textFill>
              </w:rPr>
              <w:t>活性炭吸附</w:t>
            </w:r>
            <w:r>
              <w:rPr>
                <w:rFonts w:hint="default" w:ascii="宋体" w:hAnsi="宋体" w:eastAsia="宋体" w:cs="宋体"/>
                <w:bCs/>
                <w:color w:val="000000" w:themeColor="text1"/>
                <w:spacing w:val="0"/>
                <w:sz w:val="24"/>
                <w:szCs w:val="24"/>
                <w:highlight w:val="none"/>
                <w:lang w:val="en-US" w:eastAsia="zh-CN"/>
                <w14:textFill>
                  <w14:solidFill>
                    <w14:schemeClr w14:val="tx1"/>
                  </w14:solidFill>
                </w14:textFill>
              </w:rPr>
              <w:t>+</w:t>
            </w:r>
            <w:r>
              <w:rPr>
                <w:rFonts w:hint="eastAsia" w:ascii="宋体" w:hAnsi="宋体" w:eastAsia="宋体" w:cs="宋体"/>
                <w:bCs/>
                <w:color w:val="000000" w:themeColor="text1"/>
                <w:spacing w:val="0"/>
                <w:sz w:val="24"/>
                <w:szCs w:val="24"/>
                <w:highlight w:val="none"/>
                <w:lang w:val="en-US" w:eastAsia="zh-CN"/>
                <w14:textFill>
                  <w14:solidFill>
                    <w14:schemeClr w14:val="tx1"/>
                  </w14:solidFill>
                </w14:textFill>
              </w:rPr>
              <w:t>脱附</w:t>
            </w:r>
            <w:r>
              <w:rPr>
                <w:rFonts w:hint="default" w:ascii="宋体" w:hAnsi="宋体" w:eastAsia="宋体" w:cs="宋体"/>
                <w:bCs/>
                <w:color w:val="000000" w:themeColor="text1"/>
                <w:spacing w:val="0"/>
                <w:sz w:val="24"/>
                <w:szCs w:val="24"/>
                <w:highlight w:val="none"/>
                <w:lang w:val="en-US" w:eastAsia="zh-CN"/>
                <w14:textFill>
                  <w14:solidFill>
                    <w14:schemeClr w14:val="tx1"/>
                  </w14:solidFill>
                </w14:textFill>
              </w:rPr>
              <w:t>+</w:t>
            </w:r>
            <w:r>
              <w:rPr>
                <w:rFonts w:hint="eastAsia" w:ascii="宋体" w:hAnsi="宋体" w:eastAsia="宋体" w:cs="宋体"/>
                <w:bCs/>
                <w:color w:val="000000" w:themeColor="text1"/>
                <w:spacing w:val="0"/>
                <w:sz w:val="24"/>
                <w:szCs w:val="24"/>
                <w:highlight w:val="none"/>
                <w:lang w:val="en-US" w:eastAsia="zh-CN"/>
                <w14:textFill>
                  <w14:solidFill>
                    <w14:schemeClr w14:val="tx1"/>
                  </w14:solidFill>
                </w14:textFill>
              </w:rPr>
              <w:t>催化燃烧处</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理设备</w:t>
            </w:r>
            <w:r>
              <w:rPr>
                <w:rFonts w:hint="eastAsia" w:cs="Times New Roman"/>
                <w:color w:val="000000" w:themeColor="text1"/>
                <w:sz w:val="24"/>
                <w:highlight w:val="none"/>
                <w:lang w:val="en-US" w:eastAsia="zh-CN"/>
                <w14:textFill>
                  <w14:solidFill>
                    <w14:schemeClr w14:val="tx1"/>
                  </w14:solidFill>
                </w14:textFill>
              </w:rPr>
              <w:t>，根</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据建设单位提供资料，活性炭用量约为2t。活性炭更换周期约为12个月，参考《李守信，陈青松，罗鑫，等.吸附法处理</w:t>
            </w:r>
            <w:r>
              <w:rPr>
                <w:rFonts w:hint="eastAsia" w:cs="Times New Roman"/>
                <w:color w:val="000000" w:themeColor="text1"/>
                <w:sz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脱附温度的选择[J].中国环保产业，2018，(3)：48-50》活性炭脱附效率取97.7%，吸附</w:t>
            </w:r>
            <w:r>
              <w:rPr>
                <w:rFonts w:hint="eastAsia" w:cs="Times New Roman"/>
                <w:color w:val="000000" w:themeColor="text1"/>
                <w:sz w:val="24"/>
                <w:highlight w:val="none"/>
                <w:lang w:val="en-US" w:eastAsia="zh-CN"/>
                <w14:textFill>
                  <w14:solidFill>
                    <w14:schemeClr w14:val="tx1"/>
                  </w14:solidFill>
                </w14:textFill>
              </w:rPr>
              <w:t>处理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有机废气共计</w:t>
            </w:r>
            <w:r>
              <w:rPr>
                <w:rFonts w:hint="eastAsia" w:cs="Times New Roman"/>
                <w:color w:val="000000" w:themeColor="text1"/>
                <w:sz w:val="24"/>
                <w:highlight w:val="none"/>
                <w:lang w:val="en-US" w:eastAsia="zh-CN"/>
                <w14:textFill>
                  <w14:solidFill>
                    <w14:schemeClr w14:val="tx1"/>
                  </w14:solidFill>
                </w14:textFill>
              </w:rPr>
              <w:t>3.2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t/a，则活性炭中遗留的</w:t>
            </w:r>
            <w:r>
              <w:rPr>
                <w:rFonts w:hint="eastAsia" w:cs="Times New Roman"/>
                <w:color w:val="000000" w:themeColor="text1"/>
                <w:sz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量为0.</w:t>
            </w:r>
            <w:r>
              <w:rPr>
                <w:rFonts w:hint="eastAsia" w:cs="Times New Roman"/>
                <w:color w:val="000000" w:themeColor="text1"/>
                <w:sz w:val="24"/>
                <w:highlight w:val="none"/>
                <w:lang w:val="en-US" w:eastAsia="zh-CN"/>
                <w14:textFill>
                  <w14:solidFill>
                    <w14:schemeClr w14:val="tx1"/>
                  </w14:solidFill>
                </w14:textFill>
              </w:rPr>
              <w:t>31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t/a。1年更换一次活性炭产生的废活性炭+遗留的</w:t>
            </w:r>
            <w:r>
              <w:rPr>
                <w:rFonts w:hint="eastAsia" w:cs="Times New Roman"/>
                <w:color w:val="000000" w:themeColor="text1"/>
                <w:sz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量=2+0.</w:t>
            </w:r>
            <w:r>
              <w:rPr>
                <w:rFonts w:hint="eastAsia" w:cs="Times New Roman"/>
                <w:color w:val="000000" w:themeColor="text1"/>
                <w:sz w:val="24"/>
                <w:highlight w:val="none"/>
                <w:lang w:val="en-US" w:eastAsia="zh-CN"/>
                <w14:textFill>
                  <w14:solidFill>
                    <w14:schemeClr w14:val="tx1"/>
                  </w14:solidFill>
                </w14:textFill>
              </w:rPr>
              <w:t>31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2.31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t，则产生废活性炭量（含遗留的</w:t>
            </w:r>
            <w:r>
              <w:rPr>
                <w:rFonts w:hint="eastAsia" w:cs="Times New Roman"/>
                <w:color w:val="000000" w:themeColor="text1"/>
                <w:sz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）为</w:t>
            </w:r>
            <w:r>
              <w:rPr>
                <w:rFonts w:hint="eastAsia" w:cs="Times New Roman"/>
                <w:color w:val="000000" w:themeColor="text1"/>
                <w:sz w:val="24"/>
                <w:highlight w:val="none"/>
                <w:lang w:val="en-US" w:eastAsia="zh-CN"/>
                <w14:textFill>
                  <w14:solidFill>
                    <w14:schemeClr w14:val="tx1"/>
                  </w14:solidFill>
                </w14:textFill>
              </w:rPr>
              <w:t>2.31t/a。</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经收集后暂存于危险废物暂存间，最终交由具有相应资质类别的危险废物处置单位处置。</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（5）废催化剂</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本项目使用活性炭吸附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脱附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催化燃烧处理设备，据建设单位提供资料，</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催化燃烧采用的催化剂为金属铂，重量约为100g，更换时间约为3年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，则废催化剂产生量为0.1kg/3a。经查询《国家危险废物名录》，废催化剂属HW50 类危险废物，名录中有机废气处理产生的废催化剂未明确危废代码，因此，本环评有机废气处理产生的废催化剂套用废汽车尾气净化催化剂的危废代码(900-049-50)，废催化剂</w:t>
            </w:r>
            <w:r>
              <w:rPr>
                <w:rFonts w:hint="eastAsia" w:ascii="Times New Roman" w:hAnsi="Times New Roman" w:cs="Times New Roman"/>
                <w:color w:val="000000" w:themeColor="text1"/>
                <w:sz w:val="24"/>
                <w:highlight w:val="none"/>
                <w:lang w:val="en-US" w:eastAsia="zh-CN"/>
                <w14:textFill>
                  <w14:solidFill>
                    <w14:schemeClr w14:val="tx1"/>
                  </w14:solidFill>
                </w14:textFill>
              </w:rPr>
              <w:t>由厂家回收处置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default"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（6）废油墨</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本项目壳体丝印过程中会产生一定量的废油墨，产生量约为0.001t/a。对照《国家危险废物名录》(2021年版)，该部分固体废物属于危险废物，危废类别 HW12 染料、涂料废物(900-299-12)，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经收集后暂存于危险废物暂存间，最终交由具有相应资质类别的危险废物处置单位处置。</w:t>
            </w:r>
          </w:p>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本项目固体废物产排情况具体见下表。</w:t>
            </w:r>
          </w:p>
          <w:p>
            <w:pPr>
              <w:pStyle w:val="4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表4-</w:t>
            </w:r>
            <w:r>
              <w:rPr>
                <w:rFonts w:hint="eastAsia" w:cs="Times New Roman"/>
                <w:b/>
                <w:bCs/>
                <w:color w:val="000000" w:themeColor="text1"/>
                <w:sz w:val="21"/>
                <w:szCs w:val="21"/>
                <w:highlight w:val="none"/>
                <w:lang w:val="en-US" w:eastAsia="zh-CN"/>
                <w14:textFill>
                  <w14:solidFill>
                    <w14:schemeClr w14:val="tx1"/>
                  </w14:solidFill>
                </w14:textFill>
              </w:rPr>
              <w:t>12</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项目固体废物产生与处置情况</w:t>
            </w:r>
          </w:p>
          <w:tbl>
            <w:tblPr>
              <w:tblStyle w:val="25"/>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664"/>
              <w:gridCol w:w="448"/>
              <w:gridCol w:w="584"/>
              <w:gridCol w:w="553"/>
              <w:gridCol w:w="996"/>
              <w:gridCol w:w="1067"/>
              <w:gridCol w:w="746"/>
              <w:gridCol w:w="850"/>
              <w:gridCol w:w="953"/>
              <w:gridCol w:w="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产生环节</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名称</w:t>
                  </w:r>
                </w:p>
              </w:tc>
              <w:tc>
                <w:tcPr>
                  <w:tcW w:w="1032" w:type="dxa"/>
                  <w:gridSpan w:val="2"/>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属性</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物理性状</w:t>
                  </w:r>
                </w:p>
              </w:tc>
              <w:tc>
                <w:tcPr>
                  <w:tcW w:w="99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固废代码</w:t>
                  </w:r>
                </w:p>
              </w:tc>
              <w:tc>
                <w:tcPr>
                  <w:tcW w:w="1067"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产生量t/a</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储存</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方式</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利用处置和去向</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利用或处置量t/a</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环境管理要求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color w:val="000000" w:themeColor="text1"/>
                      <w:spacing w:val="0"/>
                      <w:sz w:val="21"/>
                      <w:szCs w:val="21"/>
                      <w:highlight w:val="none"/>
                      <w14:textFill>
                        <w14:solidFill>
                          <w14:schemeClr w14:val="tx1"/>
                        </w14:solidFill>
                      </w14:textFill>
                    </w:rPr>
                  </w:pPr>
                  <w:r>
                    <w:rPr>
                      <w:rFonts w:hint="eastAsia" w:eastAsia="宋体"/>
                      <w:b w:val="0"/>
                      <w:color w:val="000000" w:themeColor="text1"/>
                      <w:spacing w:val="0"/>
                      <w:sz w:val="21"/>
                      <w:szCs w:val="21"/>
                      <w:highlight w:val="none"/>
                      <w14:textFill>
                        <w14:solidFill>
                          <w14:schemeClr w14:val="tx1"/>
                        </w14:solidFill>
                      </w14:textFill>
                    </w:rPr>
                    <w:t>职工</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color w:val="000000" w:themeColor="text1"/>
                      <w:spacing w:val="0"/>
                      <w:sz w:val="21"/>
                      <w:szCs w:val="21"/>
                      <w:highlight w:val="none"/>
                      <w14:textFill>
                        <w14:solidFill>
                          <w14:schemeClr w14:val="tx1"/>
                        </w14:solidFill>
                      </w14:textFill>
                    </w:rPr>
                  </w:pPr>
                  <w:r>
                    <w:rPr>
                      <w:rFonts w:hint="eastAsia" w:eastAsia="宋体"/>
                      <w:b w:val="0"/>
                      <w:color w:val="000000" w:themeColor="text1"/>
                      <w:spacing w:val="0"/>
                      <w:sz w:val="21"/>
                      <w:szCs w:val="21"/>
                      <w:highlight w:val="none"/>
                      <w14:textFill>
                        <w14:solidFill>
                          <w14:schemeClr w14:val="tx1"/>
                        </w14:solidFill>
                      </w14:textFill>
                    </w:rPr>
                    <w:t>生活</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val="0"/>
                      <w:color w:val="000000" w:themeColor="text1"/>
                      <w:spacing w:val="0"/>
                      <w:sz w:val="21"/>
                      <w:szCs w:val="21"/>
                      <w:highlight w:val="none"/>
                      <w14:textFill>
                        <w14:solidFill>
                          <w14:schemeClr w14:val="tx1"/>
                        </w14:solidFill>
                      </w14:textFill>
                    </w:rPr>
                  </w:pPr>
                  <w:r>
                    <w:rPr>
                      <w:rFonts w:hint="eastAsia" w:eastAsia="宋体"/>
                      <w:b w:val="0"/>
                      <w:color w:val="000000" w:themeColor="text1"/>
                      <w:spacing w:val="0"/>
                      <w:sz w:val="21"/>
                      <w:szCs w:val="21"/>
                      <w:highlight w:val="none"/>
                      <w14:textFill>
                        <w14:solidFill>
                          <w14:schemeClr w14:val="tx1"/>
                        </w14:solidFill>
                      </w14:textFill>
                    </w:rPr>
                    <w:t>办公</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color w:val="000000" w:themeColor="text1"/>
                      <w:spacing w:val="0"/>
                      <w:sz w:val="21"/>
                      <w:szCs w:val="21"/>
                      <w:highlight w:val="none"/>
                      <w14:textFill>
                        <w14:solidFill>
                          <w14:schemeClr w14:val="tx1"/>
                        </w14:solidFill>
                      </w14:textFill>
                    </w:rPr>
                  </w:pPr>
                  <w:r>
                    <w:rPr>
                      <w:rFonts w:hint="eastAsia" w:eastAsia="宋体"/>
                      <w:b w:val="0"/>
                      <w:color w:val="000000" w:themeColor="text1"/>
                      <w:spacing w:val="0"/>
                      <w:sz w:val="21"/>
                      <w:szCs w:val="21"/>
                      <w:highlight w:val="none"/>
                      <w14:textFill>
                        <w14:solidFill>
                          <w14:schemeClr w14:val="tx1"/>
                        </w14:solidFill>
                      </w14:textFill>
                    </w:rPr>
                    <w:t>生活</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val="0"/>
                      <w:color w:val="000000" w:themeColor="text1"/>
                      <w:spacing w:val="0"/>
                      <w:sz w:val="21"/>
                      <w:szCs w:val="21"/>
                      <w:highlight w:val="none"/>
                      <w14:textFill>
                        <w14:solidFill>
                          <w14:schemeClr w14:val="tx1"/>
                        </w14:solidFill>
                      </w14:textFill>
                    </w:rPr>
                  </w:pPr>
                  <w:r>
                    <w:rPr>
                      <w:rFonts w:hint="eastAsia" w:eastAsia="宋体"/>
                      <w:b w:val="0"/>
                      <w:color w:val="000000" w:themeColor="text1"/>
                      <w:spacing w:val="0"/>
                      <w:sz w:val="21"/>
                      <w:szCs w:val="21"/>
                      <w:highlight w:val="none"/>
                      <w14:textFill>
                        <w14:solidFill>
                          <w14:schemeClr w14:val="tx1"/>
                        </w14:solidFill>
                      </w14:textFill>
                    </w:rPr>
                    <w:t>垃圾</w:t>
                  </w:r>
                </w:p>
              </w:tc>
              <w:tc>
                <w:tcPr>
                  <w:tcW w:w="1032" w:type="dxa"/>
                  <w:gridSpan w:val="2"/>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一般</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固废</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固体</w:t>
                  </w:r>
                </w:p>
              </w:tc>
              <w:tc>
                <w:tcPr>
                  <w:tcW w:w="99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067"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60</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生活垃圾桶</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由园区环卫部门统一清运处理</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60</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分类收集存放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color w:val="000000" w:themeColor="text1"/>
                      <w:spacing w:val="0"/>
                      <w:sz w:val="21"/>
                      <w:szCs w:val="21"/>
                      <w:highlight w:val="none"/>
                      <w14:textFill>
                        <w14:solidFill>
                          <w14:schemeClr w14:val="tx1"/>
                        </w14:solidFill>
                      </w14:textFill>
                    </w:rPr>
                  </w:pPr>
                  <w:r>
                    <w:rPr>
                      <w:rFonts w:hint="eastAsia" w:eastAsia="宋体"/>
                      <w:b w:val="0"/>
                      <w:color w:val="000000" w:themeColor="text1"/>
                      <w:spacing w:val="0"/>
                      <w:sz w:val="21"/>
                      <w:szCs w:val="21"/>
                      <w:highlight w:val="none"/>
                      <w14:textFill>
                        <w14:solidFill>
                          <w14:schemeClr w14:val="tx1"/>
                        </w14:solidFill>
                      </w14:textFill>
                    </w:rPr>
                    <w:t>除尘</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val="0"/>
                      <w:color w:val="000000" w:themeColor="text1"/>
                      <w:spacing w:val="0"/>
                      <w:sz w:val="21"/>
                      <w:szCs w:val="21"/>
                      <w:highlight w:val="none"/>
                      <w14:textFill>
                        <w14:solidFill>
                          <w14:schemeClr w14:val="tx1"/>
                        </w14:solidFill>
                      </w14:textFill>
                    </w:rPr>
                  </w:pPr>
                  <w:r>
                    <w:rPr>
                      <w:rFonts w:hint="eastAsia" w:eastAsia="宋体"/>
                      <w:b w:val="0"/>
                      <w:color w:val="000000" w:themeColor="text1"/>
                      <w:spacing w:val="0"/>
                      <w:sz w:val="21"/>
                      <w:szCs w:val="21"/>
                      <w:highlight w:val="none"/>
                      <w14:textFill>
                        <w14:solidFill>
                          <w14:schemeClr w14:val="tx1"/>
                        </w14:solidFill>
                      </w14:textFill>
                    </w:rPr>
                    <w:t>器</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val="0"/>
                      <w:color w:val="000000" w:themeColor="text1"/>
                      <w:spacing w:val="0"/>
                      <w:sz w:val="21"/>
                      <w:szCs w:val="21"/>
                      <w:highlight w:val="none"/>
                      <w14:textFill>
                        <w14:solidFill>
                          <w14:schemeClr w14:val="tx1"/>
                        </w14:solidFill>
                      </w14:textFill>
                    </w:rPr>
                  </w:pPr>
                  <w:r>
                    <w:rPr>
                      <w:rFonts w:hint="eastAsia" w:eastAsia="宋体"/>
                      <w:b w:val="0"/>
                      <w:color w:val="000000" w:themeColor="text1"/>
                      <w:spacing w:val="0"/>
                      <w:sz w:val="21"/>
                      <w:szCs w:val="21"/>
                      <w:highlight w:val="none"/>
                      <w14:textFill>
                        <w14:solidFill>
                          <w14:schemeClr w14:val="tx1"/>
                        </w14:solidFill>
                      </w14:textFill>
                    </w:rPr>
                    <w:t>除尘器收尘</w:t>
                  </w:r>
                </w:p>
              </w:tc>
              <w:tc>
                <w:tcPr>
                  <w:tcW w:w="1032" w:type="dxa"/>
                  <w:gridSpan w:val="2"/>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一般</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固废</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固体</w:t>
                  </w:r>
                </w:p>
              </w:tc>
              <w:tc>
                <w:tcPr>
                  <w:tcW w:w="9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067"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48.061</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分类回收后综合利用或交由环卫部门处置</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分类回收后综合利用或交由环卫部门处置</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48.061</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分类回收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切割</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边角废料</w:t>
                  </w:r>
                </w:p>
              </w:tc>
              <w:tc>
                <w:tcPr>
                  <w:tcW w:w="1032" w:type="dxa"/>
                  <w:gridSpan w:val="2"/>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一般</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固废</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固体</w:t>
                  </w:r>
                </w:p>
              </w:tc>
              <w:tc>
                <w:tcPr>
                  <w:tcW w:w="9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eastAsia" w:ascii="Times New Roman" w:hAnsi="Times New Roman" w:eastAsia="宋体" w:cs="Times New Roman"/>
                      <w:b w:val="0"/>
                      <w:color w:val="000000" w:themeColor="text1"/>
                      <w:spacing w:val="0"/>
                      <w:sz w:val="21"/>
                      <w:szCs w:val="21"/>
                      <w:highlight w:val="none"/>
                      <w:lang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067"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2</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收集后</w:t>
                  </w: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外售综合利用</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收集后</w:t>
                  </w: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外售综合利用</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2</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集中收集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包装</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包装废料</w:t>
                  </w:r>
                </w:p>
              </w:tc>
              <w:tc>
                <w:tcPr>
                  <w:tcW w:w="1032" w:type="dxa"/>
                  <w:gridSpan w:val="2"/>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一般</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固废</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固体</w:t>
                  </w:r>
                </w:p>
              </w:tc>
              <w:tc>
                <w:tcPr>
                  <w:tcW w:w="9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067"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分类回收后综合利用或交由环卫部门处置</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分类回收后综合利用或交由环卫部门处置</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分类</w:t>
                  </w: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喷砂</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废钢丸</w:t>
                  </w:r>
                </w:p>
              </w:tc>
              <w:tc>
                <w:tcPr>
                  <w:tcW w:w="1032" w:type="dxa"/>
                  <w:gridSpan w:val="2"/>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一般固废</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固体</w:t>
                  </w:r>
                </w:p>
              </w:tc>
              <w:tc>
                <w:tcPr>
                  <w:tcW w:w="99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067"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1.5</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回收后外售综合利用</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回收后外售综合利用</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1.5t</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集中收集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焊接</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废焊料焊渣</w:t>
                  </w:r>
                </w:p>
              </w:tc>
              <w:tc>
                <w:tcPr>
                  <w:tcW w:w="1032" w:type="dxa"/>
                  <w:gridSpan w:val="2"/>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一般固废</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固体</w:t>
                  </w:r>
                </w:p>
              </w:tc>
              <w:tc>
                <w:tcPr>
                  <w:tcW w:w="99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067"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0.5</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回收后外售综合利用</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回收后外售综合利用</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0.5</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集中收集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移动式焊接烟尘净化器产生的废滤芯</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废滤芯</w:t>
                  </w:r>
                </w:p>
              </w:tc>
              <w:tc>
                <w:tcPr>
                  <w:tcW w:w="1032" w:type="dxa"/>
                  <w:gridSpan w:val="2"/>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一般固废</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固体</w:t>
                  </w:r>
                </w:p>
              </w:tc>
              <w:tc>
                <w:tcPr>
                  <w:tcW w:w="99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w:t>
                  </w:r>
                </w:p>
              </w:tc>
              <w:tc>
                <w:tcPr>
                  <w:tcW w:w="1067"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回收后综合利用或交由环卫部门处置。</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回收后综合利用或交由环卫部门处置。</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集中收集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滤筒除尘器废滤筒</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废滤筒</w:t>
                  </w:r>
                </w:p>
              </w:tc>
              <w:tc>
                <w:tcPr>
                  <w:tcW w:w="1032" w:type="dxa"/>
                  <w:gridSpan w:val="2"/>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一般固废</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固体</w:t>
                  </w:r>
                </w:p>
              </w:tc>
              <w:tc>
                <w:tcPr>
                  <w:tcW w:w="99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067"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0.1</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回收后综合利用或交由环卫部门处置。</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回收后综合利用或交由环卫部门处置。</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0.1</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集中收集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喷漆、丝印</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喷漆、丝印过程产生的废漆、废漆桶、废油墨桶</w:t>
                  </w:r>
                </w:p>
              </w:tc>
              <w:tc>
                <w:tcPr>
                  <w:tcW w:w="44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危险</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废物</w:t>
                  </w:r>
                </w:p>
              </w:tc>
              <w:tc>
                <w:tcPr>
                  <w:tcW w:w="58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T/In</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固体</w:t>
                  </w:r>
                </w:p>
              </w:tc>
              <w:tc>
                <w:tcPr>
                  <w:tcW w:w="99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900-041-49</w:t>
                  </w:r>
                </w:p>
              </w:tc>
              <w:tc>
                <w:tcPr>
                  <w:tcW w:w="1067"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0.5</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移动式危废暂存间</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定期委托有危废处理资质的单位清运处置</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0.5</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电子联单转移制度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喷漆废气处理设施</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废DPA纸箱</w:t>
                  </w:r>
                </w:p>
              </w:tc>
              <w:tc>
                <w:tcPr>
                  <w:tcW w:w="44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危险</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废物</w:t>
                  </w:r>
                </w:p>
              </w:tc>
              <w:tc>
                <w:tcPr>
                  <w:tcW w:w="58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T/In</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固体</w:t>
                  </w:r>
                </w:p>
              </w:tc>
              <w:tc>
                <w:tcPr>
                  <w:tcW w:w="99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900-041-49</w:t>
                  </w:r>
                </w:p>
              </w:tc>
              <w:tc>
                <w:tcPr>
                  <w:tcW w:w="1067"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5.81</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移动式危废暂存间</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定期委托有危废处理资质的单位清运处置</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5.81</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电子联单转移制度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维修</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废空压机油、废机油</w:t>
                  </w:r>
                </w:p>
              </w:tc>
              <w:tc>
                <w:tcPr>
                  <w:tcW w:w="44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危险</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废物</w:t>
                  </w:r>
                </w:p>
              </w:tc>
              <w:tc>
                <w:tcPr>
                  <w:tcW w:w="58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w:t>
                  </w:r>
                  <w:r>
                    <w:rPr>
                      <w:rFonts w:hint="eastAsia" w:cs="Times New Roman"/>
                      <w:b w:val="0"/>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I</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液体</w:t>
                  </w:r>
                </w:p>
              </w:tc>
              <w:tc>
                <w:tcPr>
                  <w:tcW w:w="99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900-214-08</w:t>
                  </w:r>
                </w:p>
              </w:tc>
              <w:tc>
                <w:tcPr>
                  <w:tcW w:w="1067"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0.1</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移动式危废暂存间</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定期委托有危废处理资质的单位清运处置</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0.1</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电子联单转移制度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喷漆废气处理设施</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废活性炭</w:t>
                  </w:r>
                </w:p>
              </w:tc>
              <w:tc>
                <w:tcPr>
                  <w:tcW w:w="44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危险</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废物</w:t>
                  </w:r>
                </w:p>
              </w:tc>
              <w:tc>
                <w:tcPr>
                  <w:tcW w:w="58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T/In</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固体</w:t>
                  </w:r>
                </w:p>
              </w:tc>
              <w:tc>
                <w:tcPr>
                  <w:tcW w:w="99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900-039-49</w:t>
                  </w:r>
                </w:p>
              </w:tc>
              <w:tc>
                <w:tcPr>
                  <w:tcW w:w="1067"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2.31</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移动式危废暂存间</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定期委托有危废处理资质的单位清运处置</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2.31</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电子联单转移制度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喷漆废气处理设施</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废催化剂</w:t>
                  </w:r>
                </w:p>
              </w:tc>
              <w:tc>
                <w:tcPr>
                  <w:tcW w:w="44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危险</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废物</w:t>
                  </w:r>
                </w:p>
              </w:tc>
              <w:tc>
                <w:tcPr>
                  <w:tcW w:w="58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T/In</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固体</w:t>
                  </w:r>
                </w:p>
              </w:tc>
              <w:tc>
                <w:tcPr>
                  <w:tcW w:w="99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900-049-50</w:t>
                  </w:r>
                </w:p>
              </w:tc>
              <w:tc>
                <w:tcPr>
                  <w:tcW w:w="1067"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0.1kg/3a</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移动式危废暂存间</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厂家回收处置</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0.1kg/3a</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电子联单转移制度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丝印</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废油墨</w:t>
                  </w:r>
                </w:p>
              </w:tc>
              <w:tc>
                <w:tcPr>
                  <w:tcW w:w="44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危险</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废物</w:t>
                  </w:r>
                </w:p>
              </w:tc>
              <w:tc>
                <w:tcPr>
                  <w:tcW w:w="58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T</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液体</w:t>
                  </w:r>
                </w:p>
              </w:tc>
              <w:tc>
                <w:tcPr>
                  <w:tcW w:w="99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900-299-12</w:t>
                  </w:r>
                </w:p>
              </w:tc>
              <w:tc>
                <w:tcPr>
                  <w:tcW w:w="1067"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0.001t/a</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移动式危废暂存间</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定期委托有危废处理资质的单位清运处置</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0.001t/a</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电子联单转移制度</w:t>
                  </w:r>
                </w:p>
              </w:tc>
            </w:tr>
          </w:tbl>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eastAsia"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本项目设置</w:t>
            </w:r>
            <w:r>
              <w:rPr>
                <w:rFonts w:hint="eastAsia"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1座移动式危废暂存间</w:t>
            </w: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用于临时储存危废</w:t>
            </w:r>
            <w:r>
              <w:rPr>
                <w:rFonts w:hint="eastAsia"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运营过程中，对暂存的危险废物，要按照国家有关规定，认真执行向环保行政主管部门申报制度及危险废物转移联单制度。危险废物暂存间设置要求如下：</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生成危险废物的工序，必须设置专用的危险废物收集容器，产生的危险废物随时放置在容器中，绝不能和其他废物一起混合收集，定期运往危险废物暂存场所。委托处置的危险废物应定期交由危险废物处置单位处置。危险废物在暂存场所内不能存储1年以上。</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一般固废的收集、储存、管理严格按照《</w:t>
            </w:r>
            <w:r>
              <w:rPr>
                <w:rFonts w:hint="eastAsia"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一般工业固体废物贮存和填埋污染控制标准</w:t>
            </w: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》（GB18599-2020）相关规定和要求执行，建立产生、收集、贮存、运输、利用、处置全过程的污染环境防治责任制度，建立管理台账。由专人负责一般固废的收集和管理工作。</w:t>
            </w:r>
          </w:p>
          <w:p>
            <w:pPr>
              <w:pStyle w:val="74"/>
              <w:ind w:left="0" w:leftChars="0" w:firstLine="0" w:firstLineChars="0"/>
              <w:jc w:val="both"/>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3移动式危废暂存间</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建设可行性分析</w:t>
            </w:r>
          </w:p>
          <w:p>
            <w:pPr>
              <w:pStyle w:val="74"/>
              <w:ind w:firstLine="480"/>
              <w:jc w:val="both"/>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根据《危险废物贮存污染控制标准》（GB18597-2023）符合性分析如下：</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1</w:t>
            </w:r>
            <w:r>
              <w:rPr>
                <w:rFonts w:hint="eastAsia" w:cs="Times New Roman"/>
                <w:b/>
                <w:bCs/>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本项目固体废物排放对比一览表</w:t>
            </w:r>
          </w:p>
          <w:tbl>
            <w:tblPr>
              <w:tblStyle w:val="25"/>
              <w:tblW w:w="8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
              <w:gridCol w:w="4997"/>
              <w:gridCol w:w="2203"/>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dxa"/>
                  <w:noWrap w:val="0"/>
                  <w:vAlign w:val="center"/>
                </w:tcPr>
                <w:p>
                  <w:pPr>
                    <w:pStyle w:val="76"/>
                    <w:spacing w:line="240" w:lineRule="auto"/>
                    <w:ind w:left="0" w:leftChars="0"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标准</w:t>
                  </w:r>
                </w:p>
              </w:tc>
              <w:tc>
                <w:tcPr>
                  <w:tcW w:w="4997" w:type="dxa"/>
                  <w:noWrap w:val="0"/>
                  <w:vAlign w:val="center"/>
                </w:tcPr>
                <w:p>
                  <w:pPr>
                    <w:pStyle w:val="76"/>
                    <w:spacing w:line="240" w:lineRule="auto"/>
                    <w:ind w:left="0" w:leftChars="0"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要求</w:t>
                  </w:r>
                </w:p>
              </w:tc>
              <w:tc>
                <w:tcPr>
                  <w:tcW w:w="2203" w:type="dxa"/>
                  <w:noWrap w:val="0"/>
                  <w:vAlign w:val="center"/>
                </w:tcPr>
                <w:p>
                  <w:pPr>
                    <w:pStyle w:val="76"/>
                    <w:spacing w:line="240" w:lineRule="auto"/>
                    <w:ind w:left="0" w:leftChars="0"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建设内容</w:t>
                  </w:r>
                </w:p>
              </w:tc>
              <w:tc>
                <w:tcPr>
                  <w:tcW w:w="880" w:type="dxa"/>
                  <w:noWrap w:val="0"/>
                  <w:vAlign w:val="center"/>
                </w:tcPr>
                <w:p>
                  <w:pPr>
                    <w:pStyle w:val="76"/>
                    <w:spacing w:line="240" w:lineRule="auto"/>
                    <w:ind w:left="0" w:leftChars="0"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dxa"/>
                  <w:vMerge w:val="restart"/>
                  <w:noWrap w:val="0"/>
                  <w:vAlign w:val="center"/>
                </w:tcPr>
                <w:p>
                  <w:pPr>
                    <w:pStyle w:val="74"/>
                    <w:spacing w:line="240" w:lineRule="auto"/>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《危险废物贮存污染控制标准》（GB18597-2023）</w:t>
                  </w:r>
                </w:p>
              </w:tc>
              <w:tc>
                <w:tcPr>
                  <w:tcW w:w="4997" w:type="dxa"/>
                  <w:noWrap w:val="0"/>
                  <w:vAlign w:val="center"/>
                </w:tcPr>
                <w:p>
                  <w:pPr>
                    <w:pStyle w:val="74"/>
                    <w:spacing w:line="240" w:lineRule="auto"/>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总体要求</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instrText xml:space="preserve"> = 1 \* GB3 </w:instrTex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①</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产生、收集、贮存、利用、处置危险废物的单位应建造危险废物贮存设施或设置贮存场所，并根据需要选择贮存设施类型。</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instrText xml:space="preserve"> = 2 \* GB3 </w:instrTex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②</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贮存危险废物应根据危险废物的类别、数量、形态、物理化学性质和环境风险等因素，确定贮存设施或场所类型和规模。</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instrText xml:space="preserve"> = 3 \* GB3 </w:instrTex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③</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贮存危险废物应根据危险废物的类别、形态、物理化学性质和污染防治要求进行分类贮存，且应避免危险废物与不相容的物质或材料接触。</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instrText xml:space="preserve"> = 4 \* GB3 </w:instrTex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④</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贮存危险废物应根据危险废物的形态、物理化学性质、包装形式和污染物迁移途径，采取措施减少渗滤液及其衍生废物、渗漏的液态废物（简称渗漏液）、粉尘、</w:t>
                  </w:r>
                  <w:r>
                    <w:rPr>
                      <w:rFonts w:hint="eastAsia" w:cs="Times New Roman"/>
                      <w:color w:val="000000" w:themeColor="text1"/>
                      <w:kern w:val="2"/>
                      <w:sz w:val="21"/>
                      <w:szCs w:val="21"/>
                      <w:highlight w:val="none"/>
                      <w:lang w:val="en-US" w:eastAsia="zh-CN" w:bidi="ar-SA"/>
                      <w14:textFill>
                        <w14:solidFill>
                          <w14:schemeClr w14:val="tx1"/>
                        </w14:solidFill>
                      </w14:textFill>
                    </w:rPr>
                    <w:t>VOCs</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酸雾、有毒有害大气污染物和刺激性气味气体等污染物的产生，防止其污染环境。⑤危险废物贮存过程产生的液态废物和固态废物应分类收集，按其环境管理要求妥善处理。⑥贮存设施或场所、容器和包装物应按</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HJ 1276-2022</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要求设置危险废物贮存设施或场所标志、危险废物贮存分区标志和危险废物标签等危险废物识别标志。⑦HJ1259规定的危险废物环境重点监管单位，应采用电子地磅、电子标签、电子管理台账等技术手段对危险废物贮存过程进行信息化管理，确保数据完整、真实、准确；采用视频监控的应确保监控画面清晰，视频记录保存时间至少为3个月⑧贮存设施退役时，所有者或运营者应依法履行环境保护责任，退役前应妥善处理处置贮存设施内剩余的危险废物，并对贮存设施进行清理，消除污染；还应依据土壤污染防治相关法律法规履行场地环境风险防控责任。⑨在常温常压下易爆、易燃及排出有毒气体的危险废物应进行预处理，使之稳定后贮存，否则应按易爆、易燃危险品贮存。⑩危险废物贮存除应满足环境保护相关要求外，还应执行国家安全生产、职业健康、交通运输、消防等法律法规和标准的相关要求。</w:t>
                  </w:r>
                </w:p>
              </w:tc>
              <w:tc>
                <w:tcPr>
                  <w:tcW w:w="2203" w:type="dxa"/>
                  <w:noWrap w:val="0"/>
                  <w:vAlign w:val="top"/>
                </w:tcPr>
                <w:p>
                  <w:pPr>
                    <w:pStyle w:val="74"/>
                    <w:spacing w:line="240" w:lineRule="auto"/>
                    <w:ind w:left="0" w:leftChars="0" w:firstLine="0" w:firstLineChars="0"/>
                    <w:jc w:val="both"/>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①本项目建设</w:t>
                  </w: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移动式危废暂存间</w:t>
                  </w: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1间；②</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贮存危险废物根据危险废物的类别、形态、物理化学性质和污染防治要求进行分类贮存；③地面防渗，并对产生有机废气的危废进行桶装加盖，液态气态分类存储；④贮存设施、容器和包装物按HJ1276要求设置危险废物贮存设施或场所标志、危险废物贮存分区标志和危险废物标签等危险废物识别标志。⑤危废交由有资质单位进行处置。⑥危险废物贮存除应满足环境保护相关要求外，还应执行国家安全生产、职业健康、交通运输、消防等法律法规和标准的相关要求。</w:t>
                  </w:r>
                </w:p>
              </w:tc>
              <w:tc>
                <w:tcPr>
                  <w:tcW w:w="880" w:type="dxa"/>
                  <w:noWrap w:val="0"/>
                  <w:vAlign w:val="center"/>
                </w:tcPr>
                <w:p>
                  <w:pPr>
                    <w:pStyle w:val="74"/>
                    <w:spacing w:line="240" w:lineRule="auto"/>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dxa"/>
                  <w:vMerge w:val="continue"/>
                  <w:noWrap w:val="0"/>
                  <w:vAlign w:val="center"/>
                </w:tcPr>
                <w:p>
                  <w:pPr>
                    <w:pStyle w:val="74"/>
                    <w:spacing w:line="240" w:lineRule="auto"/>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p>
              </w:tc>
              <w:tc>
                <w:tcPr>
                  <w:tcW w:w="4997" w:type="dxa"/>
                  <w:noWrap w:val="0"/>
                  <w:vAlign w:val="center"/>
                </w:tcPr>
                <w:p>
                  <w:pPr>
                    <w:keepNext w:val="0"/>
                    <w:keepLines w:val="0"/>
                    <w:widowControl/>
                    <w:suppressLineNumbers w:val="0"/>
                    <w:spacing w:line="240" w:lineRule="auto"/>
                    <w:ind w:firstLine="422" w:firstLineChars="200"/>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贮存设施选址要求：</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①贮存设施选址应满足生态环境保护法律法规、规划和</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三线一单</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态环境分区管控的要求，建设项目应依法进行环境影响评价。②集中贮存设施不应选在生态保护红线区域、永久基本农田和其他需要特别保护的区域内，不应建在溶洞区或易遭受洪水、滑坡、泥石流、潮汐等严重自然灾害影响的地区。③贮存设施不应选在江河、湖泊、运河、渠道、水库及其最高水位线以下的滩地和岸坡，以及法律法规规定禁止贮存危险废物的其他地点。④贮存设施场址的位置以及其与周围环境敏感目标的距离应依据环境影响评价文件确定。</w:t>
                  </w:r>
                </w:p>
              </w:tc>
              <w:tc>
                <w:tcPr>
                  <w:tcW w:w="2203" w:type="dxa"/>
                  <w:noWrap w:val="0"/>
                  <w:vAlign w:val="center"/>
                </w:tcPr>
                <w:p>
                  <w:pPr>
                    <w:pStyle w:val="74"/>
                    <w:spacing w:line="240" w:lineRule="auto"/>
                    <w:ind w:left="0" w:leftChars="0" w:firstLine="0" w:firstLineChars="0"/>
                    <w:jc w:val="left"/>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本项目</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满足</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三线一单</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生态环境分区管控的要求</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，项目区</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不在生态保护红线区域、永久基本农田和其他需要特别保护的区域内，不建在溶洞区或易遭受洪水、滑坡、泥石流、潮汐等严重自然灾害影响的地区</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无敏感点，符合选址要求。</w:t>
                  </w:r>
                </w:p>
              </w:tc>
              <w:tc>
                <w:tcPr>
                  <w:tcW w:w="880" w:type="dxa"/>
                  <w:noWrap w:val="0"/>
                  <w:vAlign w:val="center"/>
                </w:tcPr>
                <w:p>
                  <w:pPr>
                    <w:pStyle w:val="74"/>
                    <w:spacing w:line="240" w:lineRule="auto"/>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dxa"/>
                  <w:vMerge w:val="continue"/>
                  <w:noWrap w:val="0"/>
                  <w:vAlign w:val="center"/>
                </w:tcPr>
                <w:p>
                  <w:pPr>
                    <w:pStyle w:val="74"/>
                    <w:spacing w:line="240" w:lineRule="auto"/>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p>
              </w:tc>
              <w:tc>
                <w:tcPr>
                  <w:tcW w:w="4997" w:type="dxa"/>
                  <w:noWrap w:val="0"/>
                  <w:vAlign w:val="center"/>
                </w:tcPr>
                <w:p>
                  <w:pPr>
                    <w:keepNext w:val="0"/>
                    <w:keepLines w:val="0"/>
                    <w:widowControl/>
                    <w:suppressLineNumbers w:val="0"/>
                    <w:spacing w:line="240" w:lineRule="auto"/>
                    <w:ind w:firstLine="422" w:firstLineChars="200"/>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贮存设施污染控制要求</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①贮存设施应根据危险废物的形态、物理化学性质、包装形式和污染物迁移途径，采取必要的防风、防晒、防雨、防漏、防渗、防腐以及其他环境污染防治措施，不应露天堆放危险废物。②贮存设施应根据危险废物的类别、数量、形态、物理化学性质和污染防治等要求设置必要的贮存分区，避免不相容的危险废物接触、混合。③贮存设施或贮存分区内地面、墙面裙脚、堵截泄漏的围堰、接触危险废物的隔板和墙体等应采用坚固的材料建造，表面无裂缝。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cm/s），或至少2mm厚高密度聚乙烯膜等人工防渗材料（渗透系数不大于10</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m/s），或其他防渗性能等效的材料。⑤同一贮存设施宜采用相同的防渗、防腐工艺（包括防渗、防腐结构或材料），防渗、防腐材料应覆盖所有可能与废物及其渗滤液、渗漏液等接触的构筑物表面；采用不同防渗、防腐工艺应分别建设贮存分区。⑥贮存设施应采取技术和管理措施防止无关人员进入。</w:t>
                  </w:r>
                </w:p>
              </w:tc>
              <w:tc>
                <w:tcPr>
                  <w:tcW w:w="2203" w:type="dxa"/>
                  <w:noWrap w:val="0"/>
                  <w:vAlign w:val="center"/>
                </w:tcPr>
                <w:p>
                  <w:pPr>
                    <w:pStyle w:val="74"/>
                    <w:spacing w:line="240" w:lineRule="auto"/>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①危废间为</w:t>
                  </w: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移动式危废暂存间</w:t>
                  </w: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，按照采取防渗措施</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。②由于涉及的危废种类较多，根据类别进行分区并设隔板。③</w:t>
                  </w: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移动式危废暂存间</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地面采用防静电硬质环氧树脂材料，防止静电以及防止液体渗漏。内部需要有引水槽，或者有防止</w:t>
                  </w:r>
                  <w:r>
                    <w:rPr>
                      <w:rFonts w:hint="eastAsia" w:cs="Times New Roman"/>
                      <w:color w:val="000000" w:themeColor="text1"/>
                      <w:kern w:val="2"/>
                      <w:sz w:val="21"/>
                      <w:szCs w:val="21"/>
                      <w:highlight w:val="none"/>
                      <w:lang w:val="en-US" w:eastAsia="zh-CN" w:bidi="ar-SA"/>
                      <w14:textFill>
                        <w14:solidFill>
                          <w14:schemeClr w14:val="tx1"/>
                        </w14:solidFill>
                      </w14:textFill>
                    </w:rPr>
                    <w:t>泄漏</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等回收装置(如类似托盘类有一定容积率的底座)。</w:t>
                  </w:r>
                </w:p>
              </w:tc>
              <w:tc>
                <w:tcPr>
                  <w:tcW w:w="880" w:type="dxa"/>
                  <w:noWrap w:val="0"/>
                  <w:vAlign w:val="center"/>
                </w:tcPr>
                <w:p>
                  <w:pPr>
                    <w:pStyle w:val="74"/>
                    <w:spacing w:line="240" w:lineRule="auto"/>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dxa"/>
                  <w:vMerge w:val="continue"/>
                  <w:noWrap w:val="0"/>
                  <w:vAlign w:val="center"/>
                </w:tcPr>
                <w:p>
                  <w:pPr>
                    <w:pStyle w:val="74"/>
                    <w:spacing w:line="240" w:lineRule="auto"/>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p>
              </w:tc>
              <w:tc>
                <w:tcPr>
                  <w:tcW w:w="4997" w:type="dxa"/>
                  <w:noWrap w:val="0"/>
                  <w:vAlign w:val="center"/>
                </w:tcPr>
                <w:p>
                  <w:pPr>
                    <w:pStyle w:val="74"/>
                    <w:spacing w:line="240" w:lineRule="auto"/>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贮存库：</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①贮存库内不同贮存分区之间应采取隔离措施。隔离措施可根据危险废物特性采用过道、隔板或隔墙等方式。②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③贮存易产生粉尘、</w:t>
                  </w:r>
                  <w:r>
                    <w:rPr>
                      <w:rFonts w:hint="eastAsia" w:cs="Times New Roman"/>
                      <w:color w:val="000000" w:themeColor="text1"/>
                      <w:kern w:val="2"/>
                      <w:sz w:val="21"/>
                      <w:szCs w:val="21"/>
                      <w:highlight w:val="none"/>
                      <w:lang w:val="en-US" w:eastAsia="zh-CN" w:bidi="ar-SA"/>
                      <w14:textFill>
                        <w14:solidFill>
                          <w14:schemeClr w14:val="tx1"/>
                        </w14:solidFill>
                      </w14:textFill>
                    </w:rPr>
                    <w:t>VOCs</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、酸雾、有毒有害大气污染物和刺激性气味气体的危险废物贮存库，应设置气体收集装置和气体净化设施；气体净化设施的排气筒高度应符合GB16297要求。</w:t>
                  </w:r>
                </w:p>
              </w:tc>
              <w:tc>
                <w:tcPr>
                  <w:tcW w:w="2203" w:type="dxa"/>
                  <w:noWrap w:val="0"/>
                  <w:vAlign w:val="center"/>
                </w:tcPr>
                <w:p>
                  <w:pPr>
                    <w:pStyle w:val="74"/>
                    <w:spacing w:line="240" w:lineRule="auto"/>
                    <w:ind w:left="0" w:leftChars="0" w:firstLine="0" w:firstLineChars="0"/>
                    <w:jc w:val="both"/>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移动式危废暂存间</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内不同贮存分区之间采取隔离措施。隔离措施可根据危险废物特性采用过道、隔板或隔墙等方式</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具有液体泄漏堵截设施，堵截设施最小容积不低于对应贮存区域最大液态废物容器容积或液态废物总储量1/10，用于贮存可能产生渗滤液的危险废物的贮存库或贮存分区应设计渗滤液收集设施，收集设施容积应满足渗滤液的收集要求。</w:t>
                  </w:r>
                </w:p>
              </w:tc>
              <w:tc>
                <w:tcPr>
                  <w:tcW w:w="880" w:type="dxa"/>
                  <w:noWrap w:val="0"/>
                  <w:vAlign w:val="center"/>
                </w:tcPr>
                <w:p>
                  <w:pPr>
                    <w:pStyle w:val="74"/>
                    <w:spacing w:line="240" w:lineRule="auto"/>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符合</w:t>
                  </w:r>
                </w:p>
              </w:tc>
            </w:tr>
          </w:tbl>
          <w:p>
            <w:pPr>
              <w:keepNext w:val="0"/>
              <w:keepLines w:val="0"/>
              <w:pageBreakBefore w:val="0"/>
              <w:widowControl w:val="0"/>
              <w:kinsoku/>
              <w:overflowPunct/>
              <w:topLinePunct w:val="0"/>
              <w:autoSpaceDE w:val="0"/>
              <w:autoSpaceDN w:val="0"/>
              <w:bidi w:val="0"/>
              <w:adjustRightInd w:val="0"/>
              <w:snapToGrid/>
              <w:spacing w:line="360" w:lineRule="auto"/>
              <w:ind w:left="0" w:firstLine="360" w:firstLineChars="150"/>
              <w:jc w:val="lef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按照《危险废物贮存污染控制标准》（GB18597-2023）的要求设置一座</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移动式危废暂存间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用于储存危废，危险废物暂存间设置要求如下：</w:t>
            </w:r>
          </w:p>
          <w:p>
            <w:pPr>
              <w:keepNext w:val="0"/>
              <w:keepLines w:val="0"/>
              <w:pageBreakBefore w:val="0"/>
              <w:widowControl w:val="0"/>
              <w:numPr>
                <w:ilvl w:val="0"/>
                <w:numId w:val="0"/>
              </w:numPr>
              <w:kinsoku/>
              <w:overflowPunct/>
              <w:topLinePunct w:val="0"/>
              <w:bidi w:val="0"/>
              <w:snapToGrid/>
              <w:spacing w:line="360" w:lineRule="auto"/>
              <w:ind w:left="0" w:leftChars="0"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移动式危废暂存间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拟建于</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厂区东北角</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pPr>
              <w:keepNext w:val="0"/>
              <w:keepLines w:val="0"/>
              <w:pageBreakBefore w:val="0"/>
              <w:widowControl w:val="0"/>
              <w:numPr>
                <w:ilvl w:val="0"/>
                <w:numId w:val="0"/>
              </w:numPr>
              <w:kinsoku/>
              <w:overflowPunct/>
              <w:topLinePunct w:val="0"/>
              <w:bidi w:val="0"/>
              <w:snapToGrid/>
              <w:spacing w:line="360" w:lineRule="auto"/>
              <w:ind w:left="0"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对于危险固废的收集及贮存，应根据危险固废的成分，用符合国家标准的耐腐蚀、不易破损、变形和老化的容器贮存，并按规定在贮存危险固废容器上贴上标签，详细注明危险固废的名称、重量、成分、特性以及发生泄漏、扩散污染事故时的应急措施和补救办法。危险废物贮存设施或场所标志、危险废物包装标签等危险废物识别标志按HJ1276要求设置。</w:t>
            </w:r>
          </w:p>
          <w:p>
            <w:pPr>
              <w:keepNext w:val="0"/>
              <w:keepLines w:val="0"/>
              <w:pageBreakBefore w:val="0"/>
              <w:widowControl w:val="0"/>
              <w:numPr>
                <w:ilvl w:val="0"/>
                <w:numId w:val="0"/>
              </w:numPr>
              <w:kinsoku/>
              <w:overflowPunct/>
              <w:topLinePunct w:val="0"/>
              <w:bidi w:val="0"/>
              <w:snapToGrid/>
              <w:spacing w:line="360" w:lineRule="auto"/>
              <w:ind w:left="0" w:leftChars="0"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移动式危废暂存间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地面采用防静电硬质环氧树脂材料，防止静电以及防止液体渗漏。内部需要有引水槽，或者有防止</w:t>
            </w:r>
            <w:r>
              <w:rPr>
                <w:rFonts w:hint="eastAsia" w:cs="Times New Roman"/>
                <w:color w:val="000000" w:themeColor="text1"/>
                <w:kern w:val="2"/>
                <w:sz w:val="24"/>
                <w:szCs w:val="24"/>
                <w:highlight w:val="none"/>
                <w:lang w:val="en-US" w:eastAsia="zh-CN" w:bidi="ar-SA"/>
                <w14:textFill>
                  <w14:solidFill>
                    <w14:schemeClr w14:val="tx1"/>
                  </w14:solidFill>
                </w14:textFill>
              </w:rPr>
              <w:t>泄漏</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等回收装置(如类似托盘类有一定容积率的底座)。符合国家危险固废贮存场所的建设要求。</w:t>
            </w:r>
          </w:p>
          <w:p>
            <w:pPr>
              <w:keepNext w:val="0"/>
              <w:keepLines w:val="0"/>
              <w:pageBreakBefore w:val="0"/>
              <w:widowControl w:val="0"/>
              <w:numPr>
                <w:ilvl w:val="0"/>
                <w:numId w:val="0"/>
              </w:numPr>
              <w:kinsoku/>
              <w:overflowPunct/>
              <w:topLinePunct w:val="0"/>
              <w:bidi w:val="0"/>
              <w:snapToGrid/>
              <w:spacing w:line="360" w:lineRule="auto"/>
              <w:ind w:left="0" w:leftChars="0"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（4）公司设立专门的人管理危险废暂存间，双人双锁，以防无关人员进入。</w:t>
            </w:r>
          </w:p>
          <w:p>
            <w:pPr>
              <w:keepNext w:val="0"/>
              <w:keepLines w:val="0"/>
              <w:pageBreakBefore w:val="0"/>
              <w:widowControl w:val="0"/>
              <w:kinsoku/>
              <w:overflowPunct/>
              <w:topLinePunct w:val="0"/>
              <w:bidi w:val="0"/>
              <w:snapToGrid/>
              <w:spacing w:line="360" w:lineRule="auto"/>
              <w:ind w:left="0"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（5）危险废物临时储存场所必须按HJ1276-2022的规定设置警示标志，周围应设置围墙或其他防护栅栏。</w:t>
            </w:r>
          </w:p>
          <w:p>
            <w:pPr>
              <w:keepNext w:val="0"/>
              <w:keepLines w:val="0"/>
              <w:pageBreakBefore w:val="0"/>
              <w:widowControl w:val="0"/>
              <w:kinsoku/>
              <w:overflowPunct/>
              <w:topLinePunct w:val="0"/>
              <w:bidi w:val="0"/>
              <w:snapToGrid/>
              <w:spacing w:line="360" w:lineRule="auto"/>
              <w:ind w:left="0"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（6）危险废物临时储存场所应配备通讯设备、照明设施、安全防护服装及工具，并设有应急防护设施。</w:t>
            </w:r>
          </w:p>
          <w:p>
            <w:pPr>
              <w:keepNext w:val="0"/>
              <w:keepLines w:val="0"/>
              <w:pageBreakBefore w:val="0"/>
              <w:widowControl w:val="0"/>
              <w:kinsoku/>
              <w:overflowPunct/>
              <w:topLinePunct w:val="0"/>
              <w:bidi w:val="0"/>
              <w:snapToGrid/>
              <w:spacing w:line="360" w:lineRule="auto"/>
              <w:ind w:left="0"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综上，通过对生产过程中产生的固废分类收集，分类处理与处置，本项目固体废物不会对周围环境产生污染影响。</w:t>
            </w:r>
          </w:p>
          <w:p>
            <w:pPr>
              <w:pStyle w:val="74"/>
              <w:keepNext w:val="0"/>
              <w:keepLines w:val="0"/>
              <w:pageBreakBefore w:val="0"/>
              <w:widowControl w:val="0"/>
              <w:kinsoku/>
              <w:overflowPunct/>
              <w:topLinePunct w:val="0"/>
              <w:bidi w:val="0"/>
              <w:snapToGrid/>
              <w:spacing w:line="360" w:lineRule="auto"/>
              <w:ind w:left="0" w:leftChars="0" w:firstLine="0" w:firstLineChars="0"/>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危险废物管理要求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1、基本原则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产生危险废物的单位，应当按照</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《危险废物管理计划和管理台账制定技术导则》（HJ 1259-2022）</w:t>
            </w:r>
            <w:r>
              <w:rPr>
                <w:rFonts w:hint="default" w:ascii="Times New Roman" w:hAnsi="Times New Roman" w:eastAsia="宋体" w:cs="Times New Roman"/>
                <w:color w:val="000000" w:themeColor="text1"/>
                <w:sz w:val="24"/>
                <w:highlight w:val="none"/>
                <w14:textFill>
                  <w14:solidFill>
                    <w14:schemeClr w14:val="tx1"/>
                  </w14:solidFill>
                </w14:textFill>
              </w:rPr>
              <w:t>规定</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进行</w:t>
            </w:r>
            <w:r>
              <w:rPr>
                <w:rFonts w:hint="default" w:ascii="Times New Roman" w:hAnsi="Times New Roman" w:eastAsia="宋体" w:cs="Times New Roman"/>
                <w:color w:val="000000" w:themeColor="text1"/>
                <w:sz w:val="24"/>
                <w:highlight w:val="none"/>
                <w14:textFill>
                  <w14:solidFill>
                    <w14:schemeClr w14:val="tx1"/>
                  </w14:solidFill>
                </w14:textFill>
              </w:rPr>
              <w:t>分类管理，制定危险废物管理计划，内容应当包括减少危险废物产生量和降低危险废物危害性的措施以及危险废物贮存、利用、处置措施；建立危险废物管理台账，如实记录危险废物的种类、产生量、流向、贮存、利用、处置等有关信息；通过国家危险废物信息管理系统向所在地生态环境主管部门备案危险废物管理计划，申报危险废物有关资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产生危险废物的单位应当按照实际情况填写记录有关内容，并对内容的真实性、准确性和完整性负责。</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危险废物的收集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①危险废物的收集应根据危险废物产生的工艺特征、排放周期、危险废物特性、废物管理计划等因素制定收集计划。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②危险废物的收集应制定详细的操作规程，内容至少应包括适用范围、操作程序和方法、专用设备和工具、转移和交接、安全保障和应急防护等。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③危险废物收集和转运作业人员应根据工作需要配备必要的个人防护装备，如手套、防护镜、防护服、防毒面具或口罩等。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3、危险废物的运输</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危险废物需按照《危险废物收集 贮存 运输技术规范》（HJ2025-2012）中的要求进行运输。产废单位负责危险废物的收集，第三方运输企业负责运输，在接收危险废物原料时，本项目工作人员和运输单位需协调相关危险废物运输车辆，要求其按照规范要求操作，避免运输途中的污染。</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①危险废物运输应由持有危险废物经营许可证的单位按照其许可证的经营范围组织实施，承担危险废物运输的单位应获得交通运输部门颁发的危险货物运输资质。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②危险废物运输应执行《道路危险货物运输管理规定》（交通部令﹝2005年﹞第9号）。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③危险废物公路运输时，运输车辆应按GB13392设置车辆标识。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④根据《新疆维吾尔自治区危险废物处置利用行业环保准入条件》：危险废物处置利用单位必须有固定的危险废物运输车辆，并在运输车辆安装GPS装置。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此外，项目危险废物产生、转移、贮存、利用处置等基础数据，需在新疆维吾尔自治区固体废物动态信息管理平台上申报和备案。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4、危险废物管理台账制定要求</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产生危险废物的单位应建立危险废物管理台账，落实危险废物管理台账记录的责任人，明确工作职责，并对危险废物管理台账的真实性、准确性和完整性负法律责任。</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产生危险废物的单位应根据危险废物产生、贮存、利用、处置等环节的动态流向，如实建立各环节的危险废物管理台账。危险废物管理台账分为电子管理台账和纸质管理台账两种形式。</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危险废物的单位可通过国家危险废物信息管理系统、企业自建信息管理系统或第三方平台等方式记录电子管理台账。产生后盛放至容器和包装物的，应按每个容器和包装物进行记录；保存时间原则上应存档5年以上。</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5、联单制度</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建设单位必须建立危险废物转移联单制度，收集贮存的危险废物应严格按照《危险废物转移管理办法》中的有关要求管理，危险废物转移程序如下：</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①危险废物转移联单应当根据危险废物管理计划中填报的危险废物转移等备案信息填写、运行。</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②采用联运方式转移危险废物的，前一承运人和后一承运人应当明确运输交接的时间和地点。后一承运人应当核实危险废物转移联单确定的移出人信息、前一承运人信息及危险废物相关信息。</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③移出人每转移一车（船或者其他运输工具</w:t>
            </w:r>
            <w:r>
              <w:rPr>
                <w:rFonts w:hint="eastAsia" w:cs="Times New Roman"/>
                <w:color w:val="000000" w:themeColor="text1"/>
                <w:sz w:val="24"/>
                <w:highlight w:val="none"/>
                <w:lang w:val="en-US" w:eastAsia="zh-CN"/>
                <w14:textFill>
                  <w14:solidFill>
                    <w14:schemeClr w14:val="tx1"/>
                  </w14:solidFill>
                </w14:textFill>
              </w:rPr>
              <w:t>）一/一</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次同类危险废物，应当填写、运行一份危险废物电子转移联单；每车（船或者其他运输工具）一次转移多类危险废物的，可以填写、运行一份危险废物电子转移联单，也可以每一类危险废物填写、运行一份危险废物电子转移联单。</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④采用联运方式转移危险废物的，前一承运人和后一承运人应当明确运输交接的时间和地点。后一承运人应当核实危险废物电子转移联单确定的移出人信息、前一承运人信息及危险废物相关信息。</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转移危险废物的，须按照国家有关规定填写危险废物电子转移联单，并向危险废物移出地设区的市级以上地方人民政府环境保护行政主管部门提出申请。移出地设区的市级以上地方人民政府环境保护行政主管部门应当经接收地设区的市级以上地方人民政府环境保护行政主管部门同意后，方可批准转移该危险废物。未经批准，不得转移。转移危险废物途经移出地、接收地以外行政区域的，危险废物移出地设区的市级以上地方人民政府环境保护行政主管部门应当及时通知沿途经过的设区的市级以上地方人民政府环境保护行政主管部门。</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6、委托处置</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危险废物交由有相应危废处置资质的单位进行处置，危废处置单位使用专用车辆至厂内收集、转移危险废物，建设单位不自行外运、转移。危险废物委托处置后，对环境影响不大。</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7、管理措施</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企业应结合自身实际，建立危险废物管理台账，规范危险废物情况的记录，记录上须注明危险废物的种类、来源、数量、性质、产生环节、利用处置和包装容器的类别、入库日期、存放库位、废物出库日期及接收单位名称，确保厂内所有危险废物流向清楚规范。</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按规定申报危险废物产生、贮存、转移、利用处置等信息，制定和落实危险废物年度管理计划，执行危险废物申报登记制度，并在“固废管理系统”中备案。及时向当地环保部门申报危险废物种类、产生量、流向、处置等资料，办理临时申报登记手续。严格执行危险废物交换转移审批制度。所有危险废物交换转移向环保部门提出申请，经环保部门预审后报上级环保部门批准。危险废物交换转移前到当地环保部门网上申请联单。绝不擅自交换、向无危险废物经营许可证单位转移。必须定期对所暂存的危险废物包装容器及暂存设施进行检查，发现破损，应及时采取措施清理更换。</w:t>
            </w:r>
          </w:p>
          <w:p>
            <w:pPr>
              <w:numPr>
                <w:ilvl w:val="0"/>
                <w:numId w:val="0"/>
              </w:numPr>
              <w:adjustRightInd w:val="0"/>
              <w:snapToGrid w:val="0"/>
              <w:spacing w:line="360" w:lineRule="auto"/>
              <w:ind w:firstLine="480" w:firstLineChars="200"/>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8、标志</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根据《危险废物识别标志设置技术规范》（HJ1276-2022），相关标志内容</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详见表4-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表</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1</w:t>
            </w:r>
            <w:r>
              <w:rPr>
                <w:rFonts w:hint="eastAsia" w:cs="Times New Roman"/>
                <w:b/>
                <w:bCs/>
                <w:color w:val="000000" w:themeColor="text1"/>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highlight w:val="none"/>
                <w:lang w:eastAsia="zh-CN"/>
                <w14:textFill>
                  <w14:solidFill>
                    <w14:schemeClr w14:val="tx1"/>
                  </w14:solidFill>
                </w14:textFill>
              </w:rPr>
              <w:t>移动式危废暂存间</w:t>
            </w:r>
            <w:r>
              <w:rPr>
                <w:rFonts w:hint="default" w:ascii="Times New Roman" w:hAnsi="Times New Roman" w:eastAsia="宋体" w:cs="Times New Roman"/>
                <w:b/>
                <w:bCs/>
                <w:color w:val="000000" w:themeColor="text1"/>
                <w:highlight w:val="none"/>
                <w14:textFill>
                  <w14:solidFill>
                    <w14:schemeClr w14:val="tx1"/>
                  </w14:solidFill>
                </w14:textFill>
              </w:rPr>
              <w:t>标志牌设置示意图表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9"/>
              <w:gridCol w:w="4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pct"/>
                  <w:tcBorders>
                    <w:tl2br w:val="nil"/>
                    <w:tr2bl w:val="nil"/>
                  </w:tcBorders>
                  <w:noWrap w:val="0"/>
                  <w:vAlign w:val="center"/>
                </w:tcPr>
                <w:p>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名称</w:t>
                  </w:r>
                </w:p>
              </w:tc>
              <w:tc>
                <w:tcPr>
                  <w:tcW w:w="2857" w:type="pct"/>
                  <w:tcBorders>
                    <w:tl2br w:val="nil"/>
                    <w:tr2bl w:val="nil"/>
                  </w:tcBorders>
                  <w:noWrap w:val="0"/>
                  <w:vAlign w:val="center"/>
                </w:tcPr>
                <w:p>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eastAsia="zh-CN"/>
                      <w14:textFill>
                        <w14:solidFill>
                          <w14:schemeClr w14:val="tx1"/>
                        </w14:solidFill>
                      </w14:textFill>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pct"/>
                  <w:tcBorders>
                    <w:tl2br w:val="nil"/>
                    <w:tr2bl w:val="nil"/>
                  </w:tcBorders>
                  <w:noWrap w:val="0"/>
                  <w:vAlign w:val="center"/>
                </w:tcPr>
                <w:p>
                  <w:pPr>
                    <w:jc w:val="center"/>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危险废物标签</w:t>
                  </w:r>
                </w:p>
              </w:tc>
              <w:tc>
                <w:tcPr>
                  <w:tcW w:w="2857" w:type="pct"/>
                  <w:tcBorders>
                    <w:tl2br w:val="nil"/>
                    <w:tr2bl w:val="nil"/>
                  </w:tcBorders>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130425" cy="1484630"/>
                        <wp:effectExtent l="0" t="0" r="3175" b="127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2"/>
                                <a:stretch>
                                  <a:fillRect/>
                                </a:stretch>
                              </pic:blipFill>
                              <pic:spPr>
                                <a:xfrm>
                                  <a:off x="0" y="0"/>
                                  <a:ext cx="2130425" cy="14846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pct"/>
                  <w:tcBorders>
                    <w:tl2br w:val="nil"/>
                    <w:tr2bl w:val="nil"/>
                  </w:tcBorders>
                  <w:noWrap w:val="0"/>
                  <w:vAlign w:val="center"/>
                </w:tcPr>
                <w:p>
                  <w:pPr>
                    <w:jc w:val="center"/>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贮存分区标志（示例）</w:t>
                  </w:r>
                </w:p>
              </w:tc>
              <w:tc>
                <w:tcPr>
                  <w:tcW w:w="2857" w:type="pct"/>
                  <w:tcBorders>
                    <w:tl2br w:val="nil"/>
                    <w:tr2bl w:val="nil"/>
                  </w:tcBorders>
                  <w:noWrap w:val="0"/>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111375" cy="1504315"/>
                        <wp:effectExtent l="0" t="0" r="3175" b="63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3"/>
                                <a:stretch>
                                  <a:fillRect/>
                                </a:stretch>
                              </pic:blipFill>
                              <pic:spPr>
                                <a:xfrm>
                                  <a:off x="0" y="0"/>
                                  <a:ext cx="2111375" cy="15043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142" w:type="pct"/>
                  <w:tcBorders>
                    <w:tl2br w:val="nil"/>
                    <w:tr2bl w:val="nil"/>
                  </w:tcBorders>
                  <w:noWrap w:val="0"/>
                  <w:vAlign w:val="center"/>
                </w:tcPr>
                <w:p>
                  <w:pPr>
                    <w:jc w:val="center"/>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贮</w:t>
                  </w:r>
                  <w:r>
                    <w:rPr>
                      <w:rFonts w:hint="default" w:ascii="宋体" w:hAnsi="宋体" w:eastAsia="宋体" w:cs="宋体"/>
                      <w:color w:val="000000" w:themeColor="text1"/>
                      <w:highlight w:val="none"/>
                      <w:lang w:eastAsia="zh-CN"/>
                      <w14:textFill>
                        <w14:solidFill>
                          <w14:schemeClr w14:val="tx1"/>
                        </w14:solidFill>
                      </w14:textFill>
                    </w:rPr>
                    <w:t>存设施标志</w:t>
                  </w:r>
                </w:p>
              </w:tc>
              <w:tc>
                <w:tcPr>
                  <w:tcW w:w="2857" w:type="pct"/>
                  <w:tcBorders>
                    <w:tl2br w:val="nil"/>
                    <w:tr2bl w:val="nil"/>
                  </w:tcBorders>
                  <w:noWrap w:val="0"/>
                  <w:vAlign w:val="center"/>
                </w:tcPr>
                <w:p>
                  <w:pPr>
                    <w:jc w:val="center"/>
                    <w:rPr>
                      <w:rFonts w:hint="eastAsia" w:ascii="宋体" w:hAnsi="宋体" w:eastAsia="宋体" w:cs="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089785" cy="991870"/>
                        <wp:effectExtent l="0" t="0" r="5715" b="1778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4"/>
                                <a:stretch>
                                  <a:fillRect/>
                                </a:stretch>
                              </pic:blipFill>
                              <pic:spPr>
                                <a:xfrm>
                                  <a:off x="0" y="0"/>
                                  <a:ext cx="2089785" cy="9918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142" w:type="pct"/>
                  <w:tcBorders>
                    <w:tl2br w:val="nil"/>
                    <w:tr2bl w:val="nil"/>
                  </w:tcBorders>
                  <w:noWrap w:val="0"/>
                  <w:vAlign w:val="center"/>
                </w:tcPr>
                <w:p>
                  <w:pPr>
                    <w:jc w:val="center"/>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利</w:t>
                  </w:r>
                  <w:r>
                    <w:rPr>
                      <w:rFonts w:hint="default" w:ascii="宋体" w:hAnsi="宋体" w:eastAsia="宋体" w:cs="宋体"/>
                      <w:color w:val="000000" w:themeColor="text1"/>
                      <w:highlight w:val="none"/>
                      <w:lang w:eastAsia="zh-CN"/>
                      <w14:textFill>
                        <w14:solidFill>
                          <w14:schemeClr w14:val="tx1"/>
                        </w14:solidFill>
                      </w14:textFill>
                    </w:rPr>
                    <w:t>用设施标志</w:t>
                  </w:r>
                </w:p>
              </w:tc>
              <w:tc>
                <w:tcPr>
                  <w:tcW w:w="2857" w:type="pct"/>
                  <w:tcBorders>
                    <w:tl2br w:val="nil"/>
                    <w:tr2bl w:val="nil"/>
                  </w:tcBorders>
                  <w:noWrap w:val="0"/>
                  <w:vAlign w:val="center"/>
                </w:tcPr>
                <w:p>
                  <w:pPr>
                    <w:jc w:val="center"/>
                    <w:rPr>
                      <w:rFonts w:hint="eastAsia" w:ascii="宋体" w:hAnsi="宋体" w:eastAsia="宋体" w:cs="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137410" cy="1009015"/>
                        <wp:effectExtent l="0" t="0" r="15240" b="63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5"/>
                                <a:stretch>
                                  <a:fillRect/>
                                </a:stretch>
                              </pic:blipFill>
                              <pic:spPr>
                                <a:xfrm>
                                  <a:off x="0" y="0"/>
                                  <a:ext cx="2137410" cy="10090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142" w:type="pct"/>
                  <w:tcBorders>
                    <w:tl2br w:val="nil"/>
                    <w:tr2bl w:val="nil"/>
                  </w:tcBorders>
                  <w:noWrap w:val="0"/>
                  <w:vAlign w:val="center"/>
                </w:tcPr>
                <w:p>
                  <w:pPr>
                    <w:jc w:val="center"/>
                    <w:rPr>
                      <w:rFonts w:hint="default" w:ascii="宋体" w:hAnsi="宋体" w:eastAsia="宋体" w:cs="宋体"/>
                      <w:color w:val="000000" w:themeColor="text1"/>
                      <w:highlight w:val="none"/>
                      <w:lang w:eastAsia="zh-CN"/>
                      <w14:textFill>
                        <w14:solidFill>
                          <w14:schemeClr w14:val="tx1"/>
                        </w14:solidFill>
                      </w14:textFill>
                    </w:rPr>
                  </w:pPr>
                </w:p>
                <w:p>
                  <w:pPr>
                    <w:jc w:val="center"/>
                    <w:rPr>
                      <w:rFonts w:hint="eastAsia" w:ascii="宋体" w:hAnsi="宋体" w:eastAsia="宋体" w:cs="宋体"/>
                      <w:color w:val="000000" w:themeColor="text1"/>
                      <w:highlight w:val="none"/>
                      <w:lang w:eastAsia="zh-CN"/>
                      <w14:textFill>
                        <w14:solidFill>
                          <w14:schemeClr w14:val="tx1"/>
                        </w14:solidFill>
                      </w14:textFill>
                    </w:rPr>
                  </w:pPr>
                  <w:r>
                    <w:rPr>
                      <w:rFonts w:hint="default" w:ascii="宋体" w:hAnsi="宋体" w:eastAsia="宋体" w:cs="宋体"/>
                      <w:color w:val="000000" w:themeColor="text1"/>
                      <w:highlight w:val="none"/>
                      <w:lang w:eastAsia="zh-CN"/>
                      <w14:textFill>
                        <w14:solidFill>
                          <w14:schemeClr w14:val="tx1"/>
                        </w14:solidFill>
                      </w14:textFill>
                    </w:rPr>
                    <w:t>处置设施标志</w:t>
                  </w:r>
                </w:p>
              </w:tc>
              <w:tc>
                <w:tcPr>
                  <w:tcW w:w="2857" w:type="pct"/>
                  <w:tcBorders>
                    <w:tl2br w:val="nil"/>
                    <w:tr2bl w:val="nil"/>
                  </w:tcBorders>
                  <w:noWrap w:val="0"/>
                  <w:vAlign w:val="center"/>
                </w:tcPr>
                <w:p>
                  <w:pPr>
                    <w:jc w:val="center"/>
                    <w:rPr>
                      <w:rFonts w:hint="eastAsia" w:ascii="宋体" w:hAnsi="宋体" w:eastAsia="宋体" w:cs="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118360" cy="1046480"/>
                        <wp:effectExtent l="0" t="0" r="15240" b="127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6"/>
                                <a:stretch>
                                  <a:fillRect/>
                                </a:stretch>
                              </pic:blipFill>
                              <pic:spPr>
                                <a:xfrm>
                                  <a:off x="0" y="0"/>
                                  <a:ext cx="2118360" cy="1046480"/>
                                </a:xfrm>
                                <a:prstGeom prst="rect">
                                  <a:avLst/>
                                </a:prstGeom>
                                <a:noFill/>
                                <a:ln>
                                  <a:noFill/>
                                </a:ln>
                              </pic:spPr>
                            </pic:pic>
                          </a:graphicData>
                        </a:graphic>
                      </wp:inline>
                    </w:drawing>
                  </w:r>
                </w:p>
              </w:tc>
            </w:tr>
          </w:tbl>
          <w:p>
            <w:pPr>
              <w:keepNext w:val="0"/>
              <w:keepLines w:val="0"/>
              <w:pageBreakBefore w:val="0"/>
              <w:widowControl w:val="0"/>
              <w:kinsoku/>
              <w:overflowPunct/>
              <w:topLinePunct w:val="0"/>
              <w:bidi w:val="0"/>
              <w:snapToGrid/>
              <w:spacing w:line="360" w:lineRule="auto"/>
              <w:ind w:left="0"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综上所述，项目产生的固体废弃物对环境的影响较小。</w:t>
            </w:r>
          </w:p>
          <w:p>
            <w:pPr>
              <w:pStyle w:val="74"/>
              <w:keepNext w:val="0"/>
              <w:keepLines w:val="0"/>
              <w:pageBreakBefore w:val="0"/>
              <w:widowControl w:val="0"/>
              <w:kinsoku/>
              <w:overflowPunct/>
              <w:topLinePunct w:val="0"/>
              <w:bidi w:val="0"/>
              <w:snapToGrid/>
              <w:spacing w:line="360" w:lineRule="auto"/>
              <w:ind w:left="0" w:leftChars="0" w:firstLine="0" w:firstLineChars="0"/>
              <w:jc w:val="both"/>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一般工业固体废物管理要求</w:t>
            </w:r>
          </w:p>
          <w:p>
            <w:pPr>
              <w:numPr>
                <w:ilvl w:val="0"/>
                <w:numId w:val="4"/>
              </w:num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排污单位委托他人运输、利用、处置一般工业固体废物的，应落实《中华人民共和国固体废物污染环境防治法》等法律法规要求，对受托方的主体资格和技术能力进行核实，依法签订书面合同，在合同中约定污染防治要求等。</w:t>
            </w:r>
          </w:p>
          <w:p>
            <w:pPr>
              <w:numPr>
                <w:ilvl w:val="0"/>
                <w:numId w:val="4"/>
              </w:num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采用库房、包装工具（罐、桶、包装袋等）贮存一般工业固体废物的，贮存过程应满足相应防渗漏、防雨淋、防扬尘等环境保护要求；危险废物和生活垃圾不得进入一般工业固体废物贮存场及填埋场；不相容的一般工业固体废物应设置不同的分区进行贮存和填埋作业；焚烧处置设施的炉渣与飞灰应分别收集、贮存和运输；贮存场、填埋场应设置清晰、完整的一般工业固体废物标志牌等。排污单位生产运营期间一般工业固体废物自行贮存/利用/处置设施的环境管理和相关设施运行维护要求还应符合</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GB 15562.2-1995</w:t>
            </w:r>
            <w:r>
              <w:rPr>
                <w:rFonts w:hint="default" w:ascii="Times New Roman" w:hAnsi="Times New Roman" w:eastAsia="宋体" w:cs="Times New Roman"/>
                <w:color w:val="000000" w:themeColor="text1"/>
                <w:sz w:val="24"/>
                <w:highlight w:val="none"/>
                <w14:textFill>
                  <w14:solidFill>
                    <w14:schemeClr w14:val="tx1"/>
                  </w14:solidFill>
                </w14:textFill>
              </w:rPr>
              <w:t>、GB18599、GB30485和HJ2035等相关标准规范要求。</w:t>
            </w:r>
          </w:p>
          <w:p>
            <w:pPr>
              <w:numPr>
                <w:ilvl w:val="0"/>
                <w:numId w:val="0"/>
              </w:num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（3）根据《一般固体废物管理台账制定指南（试行）》中要求进行台账管理。</w:t>
            </w:r>
          </w:p>
          <w:p>
            <w:pPr>
              <w:numPr>
                <w:ilvl w:val="0"/>
                <w:numId w:val="0"/>
              </w:num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一般工业固体废物管理台账实施分级管理。</w:t>
            </w:r>
          </w:p>
          <w:p>
            <w:pPr>
              <w:numPr>
                <w:ilvl w:val="0"/>
                <w:numId w:val="0"/>
              </w:num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鼓励产废单位采用国家建立的一般工业固体废物管理电子台账，简化数据填写、台账管理等工作。地方和企业自行开发的电子台账要实现与国家系统对接。建立电子台账的产废单位，可不再记录纸质台账。</w:t>
            </w:r>
          </w:p>
          <w:p>
            <w:pPr>
              <w:numPr>
                <w:ilvl w:val="0"/>
                <w:numId w:val="0"/>
              </w:num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台账记录表各表单的负责人对记录信息的真实性、完整性和规范性负责。</w:t>
            </w:r>
          </w:p>
          <w:p>
            <w:pPr>
              <w:numPr>
                <w:ilvl w:val="0"/>
                <w:numId w:val="0"/>
              </w:num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产废单位应当设立专人负责台账的管理与归档，一般工业固体废物管理台账保存期限不少于5年。</w:t>
            </w:r>
          </w:p>
          <w:p>
            <w:pPr>
              <w:numPr>
                <w:ilvl w:val="0"/>
                <w:numId w:val="0"/>
              </w:numPr>
              <w:adjustRightInd w:val="0"/>
              <w:snapToGrid w:val="0"/>
              <w:spacing w:line="360" w:lineRule="auto"/>
              <w:ind w:firstLine="480" w:firstLineChars="200"/>
              <w:rPr>
                <w:rFonts w:hint="default"/>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鼓励有条件的产废单位在固体废物产生场所、贮存场所及磅秤位置等关键点位设置视频监控，提高台账记录信息的准确性。</w:t>
            </w:r>
          </w:p>
          <w:p>
            <w:pPr>
              <w:keepNext w:val="0"/>
              <w:keepLines w:val="0"/>
              <w:pageBreakBefore w:val="0"/>
              <w:widowControl w:val="0"/>
              <w:kinsoku/>
              <w:wordWrap/>
              <w:overflowPunct/>
              <w:topLinePunct w:val="0"/>
              <w:autoSpaceDE/>
              <w:autoSpaceDN/>
              <w:bidi w:val="0"/>
              <w:adjustRightInd/>
              <w:snapToGrid/>
              <w:spacing w:beforeLines="0" w:afterLines="0" w:line="360" w:lineRule="auto"/>
              <w:jc w:val="both"/>
              <w:textAlignment w:val="auto"/>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t>地下水、土壤环境</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（1）污染源、污染类型及污染途径</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本</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项目对地下水和土壤环境可能造成影响主要污染物为</w:t>
            </w:r>
            <w:r>
              <w:rPr>
                <w:rFonts w:hint="eastAsia" w:cs="Times New Roman"/>
                <w:bCs/>
                <w:color w:val="000000" w:themeColor="text1"/>
                <w:spacing w:val="0"/>
                <w:sz w:val="24"/>
                <w:szCs w:val="24"/>
                <w:highlight w:val="none"/>
                <w:lang w:val="en-US" w:eastAsia="zh-CN"/>
                <w14:textFill>
                  <w14:solidFill>
                    <w14:schemeClr w14:val="tx1"/>
                  </w14:solidFill>
                </w14:textFill>
              </w:rPr>
              <w:t>危险废物和油性漆</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泄漏</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后以渗透为主，</w:t>
            </w:r>
            <w:r>
              <w:rPr>
                <w:rFonts w:hint="eastAsia" w:cs="Times New Roman"/>
                <w:bCs/>
                <w:color w:val="000000" w:themeColor="text1"/>
                <w:spacing w:val="0"/>
                <w:sz w:val="24"/>
                <w:szCs w:val="24"/>
                <w:highlight w:val="none"/>
                <w:lang w:val="en-US" w:eastAsia="zh-CN"/>
                <w14:textFill>
                  <w14:solidFill>
                    <w14:schemeClr w14:val="tx1"/>
                  </w14:solidFill>
                </w14:textFill>
              </w:rPr>
              <w:t>有</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进入地下水层造成地下水水质污染和土壤污染的可能。</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本项目对地下水和土壤产生污染的途径主要为渗透污染。</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（2）分区防控措施</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根据本项目厂区可能泄漏至地面区域污染物的性质和生产单元的构筑方式，将厂区划分为重点污染防治区、一般污染防治区和简单防渗区。针对不同的区域提出相应的防渗要求。</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1）重点污染防治区：</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本项目重点防渗区为</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移动式危</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废暂存间、消防水池、</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喷漆车</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间</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、油性</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漆</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仓库</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对于重点污染防治区，参照《危险废物贮存污染控制标准》</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GB18597-20</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23）</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的要求进行防渗设计。并有防风、防雨、防晒等功能，现场配备灭火器、消防砂等消防器材。</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危</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废暂存间</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移动式危废暂存间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地面采用防静电硬质环氧树脂材料，防止静电以及防止液体渗漏。内部需要有引水槽，或者有防止</w:t>
            </w:r>
            <w:r>
              <w:rPr>
                <w:rFonts w:hint="eastAsia" w:cs="Times New Roman"/>
                <w:color w:val="000000" w:themeColor="text1"/>
                <w:kern w:val="2"/>
                <w:sz w:val="24"/>
                <w:szCs w:val="24"/>
                <w:highlight w:val="none"/>
                <w:lang w:val="en-US" w:eastAsia="zh-CN" w:bidi="ar-SA"/>
                <w14:textFill>
                  <w14:solidFill>
                    <w14:schemeClr w14:val="tx1"/>
                  </w14:solidFill>
                </w14:textFill>
              </w:rPr>
              <w:t>泄漏</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等回收装置(如类似托盘类有一定容积率的底座)。符合国家危险固废贮存场所的建设要求。</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both"/>
              <w:textAlignment w:val="auto"/>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一般污染防治区</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本项目一般污染防治区为</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其他厂房（除喷漆车间）</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一般污染区防渗要求：等效黏土层厚度≥1.5m，且经压实、人工改性等措施处理后的饱和渗透系数不应大于1.0×10</w:t>
            </w:r>
            <w:r>
              <w:rPr>
                <w:rFonts w:hint="default" w:ascii="Times New Roman" w:hAnsi="Times New Roman" w:eastAsia="宋体" w:cs="Times New Roman"/>
                <w:bCs/>
                <w:color w:val="000000" w:themeColor="text1"/>
                <w:spacing w:val="0"/>
                <w:sz w:val="24"/>
                <w:szCs w:val="24"/>
                <w:highlight w:val="none"/>
                <w:vertAlign w:val="superscript"/>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cm/s。使用其他</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黏土</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类防渗层材料时，应具有同等以上隔水效力</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both"/>
              <w:textAlignment w:val="auto"/>
              <w:rPr>
                <w:rFonts w:hint="default"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t>3）简单防渗区</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本项目简单防渗区是指不会对土壤和地下水造成污染的区域，主要包括厂内道路、绿化区等。对于基本上不产生污染物的</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简单防渗区</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，不采取专门针对地下水污染的防治措施。本项目对可能造成地下水、土壤污染影响的区域进行分类识别、分区防渗，见下表</w:t>
            </w:r>
            <w:r>
              <w:rPr>
                <w:rFonts w:hint="eastAsia" w:cs="Times New Roman"/>
                <w:bCs/>
                <w:color w:val="000000" w:themeColor="text1"/>
                <w:spacing w:val="0"/>
                <w:sz w:val="24"/>
                <w:szCs w:val="24"/>
                <w:highlight w:val="none"/>
                <w:lang w:val="en-US" w:eastAsia="zh-CN"/>
                <w14:textFill>
                  <w14:solidFill>
                    <w14:schemeClr w14:val="tx1"/>
                  </w14:solidFill>
                </w14:textFill>
              </w:rPr>
              <w:t>，分区防渗图见附图8</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422" w:firstLineChars="200"/>
              <w:jc w:val="center"/>
              <w:textAlignment w:val="auto"/>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sz w:val="21"/>
                <w:szCs w:val="21"/>
                <w:highlight w:val="none"/>
                <w:lang w:val="en-US" w:eastAsia="zh-CN"/>
                <w14:textFill>
                  <w14:solidFill>
                    <w14:schemeClr w14:val="tx1"/>
                  </w14:solidFill>
                </w14:textFill>
              </w:rPr>
              <w:t>表4-</w:t>
            </w:r>
            <w:r>
              <w:rPr>
                <w:rFonts w:hint="eastAsia" w:ascii="Times New Roman" w:hAnsi="Times New Roman" w:eastAsia="宋体" w:cs="Times New Roman"/>
                <w:b/>
                <w:bCs w:val="0"/>
                <w:color w:val="000000" w:themeColor="text1"/>
                <w:spacing w:val="0"/>
                <w:sz w:val="21"/>
                <w:szCs w:val="21"/>
                <w:highlight w:val="none"/>
                <w:lang w:val="en-US" w:eastAsia="zh-CN"/>
                <w14:textFill>
                  <w14:solidFill>
                    <w14:schemeClr w14:val="tx1"/>
                  </w14:solidFill>
                </w14:textFill>
              </w:rPr>
              <w:t>1</w:t>
            </w:r>
            <w:r>
              <w:rPr>
                <w:rFonts w:hint="eastAsia" w:cs="Times New Roman"/>
                <w:b/>
                <w:bCs w:val="0"/>
                <w:color w:val="000000" w:themeColor="text1"/>
                <w:spacing w:val="0"/>
                <w:sz w:val="21"/>
                <w:szCs w:val="21"/>
                <w:highlight w:val="none"/>
                <w:lang w:val="en-US" w:eastAsia="zh-CN"/>
                <w14:textFill>
                  <w14:solidFill>
                    <w14:schemeClr w14:val="tx1"/>
                  </w14:solidFill>
                </w14:textFill>
              </w:rPr>
              <w:t>5</w:t>
            </w:r>
            <w:r>
              <w:rPr>
                <w:rFonts w:hint="eastAsia" w:ascii="Times New Roman" w:hAnsi="Times New Roman" w:eastAsia="宋体" w:cs="Times New Roman"/>
                <w:b/>
                <w:bCs w:val="0"/>
                <w:color w:val="000000" w:themeColor="text1"/>
                <w:spacing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pacing w:val="0"/>
                <w:sz w:val="21"/>
                <w:szCs w:val="21"/>
                <w:highlight w:val="none"/>
                <w:lang w:val="en-US" w:eastAsia="zh-CN"/>
                <w14:textFill>
                  <w14:solidFill>
                    <w14:schemeClr w14:val="tx1"/>
                  </w14:solidFill>
                </w14:textFill>
              </w:rPr>
              <w:t>项目防渗分区识别表</w:t>
            </w:r>
          </w:p>
          <w:tbl>
            <w:tblPr>
              <w:tblStyle w:val="25"/>
              <w:tblW w:w="799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
              <w:gridCol w:w="1293"/>
              <w:gridCol w:w="727"/>
              <w:gridCol w:w="1119"/>
              <w:gridCol w:w="4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41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t>序号</w:t>
                  </w:r>
                </w:p>
              </w:tc>
              <w:tc>
                <w:tcPr>
                  <w:tcW w:w="129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t>装置（单元、设施）名称</w:t>
                  </w:r>
                </w:p>
              </w:tc>
              <w:tc>
                <w:tcPr>
                  <w:tcW w:w="72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t>防渗区域及部位</w:t>
                  </w:r>
                </w:p>
              </w:tc>
              <w:tc>
                <w:tcPr>
                  <w:tcW w:w="111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t>识别</w:t>
                  </w:r>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t>结果</w:t>
                  </w:r>
                </w:p>
              </w:tc>
              <w:tc>
                <w:tcPr>
                  <w:tcW w:w="444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t>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41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1</w:t>
                  </w:r>
                </w:p>
              </w:tc>
              <w:tc>
                <w:tcPr>
                  <w:tcW w:w="129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消防水池、</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喷漆车间</w:t>
                  </w: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油性</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漆</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仓库</w:t>
                  </w:r>
                </w:p>
              </w:tc>
              <w:tc>
                <w:tcPr>
                  <w:tcW w:w="72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地面</w:t>
                  </w:r>
                </w:p>
              </w:tc>
              <w:tc>
                <w:tcPr>
                  <w:tcW w:w="111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重点污染防治区</w:t>
                  </w:r>
                </w:p>
              </w:tc>
              <w:tc>
                <w:tcPr>
                  <w:tcW w:w="444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对水池池壁（或四周）和底部采用10</w:t>
                  </w: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15cm的钢筋水泥混凝土浇筑，并在池内涂环氧树脂防渗；地面采取15cm三合土铺底，再在上层用10</w:t>
                  </w: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15cm的水泥</w:t>
                  </w: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混凝土浇筑</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，涉及液态物料贮存场所同时设置围堰。等效黏</w:t>
                  </w: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土</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防渗层Mb≥6.0m，K≤10</w:t>
                  </w:r>
                  <w:r>
                    <w:rPr>
                      <w:rFonts w:hint="default" w:ascii="Times New Roman" w:hAnsi="Times New Roman" w:eastAsia="宋体" w:cs="Times New Roman"/>
                      <w:bCs/>
                      <w:color w:val="000000" w:themeColor="text1"/>
                      <w:spacing w:val="0"/>
                      <w:sz w:val="21"/>
                      <w:szCs w:val="21"/>
                      <w:highlight w:val="none"/>
                      <w:vertAlign w:val="superscript"/>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cm/s；或参照</w:t>
                  </w: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GB 18598-2019</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41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2</w:t>
                  </w:r>
                </w:p>
              </w:tc>
              <w:tc>
                <w:tcPr>
                  <w:tcW w:w="129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移动式危废暂存间</w:t>
                  </w:r>
                </w:p>
              </w:tc>
              <w:tc>
                <w:tcPr>
                  <w:tcW w:w="72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厂房</w:t>
                  </w:r>
                </w:p>
              </w:tc>
              <w:tc>
                <w:tcPr>
                  <w:tcW w:w="111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重点污染防治区</w:t>
                  </w:r>
                </w:p>
              </w:tc>
              <w:tc>
                <w:tcPr>
                  <w:tcW w:w="444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移动式危废暂存间</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地面采用防静电硬质环氧树脂材料，防止静电以及防止液体渗漏。内部需要有引水槽，或者有防止</w:t>
                  </w: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泄漏</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等回收装置(如类似托盘类有一定容积率的底座)。符合国家危险固废贮存场所的建设要求。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41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3</w:t>
                  </w:r>
                </w:p>
              </w:tc>
              <w:tc>
                <w:tcPr>
                  <w:tcW w:w="129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其他</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厂房</w:t>
                  </w: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（除喷漆车间）</w:t>
                  </w:r>
                </w:p>
              </w:tc>
              <w:tc>
                <w:tcPr>
                  <w:tcW w:w="72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厂房</w:t>
                  </w:r>
                </w:p>
              </w:tc>
              <w:tc>
                <w:tcPr>
                  <w:tcW w:w="111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一般</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污染防治区</w:t>
                  </w:r>
                </w:p>
              </w:tc>
              <w:tc>
                <w:tcPr>
                  <w:tcW w:w="444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等效黏土层厚度≥1.5m，K≤1×10-7cm/s（或参照</w:t>
                  </w: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GB 16889-2008</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1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4</w:t>
                  </w:r>
                </w:p>
              </w:tc>
              <w:tc>
                <w:tcPr>
                  <w:tcW w:w="129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sz w:val="21"/>
                      <w:szCs w:val="21"/>
                      <w:highlight w:val="none"/>
                      <w:vertAlign w:val="baseline"/>
                      <w:lang w:val="en-US" w:eastAsia="zh-CN" w:bidi="ar-SA"/>
                      <w14:textFill>
                        <w14:solidFill>
                          <w14:schemeClr w14:val="tx1"/>
                        </w14:solidFill>
                      </w14:textFill>
                    </w:rPr>
                    <w:t>综合楼、厂区道路</w:t>
                  </w:r>
                </w:p>
              </w:tc>
              <w:tc>
                <w:tcPr>
                  <w:tcW w:w="72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地面</w:t>
                  </w:r>
                </w:p>
              </w:tc>
              <w:tc>
                <w:tcPr>
                  <w:tcW w:w="111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简单防渗区</w:t>
                  </w:r>
                </w:p>
              </w:tc>
              <w:tc>
                <w:tcPr>
                  <w:tcW w:w="444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left"/>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地面采用混凝土硬化</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跟踪监测要求</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参照《排污单位自行监测技术指南总则》（HJ819-2017），涉重金属、难降解类有机污染物等重点</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排污单位</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厂界周边的土壤、地下水每年至少监测一次。根据《环境影响评价技术导则土壤环境（试行）》（HJ964</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2018），评价工作等级为一级的建设项目一般每3年内开展1次监测工作，二级的每5年内开展1次，三级的必要时可开展跟踪监测。</w:t>
            </w:r>
          </w:p>
          <w:p>
            <w:pPr>
              <w:widowControl/>
              <w:numPr>
                <w:ilvl w:val="0"/>
                <w:numId w:val="0"/>
              </w:numPr>
              <w:spacing w:line="360" w:lineRule="auto"/>
              <w:jc w:val="left"/>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环境风险评价</w:t>
            </w:r>
          </w:p>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480" w:firstLineChars="200"/>
              <w:textAlignment w:val="auto"/>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本次评价以《建设项目环境风险评价技术导则》（HJ169-2018）为指导，本评价按照上述文件及风险评价导则的相关要求，采用风险识别、风险分析和对环境后果计算等方法进行环境风险评价，了解其环境风险的可接受程度，提出减少风险的事故应急措施及社会应急预案，为工程设计和环境管理提供资料和依据，以达到降低危险，减少危害的目的。</w:t>
            </w:r>
          </w:p>
          <w:p>
            <w:pPr>
              <w:keepNext w:val="0"/>
              <w:keepLines w:val="0"/>
              <w:pageBreakBefore w:val="0"/>
              <w:widowControl w:val="0"/>
              <w:kinsoku/>
              <w:wordWrap/>
              <w:overflowPunct/>
              <w:topLinePunct w:val="0"/>
              <w:autoSpaceDE/>
              <w:autoSpaceDN/>
              <w:bidi w:val="0"/>
              <w:adjustRightInd/>
              <w:snapToGrid/>
              <w:spacing w:beforeLines="0" w:afterLines="0" w:line="360" w:lineRule="auto"/>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6</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.1 评价依据</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1）风险调查</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本项目生产过程中所涉及的易燃有害物质根据《建设项目环境风险评价技术导则》（HJ169-2018）表B.1、B.2突发环境事件风险物质及临界量。</w:t>
            </w:r>
            <w:r>
              <w:rPr>
                <w:rFonts w:hint="eastAsia" w:cs="Times New Roman"/>
                <w:bCs/>
                <w:color w:val="000000" w:themeColor="text1"/>
                <w:spacing w:val="0"/>
                <w:sz w:val="24"/>
                <w:szCs w:val="24"/>
                <w:highlight w:val="none"/>
                <w:lang w:val="en-US" w:eastAsia="zh-CN"/>
                <w14:textFill>
                  <w14:solidFill>
                    <w14:schemeClr w14:val="tx1"/>
                  </w14:solidFill>
                </w14:textFill>
              </w:rPr>
              <w:t>本项目风险</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因素</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生产过程中</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泄漏、发生火灾等，环境风险评价主要针对生产过程中存在的风险因素进行分析。</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2）风险潜势初判</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①环境风险潜势划分</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建设项目环境风险潜势划分为Ⅰ、Ⅱ、Ⅲ、IV/IV+级。根据建设项目涉及的物质和工艺系统危险性其所在地环境敏感程度，结合是根据建设项目涉及的物质和工艺系统危险性其所在地环境敏感程度，结合事故情形下影响途径，对建设项目潜在环境危害程度进行概括化分析，按照表4-</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1</w:t>
            </w:r>
            <w:r>
              <w:rPr>
                <w:rFonts w:hint="eastAsia" w:cs="Times New Roman"/>
                <w:bCs/>
                <w:color w:val="000000" w:themeColor="text1"/>
                <w:spacing w:val="0"/>
                <w:sz w:val="24"/>
                <w:szCs w:val="24"/>
                <w:highlight w:val="none"/>
                <w:lang w:val="en-US" w:eastAsia="zh-CN"/>
                <w14:textFill>
                  <w14:solidFill>
                    <w14:schemeClr w14:val="tx1"/>
                  </w14:solidFill>
                </w14:textFill>
              </w:rPr>
              <w:t>6</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确定环境风险潜势。</w:t>
            </w:r>
          </w:p>
          <w:p>
            <w:pPr>
              <w:widowControl/>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表</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4-</w:t>
            </w: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1</w:t>
            </w:r>
            <w:r>
              <w:rPr>
                <w:rFonts w:hint="eastAsia" w:cs="Times New Roman"/>
                <w:b/>
                <w:bCs/>
                <w:color w:val="000000" w:themeColor="text1"/>
                <w:kern w:val="0"/>
                <w:sz w:val="21"/>
                <w:szCs w:val="21"/>
                <w:highlight w:val="none"/>
                <w:lang w:val="en-US" w:eastAsia="zh-CN"/>
                <w14:textFill>
                  <w14:solidFill>
                    <w14:schemeClr w14:val="tx1"/>
                  </w14:solidFill>
                </w14:textFill>
              </w:rPr>
              <w:t>6</w:t>
            </w: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建设项目环境风险潜势划分依据</w:t>
            </w:r>
          </w:p>
          <w:tbl>
            <w:tblPr>
              <w:tblStyle w:val="24"/>
              <w:tblW w:w="4999"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22"/>
              <w:gridCol w:w="1542"/>
              <w:gridCol w:w="1258"/>
              <w:gridCol w:w="1431"/>
              <w:gridCol w:w="12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528" w:type="pct"/>
                  <w:vMerge w:val="restart"/>
                  <w:tcBorders>
                    <w:bottom w:val="single" w:color="000000" w:sz="4" w:space="0"/>
                    <w:right w:val="single" w:color="000000"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环境敏感程度（E）</w:t>
                  </w:r>
                </w:p>
              </w:tc>
              <w:tc>
                <w:tcPr>
                  <w:tcW w:w="3471" w:type="pct"/>
                  <w:gridSpan w:val="4"/>
                  <w:tcBorders>
                    <w:left w:val="single" w:color="000000" w:sz="4" w:space="0"/>
                    <w:bottom w:val="single" w:color="000000"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危险物质及工艺系统危险性（P）</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528" w:type="pct"/>
                  <w:vMerge w:val="continue"/>
                  <w:tcBorders>
                    <w:top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973" w:type="pct"/>
                  <w:tcBorders>
                    <w:top w:val="single" w:color="000000" w:sz="4" w:space="0"/>
                    <w:left w:val="single" w:color="000000" w:sz="4" w:space="0"/>
                    <w:bottom w:val="single" w:color="000000" w:sz="4" w:space="0"/>
                    <w:right w:val="single" w:color="000000"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极高危害（</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P1</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高度危害（</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P</w:t>
                  </w:r>
                  <w:r>
                    <w:rPr>
                      <w:rFonts w:hint="eastAsia" w:ascii="Times New Roman" w:hAnsi="Times New Roman" w:cs="Times New Roman"/>
                      <w:b/>
                      <w:bCs/>
                      <w:color w:val="000000" w:themeColor="text1"/>
                      <w:sz w:val="21"/>
                      <w:szCs w:val="21"/>
                      <w:highlight w:val="none"/>
                      <w:lang w:eastAsia="zh-CN"/>
                      <w14:textFill>
                        <w14:solidFill>
                          <w14:schemeClr w14:val="tx1"/>
                        </w14:solidFill>
                      </w14:textFill>
                    </w:rPr>
                    <w:t>2</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中度危害（</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P</w:t>
                  </w:r>
                  <w:r>
                    <w:rPr>
                      <w:rFonts w:hint="eastAsia" w:ascii="Times New Roman" w:hAnsi="Times New Roman" w:cs="Times New Roman"/>
                      <w:b/>
                      <w:bCs/>
                      <w:color w:val="000000" w:themeColor="text1"/>
                      <w:sz w:val="21"/>
                      <w:szCs w:val="21"/>
                      <w:highlight w:val="none"/>
                      <w:lang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800" w:type="pct"/>
                  <w:tcBorders>
                    <w:top w:val="single" w:color="000000" w:sz="4" w:space="0"/>
                    <w:left w:val="single" w:color="000000" w:sz="4" w:space="0"/>
                    <w:bottom w:val="single" w:color="000000"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轻度危害（</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P</w:t>
                  </w:r>
                  <w:r>
                    <w:rPr>
                      <w:rFonts w:hint="eastAsia" w:ascii="Times New Roman" w:hAnsi="Times New Roman" w:cs="Times New Roman"/>
                      <w:b/>
                      <w:bCs/>
                      <w:color w:val="000000" w:themeColor="text1"/>
                      <w:sz w:val="21"/>
                      <w:szCs w:val="21"/>
                      <w:highlight w:val="none"/>
                      <w:lang w:eastAsia="zh-CN"/>
                      <w14:textFill>
                        <w14:solidFill>
                          <w14:schemeClr w14:val="tx1"/>
                        </w14:solidFill>
                      </w14:textFill>
                    </w:rPr>
                    <w:t>4</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528" w:type="pct"/>
                  <w:tcBorders>
                    <w:top w:val="single" w:color="000000" w:sz="4" w:space="0"/>
                    <w:bottom w:val="single" w:color="000000" w:sz="4" w:space="0"/>
                    <w:right w:val="single" w:color="000000"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环境高度敏感区（E1）</w:t>
                  </w:r>
                </w:p>
              </w:tc>
              <w:tc>
                <w:tcPr>
                  <w:tcW w:w="973" w:type="pct"/>
                  <w:tcBorders>
                    <w:top w:val="single" w:color="000000" w:sz="4" w:space="0"/>
                    <w:left w:val="single" w:color="000000" w:sz="4" w:space="0"/>
                    <w:bottom w:val="single" w:color="000000" w:sz="4" w:space="0"/>
                    <w:right w:val="single" w:color="000000"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7"/>
                      <w:sz w:val="21"/>
                      <w:szCs w:val="21"/>
                      <w:highlight w:val="none"/>
                      <w14:textFill>
                        <w14:solidFill>
                          <w14:schemeClr w14:val="tx1"/>
                        </w14:solidFill>
                      </w14:textFill>
                    </w:rPr>
                    <w:t>Ⅳ</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Ⅳ</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Ⅲ</w:t>
                  </w:r>
                </w:p>
              </w:tc>
              <w:tc>
                <w:tcPr>
                  <w:tcW w:w="800" w:type="pct"/>
                  <w:tcBorders>
                    <w:top w:val="single" w:color="000000" w:sz="4" w:space="0"/>
                    <w:left w:val="single" w:color="000000" w:sz="4" w:space="0"/>
                    <w:bottom w:val="single" w:color="000000"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528" w:type="pct"/>
                  <w:tcBorders>
                    <w:top w:val="single" w:color="000000" w:sz="4" w:space="0"/>
                    <w:bottom w:val="single" w:color="000000" w:sz="4" w:space="0"/>
                    <w:right w:val="single" w:color="000000"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环境中度敏感区（E2）</w:t>
                  </w:r>
                </w:p>
              </w:tc>
              <w:tc>
                <w:tcPr>
                  <w:tcW w:w="973" w:type="pct"/>
                  <w:tcBorders>
                    <w:top w:val="single" w:color="000000" w:sz="4" w:space="0"/>
                    <w:left w:val="single" w:color="000000" w:sz="4" w:space="0"/>
                    <w:bottom w:val="single" w:color="000000" w:sz="4" w:space="0"/>
                    <w:right w:val="single" w:color="000000"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Ⅳ</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Ⅲ</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Ⅲ</w:t>
                  </w:r>
                </w:p>
              </w:tc>
              <w:tc>
                <w:tcPr>
                  <w:tcW w:w="800" w:type="pct"/>
                  <w:tcBorders>
                    <w:top w:val="single" w:color="000000" w:sz="4" w:space="0"/>
                    <w:left w:val="single" w:color="000000" w:sz="4" w:space="0"/>
                    <w:bottom w:val="single" w:color="000000"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528" w:type="pct"/>
                  <w:tcBorders>
                    <w:top w:val="single" w:color="000000" w:sz="4" w:space="0"/>
                    <w:bottom w:val="single" w:color="000000" w:sz="4" w:space="0"/>
                    <w:right w:val="single" w:color="000000"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环境低度敏感区（E3）</w:t>
                  </w:r>
                </w:p>
              </w:tc>
              <w:tc>
                <w:tcPr>
                  <w:tcW w:w="973" w:type="pct"/>
                  <w:tcBorders>
                    <w:top w:val="single" w:color="000000" w:sz="4" w:space="0"/>
                    <w:left w:val="single" w:color="000000" w:sz="4" w:space="0"/>
                    <w:bottom w:val="single" w:color="000000" w:sz="4" w:space="0"/>
                    <w:right w:val="single" w:color="000000"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Ⅲ</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Ⅲ</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Ⅱ</w:t>
                  </w:r>
                </w:p>
              </w:tc>
              <w:tc>
                <w:tcPr>
                  <w:tcW w:w="800" w:type="pct"/>
                  <w:tcBorders>
                    <w:top w:val="single" w:color="000000" w:sz="4" w:space="0"/>
                    <w:left w:val="single" w:color="000000" w:sz="4" w:space="0"/>
                    <w:bottom w:val="single" w:color="000000"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000" w:type="pct"/>
                  <w:gridSpan w:val="5"/>
                  <w:tcBorders>
                    <w:top w:val="single" w:color="000000"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注：Ⅳ</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为极高环境风险。</w:t>
                  </w:r>
                </w:p>
              </w:tc>
            </w:tr>
          </w:tbl>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drawing>
                <wp:anchor distT="0" distB="0" distL="114300" distR="114300" simplePos="0" relativeHeight="251659264" behindDoc="1" locked="0" layoutInCell="1" allowOverlap="1">
                  <wp:simplePos x="0" y="0"/>
                  <wp:positionH relativeFrom="column">
                    <wp:posOffset>1731645</wp:posOffset>
                  </wp:positionH>
                  <wp:positionV relativeFrom="paragraph">
                    <wp:posOffset>571500</wp:posOffset>
                  </wp:positionV>
                  <wp:extent cx="1551940" cy="528955"/>
                  <wp:effectExtent l="0" t="0" r="10160" b="4445"/>
                  <wp:wrapNone/>
                  <wp:docPr id="24" name="图片 2" descr="wp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wps13"/>
                          <pic:cNvPicPr>
                            <a:picLocks noChangeAspect="1"/>
                          </pic:cNvPicPr>
                        </pic:nvPicPr>
                        <pic:blipFill>
                          <a:blip r:embed="rId27"/>
                          <a:stretch>
                            <a:fillRect/>
                          </a:stretch>
                        </pic:blipFill>
                        <pic:spPr>
                          <a:xfrm>
                            <a:off x="0" y="0"/>
                            <a:ext cx="1551940" cy="528955"/>
                          </a:xfrm>
                          <a:prstGeom prst="rect">
                            <a:avLst/>
                          </a:prstGeom>
                          <a:noFill/>
                          <a:ln>
                            <a:noFill/>
                          </a:ln>
                        </pic:spPr>
                      </pic:pic>
                    </a:graphicData>
                  </a:graphic>
                </wp:anchor>
              </w:drawing>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②危险物质及工艺系统危险性（P）的分级确定危险物质数量与临界量比值（Q）：</w:t>
            </w:r>
          </w:p>
          <w:p>
            <w:pPr>
              <w:pStyle w:val="78"/>
              <w:spacing w:after="240" w:line="470" w:lineRule="exact"/>
              <w:ind w:left="0" w:leftChars="0" w:firstLine="0" w:firstLineChars="0"/>
              <w:rPr>
                <w:rFonts w:hint="default" w:ascii="Times New Roman" w:hAnsi="Times New Roman" w:eastAsia="宋体" w:cs="Times New Roman"/>
                <w:color w:val="000000" w:themeColor="text1"/>
                <w:sz w:val="24"/>
                <w:szCs w:val="24"/>
                <w:highlight w:val="none"/>
                <w14:textFill>
                  <w14:solidFill>
                    <w14:schemeClr w14:val="tx1"/>
                  </w14:solidFill>
                </w14:textFill>
              </w:rPr>
            </w:pP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按照《建设项目环境风险评价技术导则》（HJ169-2018）附录B，结合各种物质的理化性质及毒理毒性，可识别出本项目的危险物质及临界量。根据下式计算危险物质及临界量的比值Q：</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式中：</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qi，q2，…，qn——每种危险物质的最大存在总量，t；</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Qi，Q2，…，Qn</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b/>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每种危险物质的临界量，t。</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当Q＜1时，该项目环境风险潜势为Ⅰ。</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当Q≥1时，将Q值划分为：</w:t>
            </w:r>
          </w:p>
          <w:p>
            <w:pPr>
              <w:pStyle w:val="74"/>
              <w:ind w:firstLine="48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（1）1≤Q＜10；（2）10≤Q＜100；（3）Q≥100。</w:t>
            </w:r>
          </w:p>
          <w:p>
            <w:pPr>
              <w:pStyle w:val="79"/>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表4-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危险物质生产单元及贮存单元物质量一览表</w:t>
            </w:r>
          </w:p>
          <w:tbl>
            <w:tblPr>
              <w:tblStyle w:val="24"/>
              <w:tblW w:w="499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651"/>
              <w:gridCol w:w="2211"/>
              <w:gridCol w:w="1572"/>
              <w:gridCol w:w="1735"/>
              <w:gridCol w:w="176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jc w:val="center"/>
              </w:trPr>
              <w:tc>
                <w:tcPr>
                  <w:tcW w:w="410" w:type="pct"/>
                  <w:tcBorders>
                    <w:top w:val="single" w:color="auto" w:sz="4" w:space="0"/>
                    <w:left w:val="single" w:color="auto" w:sz="4" w:space="0"/>
                    <w:bottom w:val="nil"/>
                    <w:right w:val="nil"/>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1393" w:type="pct"/>
                  <w:tcBorders>
                    <w:top w:val="single" w:color="auto" w:sz="4" w:space="0"/>
                    <w:left w:val="single" w:color="auto" w:sz="4" w:space="0"/>
                    <w:bottom w:val="nil"/>
                    <w:right w:val="nil"/>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物质名称</w:t>
                  </w:r>
                </w:p>
              </w:tc>
              <w:tc>
                <w:tcPr>
                  <w:tcW w:w="991" w:type="pct"/>
                  <w:tcBorders>
                    <w:top w:val="single" w:color="auto" w:sz="4" w:space="0"/>
                    <w:left w:val="single" w:color="auto" w:sz="4" w:space="0"/>
                    <w:bottom w:val="nil"/>
                    <w:right w:val="nil"/>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储存量</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093" w:type="pct"/>
                  <w:tcBorders>
                    <w:top w:val="single" w:color="auto" w:sz="4" w:space="0"/>
                    <w:left w:val="single" w:color="auto" w:sz="4" w:space="0"/>
                    <w:bottom w:val="nil"/>
                    <w:right w:val="nil"/>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临界量</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110" w:type="pct"/>
                  <w:tcBorders>
                    <w:top w:val="single" w:color="auto" w:sz="4" w:space="0"/>
                    <w:left w:val="single" w:color="auto" w:sz="4" w:space="0"/>
                    <w:bottom w:val="nil"/>
                    <w:right w:val="single" w:color="auto"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qn/Qn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jc w:val="center"/>
              </w:trPr>
              <w:tc>
                <w:tcPr>
                  <w:tcW w:w="410" w:type="pct"/>
                  <w:tcBorders>
                    <w:top w:val="single" w:color="auto" w:sz="4" w:space="0"/>
                    <w:left w:val="single" w:color="auto" w:sz="4" w:space="0"/>
                    <w:bottom w:val="single" w:color="auto" w:sz="4" w:space="0"/>
                    <w:right w:val="nil"/>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393" w:type="pct"/>
                  <w:tcBorders>
                    <w:top w:val="single" w:color="auto" w:sz="4" w:space="0"/>
                    <w:left w:val="single" w:color="auto" w:sz="4" w:space="0"/>
                    <w:bottom w:val="single" w:color="auto" w:sz="4" w:space="0"/>
                    <w:right w:val="nil"/>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 xml:space="preserve">废空压机油、废机油 </w:t>
                  </w:r>
                </w:p>
              </w:tc>
              <w:tc>
                <w:tcPr>
                  <w:tcW w:w="991" w:type="pct"/>
                  <w:tcBorders>
                    <w:top w:val="single" w:color="auto" w:sz="4" w:space="0"/>
                    <w:left w:val="single" w:color="auto" w:sz="4" w:space="0"/>
                    <w:bottom w:val="single" w:color="auto" w:sz="4" w:space="0"/>
                    <w:right w:val="nil"/>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0.1</w:t>
                  </w:r>
                </w:p>
              </w:tc>
              <w:tc>
                <w:tcPr>
                  <w:tcW w:w="1093" w:type="pct"/>
                  <w:tcBorders>
                    <w:top w:val="single" w:color="auto" w:sz="4" w:space="0"/>
                    <w:left w:val="single" w:color="auto" w:sz="4" w:space="0"/>
                    <w:bottom w:val="single" w:color="auto" w:sz="4" w:space="0"/>
                    <w:right w:val="nil"/>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2500</w:t>
                  </w:r>
                </w:p>
              </w:tc>
              <w:tc>
                <w:tcPr>
                  <w:tcW w:w="1110" w:type="pct"/>
                  <w:tcBorders>
                    <w:top w:val="single" w:color="auto" w:sz="4" w:space="0"/>
                    <w:left w:val="single" w:color="auto" w:sz="4" w:space="0"/>
                    <w:bottom w:val="single" w:color="auto" w:sz="4" w:space="0"/>
                    <w:right w:val="single" w:color="auto"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w:t>
                  </w:r>
                  <w:r>
                    <w:rPr>
                      <w:rFonts w:hint="default" w:ascii="Arial" w:hAnsi="Arial" w:cs="Arial"/>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jc w:val="center"/>
              </w:trPr>
              <w:tc>
                <w:tcPr>
                  <w:tcW w:w="410" w:type="pct"/>
                  <w:tcBorders>
                    <w:top w:val="single" w:color="auto" w:sz="4" w:space="0"/>
                    <w:left w:val="single" w:color="auto" w:sz="4" w:space="0"/>
                    <w:bottom w:val="single" w:color="auto" w:sz="4" w:space="0"/>
                    <w:right w:val="nil"/>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1393" w:type="pct"/>
                  <w:tcBorders>
                    <w:top w:val="single" w:color="auto" w:sz="4" w:space="0"/>
                    <w:left w:val="single" w:color="auto" w:sz="4" w:space="0"/>
                    <w:bottom w:val="single" w:color="auto" w:sz="4" w:space="0"/>
                    <w:right w:val="nil"/>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油性漆、稀释剂、固化剂</w:t>
                  </w:r>
                </w:p>
              </w:tc>
              <w:tc>
                <w:tcPr>
                  <w:tcW w:w="991" w:type="pct"/>
                  <w:tcBorders>
                    <w:top w:val="single" w:color="auto" w:sz="4" w:space="0"/>
                    <w:left w:val="single" w:color="auto" w:sz="4" w:space="0"/>
                    <w:bottom w:val="single" w:color="auto" w:sz="4" w:space="0"/>
                    <w:right w:val="nil"/>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0.5</w:t>
                  </w:r>
                </w:p>
              </w:tc>
              <w:tc>
                <w:tcPr>
                  <w:tcW w:w="1093" w:type="pct"/>
                  <w:tcBorders>
                    <w:top w:val="single" w:color="auto" w:sz="4" w:space="0"/>
                    <w:left w:val="single" w:color="auto" w:sz="4" w:space="0"/>
                    <w:bottom w:val="single" w:color="auto" w:sz="4" w:space="0"/>
                    <w:right w:val="nil"/>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1000</w:t>
                  </w:r>
                </w:p>
              </w:tc>
              <w:tc>
                <w:tcPr>
                  <w:tcW w:w="1110" w:type="pct"/>
                  <w:tcBorders>
                    <w:top w:val="single" w:color="auto" w:sz="4" w:space="0"/>
                    <w:left w:val="single" w:color="auto" w:sz="4" w:space="0"/>
                    <w:bottom w:val="single" w:color="auto" w:sz="4" w:space="0"/>
                    <w:right w:val="single" w:color="auto"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0.0005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54"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油性漆为易燃液体，属于WS5.3类，根据《危险化学品重大危险源辨识》(GB18218-2018)，临界量取1000t。</w:t>
                  </w:r>
                </w:p>
              </w:tc>
            </w:tr>
          </w:tbl>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根据表4-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中对项目风险物质的Q值的统计，本项目危险物质及临界量的比值Q值为</w:t>
            </w:r>
            <w:r>
              <w:rPr>
                <w:rFonts w:hint="eastAsia" w:cs="Times New Roman"/>
                <w:color w:val="000000" w:themeColor="text1"/>
                <w:sz w:val="24"/>
                <w:szCs w:val="24"/>
                <w:highlight w:val="none"/>
                <w:lang w:val="en-US" w:eastAsia="zh-CN"/>
                <w14:textFill>
                  <w14:solidFill>
                    <w14:schemeClr w14:val="tx1"/>
                  </w14:solidFill>
                </w14:textFill>
              </w:rPr>
              <w:t>0.00054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，因为Q＜1，所以直接判定该项目环境风险潜势为Ⅰ。</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3）评价等级</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依据《建设项目环境风险评价技术导则》（HJ169-2018）中关于风险评价工作等级的判定依据，评价工作级别按表4-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划分：</w:t>
            </w:r>
          </w:p>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表4-</w:t>
            </w: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1</w:t>
            </w:r>
            <w:r>
              <w:rPr>
                <w:rFonts w:hint="eastAsia" w:cs="Times New Roman"/>
                <w:b/>
                <w:bCs/>
                <w:color w:val="000000" w:themeColor="text1"/>
                <w:kern w:val="0"/>
                <w:sz w:val="21"/>
                <w:szCs w:val="21"/>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评价工作级别表</w:t>
            </w:r>
          </w:p>
          <w:tbl>
            <w:tblPr>
              <w:tblStyle w:val="24"/>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1834"/>
              <w:gridCol w:w="1671"/>
              <w:gridCol w:w="1477"/>
              <w:gridCol w:w="1560"/>
              <w:gridCol w:w="139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40" w:hRule="atLeast"/>
                <w:jc w:val="center"/>
              </w:trPr>
              <w:tc>
                <w:tcPr>
                  <w:tcW w:w="1156" w:type="pct"/>
                  <w:tcBorders>
                    <w:top w:val="single" w:color="auto" w:sz="4" w:space="0"/>
                    <w:left w:val="single" w:color="auto" w:sz="4" w:space="0"/>
                    <w:bottom w:val="nil"/>
                    <w:right w:val="nil"/>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环境风险潜势</w:t>
                  </w:r>
                </w:p>
              </w:tc>
              <w:tc>
                <w:tcPr>
                  <w:tcW w:w="1053" w:type="pct"/>
                  <w:tcBorders>
                    <w:top w:val="single" w:color="auto" w:sz="4" w:space="0"/>
                    <w:left w:val="single" w:color="auto" w:sz="4" w:space="0"/>
                    <w:bottom w:val="nil"/>
                    <w:right w:val="nil"/>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VI、VI+</w:t>
                  </w:r>
                </w:p>
              </w:tc>
              <w:tc>
                <w:tcPr>
                  <w:tcW w:w="931" w:type="pct"/>
                  <w:tcBorders>
                    <w:top w:val="single" w:color="auto" w:sz="4" w:space="0"/>
                    <w:left w:val="single" w:color="auto" w:sz="4" w:space="0"/>
                    <w:bottom w:val="nil"/>
                    <w:right w:val="nil"/>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III</w:t>
                  </w:r>
                </w:p>
              </w:tc>
              <w:tc>
                <w:tcPr>
                  <w:tcW w:w="983" w:type="pct"/>
                  <w:tcBorders>
                    <w:top w:val="single" w:color="auto" w:sz="4" w:space="0"/>
                    <w:left w:val="single" w:color="auto" w:sz="4" w:space="0"/>
                    <w:bottom w:val="nil"/>
                    <w:right w:val="nil"/>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II</w:t>
                  </w:r>
                </w:p>
              </w:tc>
              <w:tc>
                <w:tcPr>
                  <w:tcW w:w="874" w:type="pct"/>
                  <w:tcBorders>
                    <w:top w:val="single" w:color="auto" w:sz="4" w:space="0"/>
                    <w:left w:val="single" w:color="auto" w:sz="4" w:space="0"/>
                    <w:bottom w:val="nil"/>
                    <w:right w:val="single" w:color="auto"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I</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40" w:hRule="atLeast"/>
                <w:jc w:val="center"/>
              </w:trPr>
              <w:tc>
                <w:tcPr>
                  <w:tcW w:w="1156" w:type="pct"/>
                  <w:tcBorders>
                    <w:top w:val="single" w:color="auto" w:sz="4" w:space="0"/>
                    <w:left w:val="single" w:color="auto" w:sz="4" w:space="0"/>
                    <w:bottom w:val="single" w:color="auto" w:sz="4" w:space="0"/>
                    <w:right w:val="nil"/>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环境风险评价等级</w:t>
                  </w:r>
                </w:p>
              </w:tc>
              <w:tc>
                <w:tcPr>
                  <w:tcW w:w="1053" w:type="pct"/>
                  <w:tcBorders>
                    <w:top w:val="single" w:color="auto" w:sz="4" w:space="0"/>
                    <w:left w:val="single" w:color="auto" w:sz="4" w:space="0"/>
                    <w:bottom w:val="single" w:color="auto" w:sz="4" w:space="0"/>
                    <w:right w:val="nil"/>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w:t>
                  </w:r>
                </w:p>
              </w:tc>
              <w:tc>
                <w:tcPr>
                  <w:tcW w:w="931" w:type="pct"/>
                  <w:tcBorders>
                    <w:top w:val="single" w:color="auto" w:sz="4" w:space="0"/>
                    <w:left w:val="single" w:color="auto" w:sz="4" w:space="0"/>
                    <w:bottom w:val="single" w:color="auto" w:sz="4" w:space="0"/>
                    <w:right w:val="nil"/>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w:t>
                  </w:r>
                </w:p>
              </w:tc>
              <w:tc>
                <w:tcPr>
                  <w:tcW w:w="983" w:type="pct"/>
                  <w:tcBorders>
                    <w:top w:val="single" w:color="auto" w:sz="4" w:space="0"/>
                    <w:left w:val="single" w:color="auto" w:sz="4" w:space="0"/>
                    <w:bottom w:val="single" w:color="auto" w:sz="4" w:space="0"/>
                    <w:right w:val="nil"/>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w:t>
                  </w:r>
                </w:p>
              </w:tc>
              <w:tc>
                <w:tcPr>
                  <w:tcW w:w="874" w:type="pct"/>
                  <w:tcBorders>
                    <w:top w:val="single" w:color="auto" w:sz="4" w:space="0"/>
                    <w:left w:val="single" w:color="auto" w:sz="4" w:space="0"/>
                    <w:bottom w:val="single" w:color="auto" w:sz="4" w:space="0"/>
                    <w:right w:val="single" w:color="auto"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简单分析a</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40"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a是相对于详细评价工作内容而言，在描述危险物质、环境影响途径、环境危害后果、风险防范措施等方面给出定性的说明。</w:t>
                  </w:r>
                </w:p>
              </w:tc>
            </w:tr>
          </w:tbl>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根据表4-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风险评价工作级别划分依据，环境风险评价工作等级为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简单分析</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Style w:val="74"/>
              <w:ind w:left="0" w:leftChars="0" w:firstLine="0" w:firstLineChars="0"/>
              <w:jc w:val="both"/>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环境风险识别</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泄漏发生火灾、爆炸事故</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生产过程及储运过程中设备储桶、运输容器等均有可能导致物质的释放与泄漏，发生毒害、火灾或爆炸事故。本项目</w:t>
            </w:r>
            <w:r>
              <w:rPr>
                <w:rFonts w:hint="eastAsia" w:cs="Times New Roman"/>
                <w:color w:val="000000" w:themeColor="text1"/>
                <w:kern w:val="2"/>
                <w:sz w:val="24"/>
                <w:szCs w:val="24"/>
                <w:highlight w:val="none"/>
                <w:lang w:val="en-US" w:eastAsia="zh-CN" w:bidi="ar-SA"/>
                <w14:textFill>
                  <w14:solidFill>
                    <w14:schemeClr w14:val="tx1"/>
                  </w14:solidFill>
                </w14:textFill>
              </w:rPr>
              <w:t>油性</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一旦泄漏易造成火灾爆炸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通过环境空气影响敏感点。</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废水下渗事故</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本项目设置有</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仓库</w:t>
            </w:r>
            <w:r>
              <w:rPr>
                <w:rFonts w:hint="eastAsia" w:cs="Times New Roman"/>
                <w:color w:val="000000" w:themeColor="text1"/>
                <w:sz w:val="24"/>
                <w:szCs w:val="24"/>
                <w:highlight w:val="none"/>
                <w:lang w:val="en-US" w:eastAsia="zh-CN"/>
                <w14:textFill>
                  <w14:solidFill>
                    <w14:schemeClr w14:val="tx1"/>
                  </w14:solidFill>
                </w14:textFill>
              </w:rPr>
              <w:t>、移动式危废暂存间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，若无完善的防渗处理措施，存在危险废物和油性漆下渗、污染地下水环境的风险。</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事故次生/伴生污染影响分析</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本项目生产装置区或储运区在发生火灾爆炸事故时，可能的次生危险性主要包括救火过程产生的消防污水如没有得到有效控制，可能会进入雨水系统，造成排水区域的水体污染。</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同时火灾爆炸后破坏地表覆盖物，会有部分液体物料、受污染消防水进入土壤，甚至污染地下水。大气污染物主要为燃烧不充分的情况下，产生的CO、SO</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、氮氧化物和少量烟尘，对大气环境会造成局部污染。</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危险废物储运过程中环境风险</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Calibri" w:hAnsi="Calibri" w:eastAsia="宋体" w:cs="Calibri"/>
                <w:color w:val="000000" w:themeColor="text1"/>
                <w:sz w:val="24"/>
                <w:szCs w:val="24"/>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危险废物储存过程中的环境风险</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本项目产生危险废物暂存于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移动式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危废暂存间，危废暂存间进行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防渗处理，但在考虑极端情况发生的情况下，本项目危废暂存间在防渗结构遭到破坏后，可能因危险废物中的有机物下渗对造成地下水环境、土壤环境污染。</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Calibri" w:hAnsi="Calibri" w:eastAsia="宋体" w:cs="Calibri"/>
                <w:color w:val="000000" w:themeColor="text1"/>
                <w:sz w:val="24"/>
                <w:szCs w:val="24"/>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危险废物运输过程中的环境风险</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厂区危险废物需以专用车辆以公路运输的形式运输到具有危险废物处置资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660288" behindDoc="0" locked="0" layoutInCell="0" allowOverlap="1">
                      <wp:simplePos x="0" y="0"/>
                      <wp:positionH relativeFrom="page">
                        <wp:posOffset>1143000</wp:posOffset>
                      </wp:positionH>
                      <wp:positionV relativeFrom="page">
                        <wp:posOffset>765810</wp:posOffset>
                      </wp:positionV>
                      <wp:extent cx="5274310" cy="9525"/>
                      <wp:effectExtent l="0" t="0" r="0" b="0"/>
                      <wp:wrapNone/>
                      <wp:docPr id="25" name="任意多边形 25"/>
                      <wp:cNvGraphicFramePr/>
                      <a:graphic xmlns:a="http://schemas.openxmlformats.org/drawingml/2006/main">
                        <a:graphicData uri="http://schemas.microsoft.com/office/word/2010/wordprocessingShape">
                          <wps:wsp>
                            <wps:cNvSpPr/>
                            <wps:spPr>
                              <a:xfrm>
                                <a:off x="0" y="0"/>
                                <a:ext cx="5274310" cy="9525"/>
                              </a:xfrm>
                              <a:custGeom>
                                <a:avLst/>
                                <a:gdLst/>
                                <a:ahLst/>
                                <a:cxnLst/>
                                <a:pathLst>
                                  <a:path w="8305" h="15">
                                    <a:moveTo>
                                      <a:pt x="0" y="0"/>
                                    </a:moveTo>
                                    <a:lnTo>
                                      <a:pt x="8305" y="0"/>
                                    </a:lnTo>
                                    <a:lnTo>
                                      <a:pt x="8305"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0pt;margin-top:60.3pt;height:0.75pt;width:415.3pt;mso-position-horizontal-relative:page;mso-position-vertical-relative:page;z-index:251660288;mso-width-relative:page;mso-height-relative:page;" fillcolor="#000000" filled="t" stroked="f" coordsize="8305,15" o:allowincell="f" o:gfxdata="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qNwctcAAAAMAQAADwAAAAAAAAABACAA&#10;AAAiAAAAZHJzL2Rvd25yZXYueG1sUEsBAhQAFAAAAAgAh07iQA8WAGAOAgAAfQQAAA4AAAAAAAAA&#10;AQAgAAAAJgEAAGRycy9lMm9Eb2MueG1sUEsFBgAAAAAGAAYAWQEAAKYFAAAAAA==&#10;" path="m0,0l8305,0,8305,14,0,14,0,0xe">
                      <v:fill on="t" focussize="0,0"/>
                      <v:stroke on="f"/>
                      <v:imagedata o:title=""/>
                      <o:lock v:ext="edit" aspectratio="f"/>
                    </v:shape>
                  </w:pict>
                </mc:Fallback>
              </mc:AlternateConten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质的单位进行安全处置，在运输过程中可能发生碰撞、侧翻等交通事故后，未经妥善处置造成危险废物不当堆存或者散落在途中，直接进入或经雨水冲刷后进入堆存场所，造成地表水环境、地下水环境和土壤环境污染。</w:t>
            </w:r>
          </w:p>
          <w:p>
            <w:pPr>
              <w:pStyle w:val="74"/>
              <w:ind w:left="0" w:leftChars="0" w:firstLine="0" w:firstLineChars="0"/>
              <w:jc w:val="both"/>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风险分析</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大气环境风险分析</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本项目大气环境风险事故主要有</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漆发生泄漏蒸发进入环境空气造成的废气事故排放，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漆发生燃爆事故造成的烟气事故排放。</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主要贮存于油漆桶，油漆桶密封，泄漏的可能性较小；且单个油漆桶容量较小，多个油漆桶同时发生泄漏可能性小，单个油漆桶发生泄漏时泄漏量较小，发现泄漏后可及时处理；油漆桶泄漏蒸发进入大气环境的污染物量较小，对环境空气的影响不大。建议企业应加强设备的维护和管理，尽量避免非正常排放。</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地下水环境风险分析</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本项目正常工况下，项目建设均按照相关规范的要求进行防渗处理，各生产环节按照设计参数运行，地下水可能的污染来源为储桶</w:t>
            </w:r>
            <w:r>
              <w:rPr>
                <w:rFonts w:hint="eastAsia" w:cs="Times New Roman"/>
                <w:color w:val="000000" w:themeColor="text1"/>
                <w:sz w:val="24"/>
                <w:szCs w:val="24"/>
                <w:highlight w:val="none"/>
                <w:lang w:val="en-US" w:eastAsia="zh-CN"/>
                <w14:textFill>
                  <w14:solidFill>
                    <w14:schemeClr w14:val="tx1"/>
                  </w14:solidFill>
                </w14:textFill>
              </w:rPr>
              <w:t>、危废暂存间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等跑冒漏滴。正常工况下污水不会渗漏，只有在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漆仓库硬化面出现破损、管线或废水处理设施底部因腐蚀</w:t>
            </w:r>
            <w:r>
              <w:rPr>
                <w:rFonts w:hint="eastAsia" w:cs="Times New Roman"/>
                <w:color w:val="000000" w:themeColor="text1"/>
                <w:sz w:val="24"/>
                <w:szCs w:val="24"/>
                <w:highlight w:val="none"/>
                <w:lang w:val="en-US" w:eastAsia="zh-CN"/>
                <w14:textFill>
                  <w14:solidFill>
                    <w14:schemeClr w14:val="tx1"/>
                  </w14:solidFill>
                </w14:textFill>
              </w:rPr>
              <w:t>等其他</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原因出现漏洞等情景下，才会发生物料或污水下渗污染地下水的情况，对于本项目来说，有可能造成地下水环境风险事故的源项主要为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仓库</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油漆桶泄漏导致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漆下渗事故对地下水的污染、危险废物贮存时可能产生的废液渗漏对地下水的污染、废水泄漏对地下水的污染。</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漆泄漏下渗可能污染地下水，本项目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漆主要贮存于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仓库，仓库中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油漆桶密封，泄漏的可能性较小；且单个油漆桶容量较小，多个油漆桶同时发生泄漏可能性小，单个</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仓库</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油漆桶发生泄漏时泄漏量较小，发现泄漏后可及时处理；同时油漆仓库的基础层也采用防渗处理，大大降低了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漆下渗的可能。</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本项目危险废物分别存贮在专用密闭容器中，暂存于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移动式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危废暂存间。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移动式危废暂存间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地面采用防静电硬质环氧树脂材料，防止静电以及防止液体渗漏。内部需要有引水槽，或者有防止</w:t>
            </w:r>
            <w:r>
              <w:rPr>
                <w:rFonts w:hint="eastAsia" w:cs="Times New Roman"/>
                <w:color w:val="000000" w:themeColor="text1"/>
                <w:sz w:val="24"/>
                <w:szCs w:val="24"/>
                <w:highlight w:val="none"/>
                <w:lang w:val="en-US" w:eastAsia="zh-CN"/>
                <w14:textFill>
                  <w14:solidFill>
                    <w14:schemeClr w14:val="tx1"/>
                  </w14:solidFill>
                </w14:textFill>
              </w:rPr>
              <w:t>泄漏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等回收装置(如类似托盘类有一定容积率的底座)。符合国家危险固废贮存场所的建设要求，经采取完善的防腐防渗和防漏措施，发生渗漏污染地下水的可能性较小。</w:t>
            </w:r>
          </w:p>
          <w:p>
            <w:pPr>
              <w:pStyle w:val="74"/>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因此，本项目地下水风险事故的可能性及影响均较小，可以接受。</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6</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4</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环境风险防范措施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为了</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减少</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事故的概率以及产生的影响。本环评提出以下风险防范措施：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贮存过程防范措施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储存</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油性</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漆的</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油性</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漆</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仓库</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的管理要求</w:t>
            </w:r>
            <w:r>
              <w:rPr>
                <w:rFonts w:hint="eastAsia" w:cs="Times New Roman"/>
                <w:color w:val="000000" w:themeColor="text1"/>
                <w:kern w:val="2"/>
                <w:sz w:val="24"/>
                <w:szCs w:val="24"/>
                <w:highlight w:val="none"/>
                <w:lang w:val="en-US" w:eastAsia="zh-CN" w:bidi="ar-SA"/>
                <w14:textFill>
                  <w14:solidFill>
                    <w14:schemeClr w14:val="tx1"/>
                  </w14:solidFill>
                </w14:textFill>
              </w:rPr>
              <w:t>严格</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遵守《危险化学品安全管理条例》及有关规定的要求。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每年进行一次对贮存装置的安全评价，对存在的安全问题提出整改方案，如发现贮存装置存在现实危险的，应当立即停止使用，予以更换或者修复，并采取相应安全措施。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油性</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漆</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仓库</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、喷漆车间、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消防水池</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按照重点防渗区进行防渗，防渗效果等效黏土防渗层Mb≥6.0m，K≤1×10</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cm/s，</w:t>
            </w:r>
            <w:r>
              <w:rPr>
                <w:rFonts w:hint="eastAsia" w:cs="Times New Roman"/>
                <w:color w:val="000000" w:themeColor="text1"/>
                <w:kern w:val="2"/>
                <w:sz w:val="24"/>
                <w:szCs w:val="24"/>
                <w:highlight w:val="none"/>
                <w:lang w:val="en-US" w:eastAsia="zh-CN" w:bidi="ar-SA"/>
                <w14:textFill>
                  <w14:solidFill>
                    <w14:schemeClr w14:val="tx1"/>
                  </w14:solidFill>
                </w14:textFill>
              </w:rPr>
              <w:t>防止</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物料泄漏污染土壤和地下水。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移动式危废暂存间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地面采用防静电硬质环氧树脂材料，防止静电以及防止液体渗漏。内部需要有引水槽，或者有防止</w:t>
            </w:r>
            <w:r>
              <w:rPr>
                <w:rFonts w:hint="eastAsia" w:cs="Times New Roman"/>
                <w:color w:val="000000" w:themeColor="text1"/>
                <w:kern w:val="2"/>
                <w:sz w:val="24"/>
                <w:szCs w:val="24"/>
                <w:highlight w:val="none"/>
                <w:lang w:val="en-US" w:eastAsia="zh-CN" w:bidi="ar-SA"/>
                <w14:textFill>
                  <w14:solidFill>
                    <w14:schemeClr w14:val="tx1"/>
                  </w14:solidFill>
                </w14:textFill>
              </w:rPr>
              <w:t>泄漏</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等回收装置(如类似托盘类有一定容积率的底座)。符合国家危险固废贮存场所的建设要求。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生产过程防范措施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①主体厂房要敞开式布置，强化通风，各种工艺设备（阀门、法兰、泵类等）、管的选型严把质量关，并加强检修、维护，严禁生产中出现物料跑、冒、滴、漏，电气设备须选用防腐、防爆型，电源绝缘良好，防止产生电火花，接地牢靠，防止产生静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②建立和完善各级安全生产责任制，并切实落到实处。各级领导和生产管理人员必须重视安全生产，积极推广科学安全管理方法，强化安全操作制度和劳动纪律。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③对职工要加强职业培训和安全教育。培养职工要有高度的安全生产责任心，并且要熟悉相应的业务，有熟练的操作技能，具备有关物料、设备、设施、工艺参数变动及泄漏等的危险、</w:t>
            </w:r>
            <w:r>
              <w:rPr>
                <w:rFonts w:hint="eastAsia" w:cs="Times New Roman"/>
                <w:bCs/>
                <w:color w:val="000000" w:themeColor="text1"/>
                <w:spacing w:val="0"/>
                <w:sz w:val="24"/>
                <w:szCs w:val="24"/>
                <w:highlight w:val="none"/>
                <w:lang w:val="en-US" w:eastAsia="zh-CN"/>
                <w14:textFill>
                  <w14:solidFill>
                    <w14:schemeClr w14:val="tx1"/>
                  </w14:solidFill>
                </w14:textFill>
              </w:rPr>
              <w:t>危害辨识</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，在紧急情况下能采取正确的应急方法。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④企业应加强设备管理，工作人员应培训上岗，并经常检查，防止跑冒滴漏发生。加强容器维护、检测，对破损的容器及时更换，确保设备完好，以防物料泄漏；工作现场禁止吸烟、进食。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⑤车间、仓库等危险场所按“建筑灭火器配置设计规范 ”配置手提式干粉灭火器和推车式干粉灭火器。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⑥从工程筹建开始就要建立安全技术档案，包括各种技术图纸、安全操作规程、安全规章制度、设备运行档案、特种设备档案、电气设施检测数据、安全部件检测记录等，为安全生产管理提供依据。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⑦加强对电工及电气设备的管理，并对职工进行各种电气事故案例的教育，不乱拉临时线、防止各类电气事故的发生。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⑧建立健全安全检查制度，定期进行安全检查，及时整改安全隐患，防止事故发生。选用密闭性能好的阀门，保证可拆连接部位的密封性能。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运输过程防范措施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针对本项目涉及的</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危险废物和油性漆</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评价建议运输过程中应该严格执行以下防范措施：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①首先企业要严格执行《安全生产法》和《危险化学品安全管理条例》的有关规定，选择有相关资质的运输公司运送危险原料。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②运输应采用安全性能优良的化学品专用运输车辆，并经检测、检验合格，方可使用。桶以及其他容器必须封口严密，能够承受正常运输条件下产生的内部压力和外部压力，保证在运输中不因湿度、湿度或者压力的变化而发生任何渗（洒）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③在装卸运输时间上合理安排，避开人流高峰期，尽量减轻事故泄漏对人群的影响。司机应经培训有资格后，方可驾驶，严防客货混运，并尽可能缩短运货路程，避开人烟稠密的城镇，减少交通事故发生。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④根据运输物质的性质，准备相应的应急防毒面具、收集泄漏容器及消防设备等事故处理物资和器材。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一旦出现运输过程事故排放，一面采取应急处理措施，搞好现场保护，一面与当地公安消防和环保部门联系，消除或减缓事故造成的影响。</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6</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5</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应急</w:t>
            </w: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由于自然灾害或人为原因，当事故灾害不可避免的时候，有效的应急救援行动是唯一可以抵御事故灾害蔓延和减缓灾害后果的有力措施。所以，如果在事故灾害发生前建立完善的应急救援系统，制定周密的救援计划，而在灾害发生的时候采取及时有效的应急救援行动，以及系统恢复和善后处理，可以拯救生命、保护财产、保护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本环评提出的应急措施如下：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（1）</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当发生泄漏事故时，应采取以下应急救援措施：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①最早发现者应立即向生产负责人报告，并第一时间对泄漏部位进行围堵；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②用抹布</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或其他</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吸附物将泄漏物围住；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③已用过的擦拭物及冲洗液作废料一同收集，移入有害废弃物贮存桶及清楚标示其内容物，再暂存于废品废液暂存点，待交与有资质单位处理。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（2）</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当发生火灾事故时，应采取以下应急救援措施：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①最早发现者应立即向生产负责人报警，并及时采取一切办法进行扑救。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②公司消防部门在接到通知后</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及时</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启动灭火应急预案，利用消防设施实行补救。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③做好火情侦查，了解火场情况，向现场指挥汇报，并提出灭火实施方案。同时拨打火警电话，请求外援；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④及时而正确地指挥及时输送器材物料，保证现场灭火、抢险所需物料、灭火剂的供给。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⑤根据现场灭火、抢险的情况及火势、险情发展趋势，及时指挥有关人员或车辆进行物料的疏散。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⑥已用过的消防装备及冲洗液作</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为</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废料分别收集，待</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交予</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有资质单位处理。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⑦做好应急监测工作，根据当时的气象条件及事故情况，立即派分析人员到环境敏感点，监测空气中特征污染因子的浓度，并做好紧急疏散工作。</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项目建成后，建设单位需编制突发环境事件应急预案并在当地环保部门进行备案。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6</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6</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 xml:space="preserve"> 应急预案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①突发环境事件应急预案风险事故发生后，能否迅速</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做出</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应急反应，对于控制环境污染、减少人员伤亡及经济损失等都起到了关键性作用。根据《建设项目环境风险评价技术导则》（HJ169-2018）中的规定和要求，对于本项目可能造成环境风险的突发性事故须制定应急预案原则要求，本环评要求建设单位在本项目建成后及时编制应急预案，并定期演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②环境风险应急体系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本项目应急系统应与区域环境风险应急系统对接联动，实现区域联防联控。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项目厂区配备足够的消防、防毒防护设施及应急监测等应急设施和物资。配备应急队伍，能够立即响应。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综合以上分析，建设单位通过设置</w:t>
            </w:r>
            <w:r>
              <w:rPr>
                <w:rFonts w:hint="eastAsia" w:cs="Times New Roman"/>
                <w:bCs/>
                <w:color w:val="000000" w:themeColor="text1"/>
                <w:spacing w:val="0"/>
                <w:sz w:val="24"/>
                <w:szCs w:val="24"/>
                <w:highlight w:val="none"/>
                <w:lang w:val="en-US" w:eastAsia="zh-CN"/>
                <w14:textFill>
                  <w14:solidFill>
                    <w14:schemeClr w14:val="tx1"/>
                  </w14:solidFill>
                </w14:textFill>
              </w:rPr>
              <w:t>消防水池</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、定期检修设备、安排专人巡视，确保各类设备正常运转、设置警示牌等措施，防止环境风险事故发生。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在项目建设单位严格采取上述措施的前提下，环评认为项目环境风险可控，在可接受的范围内。</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6</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7</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 xml:space="preserve"> 环境风险分析结论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本项目风险事故主要为</w:t>
            </w:r>
            <w:r>
              <w:rPr>
                <w:rFonts w:hint="eastAsia" w:cs="Times New Roman"/>
                <w:bCs/>
                <w:color w:val="000000" w:themeColor="text1"/>
                <w:spacing w:val="0"/>
                <w:sz w:val="24"/>
                <w:szCs w:val="24"/>
                <w:highlight w:val="none"/>
                <w:lang w:val="en-US" w:eastAsia="zh-CN"/>
                <w14:textFill>
                  <w14:solidFill>
                    <w14:schemeClr w14:val="tx1"/>
                  </w14:solidFill>
                </w14:textFill>
              </w:rPr>
              <w:t>危险废物和油性漆</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泄漏</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造成的地下水环境污染和火灾事故导致大气环境污染。项目应严格落实本评价提出的各项环境风险防范措施，严格</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按照</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国家有关环保、安全处理的要求，规范工程设计，落实有关安全、环保设施</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三同时</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制定相应的环保及安全处理规章制度及应急预案；处理过程中，加强处理管理，注意做好危化品在运输、使用过程中的风险事故防范工作，避免火灾等事故的发生。评价认为，在采取相应的防范控制及应急措施后，项目风险处于可接受水平，不会对项目周围环境产生明显影响，项目提出的风险管理措施可靠、有效，在认真落实本评价针对安全处理以及风险事故提出的具体防范对策及应急措施的情况下，从环境风险角度，项目在拟建地实施是可行的。建设项目环境风险简单分析内容见表4-</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1</w:t>
            </w:r>
            <w:r>
              <w:rPr>
                <w:rFonts w:hint="eastAsia" w:cs="Times New Roman"/>
                <w:bCs/>
                <w:color w:val="000000" w:themeColor="text1"/>
                <w:spacing w:val="0"/>
                <w:sz w:val="24"/>
                <w:szCs w:val="24"/>
                <w:highlight w:val="none"/>
                <w:lang w:val="en-US" w:eastAsia="zh-CN"/>
                <w14:textFill>
                  <w14:solidFill>
                    <w14:schemeClr w14:val="tx1"/>
                  </w14:solidFill>
                </w14:textFill>
              </w:rPr>
              <w:t>9</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w:t>
            </w:r>
          </w:p>
          <w:p>
            <w:pPr>
              <w:widowControl/>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表4-</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1</w:t>
            </w:r>
            <w:r>
              <w:rPr>
                <w:rFonts w:hint="eastAsia" w:cs="Times New Roman"/>
                <w:b/>
                <w:bCs/>
                <w:color w:val="000000" w:themeColor="text1"/>
                <w:sz w:val="21"/>
                <w:szCs w:val="21"/>
                <w:highlight w:val="none"/>
                <w:lang w:val="en-US" w:eastAsia="zh-CN"/>
                <w14:textFill>
                  <w14:solidFill>
                    <w14:schemeClr w14:val="tx1"/>
                  </w14:solidFill>
                </w14:textFill>
              </w:rPr>
              <w:t xml:space="preserve">9 </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建设项目环境风险简单分析内容表</w:t>
            </w:r>
          </w:p>
          <w:tbl>
            <w:tblPr>
              <w:tblStyle w:val="24"/>
              <w:tblW w:w="4999" w:type="pct"/>
              <w:jc w:val="center"/>
              <w:tblLayout w:type="fixed"/>
              <w:tblCellMar>
                <w:top w:w="0" w:type="dxa"/>
                <w:left w:w="10" w:type="dxa"/>
                <w:bottom w:w="0" w:type="dxa"/>
                <w:right w:w="10" w:type="dxa"/>
              </w:tblCellMar>
            </w:tblPr>
            <w:tblGrid>
              <w:gridCol w:w="2453"/>
              <w:gridCol w:w="5491"/>
            </w:tblGrid>
            <w:tr>
              <w:tblPrEx>
                <w:tblCellMar>
                  <w:top w:w="0" w:type="dxa"/>
                  <w:left w:w="10" w:type="dxa"/>
                  <w:bottom w:w="0" w:type="dxa"/>
                  <w:right w:w="10" w:type="dxa"/>
                </w:tblCellMar>
              </w:tblPrEx>
              <w:trPr>
                <w:trHeight w:val="340" w:hRule="atLeast"/>
                <w:jc w:val="center"/>
              </w:trPr>
              <w:tc>
                <w:tcPr>
                  <w:tcW w:w="1544" w:type="pct"/>
                  <w:tcBorders>
                    <w:top w:val="single" w:color="auto" w:sz="4" w:space="0"/>
                    <w:left w:val="single" w:color="auto" w:sz="4" w:space="0"/>
                    <w:bottom w:val="nil"/>
                    <w:right w:val="nil"/>
                  </w:tcBorders>
                  <w:noWrap w:val="0"/>
                  <w:vAlign w:val="center"/>
                </w:tcPr>
                <w:p>
                  <w:pPr>
                    <w:pStyle w:val="7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建设项目名称</w:t>
                  </w:r>
                </w:p>
              </w:tc>
              <w:tc>
                <w:tcPr>
                  <w:tcW w:w="3455" w:type="pct"/>
                  <w:tcBorders>
                    <w:top w:val="single" w:color="auto" w:sz="4" w:space="0"/>
                    <w:left w:val="single" w:color="auto" w:sz="4" w:space="0"/>
                    <w:bottom w:val="nil"/>
                    <w:right w:val="single" w:color="auto" w:sz="4" w:space="0"/>
                  </w:tcBorders>
                  <w:noWrap w:val="0"/>
                  <w:vAlign w:val="center"/>
                </w:tcPr>
                <w:p>
                  <w:pPr>
                    <w:pStyle w:val="7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新疆双杰新能源高端装备研发制造基地项目(一期)</w:t>
                  </w:r>
                </w:p>
              </w:tc>
            </w:tr>
            <w:tr>
              <w:tblPrEx>
                <w:tblCellMar>
                  <w:top w:w="0" w:type="dxa"/>
                  <w:left w:w="10" w:type="dxa"/>
                  <w:bottom w:w="0" w:type="dxa"/>
                  <w:right w:w="10" w:type="dxa"/>
                </w:tblCellMar>
              </w:tblPrEx>
              <w:trPr>
                <w:trHeight w:val="340" w:hRule="atLeast"/>
                <w:jc w:val="center"/>
              </w:trPr>
              <w:tc>
                <w:tcPr>
                  <w:tcW w:w="1544" w:type="pct"/>
                  <w:tcBorders>
                    <w:top w:val="single" w:color="auto" w:sz="4" w:space="0"/>
                    <w:left w:val="single" w:color="auto" w:sz="4" w:space="0"/>
                    <w:bottom w:val="nil"/>
                    <w:right w:val="nil"/>
                  </w:tcBorders>
                  <w:noWrap w:val="0"/>
                  <w:vAlign w:val="center"/>
                </w:tcPr>
                <w:p>
                  <w:pPr>
                    <w:pStyle w:val="7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建设地点</w:t>
                  </w:r>
                </w:p>
              </w:tc>
              <w:tc>
                <w:tcPr>
                  <w:tcW w:w="3455" w:type="pct"/>
                  <w:tcBorders>
                    <w:top w:val="single" w:color="auto" w:sz="4" w:space="0"/>
                    <w:left w:val="single" w:color="auto" w:sz="4" w:space="0"/>
                    <w:bottom w:val="nil"/>
                    <w:right w:val="single" w:color="auto" w:sz="4" w:space="0"/>
                  </w:tcBorders>
                  <w:noWrap w:val="0"/>
                  <w:vAlign w:val="center"/>
                </w:tcPr>
                <w:p>
                  <w:pPr>
                    <w:pStyle w:val="7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木垒县</w:t>
                  </w:r>
                </w:p>
              </w:tc>
            </w:tr>
            <w:tr>
              <w:tblPrEx>
                <w:tblCellMar>
                  <w:top w:w="0" w:type="dxa"/>
                  <w:left w:w="10" w:type="dxa"/>
                  <w:bottom w:w="0" w:type="dxa"/>
                  <w:right w:w="10" w:type="dxa"/>
                </w:tblCellMar>
              </w:tblPrEx>
              <w:trPr>
                <w:trHeight w:val="340" w:hRule="atLeast"/>
                <w:jc w:val="center"/>
              </w:trPr>
              <w:tc>
                <w:tcPr>
                  <w:tcW w:w="1544" w:type="pct"/>
                  <w:tcBorders>
                    <w:top w:val="single" w:color="auto" w:sz="4" w:space="0"/>
                    <w:left w:val="single" w:color="auto" w:sz="4" w:space="0"/>
                    <w:bottom w:val="nil"/>
                    <w:right w:val="nil"/>
                  </w:tcBorders>
                  <w:noWrap w:val="0"/>
                  <w:vAlign w:val="center"/>
                </w:tcPr>
                <w:p>
                  <w:pPr>
                    <w:pStyle w:val="7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地理坐标</w:t>
                  </w:r>
                </w:p>
              </w:tc>
              <w:tc>
                <w:tcPr>
                  <w:tcW w:w="3455" w:type="pct"/>
                  <w:tcBorders>
                    <w:top w:val="single" w:color="auto" w:sz="4" w:space="0"/>
                    <w:left w:val="single" w:color="auto" w:sz="4" w:space="0"/>
                    <w:bottom w:val="nil"/>
                    <w:right w:val="single" w:color="auto" w:sz="4" w:space="0"/>
                  </w:tcBorders>
                  <w:noWrap w:val="0"/>
                  <w:vAlign w:val="center"/>
                </w:tcPr>
                <w:p>
                  <w:pPr>
                    <w:pStyle w:val="76"/>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after="0" w:line="240" w:lineRule="auto"/>
                    <w:ind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90</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度</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21</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分</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27.285</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秒，</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43</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度</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57</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分</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13.839</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秒）</w:t>
                  </w:r>
                </w:p>
              </w:tc>
            </w:tr>
            <w:tr>
              <w:tblPrEx>
                <w:tblCellMar>
                  <w:top w:w="0" w:type="dxa"/>
                  <w:left w:w="10" w:type="dxa"/>
                  <w:bottom w:w="0" w:type="dxa"/>
                  <w:right w:w="10" w:type="dxa"/>
                </w:tblCellMar>
              </w:tblPrEx>
              <w:trPr>
                <w:trHeight w:val="340" w:hRule="atLeast"/>
                <w:jc w:val="center"/>
              </w:trPr>
              <w:tc>
                <w:tcPr>
                  <w:tcW w:w="1544" w:type="pct"/>
                  <w:tcBorders>
                    <w:top w:val="single" w:color="auto" w:sz="4" w:space="0"/>
                    <w:left w:val="single" w:color="auto" w:sz="4" w:space="0"/>
                    <w:bottom w:val="nil"/>
                    <w:right w:val="nil"/>
                  </w:tcBorders>
                  <w:noWrap w:val="0"/>
                  <w:vAlign w:val="center"/>
                </w:tcPr>
                <w:p>
                  <w:pPr>
                    <w:pStyle w:val="7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主要危险物质及分布</w:t>
                  </w:r>
                </w:p>
              </w:tc>
              <w:tc>
                <w:tcPr>
                  <w:tcW w:w="3455" w:type="pct"/>
                  <w:tcBorders>
                    <w:top w:val="single" w:color="auto" w:sz="4" w:space="0"/>
                    <w:left w:val="single" w:color="auto" w:sz="4" w:space="0"/>
                    <w:bottom w:val="nil"/>
                    <w:right w:val="single" w:color="auto" w:sz="4" w:space="0"/>
                  </w:tcBorders>
                  <w:noWrap w:val="0"/>
                  <w:vAlign w:val="center"/>
                </w:tcPr>
                <w:p>
                  <w:pPr>
                    <w:pStyle w:val="76"/>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after="0" w:line="240" w:lineRule="auto"/>
                    <w:ind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危险废物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暂存于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移动式危废暂存间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油性</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暂存于</w:t>
                  </w:r>
                  <w:r>
                    <w:rPr>
                      <w:rFonts w:hint="eastAsia" w:cs="Times New Roman"/>
                      <w:color w:val="000000" w:themeColor="text1"/>
                      <w:kern w:val="2"/>
                      <w:sz w:val="21"/>
                      <w:szCs w:val="21"/>
                      <w:highlight w:val="none"/>
                      <w:lang w:val="en-US" w:eastAsia="zh-CN" w:bidi="ar-SA"/>
                      <w14:textFill>
                        <w14:solidFill>
                          <w14:schemeClr w14:val="tx1"/>
                        </w14:solidFill>
                      </w14:textFill>
                    </w:rPr>
                    <w:t>油性</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漆</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仓库</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内</w:t>
                  </w:r>
                </w:p>
              </w:tc>
            </w:tr>
            <w:tr>
              <w:tblPrEx>
                <w:tblCellMar>
                  <w:top w:w="0" w:type="dxa"/>
                  <w:left w:w="10" w:type="dxa"/>
                  <w:bottom w:w="0" w:type="dxa"/>
                  <w:right w:w="10" w:type="dxa"/>
                </w:tblCellMar>
              </w:tblPrEx>
              <w:trPr>
                <w:trHeight w:val="340" w:hRule="atLeast"/>
                <w:jc w:val="center"/>
              </w:trPr>
              <w:tc>
                <w:tcPr>
                  <w:tcW w:w="1544" w:type="pct"/>
                  <w:tcBorders>
                    <w:top w:val="single" w:color="auto" w:sz="4" w:space="0"/>
                    <w:left w:val="single" w:color="auto" w:sz="4" w:space="0"/>
                    <w:bottom w:val="nil"/>
                    <w:right w:val="nil"/>
                  </w:tcBorders>
                  <w:noWrap w:val="0"/>
                  <w:vAlign w:val="center"/>
                </w:tcPr>
                <w:p>
                  <w:pPr>
                    <w:pStyle w:val="7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环境影响途径及危害后果（大气、地表水、地下水等）</w:t>
                  </w:r>
                </w:p>
              </w:tc>
              <w:tc>
                <w:tcPr>
                  <w:tcW w:w="3455" w:type="pct"/>
                  <w:tcBorders>
                    <w:top w:val="single" w:color="auto" w:sz="4" w:space="0"/>
                    <w:left w:val="single" w:color="auto" w:sz="4" w:space="0"/>
                    <w:bottom w:val="nil"/>
                    <w:right w:val="single" w:color="auto" w:sz="4" w:space="0"/>
                  </w:tcBorders>
                  <w:noWrap w:val="0"/>
                  <w:vAlign w:val="center"/>
                </w:tcPr>
                <w:p>
                  <w:pPr>
                    <w:pStyle w:val="7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泄漏或发生火灾，可能污染大气环境和地下水环境</w:t>
                  </w:r>
                </w:p>
              </w:tc>
            </w:tr>
            <w:tr>
              <w:tblPrEx>
                <w:tblCellMar>
                  <w:top w:w="0" w:type="dxa"/>
                  <w:left w:w="10" w:type="dxa"/>
                  <w:bottom w:w="0" w:type="dxa"/>
                  <w:right w:w="10" w:type="dxa"/>
                </w:tblCellMar>
              </w:tblPrEx>
              <w:trPr>
                <w:trHeight w:val="340" w:hRule="atLeast"/>
                <w:jc w:val="center"/>
              </w:trPr>
              <w:tc>
                <w:tcPr>
                  <w:tcW w:w="1544" w:type="pct"/>
                  <w:tcBorders>
                    <w:top w:val="single" w:color="auto" w:sz="4" w:space="0"/>
                    <w:left w:val="single" w:color="auto" w:sz="4" w:space="0"/>
                    <w:bottom w:val="single" w:color="auto" w:sz="4" w:space="0"/>
                    <w:right w:val="nil"/>
                  </w:tcBorders>
                  <w:noWrap w:val="0"/>
                  <w:vAlign w:val="center"/>
                </w:tcPr>
                <w:p>
                  <w:pPr>
                    <w:pStyle w:val="7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风险防范措施要求</w:t>
                  </w:r>
                </w:p>
              </w:tc>
              <w:tc>
                <w:tcPr>
                  <w:tcW w:w="3455" w:type="pct"/>
                  <w:tcBorders>
                    <w:top w:val="single" w:color="auto" w:sz="4" w:space="0"/>
                    <w:left w:val="single" w:color="auto" w:sz="4" w:space="0"/>
                    <w:bottom w:val="single" w:color="auto" w:sz="4" w:space="0"/>
                    <w:right w:val="single" w:color="auto" w:sz="4" w:space="0"/>
                  </w:tcBorders>
                  <w:noWrap w:val="0"/>
                  <w:vAlign w:val="center"/>
                </w:tcPr>
                <w:p>
                  <w:pPr>
                    <w:pStyle w:val="76"/>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sz w:val="21"/>
                      <w:szCs w:val="21"/>
                      <w:highlight w:val="none"/>
                      <w14:textFill>
                        <w14:solidFill>
                          <w14:schemeClr w14:val="tx1"/>
                        </w14:solidFill>
                      </w14:textFill>
                    </w:rPr>
                    <w:t>在</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移动式危废暂存间</w:t>
                  </w:r>
                  <w:r>
                    <w:rPr>
                      <w:rFonts w:hint="default" w:ascii="Times New Roman" w:hAnsi="Times New Roman" w:eastAsia="宋体" w:cs="Times New Roman"/>
                      <w:color w:val="000000" w:themeColor="text1"/>
                      <w:sz w:val="21"/>
                      <w:szCs w:val="21"/>
                      <w:highlight w:val="none"/>
                      <w14:textFill>
                        <w14:solidFill>
                          <w14:schemeClr w14:val="tx1"/>
                        </w14:solidFill>
                      </w14:textFill>
                    </w:rPr>
                    <w:t>门口设置门槛，一旦发生泄漏确保无外排放；②加强危险废物监管；③制定环境风险突发事故应急预案</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，④</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重点</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污染防治区</w:t>
                  </w: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做好防渗</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CellMar>
                  <w:top w:w="0" w:type="dxa"/>
                  <w:left w:w="10" w:type="dxa"/>
                  <w:bottom w:w="0" w:type="dxa"/>
                  <w:right w:w="10" w:type="dxa"/>
                </w:tblCellMar>
              </w:tblPrEx>
              <w:trPr>
                <w:trHeight w:val="340"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填表说明</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（列出</w:t>
                  </w:r>
                  <w:r>
                    <w:rPr>
                      <w:rFonts w:hint="default" w:ascii="Times New Roman" w:hAnsi="Times New Roman" w:eastAsia="宋体" w:cs="Times New Roman"/>
                      <w:color w:val="000000" w:themeColor="text1"/>
                      <w:sz w:val="21"/>
                      <w:szCs w:val="21"/>
                      <w:highlight w:val="none"/>
                      <w14:textFill>
                        <w14:solidFill>
                          <w14:schemeClr w14:val="tx1"/>
                        </w14:solidFill>
                      </w14:textFill>
                    </w:rPr>
                    <w:t>项目相关信息及评价说明</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：项目环境风险分析结合《建设项目环境风险评价技术导则》</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HJ169-2018</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及《建设项目环境影响评价技术导则总纲》</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（HJ 2.1-2016）相</w:t>
                  </w:r>
                  <w:r>
                    <w:rPr>
                      <w:rFonts w:hint="default" w:ascii="Times New Roman" w:hAnsi="Times New Roman" w:eastAsia="宋体" w:cs="Times New Roman"/>
                      <w:color w:val="000000" w:themeColor="text1"/>
                      <w:sz w:val="21"/>
                      <w:szCs w:val="21"/>
                      <w:highlight w:val="none"/>
                      <w14:textFill>
                        <w14:solidFill>
                          <w14:schemeClr w14:val="tx1"/>
                        </w14:solidFill>
                      </w14:textFill>
                    </w:rPr>
                    <w:t>关内容进行分析评价。</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7、</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环境管理</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w:t>环境管理就是指工程在施工期、营运期时全面执行和遵守国家、省、市有关环境保护</w:t>
            </w:r>
            <w:r>
              <w:rPr>
                <w:rFonts w:hint="eastAsia"/>
                <w:color w:val="000000" w:themeColor="text1"/>
                <w:sz w:val="24"/>
                <w:highlight w:val="none"/>
                <w:lang w:eastAsia="zh-CN"/>
                <w14:textFill>
                  <w14:solidFill>
                    <w14:schemeClr w14:val="tx1"/>
                  </w14:solidFill>
                </w14:textFill>
              </w:rPr>
              <w:t>法律法规</w:t>
            </w:r>
            <w:r>
              <w:rPr>
                <w:color w:val="000000" w:themeColor="text1"/>
                <w:sz w:val="24"/>
                <w:highlight w:val="none"/>
                <w14:textFill>
                  <w14:solidFill>
                    <w14:schemeClr w14:val="tx1"/>
                  </w14:solidFill>
                </w14:textFill>
              </w:rPr>
              <w:t>、政策和标准，接受地方环境保护主管部门的环境监督，调整和制定环境保护规划和目标，力争把不利影响减小到最低，加强项目环境管理，协调解决实现目标过程中的具体问题，及时调整工程运行方式和环境保护措施，以取得更好的综合环境效益，最终达到保护环境的目的。建设项目环境管理是工程管理的重要组成部分，是工程环境保护工作能够有效实施的关键。</w:t>
            </w:r>
            <w:r>
              <w:rPr>
                <w:rFonts w:hint="eastAsia" w:ascii="Times New Roman" w:hAnsi="Times New Roman" w:cs="Times New Roman"/>
                <w:color w:val="000000" w:themeColor="text1"/>
                <w:sz w:val="24"/>
                <w:highlight w:val="none"/>
                <w:lang w:val="en-US" w:eastAsia="zh-CN"/>
                <w14:textFill>
                  <w14:solidFill>
                    <w14:schemeClr w14:val="tx1"/>
                  </w14:solidFill>
                </w14:textFill>
              </w:rPr>
              <w:t>根据本项目的污染物排放特征，其产生的废气及固体废物存在一定</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的污染隐患。一旦管理不善将可能出现污染事故，从而影响周围环境。因此，运营期的环境管理十分重要，运营期应做好以下工作：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cs="Times New Roman"/>
                <w:color w:val="000000" w:themeColor="text1"/>
                <w:kern w:val="0"/>
                <w:sz w:val="24"/>
                <w:szCs w:val="24"/>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）排污口规范化管理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本项目设计在污染物排放口（源）设置监测用的采样口，采样口的设计应符合《污染源监测技术规范》要求并便于采样监测；同时必须按照《环境保护图形标志—排放口（源）》（GB15562.1-1995）和《</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环境保护图形标志 固体废物贮存（处置）场</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》（GB15562.2-1995）</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及其修改单</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中规定的图形，在各气、水、声排污口（源）及固体废物（一般固体废物和危险废物）贮存、处置场挂牌标识，做到各排污口（源）的环保标志明显，便于企业管理和公众监督。具体设计图形见下表。</w:t>
            </w:r>
          </w:p>
          <w:p>
            <w:pPr>
              <w:keepNext w:val="0"/>
              <w:keepLines w:val="0"/>
              <w:widowControl/>
              <w:suppressLineNumbers w:val="0"/>
              <w:spacing w:line="240" w:lineRule="auto"/>
              <w:jc w:val="center"/>
              <w:rPr>
                <w:rFonts w:hint="default" w:ascii="Times New Roman" w:hAnsi="Times New Roman" w:eastAsia="宋体" w:cs="Times New Roman"/>
                <w:b/>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表4-</w:t>
            </w:r>
            <w:r>
              <w:rPr>
                <w:rFonts w:hint="eastAsia" w:cs="Times New Roman"/>
                <w:b/>
                <w:bCs/>
                <w:color w:val="000000" w:themeColor="text1"/>
                <w:sz w:val="21"/>
                <w:szCs w:val="21"/>
                <w:highlight w:val="none"/>
                <w:lang w:val="en-US" w:eastAsia="zh-CN"/>
                <w14:textFill>
                  <w14:solidFill>
                    <w14:schemeClr w14:val="tx1"/>
                  </w14:solidFill>
                </w14:textFill>
              </w:rPr>
              <w:t>20</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环境保护图形标志设置图形表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1290"/>
              <w:gridCol w:w="1305"/>
              <w:gridCol w:w="1352"/>
              <w:gridCol w:w="1340"/>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77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排放口</w:t>
                  </w:r>
                </w:p>
              </w:tc>
              <w:tc>
                <w:tcPr>
                  <w:tcW w:w="8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废水排口</w:t>
                  </w:r>
                </w:p>
              </w:tc>
              <w:tc>
                <w:tcPr>
                  <w:tcW w:w="82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废气排口</w:t>
                  </w:r>
                </w:p>
              </w:tc>
              <w:tc>
                <w:tcPr>
                  <w:tcW w:w="85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固废</w:t>
                  </w:r>
                </w:p>
              </w:tc>
              <w:tc>
                <w:tcPr>
                  <w:tcW w:w="8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噪声源</w:t>
                  </w:r>
                </w:p>
              </w:tc>
              <w:tc>
                <w:tcPr>
                  <w:tcW w:w="89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trPr>
              <w:tc>
                <w:tcPr>
                  <w:tcW w:w="77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图形符号</w:t>
                  </w:r>
                </w:p>
              </w:tc>
              <w:tc>
                <w:tcPr>
                  <w:tcW w:w="8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drawing>
                      <wp:inline distT="0" distB="0" distL="114300" distR="114300">
                        <wp:extent cx="631190" cy="631190"/>
                        <wp:effectExtent l="0" t="0" r="16510" b="1651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8"/>
                                <a:stretch>
                                  <a:fillRect/>
                                </a:stretch>
                              </pic:blipFill>
                              <pic:spPr>
                                <a:xfrm>
                                  <a:off x="0" y="0"/>
                                  <a:ext cx="631190" cy="631190"/>
                                </a:xfrm>
                                <a:prstGeom prst="rect">
                                  <a:avLst/>
                                </a:prstGeom>
                                <a:noFill/>
                                <a:ln>
                                  <a:noFill/>
                                </a:ln>
                              </pic:spPr>
                            </pic:pic>
                          </a:graphicData>
                        </a:graphic>
                      </wp:inline>
                    </w:drawing>
                  </w:r>
                </w:p>
              </w:tc>
              <w:tc>
                <w:tcPr>
                  <w:tcW w:w="8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drawing>
                      <wp:inline distT="0" distB="0" distL="114300" distR="114300">
                        <wp:extent cx="640715" cy="640715"/>
                        <wp:effectExtent l="0" t="0" r="6985" b="698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9"/>
                                <a:stretch>
                                  <a:fillRect/>
                                </a:stretch>
                              </pic:blipFill>
                              <pic:spPr>
                                <a:xfrm>
                                  <a:off x="0" y="0"/>
                                  <a:ext cx="640715" cy="640715"/>
                                </a:xfrm>
                                <a:prstGeom prst="rect">
                                  <a:avLst/>
                                </a:prstGeom>
                                <a:noFill/>
                                <a:ln>
                                  <a:noFill/>
                                </a:ln>
                              </pic:spPr>
                            </pic:pic>
                          </a:graphicData>
                        </a:graphic>
                      </wp:inline>
                    </w:drawing>
                  </w:r>
                </w:p>
              </w:tc>
              <w:tc>
                <w:tcPr>
                  <w:tcW w:w="85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drawing>
                      <wp:inline distT="0" distB="0" distL="114300" distR="114300">
                        <wp:extent cx="669290" cy="642620"/>
                        <wp:effectExtent l="0" t="0" r="16510" b="508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30"/>
                                <a:stretch>
                                  <a:fillRect/>
                                </a:stretch>
                              </pic:blipFill>
                              <pic:spPr>
                                <a:xfrm>
                                  <a:off x="0" y="0"/>
                                  <a:ext cx="669290" cy="642620"/>
                                </a:xfrm>
                                <a:prstGeom prst="rect">
                                  <a:avLst/>
                                </a:prstGeom>
                                <a:noFill/>
                                <a:ln>
                                  <a:noFill/>
                                </a:ln>
                              </pic:spPr>
                            </pic:pic>
                          </a:graphicData>
                        </a:graphic>
                      </wp:inline>
                    </w:drawing>
                  </w:r>
                </w:p>
              </w:tc>
              <w:tc>
                <w:tcPr>
                  <w:tcW w:w="8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drawing>
                      <wp:inline distT="0" distB="0" distL="114300" distR="114300">
                        <wp:extent cx="659130" cy="645160"/>
                        <wp:effectExtent l="0" t="0" r="7620" b="254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31"/>
                                <a:stretch>
                                  <a:fillRect/>
                                </a:stretch>
                              </pic:blipFill>
                              <pic:spPr>
                                <a:xfrm>
                                  <a:off x="0" y="0"/>
                                  <a:ext cx="659130" cy="645160"/>
                                </a:xfrm>
                                <a:prstGeom prst="rect">
                                  <a:avLst/>
                                </a:prstGeom>
                                <a:noFill/>
                                <a:ln>
                                  <a:noFill/>
                                </a:ln>
                              </pic:spPr>
                            </pic:pic>
                          </a:graphicData>
                        </a:graphic>
                      </wp:inline>
                    </w:drawing>
                  </w:r>
                </w:p>
              </w:tc>
              <w:tc>
                <w:tcPr>
                  <w:tcW w:w="8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drawing>
                      <wp:inline distT="0" distB="0" distL="114300" distR="114300">
                        <wp:extent cx="774700" cy="677545"/>
                        <wp:effectExtent l="0" t="0" r="6350" b="8255"/>
                        <wp:docPr id="17" name="图片 12" descr="ae94750712d8a7d5f75ec4c5be9f7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ae94750712d8a7d5f75ec4c5be9f7e18"/>
                                <pic:cNvPicPr>
                                  <a:picLocks noChangeAspect="1"/>
                                </pic:cNvPicPr>
                              </pic:nvPicPr>
                              <pic:blipFill>
                                <a:blip r:embed="rId32"/>
                                <a:stretch>
                                  <a:fillRect/>
                                </a:stretch>
                              </pic:blipFill>
                              <pic:spPr>
                                <a:xfrm>
                                  <a:off x="0" y="0"/>
                                  <a:ext cx="774700" cy="6775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77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背景颜色</w:t>
                  </w:r>
                </w:p>
              </w:tc>
              <w:tc>
                <w:tcPr>
                  <w:tcW w:w="3331"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绿色</w:t>
                  </w:r>
                </w:p>
              </w:tc>
              <w:tc>
                <w:tcPr>
                  <w:tcW w:w="8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7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图形颜色</w:t>
                  </w:r>
                </w:p>
              </w:tc>
              <w:tc>
                <w:tcPr>
                  <w:tcW w:w="3331"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白色</w:t>
                  </w:r>
                </w:p>
              </w:tc>
              <w:tc>
                <w:tcPr>
                  <w:tcW w:w="8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黑色</w:t>
                  </w:r>
                </w:p>
              </w:tc>
            </w:tr>
          </w:tbl>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安全环保科除执行各项有关环境保护工作的指令外，还应接受当地环境保护局的监督检查，组织环保监测及统计工作，配合上级部门对本企业环保项目进行检查验收，定期与不定期地上报各项管理工作的执行情况以及各项有关环境参数、污染源排放指标，建立污染源及厂区周围环境质量监测数据档案，定期编写环保简报，制定全厂环保年度计划和长远规划，为区域整体环境控制服务。</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（3）确保污染治理措施执行“三同时”，检查、监督全厂环保设施的正常高效运行，使各项治理设施达到设计要求。 </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（4）污染防治设施应在满足设计工况的条件下运行，并根据工艺要求，定期对设备、电气、自控仪表及构筑物进行检查维护，确保污染防治设施可靠运行。</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（5）加强环保知识宣传教育，提高职工环境意识，把环境意识贯彻到企业各车间</w:t>
            </w:r>
            <w:r>
              <w:rPr>
                <w:rFonts w:hint="eastAsia" w:ascii="Times New Roman" w:hAnsi="Times New Roman" w:cs="Times New Roman"/>
                <w:color w:val="000000" w:themeColor="text1"/>
                <w:sz w:val="24"/>
                <w:highlight w:val="none"/>
                <w:lang w:val="en-US" w:eastAsia="zh-CN"/>
                <w14:textFill>
                  <w14:solidFill>
                    <w14:schemeClr w14:val="tx1"/>
                  </w14:solidFill>
                </w14:textFill>
              </w:rPr>
              <w:t>班组及每个职工的日常生产、生活中；推广治理方面的先进技术。</w:t>
            </w:r>
          </w:p>
          <w:p>
            <w:pPr>
              <w:numPr>
                <w:ilvl w:val="0"/>
                <w:numId w:val="0"/>
              </w:numPr>
              <w:spacing w:line="360" w:lineRule="auto"/>
              <w:ind w:firstLine="480" w:firstLineChars="200"/>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6</w:t>
            </w:r>
            <w:r>
              <w:rPr>
                <w:rFonts w:hint="eastAsia" w:ascii="Times New Roman" w:hAnsi="Times New Roman" w:cs="Times New Roman"/>
                <w:color w:val="000000" w:themeColor="text1"/>
                <w:sz w:val="24"/>
                <w:highlight w:val="none"/>
                <w:lang w:val="en-US" w:eastAsia="zh-CN"/>
                <w14:textFill>
                  <w14:solidFill>
                    <w14:schemeClr w14:val="tx1"/>
                  </w14:solidFill>
                </w14:textFill>
              </w:rPr>
              <w:t>）组织制定环境保护管理的规章制度并监督执行</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制定并组织实施各项环境保护的规划和计划</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贯彻执行环境保护法规和标准。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7</w:t>
            </w:r>
            <w:r>
              <w:rPr>
                <w:rFonts w:hint="eastAsia" w:ascii="Times New Roman" w:hAnsi="Times New Roman" w:cs="Times New Roman"/>
                <w:color w:val="000000" w:themeColor="text1"/>
                <w:sz w:val="24"/>
                <w:highlight w:val="none"/>
                <w:lang w:val="en-US" w:eastAsia="zh-CN"/>
                <w14:textFill>
                  <w14:solidFill>
                    <w14:schemeClr w14:val="tx1"/>
                  </w14:solidFill>
                </w14:textFill>
              </w:rPr>
              <w:t>）项目建成后及时进行环保验收并申请排污许可证。</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eastAsia" w:cs="Times New Roman"/>
                <w:b/>
                <w:bCs w:val="0"/>
                <w:color w:val="000000" w:themeColor="text1"/>
                <w:spacing w:val="0"/>
                <w:sz w:val="24"/>
                <w:szCs w:val="24"/>
                <w:highlight w:val="none"/>
                <w:lang w:val="en-US" w:eastAsia="zh-CN"/>
                <w14:textFill>
                  <w14:solidFill>
                    <w14:schemeClr w14:val="tx1"/>
                  </w14:solidFill>
                </w14:textFill>
              </w:rPr>
              <w:t>8</w:t>
            </w: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、环保投资</w:t>
            </w:r>
          </w:p>
          <w:p>
            <w:pPr>
              <w:pStyle w:val="81"/>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本项目总投资</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40000</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万元，环保投资为</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350</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万元，占项目总投资的</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0.875</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%，具体投资见表4-</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21</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表4-</w:t>
            </w:r>
            <w:bookmarkStart w:id="12" w:name="_Hlk24400886"/>
            <w:r>
              <w:rPr>
                <w:rFonts w:hint="eastAsia" w:cs="Times New Roman"/>
                <w:b/>
                <w:bCs/>
                <w:color w:val="000000" w:themeColor="text1"/>
                <w:szCs w:val="21"/>
                <w:highlight w:val="none"/>
                <w:lang w:val="en-US" w:eastAsia="zh-CN"/>
                <w14:textFill>
                  <w14:solidFill>
                    <w14:schemeClr w14:val="tx1"/>
                  </w14:solidFill>
                </w14:textFill>
              </w:rPr>
              <w:t>21</w:t>
            </w: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szCs w:val="21"/>
                <w:highlight w:val="none"/>
                <w14:textFill>
                  <w14:solidFill>
                    <w14:schemeClr w14:val="tx1"/>
                  </w14:solidFill>
                </w14:textFill>
              </w:rPr>
              <w:t>工程环保设施与投资概算一览表</w:t>
            </w:r>
            <w:bookmarkEnd w:id="12"/>
          </w:p>
          <w:tbl>
            <w:tblPr>
              <w:tblStyle w:val="24"/>
              <w:tblW w:w="492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79"/>
              <w:gridCol w:w="1811"/>
              <w:gridCol w:w="3983"/>
              <w:gridCol w:w="123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499" w:type="pct"/>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项目</w:t>
                  </w:r>
                </w:p>
              </w:tc>
              <w:tc>
                <w:tcPr>
                  <w:tcW w:w="1160" w:type="pct"/>
                  <w:tcBorders>
                    <w:lef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 w:val="21"/>
                      <w:szCs w:val="21"/>
                      <w:highlight w:val="none"/>
                      <w:lang w:eastAsia="zh-CN"/>
                      <w14:textFill>
                        <w14:solidFill>
                          <w14:schemeClr w14:val="tx1"/>
                        </w14:solidFill>
                      </w14:textFill>
                    </w:rPr>
                    <w:t>治理</w:t>
                  </w:r>
                  <w:r>
                    <w:rPr>
                      <w:rFonts w:hint="eastAsia" w:ascii="Times New Roman" w:hAnsi="Times New Roman" w:cs="Times New Roman"/>
                      <w:b/>
                      <w:color w:val="000000" w:themeColor="text1"/>
                      <w:sz w:val="21"/>
                      <w:szCs w:val="21"/>
                      <w:highlight w:val="none"/>
                      <w:lang w:val="en-US" w:eastAsia="zh-CN"/>
                      <w14:textFill>
                        <w14:solidFill>
                          <w14:schemeClr w14:val="tx1"/>
                        </w14:solidFill>
                      </w14:textFill>
                    </w:rPr>
                    <w:t>对象</w:t>
                  </w:r>
                </w:p>
              </w:tc>
              <w:tc>
                <w:tcPr>
                  <w:tcW w:w="255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内  容</w:t>
                  </w:r>
                </w:p>
              </w:tc>
              <w:tc>
                <w:tcPr>
                  <w:tcW w:w="788"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投资（万元）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499" w:type="pct"/>
                  <w:vMerge w:val="restart"/>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w:t>
                  </w:r>
                </w:p>
              </w:tc>
              <w:tc>
                <w:tcPr>
                  <w:tcW w:w="1160" w:type="pct"/>
                  <w:tcBorders>
                    <w:lef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切割、焊接颗粒物</w:t>
                  </w:r>
                </w:p>
              </w:tc>
              <w:tc>
                <w:tcPr>
                  <w:tcW w:w="255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移动式焊接烟尘净化器</w:t>
                  </w:r>
                </w:p>
              </w:tc>
              <w:tc>
                <w:tcPr>
                  <w:tcW w:w="788"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499" w:type="pct"/>
                  <w:vMerge w:val="continue"/>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60" w:type="pct"/>
                  <w:tcBorders>
                    <w:bottom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抛丸除锈粉尘</w:t>
                  </w:r>
                </w:p>
              </w:tc>
              <w:tc>
                <w:tcPr>
                  <w:tcW w:w="2551" w:type="pct"/>
                  <w:tcBorders>
                    <w:bottom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负压收集+沉降除尘器+滤筒除尘器处理+20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m高排气筒</w:t>
                  </w:r>
                </w:p>
              </w:tc>
              <w:tc>
                <w:tcPr>
                  <w:tcW w:w="788"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499" w:type="pct"/>
                  <w:vMerge w:val="continue"/>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60" w:type="pct"/>
                  <w:tcBorders>
                    <w:top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喷漆、烘干产生的废气、丝印产生的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漆雾</w:t>
                  </w:r>
                  <w:r>
                    <w:rPr>
                      <w:rFonts w:hint="eastAsia" w:cs="Times New Roman"/>
                      <w:color w:val="000000" w:themeColor="text1"/>
                      <w:sz w:val="21"/>
                      <w:szCs w:val="21"/>
                      <w:highlight w:val="none"/>
                      <w:lang w:val="en-US" w:eastAsia="zh-CN"/>
                      <w14:textFill>
                        <w14:solidFill>
                          <w14:schemeClr w14:val="tx1"/>
                        </w14:solidFill>
                      </w14:textFill>
                    </w:rPr>
                    <w:t>、废气</w:t>
                  </w:r>
                </w:p>
              </w:tc>
              <w:tc>
                <w:tcPr>
                  <w:tcW w:w="2551" w:type="pct"/>
                  <w:tcBorders>
                    <w:top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集气罩+</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负压收集+80K型活性炭吸附+脱附+催化燃烧处理设备（在线）+20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m高排气筒</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DPA纸箱过滤器</w:t>
                  </w:r>
                </w:p>
              </w:tc>
              <w:tc>
                <w:tcPr>
                  <w:tcW w:w="788"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499" w:type="pct"/>
                  <w:vMerge w:val="continue"/>
                  <w:tcBorders>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60"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食堂油烟</w:t>
                  </w:r>
                </w:p>
              </w:tc>
              <w:tc>
                <w:tcPr>
                  <w:tcW w:w="255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油烟净化器</w:t>
                  </w:r>
                  <w:r>
                    <w:rPr>
                      <w:rFonts w:hint="eastAsia" w:cs="Times New Roman"/>
                      <w:color w:val="000000" w:themeColor="text1"/>
                      <w:sz w:val="21"/>
                      <w:szCs w:val="21"/>
                      <w:highlight w:val="none"/>
                      <w:lang w:val="en-US" w:eastAsia="zh-CN"/>
                      <w14:textFill>
                        <w14:solidFill>
                          <w14:schemeClr w14:val="tx1"/>
                        </w14:solidFill>
                      </w14:textFill>
                    </w:rPr>
                    <w:t>+8m高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排气筒</w:t>
                  </w:r>
                </w:p>
              </w:tc>
              <w:tc>
                <w:tcPr>
                  <w:tcW w:w="788"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499" w:type="pct"/>
                  <w:tcBorders>
                    <w:top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废水</w:t>
                  </w:r>
                </w:p>
              </w:tc>
              <w:tc>
                <w:tcPr>
                  <w:tcW w:w="1160"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w:t>
                  </w:r>
                </w:p>
              </w:tc>
              <w:tc>
                <w:tcPr>
                  <w:tcW w:w="255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隔油池、管网</w:t>
                  </w:r>
                </w:p>
              </w:tc>
              <w:tc>
                <w:tcPr>
                  <w:tcW w:w="788"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499" w:type="pct"/>
                  <w:tcBorders>
                    <w:top w:val="single" w:color="auto" w:sz="4" w:space="0"/>
                    <w:bottom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噪声</w:t>
                  </w:r>
                </w:p>
              </w:tc>
              <w:tc>
                <w:tcPr>
                  <w:tcW w:w="1160"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生产设备</w:t>
                  </w:r>
                </w:p>
              </w:tc>
              <w:tc>
                <w:tcPr>
                  <w:tcW w:w="255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选用低噪声设备，采取隔声、降噪措施，加强厂区绿化</w:t>
                  </w:r>
                </w:p>
              </w:tc>
              <w:tc>
                <w:tcPr>
                  <w:tcW w:w="788"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499" w:type="pct"/>
                  <w:tcBorders>
                    <w:top w:val="single" w:color="auto" w:sz="4" w:space="0"/>
                    <w:bottom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固废</w:t>
                  </w:r>
                </w:p>
              </w:tc>
              <w:tc>
                <w:tcPr>
                  <w:tcW w:w="1160"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固体废物</w:t>
                  </w:r>
                </w:p>
              </w:tc>
              <w:tc>
                <w:tcPr>
                  <w:tcW w:w="255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危险废物建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移动式危废暂存间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并定时交有资质单位处理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一般固废分类收集后综合利用或外售，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生活垃圾收集清运至生活垃圾填埋场</w:t>
                  </w:r>
                </w:p>
              </w:tc>
              <w:tc>
                <w:tcPr>
                  <w:tcW w:w="788"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7" w:hRule="atLeast"/>
                <w:jc w:val="center"/>
              </w:trPr>
              <w:tc>
                <w:tcPr>
                  <w:tcW w:w="499" w:type="pct"/>
                  <w:tcBorders>
                    <w:top w:val="single" w:color="auto" w:sz="4" w:space="0"/>
                    <w:bottom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环境风险</w:t>
                  </w:r>
                </w:p>
              </w:tc>
              <w:tc>
                <w:tcPr>
                  <w:tcW w:w="1160"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移动式危废暂存间</w:t>
                  </w:r>
                  <w:r>
                    <w:rPr>
                      <w:rFonts w:hint="eastAsia" w:cs="Times New Roman"/>
                      <w:color w:val="000000" w:themeColor="text1"/>
                      <w:sz w:val="21"/>
                      <w:szCs w:val="21"/>
                      <w:highlight w:val="none"/>
                      <w:lang w:val="en-US" w:eastAsia="zh-CN"/>
                      <w14:textFill>
                        <w14:solidFill>
                          <w14:schemeClr w14:val="tx1"/>
                        </w14:solidFill>
                      </w14:textFill>
                    </w:rPr>
                    <w:t>危险废物和油性漆</w:t>
                  </w:r>
                </w:p>
              </w:tc>
              <w:tc>
                <w:tcPr>
                  <w:tcW w:w="255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厂区分区防渗</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，消防水池</w:t>
                  </w:r>
                </w:p>
              </w:tc>
              <w:tc>
                <w:tcPr>
                  <w:tcW w:w="788"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4211" w:type="pct"/>
                  <w:gridSpan w:val="3"/>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合计</w:t>
                  </w:r>
                </w:p>
              </w:tc>
              <w:tc>
                <w:tcPr>
                  <w:tcW w:w="7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350</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themeColor="text1"/>
                <w:sz w:val="24"/>
                <w:szCs w:val="24"/>
                <w:highlight w:val="none"/>
                <w:lang w:val="en-US" w:eastAsia="zh-CN"/>
                <w14:textFill>
                  <w14:solidFill>
                    <w14:schemeClr w14:val="tx1"/>
                  </w14:solidFill>
                </w14:textFill>
              </w:rPr>
            </w:pPr>
          </w:p>
        </w:tc>
      </w:tr>
    </w:tbl>
    <w:p>
      <w:pPr>
        <w:adjustRightInd w:val="0"/>
        <w:snapToGrid w:val="0"/>
        <w:spacing w:line="360" w:lineRule="auto"/>
        <w:rPr>
          <w:rFonts w:hint="eastAsia" w:ascii="宋体" w:cs="宋体"/>
          <w:b/>
          <w:color w:val="000000" w:themeColor="text1"/>
          <w:kern w:val="0"/>
          <w:sz w:val="28"/>
          <w:szCs w:val="28"/>
          <w:highlight w:val="none"/>
          <w14:textFill>
            <w14:solidFill>
              <w14:schemeClr w14:val="tx1"/>
            </w14:solidFill>
          </w14:textFill>
        </w:rPr>
        <w:sectPr>
          <w:pgSz w:w="11907" w:h="16840"/>
          <w:pgMar w:top="1440" w:right="1803" w:bottom="1440" w:left="1803" w:header="851" w:footer="851" w:gutter="0"/>
          <w:pgNumType w:fmt="decimal"/>
          <w:cols w:space="720" w:num="1"/>
          <w:docGrid w:linePitch="312" w:charSpace="0"/>
        </w:sectPr>
      </w:pPr>
    </w:p>
    <w:p>
      <w:pPr>
        <w:pStyle w:val="20"/>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五、</w:t>
      </w:r>
      <w:bookmarkStart w:id="13" w:name="_Hlk54167917"/>
      <w:r>
        <w:rPr>
          <w:rFonts w:hint="eastAsia" w:ascii="黑体" w:hAnsi="黑体" w:eastAsia="黑体"/>
          <w:snapToGrid w:val="0"/>
          <w:color w:val="000000" w:themeColor="text1"/>
          <w:sz w:val="30"/>
          <w:szCs w:val="30"/>
          <w:highlight w:val="none"/>
          <w14:textFill>
            <w14:solidFill>
              <w14:schemeClr w14:val="tx1"/>
            </w14:solidFill>
          </w14:textFill>
        </w:rPr>
        <w:t>环境保护措施监督检查清单</w:t>
      </w:r>
      <w:bookmarkEnd w:id="13"/>
    </w:p>
    <w:tbl>
      <w:tblPr>
        <w:tblStyle w:val="24"/>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pPr>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内容</w:t>
            </w:r>
          </w:p>
          <w:p>
            <w:pPr>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要素</w:t>
            </w:r>
          </w:p>
        </w:tc>
        <w:tc>
          <w:tcPr>
            <w:tcW w:w="1755"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排放口(编号、</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名称)/污染源</w:t>
            </w:r>
          </w:p>
        </w:tc>
        <w:tc>
          <w:tcPr>
            <w:tcW w:w="1755"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污染物项目</w:t>
            </w:r>
          </w:p>
        </w:tc>
        <w:tc>
          <w:tcPr>
            <w:tcW w:w="1755"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环境保护措施</w:t>
            </w:r>
          </w:p>
        </w:tc>
        <w:tc>
          <w:tcPr>
            <w:tcW w:w="1757"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大气环境</w:t>
            </w: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切割、焊接颗粒物</w:t>
            </w: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移动式焊接烟尘净化器</w:t>
            </w:r>
          </w:p>
        </w:tc>
        <w:tc>
          <w:tcPr>
            <w:tcW w:w="1757" w:type="dxa"/>
            <w:vMerge w:val="restart"/>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《大气污染物综合排放标准》(GB16297-1996)二级标准浓度限值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DA00</w:t>
            </w:r>
            <w:r>
              <w:rPr>
                <w:rFonts w:hint="eastAsia"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/抛丸除锈粉尘</w:t>
            </w: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负压收集+沉降除尘器+滤筒除尘器处理+20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m高排气筒</w:t>
            </w:r>
          </w:p>
        </w:tc>
        <w:tc>
          <w:tcPr>
            <w:tcW w:w="1757" w:type="dxa"/>
            <w:vMerge w:val="continue"/>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DA00</w:t>
            </w:r>
            <w:r>
              <w:rPr>
                <w:rFonts w:hint="eastAsia" w:cs="Times New Roman"/>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喷漆、烘干产生的废气</w:t>
            </w: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VOCs、</w:t>
            </w:r>
            <w:r>
              <w:rPr>
                <w:rFonts w:hint="eastAsia" w:cs="Times New Roman"/>
                <w:color w:val="000000" w:themeColor="text1"/>
                <w:kern w:val="2"/>
                <w:sz w:val="21"/>
                <w:szCs w:val="21"/>
                <w:highlight w:val="none"/>
                <w:lang w:val="en-US" w:eastAsia="zh-CN" w:bidi="ar-SA"/>
                <w14:textFill>
                  <w14:solidFill>
                    <w14:schemeClr w14:val="tx1"/>
                  </w14:solidFill>
                </w14:textFill>
              </w:rPr>
              <w:t>甲苯、二甲苯</w:t>
            </w: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负压收集+80K型活性炭吸附+脱附+催化燃烧处理设备（在线）+20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m高排气筒</w:t>
            </w:r>
          </w:p>
        </w:tc>
        <w:tc>
          <w:tcPr>
            <w:tcW w:w="1757"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有机废气有组织排放标准参照执行《大气污染物综合排放标准》(GB16297-1996)二级标准浓度限值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允许排放浓度值120mg/m³，20米排气筒最高允许排放速率17kg/h，甲苯允许排放浓度值40mg/m³，20米排气筒最高允许排放速率5.2kg/h，二甲苯允许排放浓度值70mg/m³，20米排气筒最高允许排放速率1.7kg/h)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厂界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无组织排放执行《挥发性有机物无组织排放控制标准》(GB37822-2019)附录A中的厂区内</w:t>
            </w:r>
            <w:r>
              <w:rPr>
                <w:rFonts w:hint="eastAsia" w:cs="Times New Roman"/>
                <w:color w:val="000000" w:themeColor="text1"/>
                <w:sz w:val="21"/>
                <w:szCs w:val="21"/>
                <w:highlight w:val="none"/>
                <w:lang w:val="en-US" w:eastAsia="zh-CN"/>
                <w14:textFill>
                  <w14:solidFill>
                    <w14:schemeClr w14:val="tx1"/>
                  </w14:solidFill>
                </w14:textFill>
              </w:rPr>
              <w:t>VOCs</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浓度排放限值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（在厂房外监控点处任意一次浓度值</w:t>
            </w:r>
            <w:r>
              <w:rPr>
                <w:rFonts w:hint="eastAsia"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0mg/m³）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p>
        </w:tc>
        <w:tc>
          <w:tcPr>
            <w:tcW w:w="1755" w:type="dxa"/>
            <w:vAlign w:val="center"/>
          </w:tcPr>
          <w:p>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DA00</w:t>
            </w:r>
            <w:r>
              <w:rPr>
                <w:rFonts w:hint="eastAsia" w:cs="Times New Roman"/>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/漆雾</w:t>
            </w:r>
          </w:p>
        </w:tc>
        <w:tc>
          <w:tcPr>
            <w:tcW w:w="1755" w:type="dxa"/>
            <w:vAlign w:val="center"/>
          </w:tcPr>
          <w:p>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755" w:type="dxa"/>
            <w:vAlign w:val="center"/>
          </w:tcPr>
          <w:p>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负压收集+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DPA纸箱过滤器</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m高排气筒</w:t>
            </w:r>
          </w:p>
        </w:tc>
        <w:tc>
          <w:tcPr>
            <w:tcW w:w="1757" w:type="dxa"/>
            <w:vAlign w:val="center"/>
          </w:tcPr>
          <w:p>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《大气污染物综合排放标准》(GB16297-1996)二级标准浓度限值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p>
        </w:tc>
        <w:tc>
          <w:tcPr>
            <w:tcW w:w="1755" w:type="dxa"/>
            <w:vAlign w:val="center"/>
          </w:tcPr>
          <w:p>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DA00</w:t>
            </w:r>
            <w:r>
              <w:rPr>
                <w:rFonts w:hint="eastAsia" w:cs="Times New Roman"/>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丝印废气</w:t>
            </w:r>
          </w:p>
        </w:tc>
        <w:tc>
          <w:tcPr>
            <w:tcW w:w="1755" w:type="dxa"/>
            <w:vAlign w:val="center"/>
          </w:tcPr>
          <w:p>
            <w:pPr>
              <w:snapToGrid w:val="0"/>
              <w:spacing w:line="240" w:lineRule="auto"/>
              <w:ind w:left="-62" w:leftChars="0" w:right="-91" w:rightChars="0"/>
              <w:jc w:val="center"/>
              <w:rPr>
                <w:rFonts w:hint="eastAsia"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eastAsia" w:cs="Times New Roman"/>
                <w:color w:val="000000" w:themeColor="text1"/>
                <w:kern w:val="21"/>
                <w:sz w:val="21"/>
                <w:szCs w:val="21"/>
                <w:highlight w:val="none"/>
                <w:lang w:val="en-US" w:eastAsia="zh-CN"/>
                <w14:textFill>
                  <w14:solidFill>
                    <w14:schemeClr w14:val="tx1"/>
                  </w14:solidFill>
                </w14:textFill>
              </w:rPr>
              <w:t>VOCs</w:t>
            </w:r>
          </w:p>
        </w:tc>
        <w:tc>
          <w:tcPr>
            <w:tcW w:w="1755" w:type="dxa"/>
            <w:vAlign w:val="center"/>
          </w:tcPr>
          <w:p>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集气罩+</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+80K型活性炭吸附+脱附+催化燃烧处理设备（在线）+20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m高排气筒</w:t>
            </w:r>
          </w:p>
        </w:tc>
        <w:tc>
          <w:tcPr>
            <w:tcW w:w="1757" w:type="dxa"/>
            <w:vAlign w:val="center"/>
          </w:tcPr>
          <w:p>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有机废气有组织排放标准参照执行《大气污染物综合排放标准》(GB16297-1996)二级标准浓度限值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允许排放浓度值120mg/m³，20米排气筒最高允许排放速率17kg/h)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厂界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无组织排放执行《挥发性有机物无组织排放控制标准》(GB37822-2019)附录A中的厂区内</w:t>
            </w:r>
            <w:r>
              <w:rPr>
                <w:rFonts w:hint="eastAsia" w:cs="Times New Roman"/>
                <w:color w:val="000000" w:themeColor="text1"/>
                <w:sz w:val="21"/>
                <w:szCs w:val="21"/>
                <w:highlight w:val="none"/>
                <w:lang w:val="en-US" w:eastAsia="zh-CN"/>
                <w14:textFill>
                  <w14:solidFill>
                    <w14:schemeClr w14:val="tx1"/>
                  </w14:solidFill>
                </w14:textFill>
              </w:rPr>
              <w:t>VOCs</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浓度排放限值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（在厂房外监控点处任意一次浓度值</w:t>
            </w:r>
            <w:r>
              <w:rPr>
                <w:rFonts w:hint="eastAsia"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0mg/m³）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DA00</w:t>
            </w:r>
            <w:r>
              <w:rPr>
                <w:rFonts w:hint="eastAsia"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/食堂</w:t>
            </w: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油烟</w:t>
            </w: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油烟净化器</w:t>
            </w:r>
          </w:p>
        </w:tc>
        <w:tc>
          <w:tcPr>
            <w:tcW w:w="1757"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《饮食业油烟排放标准（试行）》（GB18483-2001）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中排放限值（2.0mg/m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778"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地表水环境</w:t>
            </w:r>
          </w:p>
        </w:tc>
        <w:tc>
          <w:tcPr>
            <w:tcW w:w="1755" w:type="dxa"/>
            <w:vAlign w:val="center"/>
          </w:tcPr>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DW001</w:t>
            </w:r>
          </w:p>
          <w:p>
            <w:pPr>
              <w:spacing w:line="240" w:lineRule="auto"/>
              <w:jc w:val="center"/>
              <w:rPr>
                <w:rFonts w:hint="eastAsia"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w:t>
            </w:r>
          </w:p>
        </w:tc>
        <w:tc>
          <w:tcPr>
            <w:tcW w:w="1755" w:type="dxa"/>
            <w:vAlign w:val="center"/>
          </w:tcPr>
          <w:p>
            <w:pPr>
              <w:snapToGrid w:val="0"/>
              <w:spacing w:line="240" w:lineRule="auto"/>
              <w:ind w:left="-62" w:leftChars="0" w:right="-91"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COD</w:t>
            </w:r>
            <w:r>
              <w:rPr>
                <w:rFonts w:hint="default" w:ascii="Times New Roman" w:hAnsi="Times New Roman" w:eastAsia="宋体" w:cs="Times New Roman"/>
                <w:color w:val="000000" w:themeColor="text1"/>
                <w:kern w:val="21"/>
                <w:sz w:val="21"/>
                <w:szCs w:val="21"/>
                <w:highlight w:val="none"/>
                <w:vertAlign w:val="subscript"/>
                <w14:textFill>
                  <w14:solidFill>
                    <w14:schemeClr w14:val="tx1"/>
                  </w14:solidFill>
                </w14:textFill>
              </w:rPr>
              <w:t>cr</w:t>
            </w:r>
            <w:r>
              <w:rPr>
                <w:rFonts w:hint="eastAsia" w:ascii="Times New Roman" w:hAnsi="Times New Roman" w:eastAsia="宋体" w:cs="Times New Roman"/>
                <w:color w:val="000000" w:themeColor="text1"/>
                <w:kern w:val="21"/>
                <w:sz w:val="21"/>
                <w:szCs w:val="21"/>
                <w:highlight w:val="none"/>
                <w:vertAlign w:val="subscript"/>
                <w:lang w:eastAsia="zh-CN"/>
                <w14:textFill>
                  <w14:solidFill>
                    <w14:schemeClr w14:val="tx1"/>
                  </w14:solidFill>
                </w14:textFill>
              </w:rPr>
              <w:t>、</w:t>
            </w: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BOD</w:t>
            </w:r>
            <w:r>
              <w:rPr>
                <w:rFonts w:hint="default" w:ascii="Times New Roman" w:hAnsi="Times New Roman" w:eastAsia="宋体" w:cs="Times New Roman"/>
                <w:color w:val="000000" w:themeColor="text1"/>
                <w:kern w:val="21"/>
                <w:sz w:val="21"/>
                <w:szCs w:val="21"/>
                <w:highlight w:val="none"/>
                <w:vertAlign w:val="subscript"/>
                <w14:textFill>
                  <w14:solidFill>
                    <w14:schemeClr w14:val="tx1"/>
                  </w14:solidFill>
                </w14:textFill>
              </w:rPr>
              <w:t>5</w:t>
            </w:r>
            <w:r>
              <w:rPr>
                <w:rFonts w:hint="eastAsia" w:ascii="Times New Roman" w:hAnsi="Times New Roman" w:eastAsia="宋体" w:cs="Times New Roman"/>
                <w:color w:val="000000" w:themeColor="text1"/>
                <w:kern w:val="21"/>
                <w:sz w:val="21"/>
                <w:szCs w:val="21"/>
                <w:highlight w:val="none"/>
                <w:vertAlign w:val="subscript"/>
                <w:lang w:eastAsia="zh-CN"/>
                <w14:textFill>
                  <w14:solidFill>
                    <w14:schemeClr w14:val="tx1"/>
                  </w14:solidFill>
                </w14:textFill>
              </w:rPr>
              <w:t>、</w:t>
            </w: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SS</w:t>
            </w:r>
            <w:r>
              <w:rPr>
                <w:rFonts w:hint="eastAsia" w:ascii="Times New Roman" w:hAnsi="Times New Roman" w:eastAsia="宋体" w:cs="Times New Roman"/>
                <w:color w:val="000000" w:themeColor="text1"/>
                <w:kern w:val="2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氨氮</w:t>
            </w:r>
          </w:p>
        </w:tc>
        <w:tc>
          <w:tcPr>
            <w:tcW w:w="1755" w:type="dxa"/>
            <w:vAlign w:val="center"/>
          </w:tcPr>
          <w:p>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隔油池</w:t>
            </w:r>
          </w:p>
        </w:tc>
        <w:tc>
          <w:tcPr>
            <w:tcW w:w="1757" w:type="dxa"/>
            <w:vAlign w:val="center"/>
          </w:tcPr>
          <w:p>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《污水综合排放标准》(GB 8978-1996)中</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14:textFill>
                  <w14:solidFill>
                    <w14:schemeClr w14:val="tx1"/>
                  </w14:solidFill>
                </w14:textFill>
              </w:rPr>
              <w:t>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声环境</w:t>
            </w:r>
          </w:p>
        </w:tc>
        <w:tc>
          <w:tcPr>
            <w:tcW w:w="1755" w:type="dxa"/>
            <w:vAlign w:val="center"/>
          </w:tcPr>
          <w:p>
            <w:pPr>
              <w:spacing w:line="240" w:lineRule="auto"/>
              <w:jc w:val="center"/>
              <w:rPr>
                <w:rFonts w:hint="eastAsia" w:ascii="宋体" w:hAnsi="宋体" w:cs="宋体"/>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厂界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四周</w:t>
            </w:r>
          </w:p>
        </w:tc>
        <w:tc>
          <w:tcPr>
            <w:tcW w:w="1755" w:type="dxa"/>
            <w:vAlign w:val="center"/>
          </w:tcPr>
          <w:p>
            <w:pPr>
              <w:spacing w:line="240" w:lineRule="auto"/>
              <w:jc w:val="center"/>
              <w:rPr>
                <w:rFonts w:hint="eastAsia" w:ascii="宋体" w:hAnsi="宋体" w:cs="宋体"/>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设备运行噪声</w:t>
            </w:r>
          </w:p>
        </w:tc>
        <w:tc>
          <w:tcPr>
            <w:tcW w:w="1755" w:type="dxa"/>
            <w:vAlign w:val="center"/>
          </w:tcPr>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选用低噪声设备，基础</w:t>
            </w:r>
          </w:p>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减振、加强管理和设备</w:t>
            </w:r>
          </w:p>
          <w:p>
            <w:pPr>
              <w:spacing w:line="240" w:lineRule="auto"/>
              <w:jc w:val="center"/>
              <w:rPr>
                <w:rFonts w:hint="eastAsia" w:ascii="宋体" w:hAnsi="宋体" w:cs="宋体"/>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的维护保养等</w:t>
            </w:r>
          </w:p>
        </w:tc>
        <w:tc>
          <w:tcPr>
            <w:tcW w:w="1757" w:type="dxa"/>
            <w:vAlign w:val="center"/>
          </w:tcPr>
          <w:p>
            <w:pPr>
              <w:spacing w:line="240" w:lineRule="auto"/>
              <w:jc w:val="center"/>
              <w:rPr>
                <w:rFonts w:hint="eastAsia" w:ascii="宋体" w:hAnsi="宋体" w:cs="宋体"/>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《工业企业</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厂界</w:t>
            </w:r>
            <w:r>
              <w:rPr>
                <w:rFonts w:hint="default" w:ascii="Times New Roman" w:hAnsi="Times New Roman" w:eastAsia="宋体" w:cs="Times New Roman"/>
                <w:color w:val="000000" w:themeColor="text1"/>
                <w:sz w:val="21"/>
                <w:szCs w:val="21"/>
                <w:highlight w:val="none"/>
                <w14:textFill>
                  <w14:solidFill>
                    <w14:schemeClr w14:val="tx1"/>
                  </w14:solidFill>
                </w14:textFill>
              </w:rPr>
              <w:t>环境噪声排放标准》</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（GB12348-2008）</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类</w:t>
            </w:r>
            <w:r>
              <w:rPr>
                <w:rFonts w:hint="default" w:ascii="Times New Roman" w:hAnsi="Times New Roman" w:eastAsia="宋体" w:cs="Times New Roman"/>
                <w:color w:val="000000" w:themeColor="text1"/>
                <w:sz w:val="21"/>
                <w:szCs w:val="21"/>
                <w:highlight w:val="none"/>
                <w14:textFill>
                  <w14:solidFill>
                    <w14:schemeClr w14:val="tx1"/>
                  </w14:solidFill>
                </w14:textFill>
              </w:rPr>
              <w:t>功能区标准限值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电磁辐射</w:t>
            </w:r>
          </w:p>
        </w:tc>
        <w:tc>
          <w:tcPr>
            <w:tcW w:w="1755"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w:t>
            </w:r>
          </w:p>
        </w:tc>
        <w:tc>
          <w:tcPr>
            <w:tcW w:w="1755"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w:t>
            </w:r>
          </w:p>
        </w:tc>
        <w:tc>
          <w:tcPr>
            <w:tcW w:w="1755"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w:t>
            </w:r>
          </w:p>
        </w:tc>
        <w:tc>
          <w:tcPr>
            <w:tcW w:w="1757"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固体废物</w:t>
            </w:r>
          </w:p>
        </w:tc>
        <w:tc>
          <w:tcPr>
            <w:tcW w:w="7022" w:type="dxa"/>
            <w:gridSpan w:val="4"/>
            <w:vAlign w:val="center"/>
          </w:tcPr>
          <w:p>
            <w:pPr>
              <w:pStyle w:val="41"/>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240" w:lineRule="auto"/>
              <w:ind w:right="0" w:rightChars="0" w:firstLine="0" w:firstLineChars="0"/>
              <w:jc w:val="left"/>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生活垃圾统一交由环卫部门处置。</w:t>
            </w:r>
            <w:r>
              <w:rPr>
                <w:rFonts w:hint="eastAsia" w:cs="Times New Roman"/>
                <w:color w:val="000000" w:themeColor="text1"/>
                <w:sz w:val="21"/>
                <w:szCs w:val="21"/>
                <w:highlight w:val="none"/>
                <w:lang w:val="en-US" w:eastAsia="zh-CN"/>
                <w14:textFill>
                  <w14:solidFill>
                    <w14:schemeClr w14:val="tx1"/>
                  </w14:solidFill>
                </w14:textFill>
              </w:rPr>
              <w:t>除尘器收集粉尘、包装废料、移动式焊接烟尘净化器产生的废滤芯和滤筒除尘器产生的废滤筒分类回收后综合利用或交由环卫部门处置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。边角废料</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废钢丸</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废焊料焊渣回收后外售综合利用。</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喷漆、丝印过程产生的废漆、废漆桶、废油墨桶、</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废DPA纸箱</w:t>
            </w:r>
            <w:r>
              <w:rPr>
                <w:rFonts w:hint="eastAsia" w:cs="Times New Roman"/>
                <w:color w:val="000000" w:themeColor="text1"/>
                <w:sz w:val="21"/>
                <w:szCs w:val="21"/>
                <w:highlight w:val="none"/>
                <w:lang w:val="en-US" w:eastAsia="zh-CN"/>
                <w14:textFill>
                  <w14:solidFill>
                    <w14:schemeClr w14:val="tx1"/>
                  </w14:solidFill>
                </w14:textFill>
              </w:rPr>
              <w:t>、废空压机油、废机油、</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废活性炭</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废催化剂</w:t>
            </w:r>
            <w:r>
              <w:rPr>
                <w:rFonts w:hint="eastAsia" w:cs="Times New Roman"/>
                <w:color w:val="000000" w:themeColor="text1"/>
                <w:sz w:val="21"/>
                <w:szCs w:val="21"/>
                <w:highlight w:val="none"/>
                <w:lang w:val="en-US" w:eastAsia="zh-CN"/>
                <w14:textFill>
                  <w14:solidFill>
                    <w14:schemeClr w14:val="tx1"/>
                  </w14:solidFill>
                </w14:textFill>
              </w:rPr>
              <w:t>和废油墨</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经收集后暂存于危险废物暂存间，最终交由具有相应资质类别的危险废物处置单位处置。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土壤及地下水</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污染防治措施</w:t>
            </w:r>
          </w:p>
        </w:tc>
        <w:tc>
          <w:tcPr>
            <w:tcW w:w="7022"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lang w:val="en-US" w:eastAsia="zh-CN"/>
                <w14:textFill>
                  <w14:solidFill>
                    <w14:schemeClr w14:val="tx1"/>
                  </w14:solidFill>
                </w14:textFill>
              </w:rPr>
              <w:t>根据本项目厂区可能泄漏至地面区域污染物的性质和生产单元的构筑方式，将厂区划分为重点污染防治区、一般污染防治区和简单防渗区。针对不同的区域提出相应的防渗要求。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
                <w:bC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lang w:val="en-US" w:eastAsia="zh-CN"/>
                <w14:textFill>
                  <w14:solidFill>
                    <w14:schemeClr w14:val="tx1"/>
                  </w14:solidFill>
                </w14:textFill>
              </w:rPr>
              <w:t>1）重点污染防治区：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lang w:val="en-US" w:eastAsia="zh-CN"/>
                <w14:textFill>
                  <w14:solidFill>
                    <w14:schemeClr w14:val="tx1"/>
                  </w14:solidFill>
                </w14:textFill>
              </w:rPr>
              <w:t>本项目重点防渗区为</w:t>
            </w:r>
            <w:r>
              <w:rPr>
                <w:rFonts w:hint="eastAsia" w:ascii="Times New Roman" w:hAnsi="Times New Roman" w:cs="Times New Roman"/>
                <w:bCs/>
                <w:color w:val="000000" w:themeColor="text1"/>
                <w:spacing w:val="0"/>
                <w:sz w:val="21"/>
                <w:szCs w:val="21"/>
                <w:highlight w:val="none"/>
                <w:lang w:val="en-US" w:eastAsia="zh-CN"/>
                <w14:textFill>
                  <w14:solidFill>
                    <w14:schemeClr w14:val="tx1"/>
                  </w14:solidFill>
                </w14:textFill>
              </w:rPr>
              <w:t>移动式危</w:t>
            </w: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废暂存间、消防水池</w:t>
            </w:r>
            <w:r>
              <w:rPr>
                <w:rFonts w:hint="eastAsia" w:cs="Times New Roman"/>
                <w:bCs/>
                <w:color w:val="000000" w:themeColor="text1"/>
                <w:spacing w:val="0"/>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喷漆车间</w:t>
            </w:r>
            <w:r>
              <w:rPr>
                <w:rFonts w:hint="eastAsia" w:cs="Times New Roman"/>
                <w:bCs/>
                <w:color w:val="000000" w:themeColor="text1"/>
                <w:spacing w:val="0"/>
                <w:sz w:val="21"/>
                <w:szCs w:val="21"/>
                <w:highlight w:val="none"/>
                <w:lang w:val="en-US" w:eastAsia="zh-CN"/>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油性</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漆</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仓库</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lang w:val="en-US" w:eastAsia="zh-CN"/>
                <w14:textFill>
                  <w14:solidFill>
                    <w14:schemeClr w14:val="tx1"/>
                  </w14:solidFill>
                </w14:textFill>
              </w:rPr>
              <w:t>对于重点污染防治区，参照《危险废物贮存污染控制标准》</w:t>
            </w:r>
            <w:r>
              <w:rPr>
                <w:rFonts w:hint="eastAsia" w:ascii="Times New Roman" w:hAnsi="Times New Roman" w:cs="Times New Roman"/>
                <w:bCs/>
                <w:color w:val="000000" w:themeColor="text1"/>
                <w:spacing w:val="0"/>
                <w:sz w:val="21"/>
                <w:szCs w:val="21"/>
                <w:highlight w:val="none"/>
                <w:lang w:val="en-US" w:eastAsia="zh-CN"/>
                <w14:textFill>
                  <w14:solidFill>
                    <w14:schemeClr w14:val="tx1"/>
                  </w14:solidFill>
                </w14:textFill>
              </w:rPr>
              <w:t>（</w:t>
            </w:r>
            <w:r>
              <w:rPr>
                <w:rFonts w:hint="default" w:ascii="Times New Roman" w:hAnsi="Times New Roman" w:cs="Times New Roman"/>
                <w:bCs/>
                <w:color w:val="000000" w:themeColor="text1"/>
                <w:spacing w:val="0"/>
                <w:sz w:val="21"/>
                <w:szCs w:val="21"/>
                <w:highlight w:val="none"/>
                <w:lang w:val="en-US" w:eastAsia="zh-CN"/>
                <w14:textFill>
                  <w14:solidFill>
                    <w14:schemeClr w14:val="tx1"/>
                  </w14:solidFill>
                </w14:textFill>
              </w:rPr>
              <w:t>GB18597-20</w:t>
            </w:r>
            <w:r>
              <w:rPr>
                <w:rFonts w:hint="eastAsia" w:ascii="Times New Roman" w:hAnsi="Times New Roman" w:cs="Times New Roman"/>
                <w:bCs/>
                <w:color w:val="000000" w:themeColor="text1"/>
                <w:spacing w:val="0"/>
                <w:sz w:val="21"/>
                <w:szCs w:val="21"/>
                <w:highlight w:val="none"/>
                <w:lang w:val="en-US" w:eastAsia="zh-CN"/>
                <w14:textFill>
                  <w14:solidFill>
                    <w14:schemeClr w14:val="tx1"/>
                  </w14:solidFill>
                </w14:textFill>
              </w:rPr>
              <w:t>23）</w:t>
            </w:r>
            <w:r>
              <w:rPr>
                <w:rFonts w:hint="default" w:ascii="Times New Roman" w:hAnsi="Times New Roman" w:cs="Times New Roman"/>
                <w:bCs/>
                <w:color w:val="000000" w:themeColor="text1"/>
                <w:spacing w:val="0"/>
                <w:sz w:val="21"/>
                <w:szCs w:val="21"/>
                <w:highlight w:val="none"/>
                <w:lang w:val="en-US" w:eastAsia="zh-CN"/>
                <w14:textFill>
                  <w14:solidFill>
                    <w14:schemeClr w14:val="tx1"/>
                  </w14:solidFill>
                </w14:textFill>
              </w:rPr>
              <w:t>的要求进行防渗设计。并有防风、防雨、防晒等功能，现场配备灭火器、消防砂等消防器材。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lang w:val="en-US" w:eastAsia="zh-CN"/>
                <w14:textFill>
                  <w14:solidFill>
                    <w14:schemeClr w14:val="tx1"/>
                  </w14:solidFill>
                </w14:textFill>
              </w:rPr>
              <w:t>危废存放间：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移动式危废暂存间</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地面采用防静电硬质环氧树脂材料，防止静电以及防止液体渗漏。内部需要有引水槽，或者有防止</w:t>
            </w:r>
            <w:r>
              <w:rPr>
                <w:rFonts w:hint="eastAsia" w:cs="Times New Roman"/>
                <w:color w:val="000000" w:themeColor="text1"/>
                <w:kern w:val="2"/>
                <w:sz w:val="21"/>
                <w:szCs w:val="21"/>
                <w:highlight w:val="none"/>
                <w:lang w:val="en-US" w:eastAsia="zh-CN" w:bidi="ar-SA"/>
                <w14:textFill>
                  <w14:solidFill>
                    <w14:schemeClr w14:val="tx1"/>
                  </w14:solidFill>
                </w14:textFill>
              </w:rPr>
              <w:t>泄漏</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等回收装置(如类似托盘类有一定容积率的底座)。符合国家危险固废贮存场所的建设要求。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一般污染防治区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本项目一般污染防治区为</w:t>
            </w: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其他厂房（除喷漆车间）</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一般污染区防渗要求：等效黏土层厚度≥1.5m，且经压实、人工改性等措施处理后的饱和渗透系数不应大于1.0×10</w:t>
            </w:r>
            <w:r>
              <w:rPr>
                <w:rFonts w:hint="default" w:ascii="Times New Roman" w:hAnsi="Times New Roman" w:eastAsia="宋体" w:cs="Times New Roman"/>
                <w:bCs/>
                <w:color w:val="000000" w:themeColor="text1"/>
                <w:spacing w:val="0"/>
                <w:sz w:val="21"/>
                <w:szCs w:val="21"/>
                <w:highlight w:val="none"/>
                <w:vertAlign w:val="superscript"/>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cm/s。使用其他</w:t>
            </w: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黏土</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类防渗层材料时，应具有同等以上隔水效力</w:t>
            </w: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bC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sz w:val="21"/>
                <w:szCs w:val="21"/>
                <w:highlight w:val="none"/>
                <w:lang w:val="en-US" w:eastAsia="zh-CN"/>
                <w14:textFill>
                  <w14:solidFill>
                    <w14:schemeClr w14:val="tx1"/>
                  </w14:solidFill>
                </w14:textFill>
              </w:rPr>
              <w:t>3）简单防渗区</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本项目简单防渗区是指不会对土壤和地下水造成污染的区域，主要包括厂内道路、绿化区等。对于基本上不产生污染物的</w:t>
            </w: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简单防渗区</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，不采取专门针对地下水污染的防治措施。本项目对可能造成地下水、土壤污染影响的区域进行分类识别、分区防渗，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778"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生态保护措施</w:t>
            </w:r>
          </w:p>
        </w:tc>
        <w:tc>
          <w:tcPr>
            <w:tcW w:w="7022" w:type="dxa"/>
            <w:gridSpan w:val="4"/>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宋体" w:hAnsi="宋体" w:cs="宋体"/>
                <w:color w:val="000000" w:themeColor="text1"/>
                <w:spacing w:val="-8"/>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环境风险</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pacing w:val="-8"/>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防范措施</w:t>
            </w:r>
          </w:p>
        </w:tc>
        <w:tc>
          <w:tcPr>
            <w:tcW w:w="7022"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贮存过程防范措施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Calibri" w:hAnsi="Calibri" w:eastAsia="宋体" w:cs="Calibri"/>
                <w:color w:val="000000" w:themeColor="text1"/>
                <w:kern w:val="2"/>
                <w:sz w:val="21"/>
                <w:szCs w:val="21"/>
                <w:highlight w:val="none"/>
                <w:lang w:val="en-US" w:eastAsia="zh-CN" w:bidi="ar-SA"/>
                <w14:textFill>
                  <w14:solidFill>
                    <w14:schemeClr w14:val="tx1"/>
                  </w14:solidFill>
                </w14:textFill>
              </w:rPr>
              <w:t>①</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储存</w:t>
            </w:r>
            <w:r>
              <w:rPr>
                <w:rFonts w:hint="eastAsia" w:cs="Times New Roman"/>
                <w:color w:val="000000" w:themeColor="text1"/>
                <w:kern w:val="2"/>
                <w:sz w:val="21"/>
                <w:szCs w:val="21"/>
                <w:highlight w:val="none"/>
                <w:lang w:val="en-US" w:eastAsia="zh-CN" w:bidi="ar-SA"/>
                <w14:textFill>
                  <w14:solidFill>
                    <w14:schemeClr w14:val="tx1"/>
                  </w14:solidFill>
                </w14:textFill>
              </w:rPr>
              <w:t>油性</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漆的</w:t>
            </w:r>
            <w:r>
              <w:rPr>
                <w:rFonts w:hint="eastAsia" w:cs="Times New Roman"/>
                <w:color w:val="000000" w:themeColor="text1"/>
                <w:kern w:val="2"/>
                <w:sz w:val="21"/>
                <w:szCs w:val="21"/>
                <w:highlight w:val="none"/>
                <w:lang w:val="en-US" w:eastAsia="zh-CN" w:bidi="ar-SA"/>
                <w14:textFill>
                  <w14:solidFill>
                    <w14:schemeClr w14:val="tx1"/>
                  </w14:solidFill>
                </w14:textFill>
              </w:rPr>
              <w:t>油性</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漆</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仓库</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的管理要求</w:t>
            </w:r>
            <w:r>
              <w:rPr>
                <w:rFonts w:hint="eastAsia" w:cs="Times New Roman"/>
                <w:color w:val="000000" w:themeColor="text1"/>
                <w:kern w:val="2"/>
                <w:sz w:val="21"/>
                <w:szCs w:val="21"/>
                <w:highlight w:val="none"/>
                <w:lang w:val="en-US" w:eastAsia="zh-CN" w:bidi="ar-SA"/>
                <w14:textFill>
                  <w14:solidFill>
                    <w14:schemeClr w14:val="tx1"/>
                  </w14:solidFill>
                </w14:textFill>
              </w:rPr>
              <w:t>严格</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遵守《危险化学品安全管理条例》及有关规定的要求。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Calibri" w:hAnsi="Calibri" w:eastAsia="宋体" w:cs="Calibri"/>
                <w:color w:val="000000" w:themeColor="text1"/>
                <w:kern w:val="2"/>
                <w:sz w:val="21"/>
                <w:szCs w:val="21"/>
                <w:highlight w:val="none"/>
                <w:lang w:val="en-US" w:eastAsia="zh-CN" w:bidi="ar-SA"/>
                <w14:textFill>
                  <w14:solidFill>
                    <w14:schemeClr w14:val="tx1"/>
                  </w14:solidFill>
                </w14:textFill>
              </w:rPr>
              <w:t>②</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每年进行一次对贮存装置的安全评价，对存在的安全问题提出整改方案，如发现贮存装置存在现实危险的，应当立即停止使用，予以更换或者修复，并采取相应安全措施。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喷漆车间、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消防水池</w:t>
            </w:r>
            <w:r>
              <w:rPr>
                <w:rFonts w:hint="eastAsia" w:cs="Times New Roman"/>
                <w:color w:val="000000" w:themeColor="text1"/>
                <w:kern w:val="2"/>
                <w:sz w:val="21"/>
                <w:szCs w:val="21"/>
                <w:highlight w:val="none"/>
                <w:lang w:val="en-US" w:eastAsia="zh-CN" w:bidi="ar-SA"/>
                <w14:textFill>
                  <w14:solidFill>
                    <w14:schemeClr w14:val="tx1"/>
                  </w14:solidFill>
                </w14:textFill>
              </w:rPr>
              <w:t>、油性</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漆</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仓库</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按照重点防渗区进行防渗，防渗效果等效黏土防渗层Mb≥6.0m，K≤1×10</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cm/s，</w:t>
            </w:r>
            <w:r>
              <w:rPr>
                <w:rFonts w:hint="eastAsia" w:cs="Times New Roman"/>
                <w:color w:val="000000" w:themeColor="text1"/>
                <w:kern w:val="2"/>
                <w:sz w:val="21"/>
                <w:szCs w:val="21"/>
                <w:highlight w:val="none"/>
                <w:lang w:val="en-US" w:eastAsia="zh-CN" w:bidi="ar-SA"/>
                <w14:textFill>
                  <w14:solidFill>
                    <w14:schemeClr w14:val="tx1"/>
                  </w14:solidFill>
                </w14:textFill>
              </w:rPr>
              <w:t>防止</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物料泄漏污染土壤和地下水。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移动式危废暂存间</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地面采用防静电硬质环氧树脂材料，防止静电以及防止液体渗漏。内部需要有引水槽，或者有防止</w:t>
            </w:r>
            <w:r>
              <w:rPr>
                <w:rFonts w:hint="eastAsia" w:cs="Times New Roman"/>
                <w:color w:val="000000" w:themeColor="text1"/>
                <w:kern w:val="2"/>
                <w:sz w:val="21"/>
                <w:szCs w:val="21"/>
                <w:highlight w:val="none"/>
                <w:lang w:val="en-US" w:eastAsia="zh-CN" w:bidi="ar-SA"/>
                <w14:textFill>
                  <w14:solidFill>
                    <w14:schemeClr w14:val="tx1"/>
                  </w14:solidFill>
                </w14:textFill>
              </w:rPr>
              <w:t>泄漏</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等回收装置(如类似托盘类有一定容积率的底座)。符合国家危险固废贮存场所的建设要求。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生产过程防范措施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①主体厂房要敞开式布置，强化通风，各种工艺设备（阀门、法兰、泵类等）、管的选型严把质量关，并加强检修、维护，严禁生产中出现物料跑、冒、滴、漏，电气设备须选用防腐、防爆型，电源绝缘良好，防止产生电火花，接地牢靠，防止产生静电。</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②建立和完善各级安全生产责任制，并切实落到实处。各级领导和生产管理人员必须重视安全生产，积极推广科学安全管理方法，强化安全操作制度和劳动纪律。</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③对职工要加强职业培训和安全教育。培养职工要有高度的安全生产责任心，并且要熟悉相应的业务，有熟练的操作技能，具备有关物料、设备、设施、工艺参数变动及泄漏等的危险、</w:t>
            </w:r>
            <w:r>
              <w:rPr>
                <w:rFonts w:hint="eastAsia" w:cs="Times New Roman"/>
                <w:bCs/>
                <w:color w:val="000000" w:themeColor="text1"/>
                <w:spacing w:val="0"/>
                <w:sz w:val="21"/>
                <w:szCs w:val="21"/>
                <w:highlight w:val="none"/>
                <w:lang w:val="en-US" w:eastAsia="zh-CN"/>
                <w14:textFill>
                  <w14:solidFill>
                    <w14:schemeClr w14:val="tx1"/>
                  </w14:solidFill>
                </w14:textFill>
              </w:rPr>
              <w:t>危害辨识</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，在紧急情况下能采取正确的应急方法。</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④企业应加强设备管理，工作人员应培训上岗，并经常检查，防止跑冒滴漏发生。加强容器维护、检测，对破损的容器及时更换，确保设备完好，以防物料泄漏；工作现场禁止吸烟、进食。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⑤车间、仓库等危险场所按“建筑灭火器配置设计规范 ”配置手提式干粉灭火器和推车式干粉灭火器。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⑥从工程筹建开始就要建立安全技术档案，包括各种技术图纸、安全操作规程、安全规章制度、设备运行档案、特种设备档案、电气设施检测数据、安全部件检测记录等，为安全生产管理提供依据。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⑦加强对电工及电气设备的管理，并对职工进行各种电气事故案例的教育，不乱拉临时线、防止各类电气事故的发生。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⑧建立健全安全检查制度，定期进行安全检查，及时整改安全隐患，防止事故发生。选用密闭性能好的阀门，保证可拆连接部位的密封性能。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运输过程防范措施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针对本项目涉及的危险品，评价建议运输过程中应该严格执行以下防范措施：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①首先企业要严格执行《安全生产法》和《危险化学品安全管理条例》的有关规定，选择有相关资质的运输公司运送危险原料。</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②运输应采用安全性能优良的化学品专用运输车辆，并经检测、检验合格，方可使用。桶以及其他容器必须封口严密，能够承受正常运输条件下产生的内部压力和外部压力，保证在运输中不因湿度、湿度或者压力的变化而发生任何渗（洒）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③在装卸运输时间上合理安排，避开人流高峰期，尽量减轻事故泄漏对人群的影响。司机应经培训有资格后，方可驾驶，严防客货混运，并尽可能缩短运货路程，避开人烟稠密的城镇，减少交通事故发生。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④根据运输物质的性质，准备相应的应急防毒面具、收集泄漏容器及消防设备等事故处理物资和器材。</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cs="宋体"/>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一旦出现运输过程事故排放，一面采取应急处理措施，搞好现场保护，一面与当地公安消防和环保部门联系，消除或减缓事故造成的影响。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宋体" w:hAnsi="宋体" w:cs="宋体"/>
                <w:color w:val="000000" w:themeColor="text1"/>
                <w:spacing w:val="-8"/>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其他环境</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pacing w:val="-8"/>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管理要求</w:t>
            </w:r>
          </w:p>
        </w:tc>
        <w:tc>
          <w:tcPr>
            <w:tcW w:w="7022"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）排污口规范化管理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2）安全环保科除执行各项有关环境保护工作的指令外，还应接受当地环境保护局的监督检查，组织环保监测及统计工作，配合上级部门对本企业环保项目进行检查验收，定期与不定期地上报各项管理工作的执行情况以及各项有关环境参数、污染源排放指标，建立污染源及厂区周围环境质量监测数据档案，定期编写环保简报，制定全厂环保年度计划和长远规划，为区域整体环境控制服务。</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 xml:space="preserve">（3）确保污染治理措施执行“三同时”，检查、监督全厂环保设施的正常高效运行，使各项治理设施达到设计要求。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（4）污染防治设施应在满足设计工况的条件下运行，并根据工艺要求，定期对设备、电气、自控仪表及构筑物进行检查维护，确保污染防治设施可靠运行。</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（5）加强环保知识宣传教育，提高职工环境意识，把环境意识贯彻到企业各车间班组及每个职工的日常生产、生活中；推广治理方面的先进技术。</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（6）组织制定环境保护管理的规章制度并监督执行；制定并组织实施各项环境保护的规划和计划；贯彻执行环境保护法规和标准。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（7）项目建成后及时进行环保验收并申请排污许可证。</w:t>
            </w:r>
          </w:p>
        </w:tc>
      </w:tr>
    </w:tbl>
    <w:p>
      <w:pPr>
        <w:pStyle w:val="20"/>
        <w:jc w:val="center"/>
        <w:outlineLvl w:val="0"/>
        <w:rPr>
          <w:rFonts w:ascii="黑体" w:hAnsi="黑体" w:eastAsia="黑体"/>
          <w:snapToGrid w:val="0"/>
          <w:color w:val="000000" w:themeColor="text1"/>
          <w:sz w:val="30"/>
          <w:szCs w:val="30"/>
          <w:highlight w:val="none"/>
          <w14:textFill>
            <w14:solidFill>
              <w14:schemeClr w14:val="tx1"/>
            </w14:solidFill>
          </w14:textFill>
        </w:rPr>
      </w:pPr>
      <w:r>
        <w:rPr>
          <w:snapToGrid w:val="0"/>
          <w:color w:val="000000" w:themeColor="text1"/>
          <w:highlight w:val="none"/>
          <w14:textFill>
            <w14:solidFill>
              <w14:schemeClr w14:val="tx1"/>
            </w14:solidFill>
          </w14:textFill>
        </w:rPr>
        <w:br w:type="page"/>
      </w:r>
      <w:r>
        <w:rPr>
          <w:rFonts w:hint="eastAsia" w:ascii="黑体" w:hAnsi="黑体" w:eastAsia="黑体"/>
          <w:snapToGrid w:val="0"/>
          <w:color w:val="000000" w:themeColor="text1"/>
          <w:sz w:val="30"/>
          <w:szCs w:val="30"/>
          <w:highlight w:val="none"/>
          <w14:textFill>
            <w14:solidFill>
              <w14:schemeClr w14:val="tx1"/>
            </w14:solidFill>
          </w14:textFill>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spacing w:line="360" w:lineRule="auto"/>
              <w:ind w:firstLine="480" w:firstLineChars="200"/>
              <w:rPr>
                <w:rFonts w:ascii="宋体" w:cs="宋体"/>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本项目的建设</w:t>
            </w:r>
            <w:r>
              <w:rPr>
                <w:rFonts w:hint="default" w:ascii="Times New Roman" w:hAnsi="Times New Roman" w:cs="Times New Roman"/>
                <w:color w:val="000000" w:themeColor="text1"/>
                <w:sz w:val="24"/>
                <w:highlight w:val="none"/>
                <w:lang w:val="en-US" w:eastAsia="zh-CN"/>
                <w14:textFill>
                  <w14:solidFill>
                    <w14:schemeClr w14:val="tx1"/>
                  </w14:solidFill>
                </w14:textFill>
              </w:rPr>
              <w:t>符合国家产业政策；选址符合相关要求；采用的工艺技术成熟可行，通过采取有效的环保措施可实现达标排放，对周边环境的影响也能控制在可接受程度。因此，建设单位在严格执行环保</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三同时</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制度，严格落实本报告提出的各项环保措施后，项目建设对环境的影响是可接受的。因此，从环保的角度分析，本项目的建设是可行的。</w:t>
            </w:r>
          </w:p>
        </w:tc>
      </w:tr>
    </w:tbl>
    <w:p>
      <w:pPr>
        <w:rPr>
          <w:rFonts w:ascii="宋体"/>
          <w:color w:val="000000" w:themeColor="text1"/>
          <w:highlight w:val="none"/>
          <w14:textFill>
            <w14:solidFill>
              <w14:schemeClr w14:val="tx1"/>
            </w14:solidFill>
          </w14:textFill>
        </w:rPr>
        <w:sectPr>
          <w:pgSz w:w="11906" w:h="16838"/>
          <w:pgMar w:top="1440" w:right="1803" w:bottom="1440" w:left="1803" w:header="851" w:footer="851" w:gutter="0"/>
          <w:pgNumType w:fmt="decimal"/>
          <w:cols w:space="720" w:num="1"/>
          <w:docGrid w:linePitch="312" w:charSpace="0"/>
        </w:sectPr>
      </w:pPr>
    </w:p>
    <w:p>
      <w:pPr>
        <w:pStyle w:val="20"/>
        <w:adjustRightInd w:val="0"/>
        <w:snapToGrid w:val="0"/>
        <w:spacing w:before="0" w:beforeAutospacing="0" w:after="0" w:afterAutospacing="0" w:line="240" w:lineRule="auto"/>
        <w:outlineLvl w:val="0"/>
        <w:rPr>
          <w:rFonts w:ascii="黑体" w:hAnsi="黑体" w:eastAsia="黑体"/>
          <w:snapToGrid w:val="0"/>
          <w:color w:val="000000" w:themeColor="text1"/>
          <w:sz w:val="32"/>
          <w:szCs w:val="32"/>
          <w:highlight w:val="none"/>
          <w14:textFill>
            <w14:solidFill>
              <w14:schemeClr w14:val="tx1"/>
            </w14:solidFill>
          </w14:textFill>
        </w:rPr>
      </w:pPr>
      <w:r>
        <w:rPr>
          <w:rFonts w:hint="eastAsia" w:ascii="黑体" w:hAnsi="黑体" w:eastAsia="黑体"/>
          <w:snapToGrid w:val="0"/>
          <w:color w:val="000000" w:themeColor="text1"/>
          <w:sz w:val="32"/>
          <w:szCs w:val="32"/>
          <w:highlight w:val="none"/>
          <w14:textFill>
            <w14:solidFill>
              <w14:schemeClr w14:val="tx1"/>
            </w14:solidFill>
          </w14:textFill>
        </w:rPr>
        <w:t>附表</w:t>
      </w:r>
    </w:p>
    <w:p>
      <w:pPr>
        <w:pStyle w:val="20"/>
        <w:adjustRightInd w:val="0"/>
        <w:snapToGrid w:val="0"/>
        <w:spacing w:before="0" w:beforeAutospacing="0" w:after="0" w:afterAutospacing="0" w:line="552" w:lineRule="auto"/>
        <w:jc w:val="center"/>
        <w:outlineLvl w:val="0"/>
        <w:rPr>
          <w:rFonts w:hint="eastAsia" w:ascii="方正小标宋_GBK" w:hAnsi="黑体" w:eastAsia="方正小标宋_GBK"/>
          <w:snapToGrid w:val="0"/>
          <w:color w:val="000000" w:themeColor="text1"/>
          <w:sz w:val="38"/>
          <w:szCs w:val="38"/>
          <w:highlight w:val="none"/>
          <w14:textFill>
            <w14:solidFill>
              <w14:schemeClr w14:val="tx1"/>
            </w14:solidFill>
          </w14:textFill>
        </w:rPr>
      </w:pPr>
      <w:r>
        <w:rPr>
          <w:rFonts w:hint="eastAsia" w:ascii="方正小标宋_GBK" w:hAnsi="黑体" w:eastAsia="方正小标宋_GBK"/>
          <w:snapToGrid w:val="0"/>
          <w:color w:val="000000" w:themeColor="text1"/>
          <w:sz w:val="38"/>
          <w:szCs w:val="38"/>
          <w:highlight w:val="none"/>
          <w14:textFill>
            <w14:solidFill>
              <w14:schemeClr w14:val="tx1"/>
            </w14:solidFill>
          </w14:textFill>
        </w:rPr>
        <w:t>建设项目污染物排放量汇总表</w:t>
      </w:r>
    </w:p>
    <w:tbl>
      <w:tblPr>
        <w:tblStyle w:val="24"/>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283"/>
        <w:gridCol w:w="1800"/>
        <w:gridCol w:w="14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88" w:type="dxa"/>
            <w:tcBorders>
              <w:tl2br w:val="single" w:color="auto" w:sz="4" w:space="0"/>
            </w:tcBorders>
            <w:tcMar>
              <w:left w:w="28" w:type="dxa"/>
              <w:right w:w="28" w:type="dxa"/>
            </w:tcMar>
            <w:vAlign w:val="center"/>
          </w:tcPr>
          <w:p>
            <w:pPr>
              <w:pStyle w:val="56"/>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int="eastAsia" w:ascii="黑体" w:hAnsi="黑体" w:eastAsia="黑体" w:cs="宋体"/>
                <w:snapToGrid w:val="0"/>
                <w:color w:val="000000" w:themeColor="text1"/>
                <w:spacing w:val="-6"/>
                <w:kern w:val="21"/>
                <w:sz w:val="21"/>
                <w:szCs w:val="21"/>
                <w:highlight w:val="none"/>
                <w14:textFill>
                  <w14:solidFill>
                    <w14:schemeClr w14:val="tx1"/>
                  </w14:solidFill>
                </w14:textFill>
              </w:rPr>
            </w:pPr>
            <w:r>
              <w:rPr>
                <w:rFonts w:hint="eastAsia" w:ascii="黑体" w:hAnsi="黑体" w:eastAsia="黑体" w:cs="宋体"/>
                <w:snapToGrid w:val="0"/>
                <w:color w:val="000000" w:themeColor="text1"/>
                <w:spacing w:val="-6"/>
                <w:kern w:val="21"/>
                <w:sz w:val="21"/>
                <w:szCs w:val="21"/>
                <w:highlight w:val="none"/>
                <w14:textFill>
                  <w14:solidFill>
                    <w14:schemeClr w14:val="tx1"/>
                  </w14:solidFill>
                </w14:textFill>
              </w:rPr>
              <w:t>项目</w:t>
            </w:r>
          </w:p>
          <w:p>
            <w:pPr>
              <w:pStyle w:val="56"/>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int="eastAsia" w:ascii="黑体" w:hAnsi="黑体" w:eastAsia="黑体" w:cs="宋体"/>
                <w:snapToGrid w:val="0"/>
                <w:color w:val="000000" w:themeColor="text1"/>
                <w:spacing w:val="-6"/>
                <w:kern w:val="21"/>
                <w:sz w:val="21"/>
                <w:szCs w:val="21"/>
                <w:highlight w:val="none"/>
                <w14:textFill>
                  <w14:solidFill>
                    <w14:schemeClr w14:val="tx1"/>
                  </w14:solidFill>
                </w14:textFill>
              </w:rPr>
            </w:pPr>
            <w:r>
              <w:rPr>
                <w:rFonts w:hint="eastAsia" w:ascii="黑体" w:hAnsi="黑体" w:eastAsia="黑体" w:cs="宋体"/>
                <w:snapToGrid w:val="0"/>
                <w:color w:val="000000" w:themeColor="text1"/>
                <w:spacing w:val="-6"/>
                <w:kern w:val="21"/>
                <w:sz w:val="21"/>
                <w:szCs w:val="21"/>
                <w:highlight w:val="none"/>
                <w14:textFill>
                  <w14:solidFill>
                    <w14:schemeClr w14:val="tx1"/>
                  </w14:solidFill>
                </w14:textFill>
              </w:rPr>
              <w:t>分类</w:t>
            </w:r>
          </w:p>
        </w:tc>
        <w:tc>
          <w:tcPr>
            <w:tcW w:w="1417" w:type="dxa"/>
            <w:tcMar>
              <w:left w:w="28" w:type="dxa"/>
              <w:right w:w="28" w:type="dxa"/>
            </w:tcMar>
            <w:vAlign w:val="center"/>
          </w:tcPr>
          <w:p>
            <w:pPr>
              <w:pStyle w:val="56"/>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int="eastAsia" w:ascii="黑体" w:hAnsi="黑体" w:eastAsia="黑体" w:cs="宋体"/>
                <w:snapToGrid w:val="0"/>
                <w:color w:val="000000" w:themeColor="text1"/>
                <w:spacing w:val="-6"/>
                <w:kern w:val="21"/>
                <w:sz w:val="21"/>
                <w:szCs w:val="21"/>
                <w:highlight w:val="none"/>
                <w14:textFill>
                  <w14:solidFill>
                    <w14:schemeClr w14:val="tx1"/>
                  </w14:solidFill>
                </w14:textFill>
              </w:rPr>
            </w:pPr>
            <w:r>
              <w:rPr>
                <w:rFonts w:hint="eastAsia" w:ascii="黑体" w:hAnsi="黑体" w:eastAsia="黑体" w:cs="宋体"/>
                <w:snapToGrid w:val="0"/>
                <w:color w:val="000000" w:themeColor="text1"/>
                <w:spacing w:val="-6"/>
                <w:kern w:val="21"/>
                <w:sz w:val="21"/>
                <w:szCs w:val="21"/>
                <w:highlight w:val="none"/>
                <w14:textFill>
                  <w14:solidFill>
                    <w14:schemeClr w14:val="tx1"/>
                  </w14:solidFill>
                </w14:textFill>
              </w:rPr>
              <w:t>污染物名称</w:t>
            </w:r>
          </w:p>
        </w:tc>
        <w:tc>
          <w:tcPr>
            <w:tcW w:w="1701" w:type="dxa"/>
            <w:tcMar>
              <w:left w:w="28" w:type="dxa"/>
              <w:right w:w="28" w:type="dxa"/>
            </w:tcMar>
            <w:vAlign w:val="center"/>
          </w:tcPr>
          <w:p>
            <w:pPr>
              <w:pStyle w:val="56"/>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int="eastAsia"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现有工程</w:t>
            </w:r>
          </w:p>
          <w:p>
            <w:pPr>
              <w:pStyle w:val="56"/>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排放量（固</w:t>
            </w:r>
            <w:r>
              <w:rPr>
                <w:rFonts w:hint="eastAsia" w:ascii="黑体" w:hAnsi="黑体" w:eastAsia="黑体"/>
                <w:snapToGrid w:val="0"/>
                <w:color w:val="000000" w:themeColor="text1"/>
                <w:spacing w:val="-6"/>
                <w:kern w:val="21"/>
                <w:sz w:val="21"/>
                <w:szCs w:val="21"/>
                <w:highlight w:val="none"/>
                <w14:textFill>
                  <w14:solidFill>
                    <w14:schemeClr w14:val="tx1"/>
                  </w14:solidFill>
                </w14:textFill>
              </w:rPr>
              <w:t>体</w:t>
            </w:r>
            <w:r>
              <w:rPr>
                <w:rFonts w:ascii="黑体" w:hAnsi="黑体" w:eastAsia="黑体"/>
                <w:snapToGrid w:val="0"/>
                <w:color w:val="000000" w:themeColor="text1"/>
                <w:spacing w:val="-6"/>
                <w:kern w:val="21"/>
                <w:sz w:val="21"/>
                <w:szCs w:val="21"/>
                <w:highlight w:val="none"/>
                <w14:textFill>
                  <w14:solidFill>
                    <w14:schemeClr w14:val="tx1"/>
                  </w14:solidFill>
                </w14:textFill>
              </w:rPr>
              <w:t>废</w:t>
            </w:r>
            <w:r>
              <w:rPr>
                <w:rFonts w:hint="eastAsia" w:ascii="黑体" w:hAnsi="黑体" w:eastAsia="黑体"/>
                <w:snapToGrid w:val="0"/>
                <w:color w:val="000000" w:themeColor="text1"/>
                <w:spacing w:val="-6"/>
                <w:kern w:val="21"/>
                <w:sz w:val="21"/>
                <w:szCs w:val="21"/>
                <w:highlight w:val="none"/>
                <w14:textFill>
                  <w14:solidFill>
                    <w14:schemeClr w14:val="tx1"/>
                  </w14:solidFill>
                </w14:textFill>
              </w:rPr>
              <w:t>物</w:t>
            </w:r>
            <w:r>
              <w:rPr>
                <w:rFonts w:ascii="黑体" w:hAnsi="黑体" w:eastAsia="黑体"/>
                <w:snapToGrid w:val="0"/>
                <w:color w:val="000000" w:themeColor="text1"/>
                <w:spacing w:val="-6"/>
                <w:kern w:val="21"/>
                <w:sz w:val="21"/>
                <w:szCs w:val="21"/>
                <w:highlight w:val="none"/>
                <w14:textFill>
                  <w14:solidFill>
                    <w14:schemeClr w14:val="tx1"/>
                  </w14:solidFill>
                </w14:textFill>
              </w:rPr>
              <w:t>产生量）</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begin"/>
            </w:r>
            <w:r>
              <w:rPr>
                <w:rFonts w:ascii="黑体" w:hAnsi="黑体" w:eastAsia="黑体"/>
                <w:snapToGrid w:val="0"/>
                <w:color w:val="000000" w:themeColor="text1"/>
                <w:spacing w:val="-6"/>
                <w:kern w:val="21"/>
                <w:sz w:val="21"/>
                <w:szCs w:val="21"/>
                <w:highlight w:val="none"/>
                <w14:textFill>
                  <w14:solidFill>
                    <w14:schemeClr w14:val="tx1"/>
                  </w14:solidFill>
                </w14:textFill>
              </w:rPr>
              <w:instrText xml:space="preserve"> = 1 \* GB3 \* MERGEFORMAT </w:instrTex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 w:val="21"/>
                <w:szCs w:val="21"/>
                <w:highlight w:val="none"/>
                <w14:textFill>
                  <w14:solidFill>
                    <w14:schemeClr w14:val="tx1"/>
                  </w14:solidFill>
                </w14:textFill>
              </w:rPr>
              <w:t>①</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end"/>
            </w:r>
          </w:p>
        </w:tc>
        <w:tc>
          <w:tcPr>
            <w:tcW w:w="1276" w:type="dxa"/>
            <w:tcMar>
              <w:left w:w="28" w:type="dxa"/>
              <w:right w:w="28" w:type="dxa"/>
            </w:tcMar>
            <w:vAlign w:val="center"/>
          </w:tcPr>
          <w:p>
            <w:pPr>
              <w:pStyle w:val="56"/>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现有工程</w:t>
            </w:r>
          </w:p>
          <w:p>
            <w:pPr>
              <w:pStyle w:val="56"/>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许可排放量</w:t>
            </w:r>
          </w:p>
          <w:p>
            <w:pPr>
              <w:pStyle w:val="56"/>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begin"/>
            </w:r>
            <w:r>
              <w:rPr>
                <w:rFonts w:ascii="黑体" w:hAnsi="黑体" w:eastAsia="黑体"/>
                <w:snapToGrid w:val="0"/>
                <w:color w:val="000000" w:themeColor="text1"/>
                <w:spacing w:val="-6"/>
                <w:kern w:val="21"/>
                <w:sz w:val="21"/>
                <w:szCs w:val="21"/>
                <w:highlight w:val="none"/>
                <w14:textFill>
                  <w14:solidFill>
                    <w14:schemeClr w14:val="tx1"/>
                  </w14:solidFill>
                </w14:textFill>
              </w:rPr>
              <w:instrText xml:space="preserve"> = 2 \* GB3 \* MERGEFORMAT </w:instrTex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separate"/>
            </w:r>
            <w:r>
              <w:rPr>
                <w:rFonts w:hint="eastAsia" w:ascii="黑体" w:hAnsi="黑体" w:eastAsia="黑体" w:cs="宋体"/>
                <w:snapToGrid w:val="0"/>
                <w:color w:val="000000" w:themeColor="text1"/>
                <w:spacing w:val="-6"/>
                <w:kern w:val="21"/>
                <w:sz w:val="21"/>
                <w:szCs w:val="21"/>
                <w:highlight w:val="none"/>
                <w14:textFill>
                  <w14:solidFill>
                    <w14:schemeClr w14:val="tx1"/>
                  </w14:solidFill>
                </w14:textFill>
              </w:rPr>
              <w:t>②</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end"/>
            </w:r>
          </w:p>
        </w:tc>
        <w:tc>
          <w:tcPr>
            <w:tcW w:w="1701" w:type="dxa"/>
            <w:tcMar>
              <w:left w:w="28" w:type="dxa"/>
              <w:right w:w="28" w:type="dxa"/>
            </w:tcMar>
            <w:vAlign w:val="center"/>
          </w:tcPr>
          <w:p>
            <w:pPr>
              <w:pStyle w:val="56"/>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int="eastAsia"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在建工程</w:t>
            </w:r>
          </w:p>
          <w:p>
            <w:pPr>
              <w:pStyle w:val="56"/>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排放量（固</w:t>
            </w:r>
            <w:r>
              <w:rPr>
                <w:rFonts w:hint="eastAsia" w:ascii="黑体" w:hAnsi="黑体" w:eastAsia="黑体"/>
                <w:snapToGrid w:val="0"/>
                <w:color w:val="000000" w:themeColor="text1"/>
                <w:spacing w:val="-6"/>
                <w:kern w:val="21"/>
                <w:sz w:val="21"/>
                <w:szCs w:val="21"/>
                <w:highlight w:val="none"/>
                <w14:textFill>
                  <w14:solidFill>
                    <w14:schemeClr w14:val="tx1"/>
                  </w14:solidFill>
                </w14:textFill>
              </w:rPr>
              <w:t>体</w:t>
            </w:r>
            <w:r>
              <w:rPr>
                <w:rFonts w:ascii="黑体" w:hAnsi="黑体" w:eastAsia="黑体"/>
                <w:snapToGrid w:val="0"/>
                <w:color w:val="000000" w:themeColor="text1"/>
                <w:spacing w:val="-6"/>
                <w:kern w:val="21"/>
                <w:sz w:val="21"/>
                <w:szCs w:val="21"/>
                <w:highlight w:val="none"/>
                <w14:textFill>
                  <w14:solidFill>
                    <w14:schemeClr w14:val="tx1"/>
                  </w14:solidFill>
                </w14:textFill>
              </w:rPr>
              <w:t>废</w:t>
            </w:r>
            <w:r>
              <w:rPr>
                <w:rFonts w:hint="eastAsia" w:ascii="黑体" w:hAnsi="黑体" w:eastAsia="黑体"/>
                <w:snapToGrid w:val="0"/>
                <w:color w:val="000000" w:themeColor="text1"/>
                <w:spacing w:val="-6"/>
                <w:kern w:val="21"/>
                <w:sz w:val="21"/>
                <w:szCs w:val="21"/>
                <w:highlight w:val="none"/>
                <w14:textFill>
                  <w14:solidFill>
                    <w14:schemeClr w14:val="tx1"/>
                  </w14:solidFill>
                </w14:textFill>
              </w:rPr>
              <w:t>物</w:t>
            </w:r>
            <w:r>
              <w:rPr>
                <w:rFonts w:ascii="黑体" w:hAnsi="黑体" w:eastAsia="黑体"/>
                <w:snapToGrid w:val="0"/>
                <w:color w:val="000000" w:themeColor="text1"/>
                <w:spacing w:val="-6"/>
                <w:kern w:val="21"/>
                <w:sz w:val="21"/>
                <w:szCs w:val="21"/>
                <w:highlight w:val="none"/>
                <w14:textFill>
                  <w14:solidFill>
                    <w14:schemeClr w14:val="tx1"/>
                  </w14:solidFill>
                </w14:textFill>
              </w:rPr>
              <w:t>产生量）</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begin"/>
            </w:r>
            <w:r>
              <w:rPr>
                <w:rFonts w:ascii="黑体" w:hAnsi="黑体" w:eastAsia="黑体"/>
                <w:snapToGrid w:val="0"/>
                <w:color w:val="000000" w:themeColor="text1"/>
                <w:spacing w:val="-6"/>
                <w:kern w:val="21"/>
                <w:sz w:val="21"/>
                <w:szCs w:val="21"/>
                <w:highlight w:val="none"/>
                <w14:textFill>
                  <w14:solidFill>
                    <w14:schemeClr w14:val="tx1"/>
                  </w14:solidFill>
                </w14:textFill>
              </w:rPr>
              <w:instrText xml:space="preserve"> = 3 \* GB3 \* MERGEFORMAT </w:instrTex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 w:val="21"/>
                <w:szCs w:val="21"/>
                <w:highlight w:val="none"/>
                <w14:textFill>
                  <w14:solidFill>
                    <w14:schemeClr w14:val="tx1"/>
                  </w14:solidFill>
                </w14:textFill>
              </w:rPr>
              <w:t>③</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end"/>
            </w:r>
          </w:p>
        </w:tc>
        <w:tc>
          <w:tcPr>
            <w:tcW w:w="1559" w:type="dxa"/>
            <w:tcMar>
              <w:left w:w="28" w:type="dxa"/>
              <w:right w:w="28" w:type="dxa"/>
            </w:tcMar>
            <w:vAlign w:val="center"/>
          </w:tcPr>
          <w:p>
            <w:pPr>
              <w:pStyle w:val="56"/>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int="eastAsia"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本项目</w:t>
            </w:r>
          </w:p>
          <w:p>
            <w:pPr>
              <w:pStyle w:val="56"/>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排放量（固</w:t>
            </w:r>
            <w:r>
              <w:rPr>
                <w:rFonts w:hint="eastAsia" w:ascii="黑体" w:hAnsi="黑体" w:eastAsia="黑体"/>
                <w:snapToGrid w:val="0"/>
                <w:color w:val="000000" w:themeColor="text1"/>
                <w:spacing w:val="-6"/>
                <w:kern w:val="21"/>
                <w:sz w:val="21"/>
                <w:szCs w:val="21"/>
                <w:highlight w:val="none"/>
                <w14:textFill>
                  <w14:solidFill>
                    <w14:schemeClr w14:val="tx1"/>
                  </w14:solidFill>
                </w14:textFill>
              </w:rPr>
              <w:t>体</w:t>
            </w:r>
            <w:r>
              <w:rPr>
                <w:rFonts w:ascii="黑体" w:hAnsi="黑体" w:eastAsia="黑体"/>
                <w:snapToGrid w:val="0"/>
                <w:color w:val="000000" w:themeColor="text1"/>
                <w:spacing w:val="-6"/>
                <w:kern w:val="21"/>
                <w:sz w:val="21"/>
                <w:szCs w:val="21"/>
                <w:highlight w:val="none"/>
                <w14:textFill>
                  <w14:solidFill>
                    <w14:schemeClr w14:val="tx1"/>
                  </w14:solidFill>
                </w14:textFill>
              </w:rPr>
              <w:t>废</w:t>
            </w:r>
            <w:r>
              <w:rPr>
                <w:rFonts w:hint="eastAsia" w:ascii="黑体" w:hAnsi="黑体" w:eastAsia="黑体"/>
                <w:snapToGrid w:val="0"/>
                <w:color w:val="000000" w:themeColor="text1"/>
                <w:spacing w:val="-6"/>
                <w:kern w:val="21"/>
                <w:sz w:val="21"/>
                <w:szCs w:val="21"/>
                <w:highlight w:val="none"/>
                <w14:textFill>
                  <w14:solidFill>
                    <w14:schemeClr w14:val="tx1"/>
                  </w14:solidFill>
                </w14:textFill>
              </w:rPr>
              <w:t>物</w:t>
            </w:r>
            <w:r>
              <w:rPr>
                <w:rFonts w:ascii="黑体" w:hAnsi="黑体" w:eastAsia="黑体"/>
                <w:snapToGrid w:val="0"/>
                <w:color w:val="000000" w:themeColor="text1"/>
                <w:spacing w:val="-6"/>
                <w:kern w:val="21"/>
                <w:sz w:val="21"/>
                <w:szCs w:val="21"/>
                <w:highlight w:val="none"/>
                <w14:textFill>
                  <w14:solidFill>
                    <w14:schemeClr w14:val="tx1"/>
                  </w14:solidFill>
                </w14:textFill>
              </w:rPr>
              <w:t>产生量）</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begin"/>
            </w:r>
            <w:r>
              <w:rPr>
                <w:rFonts w:ascii="黑体" w:hAnsi="黑体" w:eastAsia="黑体"/>
                <w:snapToGrid w:val="0"/>
                <w:color w:val="000000" w:themeColor="text1"/>
                <w:spacing w:val="-6"/>
                <w:kern w:val="21"/>
                <w:sz w:val="21"/>
                <w:szCs w:val="21"/>
                <w:highlight w:val="none"/>
                <w14:textFill>
                  <w14:solidFill>
                    <w14:schemeClr w14:val="tx1"/>
                  </w14:solidFill>
                </w14:textFill>
              </w:rPr>
              <w:instrText xml:space="preserve"> = 4 \* GB3 \* MERGEFORMAT </w:instrTex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 w:val="21"/>
                <w:szCs w:val="21"/>
                <w:highlight w:val="none"/>
                <w14:textFill>
                  <w14:solidFill>
                    <w14:schemeClr w14:val="tx1"/>
                  </w14:solidFill>
                </w14:textFill>
              </w:rPr>
              <w:t>④</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end"/>
            </w:r>
          </w:p>
        </w:tc>
        <w:tc>
          <w:tcPr>
            <w:tcW w:w="1283" w:type="dxa"/>
            <w:tcMar>
              <w:left w:w="28" w:type="dxa"/>
              <w:right w:w="28" w:type="dxa"/>
            </w:tcMar>
            <w:vAlign w:val="center"/>
          </w:tcPr>
          <w:p>
            <w:pPr>
              <w:pStyle w:val="56"/>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ascii="黑体" w:hAnsi="黑体" w:eastAsia="黑体"/>
                <w:snapToGrid w:val="0"/>
                <w:color w:val="000000" w:themeColor="text1"/>
                <w:spacing w:val="-16"/>
                <w:kern w:val="21"/>
                <w:sz w:val="21"/>
                <w:szCs w:val="21"/>
                <w:highlight w:val="none"/>
                <w14:textFill>
                  <w14:solidFill>
                    <w14:schemeClr w14:val="tx1"/>
                  </w14:solidFill>
                </w14:textFill>
              </w:rPr>
            </w:pPr>
            <w:r>
              <w:rPr>
                <w:rFonts w:ascii="黑体" w:hAnsi="黑体" w:eastAsia="黑体"/>
                <w:snapToGrid w:val="0"/>
                <w:color w:val="000000" w:themeColor="text1"/>
                <w:spacing w:val="-16"/>
                <w:kern w:val="21"/>
                <w:sz w:val="21"/>
                <w:szCs w:val="21"/>
                <w:highlight w:val="none"/>
                <w14:textFill>
                  <w14:solidFill>
                    <w14:schemeClr w14:val="tx1"/>
                  </w14:solidFill>
                </w14:textFill>
              </w:rPr>
              <w:t>以新带老削减量（新建项目不填）</w:t>
            </w:r>
            <w:r>
              <w:rPr>
                <w:rFonts w:ascii="黑体" w:hAnsi="黑体" w:eastAsia="黑体"/>
                <w:snapToGrid w:val="0"/>
                <w:color w:val="000000" w:themeColor="text1"/>
                <w:spacing w:val="-16"/>
                <w:kern w:val="21"/>
                <w:sz w:val="21"/>
                <w:szCs w:val="21"/>
                <w:highlight w:val="none"/>
                <w14:textFill>
                  <w14:solidFill>
                    <w14:schemeClr w14:val="tx1"/>
                  </w14:solidFill>
                </w14:textFill>
              </w:rPr>
              <w:fldChar w:fldCharType="begin"/>
            </w:r>
            <w:r>
              <w:rPr>
                <w:rFonts w:ascii="黑体" w:hAnsi="黑体" w:eastAsia="黑体"/>
                <w:snapToGrid w:val="0"/>
                <w:color w:val="000000" w:themeColor="text1"/>
                <w:spacing w:val="-16"/>
                <w:kern w:val="21"/>
                <w:sz w:val="21"/>
                <w:szCs w:val="21"/>
                <w:highlight w:val="none"/>
                <w14:textFill>
                  <w14:solidFill>
                    <w14:schemeClr w14:val="tx1"/>
                  </w14:solidFill>
                </w14:textFill>
              </w:rPr>
              <w:instrText xml:space="preserve"> = 5 \* GB3 \* MERGEFORMAT </w:instrText>
            </w:r>
            <w:r>
              <w:rPr>
                <w:rFonts w:ascii="黑体" w:hAnsi="黑体" w:eastAsia="黑体"/>
                <w:snapToGrid w:val="0"/>
                <w:color w:val="000000" w:themeColor="text1"/>
                <w:spacing w:val="-16"/>
                <w:kern w:val="21"/>
                <w:sz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 w:val="21"/>
                <w:szCs w:val="21"/>
                <w:highlight w:val="none"/>
                <w14:textFill>
                  <w14:solidFill>
                    <w14:schemeClr w14:val="tx1"/>
                  </w14:solidFill>
                </w14:textFill>
              </w:rPr>
              <w:t>⑤</w:t>
            </w:r>
            <w:r>
              <w:rPr>
                <w:rFonts w:ascii="黑体" w:hAnsi="黑体" w:eastAsia="黑体"/>
                <w:snapToGrid w:val="0"/>
                <w:color w:val="000000" w:themeColor="text1"/>
                <w:spacing w:val="-16"/>
                <w:kern w:val="21"/>
                <w:sz w:val="21"/>
                <w:szCs w:val="21"/>
                <w:highlight w:val="none"/>
                <w14:textFill>
                  <w14:solidFill>
                    <w14:schemeClr w14:val="tx1"/>
                  </w14:solidFill>
                </w14:textFill>
              </w:rPr>
              <w:fldChar w:fldCharType="end"/>
            </w:r>
          </w:p>
        </w:tc>
        <w:tc>
          <w:tcPr>
            <w:tcW w:w="1800" w:type="dxa"/>
            <w:tcMar>
              <w:left w:w="28" w:type="dxa"/>
              <w:right w:w="28" w:type="dxa"/>
            </w:tcMar>
            <w:vAlign w:val="center"/>
          </w:tcPr>
          <w:p>
            <w:pPr>
              <w:pStyle w:val="56"/>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int="eastAsia" w:ascii="黑体" w:hAnsi="黑体" w:eastAsia="黑体"/>
                <w:snapToGrid w:val="0"/>
                <w:color w:val="000000" w:themeColor="text1"/>
                <w:spacing w:val="-16"/>
                <w:kern w:val="21"/>
                <w:sz w:val="21"/>
                <w:szCs w:val="21"/>
                <w:highlight w:val="none"/>
                <w14:textFill>
                  <w14:solidFill>
                    <w14:schemeClr w14:val="tx1"/>
                  </w14:solidFill>
                </w14:textFill>
              </w:rPr>
            </w:pPr>
            <w:r>
              <w:rPr>
                <w:rFonts w:ascii="黑体" w:hAnsi="黑体" w:eastAsia="黑体"/>
                <w:snapToGrid w:val="0"/>
                <w:color w:val="000000" w:themeColor="text1"/>
                <w:spacing w:val="-16"/>
                <w:kern w:val="21"/>
                <w:sz w:val="21"/>
                <w:szCs w:val="21"/>
                <w:highlight w:val="none"/>
                <w14:textFill>
                  <w14:solidFill>
                    <w14:schemeClr w14:val="tx1"/>
                  </w14:solidFill>
                </w14:textFill>
              </w:rPr>
              <w:t>本项目建成后</w:t>
            </w:r>
          </w:p>
          <w:p>
            <w:pPr>
              <w:pStyle w:val="56"/>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ascii="黑体" w:hAnsi="黑体" w:eastAsia="黑体"/>
                <w:snapToGrid w:val="0"/>
                <w:color w:val="000000" w:themeColor="text1"/>
                <w:spacing w:val="-16"/>
                <w:kern w:val="21"/>
                <w:sz w:val="21"/>
                <w:szCs w:val="21"/>
                <w:highlight w:val="none"/>
                <w14:textFill>
                  <w14:solidFill>
                    <w14:schemeClr w14:val="tx1"/>
                  </w14:solidFill>
                </w14:textFill>
              </w:rPr>
            </w:pPr>
            <w:r>
              <w:rPr>
                <w:rFonts w:hint="eastAsia" w:ascii="黑体" w:hAnsi="黑体" w:eastAsia="黑体"/>
                <w:snapToGrid w:val="0"/>
                <w:color w:val="000000" w:themeColor="text1"/>
                <w:spacing w:val="-16"/>
                <w:kern w:val="21"/>
                <w:sz w:val="21"/>
                <w:szCs w:val="21"/>
                <w:highlight w:val="none"/>
                <w14:textFill>
                  <w14:solidFill>
                    <w14:schemeClr w14:val="tx1"/>
                  </w14:solidFill>
                </w14:textFill>
              </w:rPr>
              <w:t>全厂</w:t>
            </w:r>
            <w:r>
              <w:rPr>
                <w:rFonts w:ascii="黑体" w:hAnsi="黑体" w:eastAsia="黑体"/>
                <w:snapToGrid w:val="0"/>
                <w:color w:val="000000" w:themeColor="text1"/>
                <w:spacing w:val="-16"/>
                <w:kern w:val="21"/>
                <w:sz w:val="21"/>
                <w:szCs w:val="21"/>
                <w:highlight w:val="none"/>
                <w14:textFill>
                  <w14:solidFill>
                    <w14:schemeClr w14:val="tx1"/>
                  </w14:solidFill>
                </w14:textFill>
              </w:rPr>
              <w:t>排放量（固</w:t>
            </w:r>
            <w:r>
              <w:rPr>
                <w:rFonts w:hint="eastAsia" w:ascii="黑体" w:hAnsi="黑体" w:eastAsia="黑体"/>
                <w:snapToGrid w:val="0"/>
                <w:color w:val="000000" w:themeColor="text1"/>
                <w:spacing w:val="-16"/>
                <w:kern w:val="21"/>
                <w:sz w:val="21"/>
                <w:szCs w:val="21"/>
                <w:highlight w:val="none"/>
                <w14:textFill>
                  <w14:solidFill>
                    <w14:schemeClr w14:val="tx1"/>
                  </w14:solidFill>
                </w14:textFill>
              </w:rPr>
              <w:t>体</w:t>
            </w:r>
            <w:r>
              <w:rPr>
                <w:rFonts w:ascii="黑体" w:hAnsi="黑体" w:eastAsia="黑体"/>
                <w:snapToGrid w:val="0"/>
                <w:color w:val="000000" w:themeColor="text1"/>
                <w:spacing w:val="-16"/>
                <w:kern w:val="21"/>
                <w:sz w:val="21"/>
                <w:szCs w:val="21"/>
                <w:highlight w:val="none"/>
                <w14:textFill>
                  <w14:solidFill>
                    <w14:schemeClr w14:val="tx1"/>
                  </w14:solidFill>
                </w14:textFill>
              </w:rPr>
              <w:t>废</w:t>
            </w:r>
            <w:r>
              <w:rPr>
                <w:rFonts w:hint="eastAsia" w:ascii="黑体" w:hAnsi="黑体" w:eastAsia="黑体"/>
                <w:snapToGrid w:val="0"/>
                <w:color w:val="000000" w:themeColor="text1"/>
                <w:spacing w:val="-16"/>
                <w:kern w:val="21"/>
                <w:sz w:val="21"/>
                <w:szCs w:val="21"/>
                <w:highlight w:val="none"/>
                <w14:textFill>
                  <w14:solidFill>
                    <w14:schemeClr w14:val="tx1"/>
                  </w14:solidFill>
                </w14:textFill>
              </w:rPr>
              <w:t>物</w:t>
            </w:r>
            <w:r>
              <w:rPr>
                <w:rFonts w:ascii="黑体" w:hAnsi="黑体" w:eastAsia="黑体"/>
                <w:snapToGrid w:val="0"/>
                <w:color w:val="000000" w:themeColor="text1"/>
                <w:spacing w:val="-16"/>
                <w:kern w:val="21"/>
                <w:sz w:val="21"/>
                <w:szCs w:val="21"/>
                <w:highlight w:val="none"/>
                <w14:textFill>
                  <w14:solidFill>
                    <w14:schemeClr w14:val="tx1"/>
                  </w14:solidFill>
                </w14:textFill>
              </w:rPr>
              <w:t>产生量）</w:t>
            </w:r>
            <w:r>
              <w:rPr>
                <w:rFonts w:ascii="黑体" w:hAnsi="黑体" w:eastAsia="黑体"/>
                <w:snapToGrid w:val="0"/>
                <w:color w:val="000000" w:themeColor="text1"/>
                <w:spacing w:val="-16"/>
                <w:kern w:val="21"/>
                <w:sz w:val="21"/>
                <w:szCs w:val="21"/>
                <w:highlight w:val="none"/>
                <w14:textFill>
                  <w14:solidFill>
                    <w14:schemeClr w14:val="tx1"/>
                  </w14:solidFill>
                </w14:textFill>
              </w:rPr>
              <w:fldChar w:fldCharType="begin"/>
            </w:r>
            <w:r>
              <w:rPr>
                <w:rFonts w:ascii="黑体" w:hAnsi="黑体" w:eastAsia="黑体"/>
                <w:snapToGrid w:val="0"/>
                <w:color w:val="000000" w:themeColor="text1"/>
                <w:spacing w:val="-16"/>
                <w:kern w:val="21"/>
                <w:sz w:val="21"/>
                <w:szCs w:val="21"/>
                <w:highlight w:val="none"/>
                <w14:textFill>
                  <w14:solidFill>
                    <w14:schemeClr w14:val="tx1"/>
                  </w14:solidFill>
                </w14:textFill>
              </w:rPr>
              <w:instrText xml:space="preserve"> = 6 \* GB3 \* MERGEFORMAT </w:instrText>
            </w:r>
            <w:r>
              <w:rPr>
                <w:rFonts w:ascii="黑体" w:hAnsi="黑体" w:eastAsia="黑体"/>
                <w:snapToGrid w:val="0"/>
                <w:color w:val="000000" w:themeColor="text1"/>
                <w:spacing w:val="-16"/>
                <w:kern w:val="21"/>
                <w:sz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 w:val="21"/>
                <w:szCs w:val="21"/>
                <w:highlight w:val="none"/>
                <w14:textFill>
                  <w14:solidFill>
                    <w14:schemeClr w14:val="tx1"/>
                  </w14:solidFill>
                </w14:textFill>
              </w:rPr>
              <w:t>⑥</w:t>
            </w:r>
            <w:r>
              <w:rPr>
                <w:rFonts w:ascii="黑体" w:hAnsi="黑体" w:eastAsia="黑体"/>
                <w:snapToGrid w:val="0"/>
                <w:color w:val="000000" w:themeColor="text1"/>
                <w:spacing w:val="-16"/>
                <w:kern w:val="21"/>
                <w:sz w:val="21"/>
                <w:szCs w:val="21"/>
                <w:highlight w:val="none"/>
                <w14:textFill>
                  <w14:solidFill>
                    <w14:schemeClr w14:val="tx1"/>
                  </w14:solidFill>
                </w14:textFill>
              </w:rPr>
              <w:fldChar w:fldCharType="end"/>
            </w:r>
          </w:p>
        </w:tc>
        <w:tc>
          <w:tcPr>
            <w:tcW w:w="1463" w:type="dxa"/>
            <w:tcMar>
              <w:left w:w="28" w:type="dxa"/>
              <w:right w:w="28" w:type="dxa"/>
            </w:tcMar>
            <w:vAlign w:val="center"/>
          </w:tcPr>
          <w:p>
            <w:pPr>
              <w:pStyle w:val="56"/>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变化量</w:t>
            </w:r>
          </w:p>
          <w:p>
            <w:pPr>
              <w:pStyle w:val="56"/>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begin"/>
            </w:r>
            <w:r>
              <w:rPr>
                <w:rFonts w:ascii="黑体" w:hAnsi="黑体" w:eastAsia="黑体"/>
                <w:snapToGrid w:val="0"/>
                <w:color w:val="000000" w:themeColor="text1"/>
                <w:spacing w:val="-6"/>
                <w:kern w:val="21"/>
                <w:sz w:val="21"/>
                <w:szCs w:val="21"/>
                <w:highlight w:val="none"/>
                <w14:textFill>
                  <w14:solidFill>
                    <w14:schemeClr w14:val="tx1"/>
                  </w14:solidFill>
                </w14:textFill>
              </w:rPr>
              <w:instrText xml:space="preserve"> = 7 \* GB3 \* MERGEFORMAT </w:instrTex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 w:val="21"/>
                <w:szCs w:val="21"/>
                <w:highlight w:val="none"/>
                <w14:textFill>
                  <w14:solidFill>
                    <w14:schemeClr w14:val="tx1"/>
                  </w14:solidFill>
                </w14:textFill>
              </w:rPr>
              <w:t>⑦</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废气</w:t>
            </w: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颗粒物</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3.787t/a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3.787t/a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+3.787t/a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非甲烷总烃</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1.209t/a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1.209t/a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+1.209t/a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甲苯</w:t>
            </w:r>
            <w:r>
              <w:rPr>
                <w:rFonts w:hint="eastAsia" w:cs="Times New Roman"/>
                <w:b w:val="0"/>
                <w:color w:val="000000" w:themeColor="text1"/>
                <w:spacing w:val="0"/>
                <w:sz w:val="21"/>
                <w:szCs w:val="21"/>
                <w:highlight w:val="none"/>
                <w:lang w:val="en-US" w:eastAsia="zh-CN"/>
                <w14:textFill>
                  <w14:solidFill>
                    <w14:schemeClr w14:val="tx1"/>
                  </w14:solidFill>
                </w14:textFill>
              </w:rPr>
              <w:t>及二甲苯</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0.236t/a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0.236t/a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+0.236t/a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油烟</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0.0072t/a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0.0072t/a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+0.0072t/a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废水</w:t>
            </w: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生活废水</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4800</w:t>
            </w:r>
            <w:r>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m</w:t>
            </w:r>
            <w:r>
              <w:rPr>
                <w:rFonts w:hint="default" w:ascii="Times New Roman" w:hAnsi="Times New Roman" w:eastAsia="宋体" w:cs="Times New Roman"/>
                <w:b w:val="0"/>
                <w:color w:val="000000" w:themeColor="text1"/>
                <w:spacing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4800</w:t>
            </w:r>
            <w:r>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m</w:t>
            </w:r>
            <w:r>
              <w:rPr>
                <w:rFonts w:hint="default" w:ascii="Times New Roman" w:hAnsi="Times New Roman" w:eastAsia="宋体" w:cs="Times New Roman"/>
                <w:b w:val="0"/>
                <w:color w:val="000000" w:themeColor="text1"/>
                <w:spacing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+4800</w:t>
            </w:r>
            <w:r>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m</w:t>
            </w:r>
            <w:r>
              <w:rPr>
                <w:rFonts w:hint="default" w:ascii="Times New Roman" w:hAnsi="Times New Roman" w:eastAsia="宋体" w:cs="Times New Roman"/>
                <w:b w:val="0"/>
                <w:color w:val="000000" w:themeColor="text1"/>
                <w:spacing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一般工业</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固体废物</w:t>
            </w: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生活</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垃圾</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60t/a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60t/a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+60t/a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除尘器收尘</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48.061</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48.061</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r>
              <w:rPr>
                <w:rFonts w:hint="eastAsia" w:cs="Times New Roman"/>
                <w:b w:val="0"/>
                <w:color w:val="000000" w:themeColor="text1"/>
                <w:spacing w:val="0"/>
                <w:sz w:val="21"/>
                <w:szCs w:val="21"/>
                <w:highlight w:val="none"/>
                <w:lang w:val="en-US" w:eastAsia="zh-CN"/>
                <w14:textFill>
                  <w14:solidFill>
                    <w14:schemeClr w14:val="tx1"/>
                  </w14:solidFill>
                </w14:textFill>
              </w:rPr>
              <w:t>48.061</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边角废料</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2t/a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2t/a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包装废料</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废钢丸</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1.5t/a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1.5t/a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废焊料焊渣</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0.5t/a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0.5t/a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移动式焊接烟尘净化器产生的废滤芯</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滤筒除尘器废滤筒</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0.</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0.</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r>
              <w:rPr>
                <w:rFonts w:hint="eastAsia" w:cs="Times New Roman"/>
                <w:b w:val="0"/>
                <w:color w:val="000000" w:themeColor="text1"/>
                <w:spacing w:val="0"/>
                <w:sz w:val="21"/>
                <w:szCs w:val="21"/>
                <w:highlight w:val="none"/>
                <w:lang w:val="en-US" w:eastAsia="zh-CN"/>
                <w14:textFill>
                  <w14:solidFill>
                    <w14:schemeClr w14:val="tx1"/>
                  </w14:solidFill>
                </w14:textFill>
              </w:rPr>
              <w:t>0.</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危险废物</w:t>
            </w: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喷漆、丝印过程产生的废漆、废漆桶、废油墨桶</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0.5t/a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0.5t/a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56"/>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Ansi="宋体" w:cs="宋体"/>
                <w:snapToGrid w:val="0"/>
                <w:color w:val="000000" w:themeColor="text1"/>
                <w:kern w:val="21"/>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废DPA纸箱</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5.81</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5.81</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r>
              <w:rPr>
                <w:rFonts w:hint="eastAsia" w:cs="Times New Roman"/>
                <w:b w:val="0"/>
                <w:color w:val="000000" w:themeColor="text1"/>
                <w:spacing w:val="0"/>
                <w:sz w:val="21"/>
                <w:szCs w:val="21"/>
                <w:highlight w:val="none"/>
                <w:lang w:val="en-US" w:eastAsia="zh-CN"/>
                <w14:textFill>
                  <w14:solidFill>
                    <w14:schemeClr w14:val="tx1"/>
                  </w14:solidFill>
                </w14:textFill>
              </w:rPr>
              <w:t>5.81</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56"/>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Ansi="宋体" w:cs="宋体"/>
                <w:snapToGrid w:val="0"/>
                <w:color w:val="000000" w:themeColor="text1"/>
                <w:kern w:val="21"/>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废空压机油、废机油</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0.1t/a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0.1t/a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56"/>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Ansi="宋体" w:cs="宋体"/>
                <w:snapToGrid w:val="0"/>
                <w:color w:val="000000" w:themeColor="text1"/>
                <w:kern w:val="21"/>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废活性炭</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2.31</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2.31</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r>
              <w:rPr>
                <w:rFonts w:hint="eastAsia" w:cs="Times New Roman"/>
                <w:b w:val="0"/>
                <w:color w:val="000000" w:themeColor="text1"/>
                <w:spacing w:val="0"/>
                <w:sz w:val="21"/>
                <w:szCs w:val="21"/>
                <w:highlight w:val="none"/>
                <w:lang w:val="en-US" w:eastAsia="zh-CN"/>
                <w14:textFill>
                  <w14:solidFill>
                    <w14:schemeClr w14:val="tx1"/>
                  </w14:solidFill>
                </w14:textFill>
              </w:rPr>
              <w:t>2.31</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56"/>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Ansi="宋体" w:cs="宋体"/>
                <w:snapToGrid w:val="0"/>
                <w:color w:val="000000" w:themeColor="text1"/>
                <w:kern w:val="21"/>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废催化剂</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0.1kg/3a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0.1kg/3a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+0.1kg/3a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56"/>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Ansi="宋体" w:cs="宋体"/>
                <w:snapToGrid w:val="0"/>
                <w:color w:val="000000" w:themeColor="text1"/>
                <w:kern w:val="21"/>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废油墨</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0.001t/a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0.001t/a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+0.001t/a</w:t>
            </w:r>
          </w:p>
        </w:tc>
      </w:tr>
    </w:tbl>
    <w:p>
      <w:pPr>
        <w:pStyle w:val="11"/>
        <w:rPr>
          <w:rFonts w:hint="default"/>
          <w:i w:val="0"/>
          <w:iCs/>
          <w:lang w:val="en-US" w:eastAsia="zh-CN"/>
        </w:rPr>
      </w:pPr>
      <w:r>
        <w:rPr>
          <w:rFonts w:hAnsi="宋体"/>
          <w:i w:val="0"/>
          <w:iCs/>
          <w:snapToGrid w:val="0"/>
          <w:color w:val="000000" w:themeColor="text1"/>
          <w:kern w:val="21"/>
          <w:szCs w:val="21"/>
          <w:highlight w:val="none"/>
          <w14:textFill>
            <w14:solidFill>
              <w14:schemeClr w14:val="tx1"/>
            </w14:solidFill>
          </w14:textFill>
        </w:rPr>
        <w:t>注：</w:t>
      </w:r>
      <w:r>
        <w:rPr>
          <w:rFonts w:hAnsi="宋体"/>
          <w:i w:val="0"/>
          <w:iCs/>
          <w:snapToGrid w:val="0"/>
          <w:color w:val="000000" w:themeColor="text1"/>
          <w:spacing w:val="-16"/>
          <w:kern w:val="21"/>
          <w:szCs w:val="21"/>
          <w:highlight w:val="none"/>
          <w14:textFill>
            <w14:solidFill>
              <w14:schemeClr w14:val="tx1"/>
            </w14:solidFill>
          </w14:textFill>
        </w:rPr>
        <w:fldChar w:fldCharType="begin"/>
      </w:r>
      <w:r>
        <w:rPr>
          <w:rFonts w:hAnsi="宋体"/>
          <w:i w:val="0"/>
          <w:iCs/>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i w:val="0"/>
          <w:iCs/>
          <w:snapToGrid w:val="0"/>
          <w:color w:val="000000" w:themeColor="text1"/>
          <w:spacing w:val="-16"/>
          <w:kern w:val="21"/>
          <w:szCs w:val="21"/>
          <w:highlight w:val="none"/>
          <w14:textFill>
            <w14:solidFill>
              <w14:schemeClr w14:val="tx1"/>
            </w14:solidFill>
          </w14:textFill>
        </w:rPr>
        <w:fldChar w:fldCharType="separate"/>
      </w:r>
      <w:r>
        <w:rPr>
          <w:rFonts w:hint="eastAsia" w:hAnsi="宋体"/>
          <w:i w:val="0"/>
          <w:iCs/>
          <w:color w:val="000000" w:themeColor="text1"/>
          <w:szCs w:val="21"/>
          <w:highlight w:val="none"/>
          <w14:textFill>
            <w14:solidFill>
              <w14:schemeClr w14:val="tx1"/>
            </w14:solidFill>
          </w14:textFill>
        </w:rPr>
        <w:t>⑥</w:t>
      </w:r>
      <w:r>
        <w:rPr>
          <w:rFonts w:hAnsi="宋体"/>
          <w:i w:val="0"/>
          <w:iCs/>
          <w:snapToGrid w:val="0"/>
          <w:color w:val="000000" w:themeColor="text1"/>
          <w:spacing w:val="-16"/>
          <w:kern w:val="21"/>
          <w:szCs w:val="21"/>
          <w:highlight w:val="none"/>
          <w14:textFill>
            <w14:solidFill>
              <w14:schemeClr w14:val="tx1"/>
            </w14:solidFill>
          </w14:textFill>
        </w:rPr>
        <w:fldChar w:fldCharType="end"/>
      </w:r>
      <w:r>
        <w:rPr>
          <w:rFonts w:hAnsi="宋体"/>
          <w:i w:val="0"/>
          <w:iCs/>
          <w:snapToGrid w:val="0"/>
          <w:color w:val="000000" w:themeColor="text1"/>
          <w:spacing w:val="-16"/>
          <w:kern w:val="21"/>
          <w:szCs w:val="21"/>
          <w:highlight w:val="none"/>
          <w14:textFill>
            <w14:solidFill>
              <w14:schemeClr w14:val="tx1"/>
            </w14:solidFill>
          </w14:textFill>
        </w:rPr>
        <w:t>=</w:t>
      </w:r>
      <w:r>
        <w:rPr>
          <w:rFonts w:hAnsi="宋体"/>
          <w:i w:val="0"/>
          <w:iCs/>
          <w:snapToGrid w:val="0"/>
          <w:color w:val="000000" w:themeColor="text1"/>
          <w:spacing w:val="-6"/>
          <w:kern w:val="21"/>
          <w:szCs w:val="21"/>
          <w:highlight w:val="none"/>
          <w14:textFill>
            <w14:solidFill>
              <w14:schemeClr w14:val="tx1"/>
            </w14:solidFill>
          </w14:textFill>
        </w:rPr>
        <w:fldChar w:fldCharType="begin"/>
      </w:r>
      <w:r>
        <w:rPr>
          <w:rFonts w:hAnsi="宋体"/>
          <w:i w:val="0"/>
          <w:iCs/>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i w:val="0"/>
          <w:iCs/>
          <w:snapToGrid w:val="0"/>
          <w:color w:val="000000" w:themeColor="text1"/>
          <w:spacing w:val="-6"/>
          <w:kern w:val="21"/>
          <w:szCs w:val="21"/>
          <w:highlight w:val="none"/>
          <w14:textFill>
            <w14:solidFill>
              <w14:schemeClr w14:val="tx1"/>
            </w14:solidFill>
          </w14:textFill>
        </w:rPr>
        <w:fldChar w:fldCharType="separate"/>
      </w:r>
      <w:r>
        <w:rPr>
          <w:rFonts w:hint="eastAsia" w:hAnsi="宋体"/>
          <w:i w:val="0"/>
          <w:iCs/>
          <w:color w:val="000000" w:themeColor="text1"/>
          <w:szCs w:val="21"/>
          <w:highlight w:val="none"/>
          <w14:textFill>
            <w14:solidFill>
              <w14:schemeClr w14:val="tx1"/>
            </w14:solidFill>
          </w14:textFill>
        </w:rPr>
        <w:t>①</w:t>
      </w:r>
      <w:r>
        <w:rPr>
          <w:rFonts w:hAnsi="宋体"/>
          <w:i w:val="0"/>
          <w:iCs/>
          <w:snapToGrid w:val="0"/>
          <w:color w:val="000000" w:themeColor="text1"/>
          <w:spacing w:val="-6"/>
          <w:kern w:val="21"/>
          <w:szCs w:val="21"/>
          <w:highlight w:val="none"/>
          <w14:textFill>
            <w14:solidFill>
              <w14:schemeClr w14:val="tx1"/>
            </w14:solidFill>
          </w14:textFill>
        </w:rPr>
        <w:fldChar w:fldCharType="end"/>
      </w:r>
      <w:r>
        <w:rPr>
          <w:rFonts w:hAnsi="宋体"/>
          <w:i w:val="0"/>
          <w:iCs/>
          <w:snapToGrid w:val="0"/>
          <w:color w:val="000000" w:themeColor="text1"/>
          <w:spacing w:val="-6"/>
          <w:kern w:val="21"/>
          <w:szCs w:val="21"/>
          <w:highlight w:val="none"/>
          <w14:textFill>
            <w14:solidFill>
              <w14:schemeClr w14:val="tx1"/>
            </w14:solidFill>
          </w14:textFill>
        </w:rPr>
        <w:t>+</w:t>
      </w:r>
      <w:r>
        <w:rPr>
          <w:rFonts w:hAnsi="宋体"/>
          <w:i w:val="0"/>
          <w:iCs/>
          <w:snapToGrid w:val="0"/>
          <w:color w:val="000000" w:themeColor="text1"/>
          <w:spacing w:val="-6"/>
          <w:kern w:val="21"/>
          <w:szCs w:val="21"/>
          <w:highlight w:val="none"/>
          <w14:textFill>
            <w14:solidFill>
              <w14:schemeClr w14:val="tx1"/>
            </w14:solidFill>
          </w14:textFill>
        </w:rPr>
        <w:fldChar w:fldCharType="begin"/>
      </w:r>
      <w:r>
        <w:rPr>
          <w:rFonts w:hAnsi="宋体"/>
          <w:i w:val="0"/>
          <w:iCs/>
          <w:snapToGrid w:val="0"/>
          <w:color w:val="000000" w:themeColor="text1"/>
          <w:spacing w:val="-6"/>
          <w:kern w:val="21"/>
          <w:szCs w:val="21"/>
          <w:highlight w:val="none"/>
          <w14:textFill>
            <w14:solidFill>
              <w14:schemeClr w14:val="tx1"/>
            </w14:solidFill>
          </w14:textFill>
        </w:rPr>
        <w:instrText xml:space="preserve"> = 3 \* GB3 \* MERGEFORMAT </w:instrText>
      </w:r>
      <w:r>
        <w:rPr>
          <w:rFonts w:hAnsi="宋体"/>
          <w:i w:val="0"/>
          <w:iCs/>
          <w:snapToGrid w:val="0"/>
          <w:color w:val="000000" w:themeColor="text1"/>
          <w:spacing w:val="-6"/>
          <w:kern w:val="21"/>
          <w:szCs w:val="21"/>
          <w:highlight w:val="none"/>
          <w14:textFill>
            <w14:solidFill>
              <w14:schemeClr w14:val="tx1"/>
            </w14:solidFill>
          </w14:textFill>
        </w:rPr>
        <w:fldChar w:fldCharType="separate"/>
      </w:r>
      <w:r>
        <w:rPr>
          <w:rFonts w:hint="eastAsia" w:hAnsi="宋体"/>
          <w:i w:val="0"/>
          <w:iCs/>
          <w:color w:val="000000" w:themeColor="text1"/>
          <w:szCs w:val="21"/>
          <w:highlight w:val="none"/>
          <w14:textFill>
            <w14:solidFill>
              <w14:schemeClr w14:val="tx1"/>
            </w14:solidFill>
          </w14:textFill>
        </w:rPr>
        <w:t>③</w:t>
      </w:r>
      <w:r>
        <w:rPr>
          <w:rFonts w:hAnsi="宋体"/>
          <w:i w:val="0"/>
          <w:iCs/>
          <w:snapToGrid w:val="0"/>
          <w:color w:val="000000" w:themeColor="text1"/>
          <w:spacing w:val="-6"/>
          <w:kern w:val="21"/>
          <w:szCs w:val="21"/>
          <w:highlight w:val="none"/>
          <w14:textFill>
            <w14:solidFill>
              <w14:schemeClr w14:val="tx1"/>
            </w14:solidFill>
          </w14:textFill>
        </w:rPr>
        <w:fldChar w:fldCharType="end"/>
      </w:r>
      <w:r>
        <w:rPr>
          <w:rFonts w:hAnsi="宋体"/>
          <w:i w:val="0"/>
          <w:iCs/>
          <w:snapToGrid w:val="0"/>
          <w:color w:val="000000" w:themeColor="text1"/>
          <w:spacing w:val="-6"/>
          <w:kern w:val="21"/>
          <w:szCs w:val="21"/>
          <w:highlight w:val="none"/>
          <w14:textFill>
            <w14:solidFill>
              <w14:schemeClr w14:val="tx1"/>
            </w14:solidFill>
          </w14:textFill>
        </w:rPr>
        <w:t>+</w:t>
      </w:r>
      <w:r>
        <w:rPr>
          <w:rFonts w:hAnsi="宋体"/>
          <w:i w:val="0"/>
          <w:iCs/>
          <w:snapToGrid w:val="0"/>
          <w:color w:val="000000" w:themeColor="text1"/>
          <w:spacing w:val="-6"/>
          <w:kern w:val="21"/>
          <w:szCs w:val="21"/>
          <w:highlight w:val="none"/>
          <w14:textFill>
            <w14:solidFill>
              <w14:schemeClr w14:val="tx1"/>
            </w14:solidFill>
          </w14:textFill>
        </w:rPr>
        <w:fldChar w:fldCharType="begin"/>
      </w:r>
      <w:r>
        <w:rPr>
          <w:rFonts w:hAnsi="宋体"/>
          <w:i w:val="0"/>
          <w:iCs/>
          <w:snapToGrid w:val="0"/>
          <w:color w:val="000000" w:themeColor="text1"/>
          <w:spacing w:val="-6"/>
          <w:kern w:val="21"/>
          <w:szCs w:val="21"/>
          <w:highlight w:val="none"/>
          <w14:textFill>
            <w14:solidFill>
              <w14:schemeClr w14:val="tx1"/>
            </w14:solidFill>
          </w14:textFill>
        </w:rPr>
        <w:instrText xml:space="preserve"> = 4 \* GB3 \* MERGEFORMAT </w:instrText>
      </w:r>
      <w:r>
        <w:rPr>
          <w:rFonts w:hAnsi="宋体"/>
          <w:i w:val="0"/>
          <w:iCs/>
          <w:snapToGrid w:val="0"/>
          <w:color w:val="000000" w:themeColor="text1"/>
          <w:spacing w:val="-6"/>
          <w:kern w:val="21"/>
          <w:szCs w:val="21"/>
          <w:highlight w:val="none"/>
          <w14:textFill>
            <w14:solidFill>
              <w14:schemeClr w14:val="tx1"/>
            </w14:solidFill>
          </w14:textFill>
        </w:rPr>
        <w:fldChar w:fldCharType="separate"/>
      </w:r>
      <w:r>
        <w:rPr>
          <w:rFonts w:hint="eastAsia" w:hAnsi="宋体"/>
          <w:i w:val="0"/>
          <w:iCs/>
          <w:color w:val="000000" w:themeColor="text1"/>
          <w:szCs w:val="21"/>
          <w:highlight w:val="none"/>
          <w14:textFill>
            <w14:solidFill>
              <w14:schemeClr w14:val="tx1"/>
            </w14:solidFill>
          </w14:textFill>
        </w:rPr>
        <w:t>④</w:t>
      </w:r>
      <w:r>
        <w:rPr>
          <w:rFonts w:hAnsi="宋体"/>
          <w:i w:val="0"/>
          <w:iCs/>
          <w:snapToGrid w:val="0"/>
          <w:color w:val="000000" w:themeColor="text1"/>
          <w:spacing w:val="-6"/>
          <w:kern w:val="21"/>
          <w:szCs w:val="21"/>
          <w:highlight w:val="none"/>
          <w14:textFill>
            <w14:solidFill>
              <w14:schemeClr w14:val="tx1"/>
            </w14:solidFill>
          </w14:textFill>
        </w:rPr>
        <w:fldChar w:fldCharType="end"/>
      </w:r>
      <w:r>
        <w:rPr>
          <w:rFonts w:hAnsi="宋体"/>
          <w:i w:val="0"/>
          <w:iCs/>
          <w:snapToGrid w:val="0"/>
          <w:color w:val="000000" w:themeColor="text1"/>
          <w:spacing w:val="-6"/>
          <w:kern w:val="21"/>
          <w:szCs w:val="21"/>
          <w:highlight w:val="none"/>
          <w14:textFill>
            <w14:solidFill>
              <w14:schemeClr w14:val="tx1"/>
            </w14:solidFill>
          </w14:textFill>
        </w:rPr>
        <w:t>-</w:t>
      </w:r>
      <w:r>
        <w:rPr>
          <w:rFonts w:hAnsi="宋体"/>
          <w:i w:val="0"/>
          <w:iCs/>
          <w:snapToGrid w:val="0"/>
          <w:color w:val="000000" w:themeColor="text1"/>
          <w:spacing w:val="-16"/>
          <w:kern w:val="21"/>
          <w:szCs w:val="21"/>
          <w:highlight w:val="none"/>
          <w14:textFill>
            <w14:solidFill>
              <w14:schemeClr w14:val="tx1"/>
            </w14:solidFill>
          </w14:textFill>
        </w:rPr>
        <w:fldChar w:fldCharType="begin"/>
      </w:r>
      <w:r>
        <w:rPr>
          <w:rFonts w:hAnsi="宋体"/>
          <w:i w:val="0"/>
          <w:iCs/>
          <w:snapToGrid w:val="0"/>
          <w:color w:val="000000" w:themeColor="text1"/>
          <w:spacing w:val="-16"/>
          <w:kern w:val="21"/>
          <w:szCs w:val="21"/>
          <w:highlight w:val="none"/>
          <w14:textFill>
            <w14:solidFill>
              <w14:schemeClr w14:val="tx1"/>
            </w14:solidFill>
          </w14:textFill>
        </w:rPr>
        <w:instrText xml:space="preserve"> = 5 \* GB3 \* MERGEFORMAT </w:instrText>
      </w:r>
      <w:r>
        <w:rPr>
          <w:rFonts w:hAnsi="宋体"/>
          <w:i w:val="0"/>
          <w:iCs/>
          <w:snapToGrid w:val="0"/>
          <w:color w:val="000000" w:themeColor="text1"/>
          <w:spacing w:val="-16"/>
          <w:kern w:val="21"/>
          <w:szCs w:val="21"/>
          <w:highlight w:val="none"/>
          <w14:textFill>
            <w14:solidFill>
              <w14:schemeClr w14:val="tx1"/>
            </w14:solidFill>
          </w14:textFill>
        </w:rPr>
        <w:fldChar w:fldCharType="separate"/>
      </w:r>
      <w:r>
        <w:rPr>
          <w:rFonts w:hint="eastAsia" w:hAnsi="宋体"/>
          <w:i w:val="0"/>
          <w:iCs/>
          <w:color w:val="000000" w:themeColor="text1"/>
          <w:szCs w:val="21"/>
          <w:highlight w:val="none"/>
          <w14:textFill>
            <w14:solidFill>
              <w14:schemeClr w14:val="tx1"/>
            </w14:solidFill>
          </w14:textFill>
        </w:rPr>
        <w:t>⑤</w:t>
      </w:r>
      <w:r>
        <w:rPr>
          <w:rFonts w:hAnsi="宋体"/>
          <w:i w:val="0"/>
          <w:iCs/>
          <w:snapToGrid w:val="0"/>
          <w:color w:val="000000" w:themeColor="text1"/>
          <w:spacing w:val="-16"/>
          <w:kern w:val="21"/>
          <w:szCs w:val="21"/>
          <w:highlight w:val="none"/>
          <w14:textFill>
            <w14:solidFill>
              <w14:schemeClr w14:val="tx1"/>
            </w14:solidFill>
          </w14:textFill>
        </w:rPr>
        <w:fldChar w:fldCharType="end"/>
      </w:r>
      <w:r>
        <w:rPr>
          <w:rFonts w:hAnsi="宋体"/>
          <w:i w:val="0"/>
          <w:iCs/>
          <w:snapToGrid w:val="0"/>
          <w:color w:val="000000" w:themeColor="text1"/>
          <w:spacing w:val="-16"/>
          <w:kern w:val="21"/>
          <w:szCs w:val="21"/>
          <w:highlight w:val="none"/>
          <w14:textFill>
            <w14:solidFill>
              <w14:schemeClr w14:val="tx1"/>
            </w14:solidFill>
          </w14:textFill>
        </w:rPr>
        <w:t>；</w:t>
      </w:r>
      <w:r>
        <w:rPr>
          <w:rFonts w:hAnsi="宋体"/>
          <w:i w:val="0"/>
          <w:iCs/>
          <w:snapToGrid w:val="0"/>
          <w:color w:val="000000" w:themeColor="text1"/>
          <w:spacing w:val="-6"/>
          <w:kern w:val="21"/>
          <w:szCs w:val="21"/>
          <w:highlight w:val="none"/>
          <w14:textFill>
            <w14:solidFill>
              <w14:schemeClr w14:val="tx1"/>
            </w14:solidFill>
          </w14:textFill>
        </w:rPr>
        <w:fldChar w:fldCharType="begin"/>
      </w:r>
      <w:r>
        <w:rPr>
          <w:rFonts w:hAnsi="宋体"/>
          <w:i w:val="0"/>
          <w:iCs/>
          <w:snapToGrid w:val="0"/>
          <w:color w:val="000000" w:themeColor="text1"/>
          <w:spacing w:val="-6"/>
          <w:kern w:val="21"/>
          <w:szCs w:val="21"/>
          <w:highlight w:val="none"/>
          <w14:textFill>
            <w14:solidFill>
              <w14:schemeClr w14:val="tx1"/>
            </w14:solidFill>
          </w14:textFill>
        </w:rPr>
        <w:instrText xml:space="preserve"> = 7 \* GB3 \* MERGEFORMAT </w:instrText>
      </w:r>
      <w:r>
        <w:rPr>
          <w:rFonts w:hAnsi="宋体"/>
          <w:i w:val="0"/>
          <w:iCs/>
          <w:snapToGrid w:val="0"/>
          <w:color w:val="000000" w:themeColor="text1"/>
          <w:spacing w:val="-6"/>
          <w:kern w:val="21"/>
          <w:szCs w:val="21"/>
          <w:highlight w:val="none"/>
          <w14:textFill>
            <w14:solidFill>
              <w14:schemeClr w14:val="tx1"/>
            </w14:solidFill>
          </w14:textFill>
        </w:rPr>
        <w:fldChar w:fldCharType="separate"/>
      </w:r>
      <w:r>
        <w:rPr>
          <w:rFonts w:hint="eastAsia" w:hAnsi="宋体"/>
          <w:i w:val="0"/>
          <w:iCs/>
          <w:color w:val="000000" w:themeColor="text1"/>
          <w:szCs w:val="21"/>
          <w:highlight w:val="none"/>
          <w14:textFill>
            <w14:solidFill>
              <w14:schemeClr w14:val="tx1"/>
            </w14:solidFill>
          </w14:textFill>
        </w:rPr>
        <w:t>⑦</w:t>
      </w:r>
      <w:r>
        <w:rPr>
          <w:rFonts w:hAnsi="宋体"/>
          <w:i w:val="0"/>
          <w:iCs/>
          <w:snapToGrid w:val="0"/>
          <w:color w:val="000000" w:themeColor="text1"/>
          <w:spacing w:val="-6"/>
          <w:kern w:val="21"/>
          <w:szCs w:val="21"/>
          <w:highlight w:val="none"/>
          <w14:textFill>
            <w14:solidFill>
              <w14:schemeClr w14:val="tx1"/>
            </w14:solidFill>
          </w14:textFill>
        </w:rPr>
        <w:fldChar w:fldCharType="end"/>
      </w:r>
      <w:r>
        <w:rPr>
          <w:rFonts w:hAnsi="宋体"/>
          <w:i w:val="0"/>
          <w:iCs/>
          <w:snapToGrid w:val="0"/>
          <w:color w:val="000000" w:themeColor="text1"/>
          <w:spacing w:val="-6"/>
          <w:kern w:val="21"/>
          <w:szCs w:val="21"/>
          <w:highlight w:val="none"/>
          <w14:textFill>
            <w14:solidFill>
              <w14:schemeClr w14:val="tx1"/>
            </w14:solidFill>
          </w14:textFill>
        </w:rPr>
        <w:t>=</w:t>
      </w:r>
      <w:r>
        <w:rPr>
          <w:rFonts w:hAnsi="宋体"/>
          <w:i w:val="0"/>
          <w:iCs/>
          <w:snapToGrid w:val="0"/>
          <w:color w:val="000000" w:themeColor="text1"/>
          <w:spacing w:val="-16"/>
          <w:kern w:val="21"/>
          <w:szCs w:val="21"/>
          <w:highlight w:val="none"/>
          <w14:textFill>
            <w14:solidFill>
              <w14:schemeClr w14:val="tx1"/>
            </w14:solidFill>
          </w14:textFill>
        </w:rPr>
        <w:fldChar w:fldCharType="begin"/>
      </w:r>
      <w:r>
        <w:rPr>
          <w:rFonts w:hAnsi="宋体"/>
          <w:i w:val="0"/>
          <w:iCs/>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i w:val="0"/>
          <w:iCs/>
          <w:snapToGrid w:val="0"/>
          <w:color w:val="000000" w:themeColor="text1"/>
          <w:spacing w:val="-16"/>
          <w:kern w:val="21"/>
          <w:szCs w:val="21"/>
          <w:highlight w:val="none"/>
          <w14:textFill>
            <w14:solidFill>
              <w14:schemeClr w14:val="tx1"/>
            </w14:solidFill>
          </w14:textFill>
        </w:rPr>
        <w:fldChar w:fldCharType="separate"/>
      </w:r>
      <w:r>
        <w:rPr>
          <w:rFonts w:hint="eastAsia" w:hAnsi="宋体"/>
          <w:i w:val="0"/>
          <w:iCs/>
          <w:color w:val="000000" w:themeColor="text1"/>
          <w:szCs w:val="21"/>
          <w:highlight w:val="none"/>
          <w14:textFill>
            <w14:solidFill>
              <w14:schemeClr w14:val="tx1"/>
            </w14:solidFill>
          </w14:textFill>
        </w:rPr>
        <w:t>⑥</w:t>
      </w:r>
      <w:r>
        <w:rPr>
          <w:rFonts w:hAnsi="宋体"/>
          <w:i w:val="0"/>
          <w:iCs/>
          <w:snapToGrid w:val="0"/>
          <w:color w:val="000000" w:themeColor="text1"/>
          <w:spacing w:val="-16"/>
          <w:kern w:val="21"/>
          <w:szCs w:val="21"/>
          <w:highlight w:val="none"/>
          <w14:textFill>
            <w14:solidFill>
              <w14:schemeClr w14:val="tx1"/>
            </w14:solidFill>
          </w14:textFill>
        </w:rPr>
        <w:fldChar w:fldCharType="end"/>
      </w:r>
      <w:r>
        <w:rPr>
          <w:rFonts w:hAnsi="宋体"/>
          <w:i w:val="0"/>
          <w:iCs/>
          <w:snapToGrid w:val="0"/>
          <w:color w:val="000000" w:themeColor="text1"/>
          <w:spacing w:val="-16"/>
          <w:kern w:val="21"/>
          <w:szCs w:val="21"/>
          <w:highlight w:val="none"/>
          <w14:textFill>
            <w14:solidFill>
              <w14:schemeClr w14:val="tx1"/>
            </w14:solidFill>
          </w14:textFill>
        </w:rPr>
        <w:t>-</w:t>
      </w:r>
      <w:r>
        <w:rPr>
          <w:rFonts w:hAnsi="宋体"/>
          <w:i w:val="0"/>
          <w:iCs/>
          <w:snapToGrid w:val="0"/>
          <w:color w:val="000000" w:themeColor="text1"/>
          <w:spacing w:val="-6"/>
          <w:kern w:val="21"/>
          <w:szCs w:val="21"/>
          <w:highlight w:val="none"/>
          <w14:textFill>
            <w14:solidFill>
              <w14:schemeClr w14:val="tx1"/>
            </w14:solidFill>
          </w14:textFill>
        </w:rPr>
        <w:fldChar w:fldCharType="begin"/>
      </w:r>
      <w:r>
        <w:rPr>
          <w:rFonts w:hAnsi="宋体"/>
          <w:i w:val="0"/>
          <w:iCs/>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i w:val="0"/>
          <w:iCs/>
          <w:snapToGrid w:val="0"/>
          <w:color w:val="000000" w:themeColor="text1"/>
          <w:spacing w:val="-6"/>
          <w:kern w:val="21"/>
          <w:szCs w:val="21"/>
          <w:highlight w:val="none"/>
          <w14:textFill>
            <w14:solidFill>
              <w14:schemeClr w14:val="tx1"/>
            </w14:solidFill>
          </w14:textFill>
        </w:rPr>
        <w:fldChar w:fldCharType="separate"/>
      </w:r>
      <w:r>
        <w:rPr>
          <w:rFonts w:hint="eastAsia" w:hAnsi="宋体"/>
          <w:i w:val="0"/>
          <w:iCs/>
          <w:color w:val="000000" w:themeColor="text1"/>
          <w:szCs w:val="21"/>
          <w:highlight w:val="none"/>
          <w14:textFill>
            <w14:solidFill>
              <w14:schemeClr w14:val="tx1"/>
            </w14:solidFill>
          </w14:textFill>
        </w:rPr>
        <w:t>①</w:t>
      </w:r>
      <w:r>
        <w:rPr>
          <w:rFonts w:hAnsi="宋体"/>
          <w:i w:val="0"/>
          <w:iCs/>
          <w:snapToGrid w:val="0"/>
          <w:color w:val="000000" w:themeColor="text1"/>
          <w:spacing w:val="-6"/>
          <w:kern w:val="21"/>
          <w:szCs w:val="21"/>
          <w:highlight w:val="none"/>
          <w14:textFill>
            <w14:solidFill>
              <w14:schemeClr w14:val="tx1"/>
            </w14:solidFill>
          </w14:textFill>
        </w:rPr>
        <w:fldChar w:fldCharType="end"/>
      </w:r>
    </w:p>
    <w:sectPr>
      <w:footerReference r:id="rId7" w:type="default"/>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swiss"/>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B192558-B72B-4172-A431-016A674C8848}"/>
  </w:font>
  <w:font w:name="黑体">
    <w:panose1 w:val="02010609060101010101"/>
    <w:charset w:val="86"/>
    <w:family w:val="auto"/>
    <w:pitch w:val="default"/>
    <w:sig w:usb0="800002BF" w:usb1="38CF7CFA" w:usb2="00000016" w:usb3="00000000" w:csb0="00040001" w:csb1="00000000"/>
    <w:embedRegular r:id="rId2" w:fontKey="{58B3CFE6-626E-4C19-8D02-EDB148A8485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D037210-AB9F-41CA-9AEA-0D79D2A50B85}"/>
  </w:font>
  <w:font w:name="仿宋_GB2312">
    <w:panose1 w:val="02010609030101010101"/>
    <w:charset w:val="86"/>
    <w:family w:val="modern"/>
    <w:pitch w:val="default"/>
    <w:sig w:usb0="00000001" w:usb1="080E0000" w:usb2="00000000" w:usb3="00000000" w:csb0="00040000" w:csb1="00000000"/>
    <w:embedRegular r:id="rId4" w:fontKey="{7957768B-7945-4A52-8051-C086891CA262}"/>
  </w:font>
  <w:font w:name="Arial Unicode MS">
    <w:altName w:val="宋体"/>
    <w:panose1 w:val="020B0604020202020204"/>
    <w:charset w:val="86"/>
    <w:family w:val="auto"/>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embedRegular r:id="rId5" w:fontKey="{C54F466A-8752-402B-ACB4-747C6837C862}"/>
  </w:font>
  <w:font w:name="等线">
    <w:panose1 w:val="02010600030101010101"/>
    <w:charset w:val="86"/>
    <w:family w:val="auto"/>
    <w:pitch w:val="default"/>
    <w:sig w:usb0="A00002BF" w:usb1="38CF7CFA" w:usb2="00000016" w:usb3="00000000" w:csb0="0004000F" w:csb1="00000000"/>
  </w:font>
  <w:font w:name="MingLiU">
    <w:altName w:val="PMingLiU-ExtB"/>
    <w:panose1 w:val="02020509000000000000"/>
    <w:charset w:val="88"/>
    <w:family w:val="auto"/>
    <w:pitch w:val="default"/>
    <w:sig w:usb0="00000000" w:usb1="00000000" w:usb2="00000016" w:usb3="00000000" w:csb0="00100001" w:csb1="00000000"/>
  </w:font>
  <w:font w:name="方正小标宋_GBK">
    <w:panose1 w:val="02000000000000000000"/>
    <w:charset w:val="86"/>
    <w:family w:val="script"/>
    <w:pitch w:val="default"/>
    <w:sig w:usb0="00000001" w:usb1="080E0000" w:usb2="00000000" w:usb3="00000000" w:csb0="00040000" w:csb1="00000000"/>
    <w:embedRegular r:id="rId6" w:fontKey="{7F82D480-40EC-439F-BFD5-3E16CF86FFB3}"/>
  </w:font>
  <w:font w:name="仿宋">
    <w:panose1 w:val="02010609060101010101"/>
    <w:charset w:val="86"/>
    <w:family w:val="modern"/>
    <w:pitch w:val="default"/>
    <w:sig w:usb0="800002BF" w:usb1="38CF7CFA" w:usb2="00000016" w:usb3="00000000" w:csb0="00040001" w:csb1="00000000"/>
    <w:embedRegular r:id="rId7" w:fontKey="{E482079D-65D9-4342-8438-D91133B3B24C}"/>
  </w:font>
  <w:font w:name="Wingdings 2">
    <w:panose1 w:val="05020102010507070707"/>
    <w:charset w:val="02"/>
    <w:family w:val="auto"/>
    <w:pitch w:val="default"/>
    <w:sig w:usb0="00000000" w:usb1="00000000" w:usb2="00000000" w:usb3="00000000" w:csb0="80000000" w:csb1="00000000"/>
    <w:embedRegular r:id="rId8" w:fontKey="{58609705-CF48-434B-8C85-C2A6A035D12D}"/>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35"/>
      </w:rPr>
    </w:pPr>
    <w:r>
      <w:fldChar w:fldCharType="begin"/>
    </w:r>
    <w:r>
      <w:rPr>
        <w:rStyle w:val="35"/>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rPr>
        <w:sz w:val="21"/>
        <w:szCs w:val="21"/>
      </w:rPr>
    </w:pPr>
    <w:r>
      <w:rPr>
        <w:sz w:val="21"/>
        <w:szCs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Style w:val="35"/>
                              <w:rFonts w:ascii="宋体" w:hAnsi="宋体"/>
                              <w:sz w:val="26"/>
                              <w:szCs w:val="26"/>
                            </w:rPr>
                            <w:fldChar w:fldCharType="begin"/>
                          </w:r>
                          <w:r>
                            <w:rPr>
                              <w:rStyle w:val="35"/>
                              <w:rFonts w:ascii="宋体" w:hAnsi="宋体"/>
                              <w:sz w:val="26"/>
                              <w:szCs w:val="26"/>
                            </w:rPr>
                            <w:instrText xml:space="preserve">PAGE  </w:instrText>
                          </w:r>
                          <w:r>
                            <w:rPr>
                              <w:rStyle w:val="35"/>
                              <w:rFonts w:ascii="宋体" w:hAnsi="宋体"/>
                              <w:sz w:val="26"/>
                              <w:szCs w:val="26"/>
                            </w:rPr>
                            <w:fldChar w:fldCharType="separate"/>
                          </w:r>
                          <w:r>
                            <w:rPr>
                              <w:rStyle w:val="35"/>
                              <w:rFonts w:ascii="宋体" w:hAnsi="宋体"/>
                              <w:sz w:val="26"/>
                              <w:szCs w:val="26"/>
                            </w:rPr>
                            <w:t>11</w:t>
                          </w:r>
                          <w:r>
                            <w:rPr>
                              <w:rStyle w:val="35"/>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5"/>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Style w:val="35"/>
                        <w:rFonts w:ascii="宋体" w:hAnsi="宋体"/>
                        <w:sz w:val="26"/>
                        <w:szCs w:val="26"/>
                      </w:rPr>
                      <w:fldChar w:fldCharType="begin"/>
                    </w:r>
                    <w:r>
                      <w:rPr>
                        <w:rStyle w:val="35"/>
                        <w:rFonts w:ascii="宋体" w:hAnsi="宋体"/>
                        <w:sz w:val="26"/>
                        <w:szCs w:val="26"/>
                      </w:rPr>
                      <w:instrText xml:space="preserve">PAGE  </w:instrText>
                    </w:r>
                    <w:r>
                      <w:rPr>
                        <w:rStyle w:val="35"/>
                        <w:rFonts w:ascii="宋体" w:hAnsi="宋体"/>
                        <w:sz w:val="26"/>
                        <w:szCs w:val="26"/>
                      </w:rPr>
                      <w:fldChar w:fldCharType="separate"/>
                    </w:r>
                    <w:r>
                      <w:rPr>
                        <w:rStyle w:val="35"/>
                        <w:rFonts w:ascii="宋体" w:hAnsi="宋体"/>
                        <w:sz w:val="26"/>
                        <w:szCs w:val="26"/>
                      </w:rPr>
                      <w:t>11</w:t>
                    </w:r>
                    <w:r>
                      <w:rPr>
                        <w:rStyle w:val="35"/>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DF86E"/>
    <w:multiLevelType w:val="singleLevel"/>
    <w:tmpl w:val="82EDF86E"/>
    <w:lvl w:ilvl="0" w:tentative="0">
      <w:start w:val="7"/>
      <w:numFmt w:val="decimal"/>
      <w:suff w:val="nothing"/>
      <w:lvlText w:val="（%1）"/>
      <w:lvlJc w:val="left"/>
    </w:lvl>
  </w:abstractNum>
  <w:abstractNum w:abstractNumId="1">
    <w:nsid w:val="B3A50BA0"/>
    <w:multiLevelType w:val="singleLevel"/>
    <w:tmpl w:val="B3A50BA0"/>
    <w:lvl w:ilvl="0" w:tentative="0">
      <w:start w:val="3"/>
      <w:numFmt w:val="decimal"/>
      <w:suff w:val="nothing"/>
      <w:lvlText w:val="%1）"/>
      <w:lvlJc w:val="left"/>
    </w:lvl>
  </w:abstractNum>
  <w:abstractNum w:abstractNumId="2">
    <w:nsid w:val="CA9E46EE"/>
    <w:multiLevelType w:val="singleLevel"/>
    <w:tmpl w:val="CA9E46EE"/>
    <w:lvl w:ilvl="0" w:tentative="0">
      <w:start w:val="1"/>
      <w:numFmt w:val="decimal"/>
      <w:suff w:val="nothing"/>
      <w:lvlText w:val="（%1）"/>
      <w:lvlJc w:val="left"/>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75E9BAB4"/>
    <w:multiLevelType w:val="singleLevel"/>
    <w:tmpl w:val="75E9BAB4"/>
    <w:lvl w:ilvl="0" w:tentative="0">
      <w:start w:val="2"/>
      <w:numFmt w:val="decimal"/>
      <w:suff w:val="nothing"/>
      <w:lvlText w:val="%1、"/>
      <w:lvlJc w:val="left"/>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JjYTBlNjYzZDMxMDM3OGRhMTNhZTdlNDljMjdhNGEifQ=="/>
  </w:docVars>
  <w:rsids>
    <w:rsidRoot w:val="00000000"/>
    <w:rsid w:val="00332AAB"/>
    <w:rsid w:val="010F1DA1"/>
    <w:rsid w:val="012A0989"/>
    <w:rsid w:val="01603F95"/>
    <w:rsid w:val="01655E65"/>
    <w:rsid w:val="01B01053"/>
    <w:rsid w:val="01D17056"/>
    <w:rsid w:val="02624152"/>
    <w:rsid w:val="02E132C9"/>
    <w:rsid w:val="03214B93"/>
    <w:rsid w:val="039504BE"/>
    <w:rsid w:val="03B00C66"/>
    <w:rsid w:val="03E72B61"/>
    <w:rsid w:val="057332A8"/>
    <w:rsid w:val="05940E2A"/>
    <w:rsid w:val="05DE1D42"/>
    <w:rsid w:val="06011ED8"/>
    <w:rsid w:val="06FB6B64"/>
    <w:rsid w:val="07181283"/>
    <w:rsid w:val="07290D0A"/>
    <w:rsid w:val="075A7AEE"/>
    <w:rsid w:val="07BB7C23"/>
    <w:rsid w:val="08334AD9"/>
    <w:rsid w:val="086A3D60"/>
    <w:rsid w:val="088210AA"/>
    <w:rsid w:val="08832580"/>
    <w:rsid w:val="08E02A82"/>
    <w:rsid w:val="08EE0556"/>
    <w:rsid w:val="08F33922"/>
    <w:rsid w:val="09524B17"/>
    <w:rsid w:val="096F3657"/>
    <w:rsid w:val="09D516AE"/>
    <w:rsid w:val="09E70F20"/>
    <w:rsid w:val="0A0A201E"/>
    <w:rsid w:val="0A60541B"/>
    <w:rsid w:val="0A9B4AE1"/>
    <w:rsid w:val="0AE63E6E"/>
    <w:rsid w:val="0AF433DD"/>
    <w:rsid w:val="0B311684"/>
    <w:rsid w:val="0B332B30"/>
    <w:rsid w:val="0BA53A2D"/>
    <w:rsid w:val="0BFB5B29"/>
    <w:rsid w:val="0C714BEC"/>
    <w:rsid w:val="0C807FF6"/>
    <w:rsid w:val="0CA95FE1"/>
    <w:rsid w:val="0CAE580D"/>
    <w:rsid w:val="0CC779D3"/>
    <w:rsid w:val="0CFF0F1B"/>
    <w:rsid w:val="0DC92072"/>
    <w:rsid w:val="0DD00B0A"/>
    <w:rsid w:val="0F274759"/>
    <w:rsid w:val="0F2C1D70"/>
    <w:rsid w:val="0F503CB0"/>
    <w:rsid w:val="0FFF7074"/>
    <w:rsid w:val="102147F8"/>
    <w:rsid w:val="109C28BE"/>
    <w:rsid w:val="10AF11B6"/>
    <w:rsid w:val="10DE7E92"/>
    <w:rsid w:val="1129191F"/>
    <w:rsid w:val="11C90332"/>
    <w:rsid w:val="1204437E"/>
    <w:rsid w:val="12437AFC"/>
    <w:rsid w:val="12944A1D"/>
    <w:rsid w:val="12FB3F33"/>
    <w:rsid w:val="12FD49FE"/>
    <w:rsid w:val="13117BFA"/>
    <w:rsid w:val="13685340"/>
    <w:rsid w:val="138A71C9"/>
    <w:rsid w:val="139A199E"/>
    <w:rsid w:val="13A36C5F"/>
    <w:rsid w:val="13E744B7"/>
    <w:rsid w:val="14074B59"/>
    <w:rsid w:val="145344B2"/>
    <w:rsid w:val="147C10A3"/>
    <w:rsid w:val="14DF3B87"/>
    <w:rsid w:val="15744470"/>
    <w:rsid w:val="15AC781F"/>
    <w:rsid w:val="15BF5528"/>
    <w:rsid w:val="15FB6AB6"/>
    <w:rsid w:val="16774218"/>
    <w:rsid w:val="16B27F86"/>
    <w:rsid w:val="172C3CF9"/>
    <w:rsid w:val="17683B61"/>
    <w:rsid w:val="18187335"/>
    <w:rsid w:val="18DA283C"/>
    <w:rsid w:val="193B62B1"/>
    <w:rsid w:val="19F04C37"/>
    <w:rsid w:val="1A6F4F70"/>
    <w:rsid w:val="1A8962C8"/>
    <w:rsid w:val="1AC45552"/>
    <w:rsid w:val="1AF446CC"/>
    <w:rsid w:val="1AF63BE2"/>
    <w:rsid w:val="1B4B5C73"/>
    <w:rsid w:val="1B8448F8"/>
    <w:rsid w:val="1BAD248A"/>
    <w:rsid w:val="1BEA5226"/>
    <w:rsid w:val="1BF60EFB"/>
    <w:rsid w:val="1C4774D8"/>
    <w:rsid w:val="1CEE05AD"/>
    <w:rsid w:val="1CFB4398"/>
    <w:rsid w:val="1D721295"/>
    <w:rsid w:val="1D803D04"/>
    <w:rsid w:val="1DE64012"/>
    <w:rsid w:val="1E4569AA"/>
    <w:rsid w:val="1EDE1F7D"/>
    <w:rsid w:val="1F047610"/>
    <w:rsid w:val="1F9A4AD4"/>
    <w:rsid w:val="1FAB646F"/>
    <w:rsid w:val="20032921"/>
    <w:rsid w:val="202E4A5B"/>
    <w:rsid w:val="20832DF2"/>
    <w:rsid w:val="20E167BF"/>
    <w:rsid w:val="20F74E99"/>
    <w:rsid w:val="20F91976"/>
    <w:rsid w:val="21535882"/>
    <w:rsid w:val="21653824"/>
    <w:rsid w:val="21A33153"/>
    <w:rsid w:val="21E169EA"/>
    <w:rsid w:val="220F766F"/>
    <w:rsid w:val="226C3D49"/>
    <w:rsid w:val="22F369D5"/>
    <w:rsid w:val="23226F32"/>
    <w:rsid w:val="232958E5"/>
    <w:rsid w:val="235F050E"/>
    <w:rsid w:val="237F3E72"/>
    <w:rsid w:val="245E2574"/>
    <w:rsid w:val="2485789B"/>
    <w:rsid w:val="253F22F7"/>
    <w:rsid w:val="257930A6"/>
    <w:rsid w:val="27663E23"/>
    <w:rsid w:val="27856069"/>
    <w:rsid w:val="27B60CB4"/>
    <w:rsid w:val="283A751D"/>
    <w:rsid w:val="284D6B87"/>
    <w:rsid w:val="285D7559"/>
    <w:rsid w:val="2A491472"/>
    <w:rsid w:val="2AB21193"/>
    <w:rsid w:val="2ADE440E"/>
    <w:rsid w:val="2AFA28CA"/>
    <w:rsid w:val="2B195446"/>
    <w:rsid w:val="2B36443F"/>
    <w:rsid w:val="2B7E61BF"/>
    <w:rsid w:val="2B7F7822"/>
    <w:rsid w:val="2BAC4EA2"/>
    <w:rsid w:val="2BBB02AC"/>
    <w:rsid w:val="2C3167C0"/>
    <w:rsid w:val="2CCE400E"/>
    <w:rsid w:val="2CFF066C"/>
    <w:rsid w:val="2D002B65"/>
    <w:rsid w:val="2D171A03"/>
    <w:rsid w:val="2D1F2BF2"/>
    <w:rsid w:val="2D5745C1"/>
    <w:rsid w:val="2E9A7890"/>
    <w:rsid w:val="2EBF4557"/>
    <w:rsid w:val="2F8A3545"/>
    <w:rsid w:val="2FB26C9D"/>
    <w:rsid w:val="3005243D"/>
    <w:rsid w:val="30AE3EC3"/>
    <w:rsid w:val="30E3452C"/>
    <w:rsid w:val="3123676D"/>
    <w:rsid w:val="31A11534"/>
    <w:rsid w:val="31ED6B0F"/>
    <w:rsid w:val="329D4BAF"/>
    <w:rsid w:val="32AC3044"/>
    <w:rsid w:val="330F1525"/>
    <w:rsid w:val="331C2B01"/>
    <w:rsid w:val="33323FC2"/>
    <w:rsid w:val="3343436D"/>
    <w:rsid w:val="336D27D3"/>
    <w:rsid w:val="33C02D99"/>
    <w:rsid w:val="33D96AB3"/>
    <w:rsid w:val="33F16F60"/>
    <w:rsid w:val="340C5F43"/>
    <w:rsid w:val="341669C7"/>
    <w:rsid w:val="34435C40"/>
    <w:rsid w:val="34563267"/>
    <w:rsid w:val="34DD09B2"/>
    <w:rsid w:val="350253EC"/>
    <w:rsid w:val="350F2713"/>
    <w:rsid w:val="35353F14"/>
    <w:rsid w:val="35661288"/>
    <w:rsid w:val="35877D1D"/>
    <w:rsid w:val="35E851DD"/>
    <w:rsid w:val="36254ED9"/>
    <w:rsid w:val="36CB3700"/>
    <w:rsid w:val="36F05AEA"/>
    <w:rsid w:val="37217B5C"/>
    <w:rsid w:val="374750E9"/>
    <w:rsid w:val="378E0036"/>
    <w:rsid w:val="380E5A2A"/>
    <w:rsid w:val="387A39BB"/>
    <w:rsid w:val="38B617AE"/>
    <w:rsid w:val="3A6E58B7"/>
    <w:rsid w:val="3AA306FC"/>
    <w:rsid w:val="3AEE22D3"/>
    <w:rsid w:val="3AF630AE"/>
    <w:rsid w:val="3B1300A8"/>
    <w:rsid w:val="3B1513BC"/>
    <w:rsid w:val="3B491430"/>
    <w:rsid w:val="3B622915"/>
    <w:rsid w:val="3BC74A4B"/>
    <w:rsid w:val="3BE92C13"/>
    <w:rsid w:val="3BFF1CA5"/>
    <w:rsid w:val="3C271A86"/>
    <w:rsid w:val="3D6763E0"/>
    <w:rsid w:val="3D826E7B"/>
    <w:rsid w:val="3E0B50C2"/>
    <w:rsid w:val="3E954F7D"/>
    <w:rsid w:val="3E994F65"/>
    <w:rsid w:val="3FBE7F13"/>
    <w:rsid w:val="3FE73A49"/>
    <w:rsid w:val="403326AF"/>
    <w:rsid w:val="403E62C3"/>
    <w:rsid w:val="405C1C05"/>
    <w:rsid w:val="40664832"/>
    <w:rsid w:val="41155680"/>
    <w:rsid w:val="41474664"/>
    <w:rsid w:val="415B7D27"/>
    <w:rsid w:val="415D0C3E"/>
    <w:rsid w:val="4177481D"/>
    <w:rsid w:val="41AC554D"/>
    <w:rsid w:val="42886041"/>
    <w:rsid w:val="42C60B11"/>
    <w:rsid w:val="42FD07B7"/>
    <w:rsid w:val="43903BBF"/>
    <w:rsid w:val="445D1CC2"/>
    <w:rsid w:val="44983428"/>
    <w:rsid w:val="449A71A0"/>
    <w:rsid w:val="44DA759D"/>
    <w:rsid w:val="44FB4AFD"/>
    <w:rsid w:val="4510761C"/>
    <w:rsid w:val="459E2BE0"/>
    <w:rsid w:val="46911EDD"/>
    <w:rsid w:val="47543636"/>
    <w:rsid w:val="478D4D9A"/>
    <w:rsid w:val="480D36B8"/>
    <w:rsid w:val="48541414"/>
    <w:rsid w:val="48FA0CF4"/>
    <w:rsid w:val="493D3132"/>
    <w:rsid w:val="493F0316"/>
    <w:rsid w:val="4A054FDD"/>
    <w:rsid w:val="4A284008"/>
    <w:rsid w:val="4A4A0D21"/>
    <w:rsid w:val="4A595408"/>
    <w:rsid w:val="4BB13385"/>
    <w:rsid w:val="4C1E13BC"/>
    <w:rsid w:val="4C1F15E7"/>
    <w:rsid w:val="4C9079BC"/>
    <w:rsid w:val="4C934C01"/>
    <w:rsid w:val="4C9620A1"/>
    <w:rsid w:val="4CEB6BD1"/>
    <w:rsid w:val="4D7B7211"/>
    <w:rsid w:val="4E035DB6"/>
    <w:rsid w:val="4E73640D"/>
    <w:rsid w:val="4E86609F"/>
    <w:rsid w:val="4E937E66"/>
    <w:rsid w:val="4EED4D26"/>
    <w:rsid w:val="4F607D37"/>
    <w:rsid w:val="4F926C24"/>
    <w:rsid w:val="502B5150"/>
    <w:rsid w:val="504D51C4"/>
    <w:rsid w:val="507D0949"/>
    <w:rsid w:val="509C1BAA"/>
    <w:rsid w:val="50C81565"/>
    <w:rsid w:val="514E7068"/>
    <w:rsid w:val="524B13B4"/>
    <w:rsid w:val="52B70F1D"/>
    <w:rsid w:val="52DD4F27"/>
    <w:rsid w:val="52E361B6"/>
    <w:rsid w:val="53107713"/>
    <w:rsid w:val="543C4F3A"/>
    <w:rsid w:val="5452183E"/>
    <w:rsid w:val="547037D6"/>
    <w:rsid w:val="548D39A8"/>
    <w:rsid w:val="54FE2E33"/>
    <w:rsid w:val="5527238A"/>
    <w:rsid w:val="552D2CD3"/>
    <w:rsid w:val="55503643"/>
    <w:rsid w:val="560E3442"/>
    <w:rsid w:val="56D025AE"/>
    <w:rsid w:val="56E878F7"/>
    <w:rsid w:val="56F40992"/>
    <w:rsid w:val="570D1031"/>
    <w:rsid w:val="5850568B"/>
    <w:rsid w:val="589F6DBE"/>
    <w:rsid w:val="59097FF9"/>
    <w:rsid w:val="593B4F78"/>
    <w:rsid w:val="59D82D7D"/>
    <w:rsid w:val="59DB1995"/>
    <w:rsid w:val="5A1B0DAD"/>
    <w:rsid w:val="5B684F91"/>
    <w:rsid w:val="5B972E66"/>
    <w:rsid w:val="5BA27221"/>
    <w:rsid w:val="5C367357"/>
    <w:rsid w:val="5C4A2E02"/>
    <w:rsid w:val="5C506447"/>
    <w:rsid w:val="5D437F7D"/>
    <w:rsid w:val="5DEC7F08"/>
    <w:rsid w:val="5DF71957"/>
    <w:rsid w:val="5E113BD7"/>
    <w:rsid w:val="5E96566E"/>
    <w:rsid w:val="5F0D5F64"/>
    <w:rsid w:val="5F490776"/>
    <w:rsid w:val="5F993E84"/>
    <w:rsid w:val="5FD038EC"/>
    <w:rsid w:val="612C0393"/>
    <w:rsid w:val="61AD3C17"/>
    <w:rsid w:val="61F96C4D"/>
    <w:rsid w:val="62C109B8"/>
    <w:rsid w:val="63552F9F"/>
    <w:rsid w:val="63822E81"/>
    <w:rsid w:val="63BE2770"/>
    <w:rsid w:val="64002254"/>
    <w:rsid w:val="640146EE"/>
    <w:rsid w:val="645C7B76"/>
    <w:rsid w:val="646B07D6"/>
    <w:rsid w:val="65314B5F"/>
    <w:rsid w:val="653D303D"/>
    <w:rsid w:val="65D26342"/>
    <w:rsid w:val="66041825"/>
    <w:rsid w:val="66203751"/>
    <w:rsid w:val="665E3732"/>
    <w:rsid w:val="66686475"/>
    <w:rsid w:val="66910EE1"/>
    <w:rsid w:val="66D24120"/>
    <w:rsid w:val="67150407"/>
    <w:rsid w:val="6739419F"/>
    <w:rsid w:val="673F3B7E"/>
    <w:rsid w:val="67566AFF"/>
    <w:rsid w:val="67832C94"/>
    <w:rsid w:val="67C9107F"/>
    <w:rsid w:val="67D90F23"/>
    <w:rsid w:val="684028D0"/>
    <w:rsid w:val="68DC1286"/>
    <w:rsid w:val="68FC7232"/>
    <w:rsid w:val="69232A11"/>
    <w:rsid w:val="698E432E"/>
    <w:rsid w:val="69C174E3"/>
    <w:rsid w:val="69CB37D4"/>
    <w:rsid w:val="69F04FE9"/>
    <w:rsid w:val="6A703DAE"/>
    <w:rsid w:val="6B3727A3"/>
    <w:rsid w:val="6B5010DF"/>
    <w:rsid w:val="6BBD62C6"/>
    <w:rsid w:val="6C8859AD"/>
    <w:rsid w:val="6CCF3CBB"/>
    <w:rsid w:val="6DCC37B0"/>
    <w:rsid w:val="6E242FAE"/>
    <w:rsid w:val="6E3F02ED"/>
    <w:rsid w:val="6E9879FD"/>
    <w:rsid w:val="6EEA4B5C"/>
    <w:rsid w:val="6F4B045C"/>
    <w:rsid w:val="6FC614C4"/>
    <w:rsid w:val="701424B2"/>
    <w:rsid w:val="708351E6"/>
    <w:rsid w:val="70A16506"/>
    <w:rsid w:val="71964C46"/>
    <w:rsid w:val="71FC6F1E"/>
    <w:rsid w:val="723D2D95"/>
    <w:rsid w:val="724539F8"/>
    <w:rsid w:val="72575F8A"/>
    <w:rsid w:val="727A2352"/>
    <w:rsid w:val="72CF07C8"/>
    <w:rsid w:val="73CB0002"/>
    <w:rsid w:val="7416564C"/>
    <w:rsid w:val="74C62534"/>
    <w:rsid w:val="74F4434E"/>
    <w:rsid w:val="75634F83"/>
    <w:rsid w:val="758C7EA0"/>
    <w:rsid w:val="767F5B52"/>
    <w:rsid w:val="77F847C8"/>
    <w:rsid w:val="781B7D91"/>
    <w:rsid w:val="7825441E"/>
    <w:rsid w:val="787E1A12"/>
    <w:rsid w:val="79181E66"/>
    <w:rsid w:val="792F71B0"/>
    <w:rsid w:val="79365567"/>
    <w:rsid w:val="7A2D1941"/>
    <w:rsid w:val="7A603AC5"/>
    <w:rsid w:val="7A927BC2"/>
    <w:rsid w:val="7AC758F2"/>
    <w:rsid w:val="7AD5025E"/>
    <w:rsid w:val="7B1A2C93"/>
    <w:rsid w:val="7B3B3872"/>
    <w:rsid w:val="7B9A476E"/>
    <w:rsid w:val="7BBA22D6"/>
    <w:rsid w:val="7C507659"/>
    <w:rsid w:val="7C5A4544"/>
    <w:rsid w:val="7C9A0DE4"/>
    <w:rsid w:val="7D250FF6"/>
    <w:rsid w:val="7D5E6673"/>
    <w:rsid w:val="7D666FDA"/>
    <w:rsid w:val="7D6D6755"/>
    <w:rsid w:val="7E16220C"/>
    <w:rsid w:val="7E2E3EDA"/>
    <w:rsid w:val="7F15557D"/>
    <w:rsid w:val="7F2109BC"/>
    <w:rsid w:val="7F3832DD"/>
    <w:rsid w:val="7F5D492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qFormat/>
    <w:uiPriority w:val="0"/>
    <w:pPr>
      <w:keepNext/>
      <w:keepLines/>
      <w:widowControl w:val="0"/>
      <w:spacing w:before="260" w:after="260" w:line="415" w:lineRule="auto"/>
      <w:ind w:left="0" w:right="0"/>
      <w:jc w:val="both"/>
      <w:outlineLvl w:val="1"/>
    </w:pPr>
    <w:rPr>
      <w:rFonts w:ascii="Arial" w:hAnsi="Arial" w:eastAsia="黑体" w:cs="Times New Roman"/>
      <w:b/>
      <w:bCs/>
      <w:kern w:val="2"/>
      <w:sz w:val="32"/>
      <w:szCs w:val="32"/>
      <w:lang w:val="en-US" w:eastAsia="zh-CN" w:bidi="ar-SA"/>
    </w:rPr>
  </w:style>
  <w:style w:type="paragraph" w:styleId="5">
    <w:name w:val="heading 3"/>
    <w:basedOn w:val="1"/>
    <w:next w:val="1"/>
    <w:semiHidden/>
    <w:unhideWhenUsed/>
    <w:qFormat/>
    <w:uiPriority w:val="0"/>
    <w:pPr>
      <w:snapToGrid w:val="0"/>
      <w:ind w:firstLine="0" w:firstLineChars="0"/>
      <w:outlineLvl w:val="2"/>
    </w:pPr>
    <w:rPr>
      <w:rFonts w:ascii="Times New Roman" w:hAnsi="Times New Roman" w:cs="宋体"/>
      <w:b/>
      <w:sz w:val="28"/>
      <w:szCs w:val="28"/>
    </w:rPr>
  </w:style>
  <w:style w:type="character" w:default="1" w:styleId="33">
    <w:name w:val="Default Paragraph Font"/>
    <w:autoRedefine/>
    <w:qFormat/>
    <w:uiPriority w:val="0"/>
  </w:style>
  <w:style w:type="table" w:default="1" w:styleId="24">
    <w:name w:val="Normal Table"/>
    <w:autoRedefine/>
    <w:qFormat/>
    <w:uiPriority w:val="0"/>
    <w:tblPr>
      <w:tblCellMar>
        <w:top w:w="0" w:type="dxa"/>
        <w:left w:w="108" w:type="dxa"/>
        <w:bottom w:w="0" w:type="dxa"/>
        <w:right w:w="108" w:type="dxa"/>
      </w:tblCellMar>
    </w:tblPr>
  </w:style>
  <w:style w:type="paragraph" w:styleId="2">
    <w:name w:val="header"/>
    <w:basedOn w:val="1"/>
    <w:next w:val="1"/>
    <w:link w:val="49"/>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6">
    <w:name w:val="Normal Indent"/>
    <w:basedOn w:val="1"/>
    <w:next w:val="7"/>
    <w:qFormat/>
    <w:uiPriority w:val="0"/>
    <w:pPr>
      <w:ind w:firstLine="420"/>
    </w:pPr>
    <w:rPr>
      <w:sz w:val="32"/>
      <w:szCs w:val="20"/>
    </w:rPr>
  </w:style>
  <w:style w:type="paragraph" w:customStyle="1" w:styleId="7">
    <w:name w:val="样式 正文文本 + 首行缩进:  2 字符"/>
    <w:autoRedefine/>
    <w:qFormat/>
    <w:uiPriority w:val="99"/>
    <w:pPr>
      <w:spacing w:after="200" w:line="480" w:lineRule="exact"/>
      <w:ind w:firstLine="480" w:firstLineChars="200"/>
      <w:jc w:val="center"/>
    </w:pPr>
    <w:rPr>
      <w:rFonts w:ascii="宋体" w:hAnsi="宋体" w:eastAsia="Calibri" w:cs="Times New Roman"/>
      <w:sz w:val="24"/>
      <w:szCs w:val="22"/>
      <w:lang w:val="en-US" w:eastAsia="zh-CN" w:bidi="ar-SA"/>
    </w:rPr>
  </w:style>
  <w:style w:type="paragraph" w:styleId="8">
    <w:name w:val="annotation text"/>
    <w:basedOn w:val="1"/>
    <w:link w:val="43"/>
    <w:autoRedefine/>
    <w:qFormat/>
    <w:uiPriority w:val="0"/>
    <w:pPr>
      <w:jc w:val="left"/>
    </w:pPr>
    <w:rPr>
      <w:kern w:val="0"/>
      <w:sz w:val="24"/>
      <w:szCs w:val="20"/>
    </w:rPr>
  </w:style>
  <w:style w:type="paragraph" w:styleId="9">
    <w:name w:val="Body Text"/>
    <w:basedOn w:val="1"/>
    <w:next w:val="1"/>
    <w:link w:val="44"/>
    <w:autoRedefine/>
    <w:qFormat/>
    <w:uiPriority w:val="0"/>
    <w:pPr>
      <w:widowControl/>
      <w:snapToGrid w:val="0"/>
      <w:spacing w:before="60" w:after="160" w:line="259" w:lineRule="auto"/>
      <w:ind w:right="113"/>
    </w:pPr>
    <w:rPr>
      <w:kern w:val="0"/>
      <w:sz w:val="18"/>
      <w:szCs w:val="20"/>
    </w:rPr>
  </w:style>
  <w:style w:type="paragraph" w:styleId="10">
    <w:name w:val="Body Text Indent"/>
    <w:basedOn w:val="1"/>
    <w:next w:val="1"/>
    <w:link w:val="45"/>
    <w:autoRedefine/>
    <w:qFormat/>
    <w:uiPriority w:val="0"/>
    <w:pPr>
      <w:spacing w:after="120"/>
      <w:ind w:left="420" w:leftChars="200"/>
    </w:pPr>
    <w:rPr>
      <w:kern w:val="0"/>
      <w:sz w:val="24"/>
      <w:szCs w:val="20"/>
    </w:rPr>
  </w:style>
  <w:style w:type="paragraph" w:styleId="11">
    <w:name w:val="HTML Address"/>
    <w:basedOn w:val="1"/>
    <w:autoRedefine/>
    <w:qFormat/>
    <w:uiPriority w:val="0"/>
    <w:rPr>
      <w:i/>
    </w:rPr>
  </w:style>
  <w:style w:type="paragraph" w:styleId="12">
    <w:name w:val="Plain Text"/>
    <w:basedOn w:val="1"/>
    <w:autoRedefine/>
    <w:qFormat/>
    <w:uiPriority w:val="0"/>
    <w:pPr>
      <w:widowControl w:val="0"/>
      <w:spacing w:after="0"/>
      <w:jc w:val="both"/>
    </w:pPr>
    <w:rPr>
      <w:rFonts w:ascii="宋体" w:hAnsi="Courier New" w:eastAsia="仿宋_GB2312" w:cs="Times New Roman"/>
      <w:kern w:val="2"/>
      <w:sz w:val="28"/>
      <w:szCs w:val="24"/>
      <w:lang w:val="en-US" w:eastAsia="zh-CN" w:bidi="ar-SA"/>
    </w:rPr>
  </w:style>
  <w:style w:type="paragraph" w:styleId="13">
    <w:name w:val="Date"/>
    <w:basedOn w:val="1"/>
    <w:next w:val="1"/>
    <w:link w:val="46"/>
    <w:autoRedefine/>
    <w:qFormat/>
    <w:uiPriority w:val="0"/>
    <w:pPr>
      <w:ind w:left="100" w:leftChars="2500"/>
    </w:pPr>
    <w:rPr>
      <w:kern w:val="0"/>
      <w:sz w:val="24"/>
      <w:szCs w:val="20"/>
    </w:rPr>
  </w:style>
  <w:style w:type="paragraph" w:styleId="14">
    <w:name w:val="Balloon Text"/>
    <w:basedOn w:val="1"/>
    <w:link w:val="47"/>
    <w:autoRedefine/>
    <w:qFormat/>
    <w:uiPriority w:val="0"/>
    <w:rPr>
      <w:kern w:val="0"/>
      <w:sz w:val="18"/>
      <w:szCs w:val="20"/>
    </w:rPr>
  </w:style>
  <w:style w:type="paragraph" w:styleId="15">
    <w:name w:val="footer"/>
    <w:basedOn w:val="1"/>
    <w:link w:val="48"/>
    <w:autoRedefine/>
    <w:qFormat/>
    <w:uiPriority w:val="99"/>
    <w:pPr>
      <w:tabs>
        <w:tab w:val="center" w:pos="4153"/>
        <w:tab w:val="right" w:pos="8306"/>
      </w:tabs>
      <w:snapToGrid w:val="0"/>
      <w:jc w:val="left"/>
    </w:pPr>
    <w:rPr>
      <w:kern w:val="0"/>
      <w:sz w:val="18"/>
      <w:szCs w:val="20"/>
    </w:rPr>
  </w:style>
  <w:style w:type="paragraph" w:styleId="16">
    <w:name w:val="index heading"/>
    <w:basedOn w:val="1"/>
    <w:next w:val="17"/>
    <w:autoRedefine/>
    <w:qFormat/>
    <w:uiPriority w:val="0"/>
    <w:pPr>
      <w:widowControl w:val="0"/>
      <w:spacing w:after="0"/>
      <w:jc w:val="both"/>
    </w:pPr>
    <w:rPr>
      <w:rFonts w:ascii="Times New Roman" w:hAnsi="Times New Roman" w:eastAsia="宋体" w:cs="Times New Roman"/>
      <w:kern w:val="2"/>
      <w:sz w:val="21"/>
      <w:szCs w:val="20"/>
      <w:lang w:val="en-US" w:eastAsia="zh-CN" w:bidi="ar-SA"/>
    </w:rPr>
  </w:style>
  <w:style w:type="paragraph" w:styleId="17">
    <w:name w:val="index 1"/>
    <w:basedOn w:val="1"/>
    <w:next w:val="1"/>
    <w:autoRedefine/>
    <w:qFormat/>
    <w:uiPriority w:val="0"/>
    <w:pPr>
      <w:widowControl w:val="0"/>
      <w:spacing w:after="0"/>
      <w:jc w:val="center"/>
    </w:pPr>
    <w:rPr>
      <w:rFonts w:ascii="Times New Roman" w:hAnsi="Times New Roman" w:eastAsia="宋体" w:cs="Times New Roman"/>
      <w:kern w:val="2"/>
      <w:sz w:val="21"/>
      <w:szCs w:val="20"/>
      <w:lang w:val="en-US" w:eastAsia="zh-CN" w:bidi="ar-SA"/>
    </w:rPr>
  </w:style>
  <w:style w:type="paragraph" w:styleId="18">
    <w:name w:val="toc 2"/>
    <w:basedOn w:val="1"/>
    <w:next w:val="1"/>
    <w:autoRedefine/>
    <w:qFormat/>
    <w:uiPriority w:val="0"/>
    <w:pPr>
      <w:tabs>
        <w:tab w:val="right" w:leader="dot" w:pos="8720"/>
      </w:tabs>
      <w:spacing w:line="360" w:lineRule="auto"/>
      <w:ind w:firstLine="1044" w:firstLineChars="200"/>
    </w:pPr>
    <w:rPr>
      <w:rFonts w:ascii="Times New Roman" w:hAnsi="Times New Roman" w:eastAsia="宋体" w:cs="Times New Roman"/>
      <w:b/>
      <w:spacing w:val="10"/>
      <w:szCs w:val="28"/>
    </w:rPr>
  </w:style>
  <w:style w:type="paragraph" w:styleId="19">
    <w:name w:val="Body Text 2"/>
    <w:basedOn w:val="1"/>
    <w:autoRedefine/>
    <w:qFormat/>
    <w:uiPriority w:val="99"/>
    <w:pPr>
      <w:spacing w:after="120" w:line="480" w:lineRule="auto"/>
    </w:pPr>
  </w:style>
  <w:style w:type="paragraph" w:styleId="20">
    <w:name w:val="Normal (Web)"/>
    <w:basedOn w:val="1"/>
    <w:link w:val="50"/>
    <w:autoRedefine/>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8"/>
    <w:next w:val="8"/>
    <w:link w:val="51"/>
    <w:autoRedefine/>
    <w:qFormat/>
    <w:uiPriority w:val="0"/>
    <w:rPr>
      <w:b/>
      <w:sz w:val="24"/>
      <w:szCs w:val="20"/>
    </w:rPr>
  </w:style>
  <w:style w:type="paragraph" w:styleId="22">
    <w:name w:val="Body Text First Indent"/>
    <w:basedOn w:val="9"/>
    <w:next w:val="1"/>
    <w:qFormat/>
    <w:uiPriority w:val="0"/>
    <w:pPr>
      <w:ind w:firstLine="420" w:firstLineChars="100"/>
    </w:pPr>
  </w:style>
  <w:style w:type="paragraph" w:styleId="23">
    <w:name w:val="Body Text First Indent 2"/>
    <w:basedOn w:val="10"/>
    <w:next w:val="1"/>
    <w:autoRedefine/>
    <w:qFormat/>
    <w:uiPriority w:val="0"/>
    <w:pPr>
      <w:ind w:firstLine="420" w:firstLineChars="200"/>
    </w:pPr>
    <w:rPr>
      <w:sz w:val="21"/>
      <w:szCs w:val="24"/>
    </w:rPr>
  </w:style>
  <w:style w:type="table" w:styleId="25">
    <w:name w:val="Table Grid"/>
    <w:basedOn w:val="24"/>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6">
    <w:name w:val="Medium Grid 3"/>
    <w:basedOn w:val="24"/>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000000"/>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000000"/>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000000"/>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000000"/>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80808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808080"/>
      </w:tcPr>
    </w:tblStylePr>
  </w:style>
  <w:style w:type="table" w:styleId="27">
    <w:name w:val="Medium Grid 3 Accent 1"/>
    <w:basedOn w:val="24"/>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F81B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F81B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F81B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F81B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7BFDE"/>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7BFDE"/>
      </w:tcPr>
    </w:tblStylePr>
  </w:style>
  <w:style w:type="table" w:styleId="28">
    <w:name w:val="Medium Grid 3 Accent 2"/>
    <w:basedOn w:val="24"/>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C0504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C0504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C0504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C0504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DFA7A6"/>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DFA7A6"/>
      </w:tcPr>
    </w:tblStylePr>
  </w:style>
  <w:style w:type="table" w:styleId="29">
    <w:name w:val="Medium Grid 3 Accent 3"/>
    <w:basedOn w:val="24"/>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9BBB59"/>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9BBB59"/>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9BBB59"/>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9BBB59"/>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CDDDAC"/>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CDDDAC"/>
      </w:tcPr>
    </w:tblStylePr>
  </w:style>
  <w:style w:type="table" w:styleId="30">
    <w:name w:val="Medium Grid 3 Accent 4"/>
    <w:basedOn w:val="24"/>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8064A2"/>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8064A2"/>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8064A2"/>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8064A2"/>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BFB1D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BFB1D0"/>
      </w:tcPr>
    </w:tblStylePr>
  </w:style>
  <w:style w:type="table" w:styleId="31">
    <w:name w:val="Medium Grid 3 Accent 5"/>
    <w:basedOn w:val="24"/>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BACC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BACC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BACC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BACC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5D5E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5D5E2"/>
      </w:tcPr>
    </w:tblStylePr>
  </w:style>
  <w:style w:type="table" w:styleId="32">
    <w:name w:val="Medium Grid 3 Accent 6"/>
    <w:basedOn w:val="24"/>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F7964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F7964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F7964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F7964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FBCAA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FBCAA2"/>
      </w:tcPr>
    </w:tblStylePr>
  </w:style>
  <w:style w:type="character" w:styleId="34">
    <w:name w:val="Strong"/>
    <w:basedOn w:val="33"/>
    <w:autoRedefine/>
    <w:qFormat/>
    <w:uiPriority w:val="0"/>
    <w:rPr>
      <w:b/>
    </w:rPr>
  </w:style>
  <w:style w:type="character" w:styleId="35">
    <w:name w:val="page number"/>
    <w:basedOn w:val="33"/>
    <w:autoRedefine/>
    <w:qFormat/>
    <w:uiPriority w:val="0"/>
  </w:style>
  <w:style w:type="character" w:styleId="36">
    <w:name w:val="Hyperlink"/>
    <w:basedOn w:val="33"/>
    <w:autoRedefine/>
    <w:qFormat/>
    <w:uiPriority w:val="0"/>
    <w:rPr>
      <w:color w:val="0000FF"/>
      <w:u w:val="single"/>
    </w:rPr>
  </w:style>
  <w:style w:type="character" w:styleId="37">
    <w:name w:val="annotation reference"/>
    <w:autoRedefine/>
    <w:qFormat/>
    <w:uiPriority w:val="0"/>
    <w:rPr>
      <w:sz w:val="21"/>
    </w:rPr>
  </w:style>
  <w:style w:type="paragraph" w:customStyle="1" w:styleId="38">
    <w:name w:val="xl27"/>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pPr>
    <w:rPr>
      <w:rFonts w:ascii="Arial Unicode MS" w:hAnsi="Arial Unicode MS" w:eastAsia="Arial Unicode MS" w:cs="Arial Unicode MS"/>
      <w:sz w:val="18"/>
      <w:szCs w:val="18"/>
    </w:rPr>
  </w:style>
  <w:style w:type="paragraph" w:customStyle="1" w:styleId="39">
    <w:name w:val="样式1"/>
    <w:basedOn w:val="16"/>
    <w:next w:val="1"/>
    <w:autoRedefine/>
    <w:qFormat/>
    <w:uiPriority w:val="0"/>
    <w:pPr>
      <w:topLinePunct/>
      <w:spacing w:line="360" w:lineRule="auto"/>
      <w:ind w:firstLine="480" w:firstLineChars="200"/>
    </w:pPr>
    <w:rPr>
      <w:rFonts w:ascii="Times New Roman" w:hAnsi="Times New Roman" w:eastAsia="宋体" w:cs="Times New Roman"/>
      <w:color w:val="000000"/>
      <w:sz w:val="24"/>
      <w:szCs w:val="24"/>
    </w:rPr>
  </w:style>
  <w:style w:type="paragraph" w:customStyle="1" w:styleId="40">
    <w:name w:val="正文首行缩进1"/>
    <w:basedOn w:val="9"/>
    <w:autoRedefine/>
    <w:qFormat/>
    <w:uiPriority w:val="0"/>
    <w:pPr>
      <w:ind w:firstLine="420" w:firstLineChars="100"/>
    </w:pPr>
    <w:rPr>
      <w:szCs w:val="21"/>
    </w:rPr>
  </w:style>
  <w:style w:type="paragraph" w:customStyle="1" w:styleId="41">
    <w:name w:val="Default"/>
    <w:basedOn w:val="42"/>
    <w:next w:val="1"/>
    <w:autoRedefine/>
    <w:qFormat/>
    <w:uiPriority w:val="0"/>
    <w:pPr>
      <w:widowControl w:val="0"/>
      <w:tabs>
        <w:tab w:val="left" w:pos="2760"/>
      </w:tabs>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2">
    <w:name w:val="纯文本1"/>
    <w:basedOn w:val="1"/>
    <w:autoRedefine/>
    <w:qFormat/>
    <w:uiPriority w:val="0"/>
    <w:pPr>
      <w:tabs>
        <w:tab w:val="left" w:pos="2760"/>
      </w:tabs>
      <w:adjustRightInd w:val="0"/>
    </w:pPr>
    <w:rPr>
      <w:rFonts w:ascii="宋体" w:hAnsi="Courier New" w:eastAsia="宋体" w:cs="Times New Roman"/>
      <w:szCs w:val="20"/>
    </w:rPr>
  </w:style>
  <w:style w:type="character" w:customStyle="1" w:styleId="43">
    <w:name w:val="批注文字 Char"/>
    <w:link w:val="8"/>
    <w:autoRedefine/>
    <w:qFormat/>
    <w:uiPriority w:val="0"/>
    <w:rPr>
      <w:rFonts w:ascii="Times New Roman" w:hAnsi="Times New Roman" w:eastAsia="宋体"/>
      <w:sz w:val="24"/>
    </w:rPr>
  </w:style>
  <w:style w:type="character" w:customStyle="1" w:styleId="44">
    <w:name w:val="正文文本 Char"/>
    <w:link w:val="9"/>
    <w:autoRedefine/>
    <w:qFormat/>
    <w:uiPriority w:val="0"/>
    <w:rPr>
      <w:sz w:val="18"/>
    </w:rPr>
  </w:style>
  <w:style w:type="character" w:customStyle="1" w:styleId="45">
    <w:name w:val="正文文本缩进 Char"/>
    <w:link w:val="10"/>
    <w:autoRedefine/>
    <w:qFormat/>
    <w:uiPriority w:val="0"/>
    <w:rPr>
      <w:rFonts w:ascii="Times New Roman" w:hAnsi="Times New Roman" w:eastAsia="宋体"/>
      <w:sz w:val="24"/>
    </w:rPr>
  </w:style>
  <w:style w:type="character" w:customStyle="1" w:styleId="46">
    <w:name w:val="日期 Char"/>
    <w:link w:val="13"/>
    <w:autoRedefine/>
    <w:qFormat/>
    <w:uiPriority w:val="0"/>
    <w:rPr>
      <w:rFonts w:ascii="Times New Roman" w:hAnsi="Times New Roman" w:eastAsia="宋体"/>
      <w:sz w:val="24"/>
    </w:rPr>
  </w:style>
  <w:style w:type="character" w:customStyle="1" w:styleId="47">
    <w:name w:val="批注框文本 Char"/>
    <w:link w:val="14"/>
    <w:autoRedefine/>
    <w:qFormat/>
    <w:uiPriority w:val="0"/>
    <w:rPr>
      <w:rFonts w:ascii="Times New Roman" w:hAnsi="Times New Roman" w:eastAsia="宋体"/>
      <w:sz w:val="18"/>
    </w:rPr>
  </w:style>
  <w:style w:type="character" w:customStyle="1" w:styleId="48">
    <w:name w:val="页脚 Char"/>
    <w:link w:val="15"/>
    <w:autoRedefine/>
    <w:qFormat/>
    <w:uiPriority w:val="99"/>
    <w:rPr>
      <w:sz w:val="18"/>
    </w:rPr>
  </w:style>
  <w:style w:type="character" w:customStyle="1" w:styleId="49">
    <w:name w:val="页眉 Char"/>
    <w:link w:val="2"/>
    <w:autoRedefine/>
    <w:qFormat/>
    <w:uiPriority w:val="0"/>
    <w:rPr>
      <w:sz w:val="18"/>
    </w:rPr>
  </w:style>
  <w:style w:type="character" w:customStyle="1" w:styleId="50">
    <w:name w:val="普通(网站) Char"/>
    <w:link w:val="20"/>
    <w:autoRedefine/>
    <w:qFormat/>
    <w:uiPriority w:val="0"/>
    <w:rPr>
      <w:rFonts w:ascii="宋体" w:hAnsi="宋体" w:eastAsia="宋体"/>
      <w:sz w:val="24"/>
    </w:rPr>
  </w:style>
  <w:style w:type="character" w:customStyle="1" w:styleId="51">
    <w:name w:val="批注主题 Char"/>
    <w:link w:val="21"/>
    <w:autoRedefine/>
    <w:qFormat/>
    <w:uiPriority w:val="0"/>
    <w:rPr>
      <w:rFonts w:ascii="Times New Roman" w:hAnsi="Times New Roman" w:eastAsia="宋体"/>
      <w:b/>
      <w:kern w:val="2"/>
      <w:sz w:val="24"/>
    </w:rPr>
  </w:style>
  <w:style w:type="paragraph" w:customStyle="1" w:styleId="52">
    <w:name w:val="1 表头"/>
    <w:basedOn w:val="1"/>
    <w:autoRedefine/>
    <w:qFormat/>
    <w:uiPriority w:val="0"/>
    <w:pPr>
      <w:adjustRightInd w:val="0"/>
      <w:snapToGrid w:val="0"/>
      <w:spacing w:line="240" w:lineRule="auto"/>
      <w:ind w:firstLine="0" w:firstLineChars="0"/>
      <w:jc w:val="center"/>
    </w:pPr>
    <w:rPr>
      <w:b/>
      <w:color w:val="000000"/>
      <w:sz w:val="21"/>
      <w:szCs w:val="21"/>
    </w:rPr>
  </w:style>
  <w:style w:type="character" w:customStyle="1" w:styleId="53">
    <w:name w:val="页脚 字符"/>
    <w:basedOn w:val="33"/>
    <w:autoRedefine/>
    <w:qFormat/>
    <w:uiPriority w:val="99"/>
  </w:style>
  <w:style w:type="character" w:customStyle="1" w:styleId="54">
    <w:name w:val="正文文本 字符1"/>
    <w:autoRedefine/>
    <w:qFormat/>
    <w:uiPriority w:val="0"/>
    <w:rPr>
      <w:rFonts w:ascii="Times New Roman" w:hAnsi="Times New Roman" w:eastAsia="宋体"/>
      <w:sz w:val="24"/>
    </w:rPr>
  </w:style>
  <w:style w:type="character" w:customStyle="1" w:styleId="55">
    <w:name w:val="表格 Char"/>
    <w:link w:val="56"/>
    <w:autoRedefine/>
    <w:qFormat/>
    <w:uiPriority w:val="0"/>
    <w:rPr>
      <w:rFonts w:ascii="宋体"/>
      <w:sz w:val="21"/>
    </w:rPr>
  </w:style>
  <w:style w:type="paragraph" w:customStyle="1" w:styleId="56">
    <w:name w:val="表格"/>
    <w:basedOn w:val="12"/>
    <w:next w:val="1"/>
    <w:link w:val="55"/>
    <w:autoRedefine/>
    <w:qFormat/>
    <w:uiPriority w:val="0"/>
    <w:pPr>
      <w:adjustRightInd w:val="0"/>
      <w:snapToGrid w:val="0"/>
      <w:spacing w:beforeLines="10" w:afterLines="10" w:line="259" w:lineRule="auto"/>
      <w:jc w:val="center"/>
    </w:pPr>
    <w:rPr>
      <w:rFonts w:ascii="宋体"/>
      <w:kern w:val="0"/>
      <w:szCs w:val="20"/>
    </w:rPr>
  </w:style>
  <w:style w:type="character" w:customStyle="1" w:styleId="57">
    <w:name w:val="日期 字符"/>
    <w:autoRedefine/>
    <w:qFormat/>
    <w:uiPriority w:val="0"/>
    <w:rPr>
      <w:rFonts w:ascii="Times New Roman" w:hAnsi="Times New Roman" w:eastAsia="宋体"/>
      <w:sz w:val="24"/>
    </w:rPr>
  </w:style>
  <w:style w:type="character" w:customStyle="1" w:styleId="58">
    <w:name w:val="批注文字 字符1"/>
    <w:autoRedefine/>
    <w:qFormat/>
    <w:uiPriority w:val="0"/>
    <w:rPr>
      <w:rFonts w:ascii="Times New Roman" w:hAnsi="Times New Roman" w:eastAsia="宋体"/>
      <w:sz w:val="24"/>
    </w:rPr>
  </w:style>
  <w:style w:type="paragraph" w:customStyle="1" w:styleId="59">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0">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1">
    <w:name w:val="表头"/>
    <w:basedOn w:val="62"/>
    <w:next w:val="1"/>
    <w:autoRedefine/>
    <w:qFormat/>
    <w:uiPriority w:val="0"/>
    <w:pPr>
      <w:spacing w:line="500" w:lineRule="exact"/>
      <w:jc w:val="center"/>
    </w:pPr>
    <w:rPr>
      <w:rFonts w:ascii="楷体_GB2312" w:hAnsi="楷体_GB2312" w:eastAsia="楷体_GB2312" w:cs="楷体_GB2312"/>
      <w:b/>
      <w:sz w:val="24"/>
    </w:rPr>
  </w:style>
  <w:style w:type="paragraph" w:customStyle="1" w:styleId="62">
    <w:name w:val="报告正文"/>
    <w:basedOn w:val="63"/>
    <w:autoRedefine/>
    <w:qFormat/>
    <w:uiPriority w:val="0"/>
    <w:pPr>
      <w:widowControl w:val="0"/>
      <w:snapToGrid w:val="0"/>
      <w:spacing w:line="360" w:lineRule="auto"/>
      <w:ind w:firstLine="200" w:firstLineChars="200"/>
    </w:pPr>
    <w:rPr>
      <w:rFonts w:ascii="Times New Roman" w:hAnsi="Times New Roman" w:eastAsia="宋体" w:cs="Times New Roman"/>
      <w:snapToGrid w:val="0"/>
      <w:sz w:val="24"/>
      <w:szCs w:val="28"/>
    </w:rPr>
  </w:style>
  <w:style w:type="paragraph" w:customStyle="1" w:styleId="63">
    <w:name w:val="p17"/>
    <w:basedOn w:val="1"/>
    <w:autoRedefine/>
    <w:qFormat/>
    <w:uiPriority w:val="0"/>
    <w:pPr>
      <w:widowControl/>
    </w:pPr>
    <w:rPr>
      <w:rFonts w:ascii="宋体" w:hAnsi="宋体" w:eastAsia="宋体" w:cs="宋体"/>
      <w:kern w:val="0"/>
      <w:szCs w:val="21"/>
    </w:rPr>
  </w:style>
  <w:style w:type="paragraph" w:customStyle="1" w:styleId="64">
    <w:name w:val="表内文字"/>
    <w:basedOn w:val="1"/>
    <w:autoRedefine/>
    <w:qFormat/>
    <w:uiPriority w:val="0"/>
    <w:pPr>
      <w:spacing w:line="240" w:lineRule="auto"/>
      <w:ind w:firstLine="0" w:firstLineChars="0"/>
      <w:jc w:val="center"/>
    </w:pPr>
    <w:rPr>
      <w:rFonts w:ascii="Times New Roman" w:hAnsi="Times New Roman" w:eastAsia="宋体" w:cs="Times New Roman"/>
      <w:sz w:val="21"/>
    </w:rPr>
  </w:style>
  <w:style w:type="paragraph" w:customStyle="1" w:styleId="65">
    <w:name w:val="正本文字"/>
    <w:basedOn w:val="1"/>
    <w:autoRedefine/>
    <w:qFormat/>
    <w:uiPriority w:val="0"/>
    <w:pPr>
      <w:adjustRightInd w:val="0"/>
      <w:snapToGrid w:val="0"/>
      <w:spacing w:line="360" w:lineRule="auto"/>
      <w:ind w:firstLine="200" w:firstLineChars="200"/>
      <w:jc w:val="left"/>
    </w:pPr>
    <w:rPr>
      <w:rFonts w:ascii="Times New Roman" w:hAnsi="Times New Roman" w:eastAsia="宋体" w:cs="宋体"/>
      <w:kern w:val="18"/>
      <w:sz w:val="24"/>
      <w:szCs w:val="20"/>
    </w:rPr>
  </w:style>
  <w:style w:type="paragraph" w:customStyle="1" w:styleId="66">
    <w:name w:val="表格1"/>
    <w:basedOn w:val="1"/>
    <w:autoRedefine/>
    <w:qFormat/>
    <w:uiPriority w:val="0"/>
    <w:pPr>
      <w:widowControl/>
      <w:spacing w:line="240" w:lineRule="auto"/>
      <w:ind w:firstLine="0" w:firstLineChars="0"/>
      <w:jc w:val="center"/>
    </w:pPr>
    <w:rPr>
      <w:color w:val="000000"/>
      <w:kern w:val="0"/>
      <w:sz w:val="21"/>
      <w:szCs w:val="21"/>
    </w:rPr>
  </w:style>
  <w:style w:type="paragraph" w:customStyle="1" w:styleId="67">
    <w:name w:val="表格内容11111"/>
    <w:basedOn w:val="1"/>
    <w:autoRedefine/>
    <w:qFormat/>
    <w:uiPriority w:val="0"/>
    <w:pPr>
      <w:adjustRightInd w:val="0"/>
      <w:snapToGrid w:val="0"/>
      <w:jc w:val="center"/>
    </w:pPr>
    <w:rPr>
      <w:bCs/>
      <w:kern w:val="0"/>
      <w:szCs w:val="21"/>
    </w:rPr>
  </w:style>
  <w:style w:type="paragraph" w:customStyle="1" w:styleId="68">
    <w:name w:val="Table Text"/>
    <w:basedOn w:val="1"/>
    <w:autoRedefine/>
    <w:qFormat/>
    <w:uiPriority w:val="0"/>
    <w:rPr>
      <w:rFonts w:ascii="宋体" w:hAnsi="宋体" w:eastAsia="宋体" w:cs="宋体"/>
      <w:sz w:val="21"/>
      <w:szCs w:val="21"/>
      <w:lang w:val="en-US" w:eastAsia="en-US" w:bidi="ar-SA"/>
    </w:rPr>
  </w:style>
  <w:style w:type="table" w:customStyle="1" w:styleId="69">
    <w:name w:val="Table Normal"/>
    <w:autoRedefine/>
    <w:qFormat/>
    <w:uiPriority w:val="0"/>
    <w:tblPr>
      <w:tblCellMar>
        <w:top w:w="0" w:type="dxa"/>
        <w:left w:w="0" w:type="dxa"/>
        <w:bottom w:w="0" w:type="dxa"/>
        <w:right w:w="0" w:type="dxa"/>
      </w:tblCellMar>
    </w:tblPr>
  </w:style>
  <w:style w:type="paragraph" w:customStyle="1" w:styleId="70">
    <w:name w:val="样式35"/>
    <w:basedOn w:val="1"/>
    <w:autoRedefine/>
    <w:qFormat/>
    <w:uiPriority w:val="99"/>
    <w:pPr>
      <w:adjustRightInd w:val="0"/>
      <w:spacing w:line="312" w:lineRule="auto"/>
      <w:ind w:firstLine="567"/>
    </w:pPr>
    <w:rPr>
      <w:rFonts w:ascii="宋体"/>
      <w:kern w:val="0"/>
      <w:sz w:val="28"/>
    </w:rPr>
  </w:style>
  <w:style w:type="character" w:customStyle="1" w:styleId="71">
    <w:name w:val="font11"/>
    <w:basedOn w:val="33"/>
    <w:autoRedefine/>
    <w:qFormat/>
    <w:uiPriority w:val="0"/>
    <w:rPr>
      <w:rFonts w:hint="default" w:ascii="Times New Roman" w:hAnsi="Times New Roman" w:cs="Times New Roman"/>
      <w:color w:val="000000"/>
      <w:sz w:val="21"/>
      <w:szCs w:val="21"/>
      <w:u w:val="none"/>
    </w:rPr>
  </w:style>
  <w:style w:type="character" w:customStyle="1" w:styleId="72">
    <w:name w:val="font21"/>
    <w:basedOn w:val="33"/>
    <w:autoRedefine/>
    <w:qFormat/>
    <w:uiPriority w:val="0"/>
    <w:rPr>
      <w:rFonts w:hint="eastAsia" w:ascii="宋体" w:hAnsi="宋体" w:eastAsia="宋体" w:cs="宋体"/>
      <w:color w:val="000000"/>
      <w:sz w:val="21"/>
      <w:szCs w:val="21"/>
      <w:u w:val="none"/>
    </w:rPr>
  </w:style>
  <w:style w:type="character" w:customStyle="1" w:styleId="73">
    <w:name w:val="font31"/>
    <w:basedOn w:val="33"/>
    <w:autoRedefine/>
    <w:qFormat/>
    <w:uiPriority w:val="0"/>
    <w:rPr>
      <w:rFonts w:hint="eastAsia" w:ascii="等线" w:hAnsi="等线" w:eastAsia="等线" w:cs="等线"/>
      <w:color w:val="000000"/>
      <w:sz w:val="22"/>
      <w:szCs w:val="22"/>
      <w:u w:val="none"/>
    </w:rPr>
  </w:style>
  <w:style w:type="paragraph" w:customStyle="1" w:styleId="74">
    <w:name w:val="txt"/>
    <w:basedOn w:val="75"/>
    <w:autoRedefine/>
    <w:qFormat/>
    <w:uiPriority w:val="0"/>
    <w:rPr>
      <w:sz w:val="21"/>
      <w:szCs w:val="21"/>
    </w:rPr>
  </w:style>
  <w:style w:type="paragraph" w:customStyle="1" w:styleId="75">
    <w:name w:val="text"/>
    <w:basedOn w:val="1"/>
    <w:autoRedefine/>
    <w:qFormat/>
    <w:uiPriority w:val="0"/>
    <w:pPr>
      <w:wordWrap w:val="0"/>
      <w:spacing w:line="360" w:lineRule="auto"/>
      <w:ind w:firstLine="200" w:firstLineChars="200"/>
    </w:pPr>
    <w:rPr>
      <w:sz w:val="24"/>
      <w:szCs w:val="24"/>
    </w:rPr>
  </w:style>
  <w:style w:type="paragraph" w:customStyle="1" w:styleId="76">
    <w:name w:val="Other|1"/>
    <w:basedOn w:val="1"/>
    <w:autoRedefine/>
    <w:qFormat/>
    <w:uiPriority w:val="0"/>
    <w:pPr>
      <w:widowControl w:val="0"/>
      <w:shd w:val="clear" w:color="auto" w:fill="auto"/>
      <w:spacing w:after="80" w:line="401" w:lineRule="auto"/>
      <w:ind w:firstLine="400"/>
    </w:pPr>
    <w:rPr>
      <w:rFonts w:ascii="MingLiU" w:hAnsi="MingLiU" w:eastAsia="MingLiU" w:cs="MingLiU"/>
      <w:sz w:val="20"/>
      <w:szCs w:val="20"/>
      <w:u w:val="none"/>
      <w:shd w:val="clear" w:color="auto" w:fill="FFFFFF"/>
      <w:lang w:val="zh-TW" w:eastAsia="zh-TW" w:bidi="zh-TW"/>
    </w:rPr>
  </w:style>
  <w:style w:type="paragraph" w:customStyle="1" w:styleId="77">
    <w:name w:val="Table Paragraph"/>
    <w:basedOn w:val="1"/>
    <w:autoRedefine/>
    <w:qFormat/>
    <w:uiPriority w:val="1"/>
    <w:rPr>
      <w:rFonts w:ascii="宋体" w:hAnsi="宋体" w:eastAsia="宋体" w:cs="宋体"/>
      <w:lang w:val="zh-CN" w:eastAsia="zh-CN" w:bidi="zh-CN"/>
    </w:rPr>
  </w:style>
  <w:style w:type="paragraph" w:customStyle="1" w:styleId="78">
    <w:name w:val="Body text|1"/>
    <w:basedOn w:val="1"/>
    <w:autoRedefine/>
    <w:qFormat/>
    <w:uiPriority w:val="0"/>
    <w:pPr>
      <w:spacing w:line="417" w:lineRule="auto"/>
      <w:ind w:firstLine="400"/>
    </w:pPr>
    <w:rPr>
      <w:rFonts w:ascii="宋体" w:hAnsi="宋体" w:cs="宋体"/>
    </w:rPr>
  </w:style>
  <w:style w:type="paragraph" w:customStyle="1" w:styleId="79">
    <w:name w:val="Table caption|1"/>
    <w:basedOn w:val="1"/>
    <w:autoRedefine/>
    <w:qFormat/>
    <w:uiPriority w:val="0"/>
    <w:rPr>
      <w:rFonts w:ascii="宋体" w:hAnsi="宋体" w:cs="宋体"/>
      <w:b/>
      <w:bCs/>
    </w:rPr>
  </w:style>
  <w:style w:type="paragraph" w:customStyle="1" w:styleId="80">
    <w:name w:val="Body text|2"/>
    <w:basedOn w:val="1"/>
    <w:autoRedefine/>
    <w:qFormat/>
    <w:uiPriority w:val="0"/>
    <w:pPr>
      <w:spacing w:line="288" w:lineRule="auto"/>
      <w:jc w:val="center"/>
    </w:pPr>
    <w:rPr>
      <w:rFonts w:ascii="宋体" w:hAnsi="宋体" w:cs="宋体"/>
      <w:sz w:val="20"/>
      <w:szCs w:val="20"/>
    </w:rPr>
  </w:style>
  <w:style w:type="paragraph" w:customStyle="1" w:styleId="81">
    <w:name w:val="表格标题"/>
    <w:basedOn w:val="6"/>
    <w:next w:val="82"/>
    <w:autoRedefine/>
    <w:qFormat/>
    <w:uiPriority w:val="0"/>
    <w:pPr>
      <w:ind w:firstLine="480"/>
    </w:pPr>
    <w:rPr>
      <w:rFonts w:hint="default"/>
    </w:rPr>
  </w:style>
  <w:style w:type="paragraph" w:customStyle="1" w:styleId="82">
    <w:name w:val="表格内容"/>
    <w:basedOn w:val="81"/>
    <w:next w:val="1"/>
    <w:autoRedefine/>
    <w:qFormat/>
    <w:uiPriority w:val="0"/>
    <w:pPr>
      <w:spacing w:line="240" w:lineRule="atLeast"/>
      <w:ind w:firstLine="0" w:firstLineChars="0"/>
      <w:jc w:val="center"/>
    </w:pPr>
    <w:rPr>
      <w:rFonts w:ascii="Times New Roman" w:hAnsi="Times New Roman"/>
    </w:rPr>
  </w:style>
  <w:style w:type="paragraph" w:customStyle="1" w:styleId="83">
    <w:name w:val="样式 首行缩进:  2 字符1"/>
    <w:basedOn w:val="1"/>
    <w:autoRedefine/>
    <w:qFormat/>
    <w:uiPriority w:val="0"/>
    <w:pPr>
      <w:spacing w:before="120" w:line="400" w:lineRule="exact"/>
    </w:pPr>
    <w:rPr>
      <w:rFonts w:ascii="宋体"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file:\C:\dsoa\wdzx9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"/>
    </extobj>
    <extobj name="F360BE8B-6686-4F3D-AEAF-501FE73E4058-2">
      <extobjdata type="F360BE8B-6686-4F3D-AEAF-501FE73E4058" data="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"/>
    </extobj>
    <extobj name="F360BE8B-6686-4F3D-AEAF-501FE73E4058-3">
      <extobjdata type="F360BE8B-6686-4F3D-AEAF-501FE73E4058" data="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"/>
    </extobj>
    <extobj name="F360BE8B-6686-4F3D-AEAF-501FE73E4058-4">
      <extobjdata type="F360BE8B-6686-4F3D-AEAF-501FE73E4058" data="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"/>
    </extobj>
    <extobj name="F360BE8B-6686-4F3D-AEAF-501FE73E4058-5">
      <extobjdata type="F360BE8B-6686-4F3D-AEAF-501FE73E4058" data="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102</Pages>
  <Words>58930</Words>
  <Characters>66475</Characters>
  <Paragraphs>2347</Paragraphs>
  <TotalTime>1</TotalTime>
  <ScaleCrop>false</ScaleCrop>
  <LinksUpToDate>false</LinksUpToDate>
  <CharactersWithSpaces>66786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弓鹏</cp:lastModifiedBy>
  <cp:lastPrinted>2024-05-27T07:58:00Z</cp:lastPrinted>
  <dcterms:modified xsi:type="dcterms:W3CDTF">2024-07-07T14:50:28Z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3C4B0BEC0FCB4C33A92A41B061157B06_13</vt:lpwstr>
  </property>
</Properties>
</file>